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302895</wp:posOffset>
            </wp:positionH>
            <wp:positionV relativeFrom="page">
              <wp:posOffset>623570</wp:posOffset>
            </wp:positionV>
            <wp:extent cx="69500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0075" cy="7620"/>
                    </a:xfrm>
                    <a:prstGeom prst="rect">
                      <a:avLst/>
                    </a:prstGeom>
                    <a:noFill/>
                  </pic:spPr>
                </pic:pic>
              </a:graphicData>
            </a:graphic>
          </wp:anchor>
        </w:drawing>
        <w:drawing>
          <wp:anchor simplePos="0" relativeHeight="251657728" behindDoc="1" locked="0" layoutInCell="0" allowOverlap="1">
            <wp:simplePos x="0" y="0"/>
            <wp:positionH relativeFrom="page">
              <wp:posOffset>302895</wp:posOffset>
            </wp:positionH>
            <wp:positionV relativeFrom="page">
              <wp:posOffset>586105</wp:posOffset>
            </wp:positionV>
            <wp:extent cx="695007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0075" cy="14605"/>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 w:lineRule="exact"/>
        <w:rPr>
          <w:sz w:val="24"/>
          <w:szCs w:val="24"/>
          <w:color w:val="auto"/>
        </w:rPr>
      </w:pPr>
    </w:p>
    <w:p>
      <w:pPr>
        <w:ind w:left="540" w:hanging="531"/>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October 30, 2021</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ind w:left="540" w:hanging="519"/>
        <w:spacing w:after="0" w:line="223"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33" w:lineRule="exact"/>
        <w:rPr>
          <w:sz w:val="24"/>
          <w:szCs w:val="24"/>
          <w:color w:val="auto"/>
        </w:rPr>
      </w:pPr>
    </w:p>
    <w:p>
      <w:pPr>
        <w:jc w:val="right"/>
        <w:ind w:right="4660"/>
        <w:spacing w:after="0"/>
        <w:tabs>
          <w:tab w:leader="none" w:pos="18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49" w:lineRule="exact"/>
        <w:rPr>
          <w:sz w:val="24"/>
          <w:szCs w:val="24"/>
          <w:color w:val="auto"/>
        </w:rPr>
      </w:pPr>
    </w:p>
    <w:p>
      <w:pPr>
        <w:jc w:val="right"/>
        <w:ind w:right="4680"/>
        <w:spacing w:after="0"/>
        <w:rPr>
          <w:sz w:val="20"/>
          <w:szCs w:val="20"/>
          <w:color w:val="auto"/>
        </w:rPr>
      </w:pPr>
      <w:r>
        <w:rPr>
          <w:rFonts w:ascii="Arial" w:cs="Arial" w:eastAsia="Arial" w:hAnsi="Arial"/>
          <w:sz w:val="14"/>
          <w:szCs w:val="14"/>
          <w:b w:val="1"/>
          <w:bCs w:val="1"/>
          <w:color w:val="auto"/>
        </w:rPr>
        <w:t>Commission file number 1-7819</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Analog Devices, Inc.</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2"/>
          <w:szCs w:val="12"/>
          <w:i w:val="1"/>
          <w:iCs w:val="1"/>
          <w:color w:val="auto"/>
        </w:rPr>
        <w:t>(Exact name of registrant as specified in its charter)</w:t>
      </w:r>
    </w:p>
    <w:p>
      <w:pPr>
        <w:sectPr>
          <w:pgSz w:w="11900" w:h="16838" w:orient="portrait"/>
          <w:cols w:equalWidth="0" w:num="1">
            <w:col w:w="11260"/>
          </w:cols>
          <w:pgMar w:left="320" w:top="1047" w:right="319" w:bottom="1440" w:gutter="0" w:footer="0" w:header="0"/>
        </w:sectPr>
      </w:pPr>
    </w:p>
    <w:p>
      <w:pPr>
        <w:spacing w:after="0" w:line="27" w:lineRule="exact"/>
        <w:rPr>
          <w:sz w:val="24"/>
          <w:szCs w:val="24"/>
          <w:color w:val="auto"/>
        </w:rPr>
      </w:pPr>
    </w:p>
    <w:p>
      <w:pPr>
        <w:ind w:left="2220"/>
        <w:spacing w:after="0"/>
        <w:rPr>
          <w:sz w:val="20"/>
          <w:szCs w:val="20"/>
          <w:color w:val="auto"/>
        </w:rPr>
      </w:pPr>
      <w:r>
        <w:rPr>
          <w:rFonts w:ascii="Arial" w:cs="Arial" w:eastAsia="Arial" w:hAnsi="Arial"/>
          <w:sz w:val="13"/>
          <w:szCs w:val="13"/>
          <w:b w:val="1"/>
          <w:bCs w:val="1"/>
          <w:color w:val="auto"/>
        </w:rPr>
        <w:t>Massachusetts</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04-2348234</w:t>
      </w:r>
    </w:p>
    <w:p>
      <w:pPr>
        <w:spacing w:after="0" w:line="42" w:lineRule="exact"/>
        <w:rPr>
          <w:sz w:val="24"/>
          <w:szCs w:val="24"/>
          <w:color w:val="auto"/>
        </w:rPr>
      </w:pPr>
    </w:p>
    <w:p>
      <w:pPr>
        <w:sectPr>
          <w:pgSz w:w="11900" w:h="16838" w:orient="portrait"/>
          <w:cols w:equalWidth="0" w:num="2">
            <w:col w:w="7720" w:space="720"/>
            <w:col w:w="2820"/>
          </w:cols>
          <w:pgMar w:left="320" w:top="1047" w:right="319" w:bottom="1440" w:gutter="0" w:footer="0" w:header="0"/>
          <w:type w:val="continuous"/>
        </w:sectPr>
      </w:pPr>
    </w:p>
    <w:p>
      <w:pPr>
        <w:ind w:left="1180"/>
        <w:spacing w:after="0"/>
        <w:rPr>
          <w:sz w:val="20"/>
          <w:szCs w:val="20"/>
          <w:color w:val="auto"/>
        </w:rPr>
      </w:pPr>
      <w:r>
        <w:rPr>
          <w:rFonts w:ascii="Arial" w:cs="Arial" w:eastAsia="Arial" w:hAnsi="Arial"/>
          <w:sz w:val="11"/>
          <w:szCs w:val="11"/>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i w:val="1"/>
          <w:iCs w:val="1"/>
          <w:color w:val="auto"/>
        </w:rPr>
        <w:t>(I.R.S. Employer Identification No.)</w:t>
      </w:r>
    </w:p>
    <w:p>
      <w:pPr>
        <w:spacing w:after="0" w:line="115" w:lineRule="exact"/>
        <w:rPr>
          <w:sz w:val="24"/>
          <w:szCs w:val="24"/>
          <w:color w:val="auto"/>
        </w:rPr>
      </w:pPr>
    </w:p>
    <w:p>
      <w:pPr>
        <w:sectPr>
          <w:pgSz w:w="11900" w:h="16838" w:orient="portrait"/>
          <w:cols w:equalWidth="0" w:num="2">
            <w:col w:w="7200" w:space="720"/>
            <w:col w:w="3340"/>
          </w:cols>
          <w:pgMar w:left="320" w:top="1047" w:right="319" w:bottom="1440" w:gutter="0" w:footer="0" w:header="0"/>
          <w:type w:val="continuous"/>
        </w:sectPr>
      </w:pPr>
    </w:p>
    <w:p>
      <w:pPr>
        <w:ind w:left="880"/>
        <w:spacing w:after="0"/>
        <w:rPr>
          <w:sz w:val="20"/>
          <w:szCs w:val="20"/>
          <w:color w:val="auto"/>
        </w:rPr>
      </w:pPr>
      <w:r>
        <w:rPr>
          <w:rFonts w:ascii="Arial" w:cs="Arial" w:eastAsia="Arial" w:hAnsi="Arial"/>
          <w:sz w:val="14"/>
          <w:szCs w:val="14"/>
          <w:b w:val="1"/>
          <w:bCs w:val="1"/>
          <w:color w:val="auto"/>
        </w:rPr>
        <w:t>One Analog Way,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01887</w:t>
      </w:r>
    </w:p>
    <w:p>
      <w:pPr>
        <w:spacing w:after="0" w:line="41" w:lineRule="exact"/>
        <w:rPr>
          <w:sz w:val="24"/>
          <w:szCs w:val="24"/>
          <w:color w:val="auto"/>
        </w:rPr>
      </w:pPr>
    </w:p>
    <w:p>
      <w:pPr>
        <w:sectPr>
          <w:pgSz w:w="11900" w:h="16838" w:orient="portrait"/>
          <w:cols w:equalWidth="0" w:num="4">
            <w:col w:w="2040" w:space="240"/>
            <w:col w:w="840" w:space="240"/>
            <w:col w:w="4540" w:space="720"/>
            <w:col w:w="2640"/>
          </w:cols>
          <w:pgMar w:left="320" w:top="1047" w:right="319" w:bottom="1440" w:gutter="0" w:footer="0" w:header="0"/>
          <w:type w:val="continuous"/>
        </w:sectPr>
      </w:pPr>
    </w:p>
    <w:p>
      <w:pPr>
        <w:ind w:left="1720"/>
        <w:spacing w:after="0"/>
        <w:rPr>
          <w:sz w:val="20"/>
          <w:szCs w:val="20"/>
          <w:color w:val="auto"/>
        </w:rPr>
      </w:pPr>
      <w:r>
        <w:rPr>
          <w:rFonts w:ascii="Arial" w:cs="Arial" w:eastAsia="Arial" w:hAnsi="Arial"/>
          <w:sz w:val="11"/>
          <w:szCs w:val="11"/>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i w:val="1"/>
          <w:iCs w:val="1"/>
          <w:color w:val="auto"/>
        </w:rPr>
        <w:t>(Zip Code)</w:t>
      </w:r>
    </w:p>
    <w:p>
      <w:pPr>
        <w:spacing w:after="0" w:line="107" w:lineRule="exact"/>
        <w:rPr>
          <w:sz w:val="24"/>
          <w:szCs w:val="24"/>
          <w:color w:val="auto"/>
        </w:rPr>
      </w:pPr>
    </w:p>
    <w:p>
      <w:pPr>
        <w:sectPr>
          <w:pgSz w:w="11900" w:h="16838" w:orient="portrait"/>
          <w:cols w:equalWidth="0" w:num="2">
            <w:col w:w="7820" w:space="720"/>
            <w:col w:w="2720"/>
          </w:cols>
          <w:pgMar w:left="320" w:top="1047" w:right="319" w:bottom="1440" w:gutter="0" w:footer="0" w:header="0"/>
          <w:type w:val="continuous"/>
        </w:sectPr>
      </w:pPr>
    </w:p>
    <w:p>
      <w:pPr>
        <w:jc w:val="center"/>
        <w:ind w:right="20"/>
        <w:spacing w:after="0"/>
        <w:rPr>
          <w:sz w:val="20"/>
          <w:szCs w:val="20"/>
          <w:color w:val="auto"/>
        </w:rPr>
      </w:pPr>
      <w:r>
        <w:rPr>
          <w:rFonts w:ascii="Arial" w:cs="Arial" w:eastAsia="Arial" w:hAnsi="Arial"/>
          <w:sz w:val="14"/>
          <w:szCs w:val="14"/>
          <w:b w:val="1"/>
          <w:bCs w:val="1"/>
          <w:color w:val="auto"/>
        </w:rPr>
        <w:t>(781) 935-5565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1"/>
          <w:szCs w:val="11"/>
          <w:i w:val="1"/>
          <w:iCs w:val="1"/>
          <w:color w:val="auto"/>
        </w:rPr>
        <w:t>(Registrant’s telephone number, including area code)</w:t>
      </w:r>
    </w:p>
    <w:p>
      <w:pPr>
        <w:sectPr>
          <w:pgSz w:w="11900" w:h="16838" w:orient="portrait"/>
          <w:cols w:equalWidth="0" w:num="1">
            <w:col w:w="11260"/>
          </w:cols>
          <w:pgMar w:left="320" w:top="1047" w:right="319" w:bottom="1440" w:gutter="0" w:footer="0" w:header="0"/>
          <w:type w:val="continuous"/>
        </w:sectPr>
      </w:pPr>
    </w:p>
    <w:p>
      <w:pPr>
        <w:spacing w:after="0" w:line="21" w:lineRule="exact"/>
        <w:rPr>
          <w:sz w:val="24"/>
          <w:szCs w:val="24"/>
          <w:color w:val="auto"/>
        </w:rPr>
      </w:pPr>
    </w:p>
    <w:p>
      <w:pPr>
        <w:ind w:left="4460"/>
        <w:spacing w:after="0"/>
        <w:rPr>
          <w:sz w:val="20"/>
          <w:szCs w:val="20"/>
          <w:color w:val="auto"/>
        </w:rPr>
      </w:pPr>
      <w:r>
        <w:rPr>
          <w:rFonts w:ascii="Arial" w:cs="Arial" w:eastAsia="Arial" w:hAnsi="Arial"/>
          <w:sz w:val="14"/>
          <w:szCs w:val="14"/>
          <w:color w:val="auto"/>
        </w:rPr>
        <w:t>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60"/>
          </w:cols>
          <w:pgMar w:left="320" w:top="1047" w:right="319" w:bottom="1440" w:gutter="0" w:footer="0" w:header="0"/>
          <w:type w:val="continuous"/>
        </w:sectPr>
      </w:pPr>
    </w:p>
    <w:p>
      <w:pPr>
        <w:spacing w:after="0" w:line="30"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Name of each exchange on which registered</w:t>
      </w:r>
    </w:p>
    <w:p>
      <w:pPr>
        <w:spacing w:after="0" w:line="53" w:lineRule="exact"/>
        <w:rPr>
          <w:sz w:val="24"/>
          <w:szCs w:val="24"/>
          <w:color w:val="auto"/>
        </w:rPr>
      </w:pPr>
    </w:p>
    <w:p>
      <w:pPr>
        <w:sectPr>
          <w:pgSz w:w="11900" w:h="16838" w:orient="portrait"/>
          <w:cols w:equalWidth="0" w:num="3">
            <w:col w:w="4280" w:space="720"/>
            <w:col w:w="1780" w:space="720"/>
            <w:col w:w="3760"/>
          </w:cols>
          <w:pgMar w:left="320" w:top="1047" w:right="319" w:bottom="1440" w:gutter="0" w:footer="0" w:header="0"/>
          <w:type w:val="continuous"/>
        </w:sectPr>
      </w:pPr>
    </w:p>
    <w:p>
      <w:pPr>
        <w:ind w:left="900"/>
        <w:spacing w:after="0"/>
        <w:rPr>
          <w:sz w:val="20"/>
          <w:szCs w:val="20"/>
          <w:color w:val="auto"/>
        </w:rPr>
      </w:pPr>
      <w:r>
        <w:rPr>
          <w:rFonts w:ascii="Arial" w:cs="Arial" w:eastAsia="Arial" w:hAnsi="Arial"/>
          <w:sz w:val="13"/>
          <w:szCs w:val="13"/>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66" w:lineRule="exact"/>
        <w:rPr>
          <w:sz w:val="24"/>
          <w:szCs w:val="24"/>
          <w:color w:val="auto"/>
        </w:rPr>
      </w:pPr>
    </w:p>
    <w:p>
      <w:pPr>
        <w:sectPr>
          <w:pgSz w:w="11900" w:h="16838" w:orient="portrait"/>
          <w:cols w:equalWidth="0" w:num="3">
            <w:col w:w="4760" w:space="720"/>
            <w:col w:w="1820" w:space="720"/>
            <w:col w:w="3240"/>
          </w:cols>
          <w:pgMar w:left="320" w:top="1047" w:right="31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Title of Class</w:t>
      </w:r>
    </w:p>
    <w:p>
      <w:pPr>
        <w:sectPr>
          <w:pgSz w:w="11900" w:h="16838" w:orient="portrait"/>
          <w:cols w:equalWidth="0" w:num="1">
            <w:col w:w="11260"/>
          </w:cols>
          <w:pgMar w:left="320" w:top="1047" w:right="319" w:bottom="1440" w:gutter="0" w:footer="0" w:header="0"/>
          <w:type w:val="continuous"/>
        </w:sectPr>
      </w:pPr>
    </w:p>
    <w:p>
      <w:pPr>
        <w:spacing w:after="0" w:line="48" w:lineRule="exact"/>
        <w:rPr>
          <w:sz w:val="24"/>
          <w:szCs w:val="24"/>
          <w:color w:val="auto"/>
        </w:rPr>
      </w:pPr>
    </w:p>
    <w:p>
      <w:pPr>
        <w:ind w:left="280" w:right="3420"/>
        <w:spacing w:after="0" w:line="293"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2"/>
          <w:szCs w:val="12"/>
          <w:color w:val="auto"/>
        </w:rPr>
        <w:t xml:space="preserve"> No </w:t>
      </w:r>
      <w:r>
        <w:rPr>
          <w:rFonts w:ascii="MS PGothic" w:cs="MS PGothic" w:eastAsia="MS PGothic" w:hAnsi="MS PGothic"/>
          <w:sz w:val="13"/>
          <w:szCs w:val="13"/>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2"/>
          <w:szCs w:val="12"/>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ind w:right="240" w:firstLine="281"/>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80" w:firstLine="281"/>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460" w:firstLine="281"/>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8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58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8"/>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58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4"/>
        </w:trPr>
        <w:tc>
          <w:tcPr>
            <w:tcW w:w="18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0" w:type="dxa"/>
            <w:vAlign w:val="bottom"/>
          </w:tcPr>
          <w:p>
            <w:pPr>
              <w:ind w:left="258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97" w:lineRule="exact"/>
        <w:rPr>
          <w:sz w:val="24"/>
          <w:szCs w:val="24"/>
          <w:color w:val="auto"/>
        </w:rPr>
      </w:pPr>
    </w:p>
    <w:p>
      <w:pPr>
        <w:ind w:right="20" w:firstLine="281"/>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8" w:lineRule="exact"/>
        <w:rPr>
          <w:sz w:val="24"/>
          <w:szCs w:val="24"/>
          <w:color w:val="auto"/>
        </w:rPr>
      </w:pPr>
    </w:p>
    <w:p>
      <w:pPr>
        <w:ind w:right="80" w:firstLine="281"/>
        <w:spacing w:after="0" w:line="21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ind w:left="280"/>
        <w:spacing w:after="0" w:line="20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106" w:lineRule="exact"/>
        <w:rPr>
          <w:sz w:val="24"/>
          <w:szCs w:val="24"/>
          <w:color w:val="auto"/>
        </w:rPr>
      </w:pPr>
    </w:p>
    <w:p>
      <w:pPr>
        <w:ind w:right="140" w:firstLine="281"/>
        <w:spacing w:after="0" w:line="253"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was approximately $42,211,000,000 based on the last reported sale of the Common Stock on The Nasdaq Global Select Market on April 30, 2021. Shares of voting and non-voting stock beneficially owned by executive officers, directors and holders of more than 5% of the outstanding stock have been excluded from this calculation because such persons or institutions may be deemed affiliates. This determination of affiliate status is not a conclusive determination for other purposes.</w:t>
      </w:r>
    </w:p>
    <w:p>
      <w:pPr>
        <w:spacing w:after="0" w:line="46" w:lineRule="exact"/>
        <w:rPr>
          <w:sz w:val="24"/>
          <w:szCs w:val="24"/>
          <w:color w:val="auto"/>
        </w:rPr>
      </w:pPr>
    </w:p>
    <w:p>
      <w:pPr>
        <w:ind w:left="280"/>
        <w:spacing w:after="0"/>
        <w:rPr>
          <w:sz w:val="20"/>
          <w:szCs w:val="20"/>
          <w:color w:val="auto"/>
        </w:rPr>
      </w:pPr>
      <w:r>
        <w:rPr>
          <w:rFonts w:ascii="Arial" w:cs="Arial" w:eastAsia="Arial" w:hAnsi="Arial"/>
          <w:sz w:val="14"/>
          <w:szCs w:val="14"/>
          <w:color w:val="auto"/>
        </w:rPr>
        <w:t>As of October 30, 2021, there were 525,330,672 shares of Common Stock, $0.16 2/3 par value per share, outstanding.</w:t>
      </w:r>
    </w:p>
    <w:p>
      <w:pPr>
        <w:spacing w:after="0" w:line="57"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9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Document Description</w:t>
            </w:r>
          </w:p>
        </w:tc>
        <w:tc>
          <w:tcPr>
            <w:tcW w:w="1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Form 10-K Part</w:t>
            </w:r>
          </w:p>
        </w:tc>
        <w:tc>
          <w:tcPr>
            <w:tcW w:w="20" w:type="dxa"/>
            <w:vAlign w:val="bottom"/>
          </w:tcPr>
          <w:p>
            <w:pPr>
              <w:spacing w:after="0"/>
              <w:rPr>
                <w:sz w:val="14"/>
                <w:szCs w:val="14"/>
                <w:color w:val="auto"/>
              </w:rPr>
            </w:pPr>
          </w:p>
        </w:tc>
      </w:tr>
      <w:tr>
        <w:trPr>
          <w:trHeight w:val="182"/>
        </w:trPr>
        <w:tc>
          <w:tcPr>
            <w:tcW w:w="9880" w:type="dxa"/>
            <w:vAlign w:val="bottom"/>
            <w:gridSpan w:val="2"/>
          </w:tcPr>
          <w:p>
            <w:pPr>
              <w:ind w:left="20"/>
              <w:spacing w:after="0"/>
              <w:rPr>
                <w:sz w:val="20"/>
                <w:szCs w:val="20"/>
                <w:color w:val="auto"/>
              </w:rPr>
            </w:pPr>
            <w:r>
              <w:rPr>
                <w:rFonts w:ascii="Arial" w:cs="Arial" w:eastAsia="Arial" w:hAnsi="Arial"/>
                <w:sz w:val="14"/>
                <w:szCs w:val="14"/>
                <w:color w:val="auto"/>
              </w:rPr>
              <w:t>Portions of the Registrant’s Proxy Statement for the Annual Meeting of Shareholders to be held March 9, 2022</w:t>
            </w:r>
          </w:p>
        </w:tc>
        <w:tc>
          <w:tcPr>
            <w:tcW w:w="1380" w:type="dxa"/>
            <w:vAlign w:val="bottom"/>
            <w:gridSpan w:val="2"/>
          </w:tcPr>
          <w:p>
            <w:pPr>
              <w:jc w:val="center"/>
              <w:ind w:right="40"/>
              <w:spacing w:after="0"/>
              <w:rPr>
                <w:sz w:val="20"/>
                <w:szCs w:val="20"/>
                <w:color w:val="auto"/>
              </w:rPr>
            </w:pPr>
            <w:r>
              <w:rPr>
                <w:rFonts w:ascii="Arial" w:cs="Arial" w:eastAsia="Arial" w:hAnsi="Arial"/>
                <w:sz w:val="14"/>
                <w:szCs w:val="14"/>
                <w:color w:val="auto"/>
              </w:rPr>
              <w:t>III</w:t>
            </w:r>
          </w:p>
        </w:tc>
      </w:tr>
      <w:tr>
        <w:trPr>
          <w:trHeight w:val="21"/>
        </w:trPr>
        <w:tc>
          <w:tcPr>
            <w:tcW w:w="9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56"/>
        </w:trPr>
        <w:tc>
          <w:tcPr>
            <w:tcW w:w="9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4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3"/>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20" w:type="dxa"/>
            <w:vAlign w:val="bottom"/>
          </w:tcPr>
          <w:p>
            <w:pPr>
              <w:ind w:left="4020"/>
              <w:spacing w:after="0"/>
              <w:rPr>
                <w:sz w:val="20"/>
                <w:szCs w:val="20"/>
                <w:color w:val="auto"/>
              </w:rPr>
            </w:pPr>
            <w:r>
              <w:rPr>
                <w:rFonts w:ascii="Arial" w:cs="Arial" w:eastAsia="Arial" w:hAnsi="Arial"/>
                <w:sz w:val="16"/>
                <w:szCs w:val="16"/>
                <w:b w:val="1"/>
                <w:bCs w:val="1"/>
                <w:color w:val="auto"/>
              </w:rPr>
              <w:t>TABLE OF CONTENTS</w:t>
            </w:r>
          </w:p>
        </w:tc>
        <w:tc>
          <w:tcPr>
            <w:tcW w:w="1880" w:type="dxa"/>
            <w:vAlign w:val="bottom"/>
          </w:tcPr>
          <w:p>
            <w:pPr>
              <w:spacing w:after="0"/>
              <w:rPr>
                <w:sz w:val="17"/>
                <w:szCs w:val="17"/>
                <w:color w:val="auto"/>
              </w:rPr>
            </w:pPr>
          </w:p>
        </w:tc>
      </w:tr>
      <w:tr>
        <w:trPr>
          <w:trHeight w:val="222"/>
        </w:trPr>
        <w:tc>
          <w:tcPr>
            <w:tcW w:w="9380" w:type="dxa"/>
            <w:vAlign w:val="bottom"/>
            <w:gridSpan w:val="3"/>
          </w:tcPr>
          <w:p>
            <w:pPr>
              <w:ind w:left="20"/>
              <w:spacing w:after="0"/>
              <w:rPr>
                <w:rFonts w:ascii="Arial" w:cs="Arial" w:eastAsia="Arial" w:hAnsi="Arial"/>
                <w:sz w:val="16"/>
                <w:szCs w:val="16"/>
                <w:color w:val="auto"/>
              </w:rPr>
            </w:pPr>
            <w:hyperlink w:anchor="page2">
              <w:r>
                <w:rPr>
                  <w:rFonts w:ascii="Arial" w:cs="Arial" w:eastAsia="Arial" w:hAnsi="Arial"/>
                  <w:sz w:val="16"/>
                  <w:szCs w:val="16"/>
                  <w:color w:val="auto"/>
                </w:rPr>
                <w:t>Note about Forward-Looking Statements</w:t>
              </w:r>
            </w:hyperlink>
          </w:p>
        </w:tc>
        <w:tc>
          <w:tcPr>
            <w:tcW w:w="1880" w:type="dxa"/>
            <w:vAlign w:val="bottom"/>
          </w:tcPr>
          <w:p>
            <w:pPr>
              <w:jc w:val="right"/>
              <w:spacing w:after="0"/>
              <w:rPr>
                <w:rFonts w:ascii="Arial" w:cs="Arial" w:eastAsia="Arial" w:hAnsi="Arial"/>
                <w:sz w:val="16"/>
                <w:szCs w:val="16"/>
                <w:color w:val="auto"/>
              </w:rPr>
            </w:pPr>
            <w:hyperlink w:anchor="page2">
              <w:r>
                <w:rPr>
                  <w:rFonts w:ascii="Arial" w:cs="Arial" w:eastAsia="Arial" w:hAnsi="Arial"/>
                  <w:sz w:val="16"/>
                  <w:szCs w:val="16"/>
                  <w:color w:val="auto"/>
                </w:rPr>
                <w:t>1</w:t>
              </w:r>
            </w:hyperlink>
          </w:p>
        </w:tc>
      </w:tr>
      <w:tr>
        <w:trPr>
          <w:trHeight w:val="199"/>
        </w:trPr>
        <w:tc>
          <w:tcPr>
            <w:tcW w:w="620" w:type="dxa"/>
            <w:vAlign w:val="bottom"/>
          </w:tcPr>
          <w:p>
            <w:pPr>
              <w:ind w:left="20"/>
              <w:spacing w:after="0"/>
              <w:rPr>
                <w:rFonts w:ascii="Arial" w:cs="Arial" w:eastAsia="Arial" w:hAnsi="Arial"/>
                <w:sz w:val="16"/>
                <w:szCs w:val="16"/>
                <w:color w:val="auto"/>
              </w:rPr>
            </w:pPr>
            <w:hyperlink w:anchor="page3">
              <w:r>
                <w:rPr>
                  <w:rFonts w:ascii="Arial" w:cs="Arial" w:eastAsia="Arial" w:hAnsi="Arial"/>
                  <w:sz w:val="16"/>
                  <w:szCs w:val="16"/>
                  <w:color w:val="auto"/>
                </w:rPr>
                <w:t>PART I</w:t>
              </w:r>
            </w:hyperlink>
          </w:p>
        </w:tc>
        <w:tc>
          <w:tcPr>
            <w:tcW w:w="14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1880" w:type="dxa"/>
            <w:vAlign w:val="bottom"/>
          </w:tcPr>
          <w:p>
            <w:pPr>
              <w:jc w:val="right"/>
              <w:spacing w:after="0"/>
              <w:rPr>
                <w:rFonts w:ascii="Arial" w:cs="Arial" w:eastAsia="Arial" w:hAnsi="Arial"/>
                <w:sz w:val="16"/>
                <w:szCs w:val="16"/>
                <w:color w:val="auto"/>
              </w:rPr>
            </w:pPr>
            <w:hyperlink w:anchor="page3">
              <w:r>
                <w:rPr>
                  <w:rFonts w:ascii="Arial" w:cs="Arial" w:eastAsia="Arial" w:hAnsi="Arial"/>
                  <w:sz w:val="16"/>
                  <w:szCs w:val="16"/>
                  <w:color w:val="auto"/>
                </w:rPr>
                <w:t>2</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4">
              <w:r>
                <w:rPr>
                  <w:rFonts w:ascii="Arial" w:cs="Arial" w:eastAsia="Arial" w:hAnsi="Arial"/>
                  <w:sz w:val="16"/>
                  <w:szCs w:val="16"/>
                  <w:color w:val="auto"/>
                  <w:w w:val="96"/>
                </w:rPr>
                <w:t>Item</w:t>
              </w:r>
            </w:hyperlink>
          </w:p>
        </w:tc>
        <w:tc>
          <w:tcPr>
            <w:tcW w:w="140" w:type="dxa"/>
            <w:vAlign w:val="bottom"/>
          </w:tcPr>
          <w:p>
            <w:pPr>
              <w:spacing w:after="0"/>
              <w:rPr>
                <w:rFonts w:ascii="Arial" w:cs="Arial" w:eastAsia="Arial" w:hAnsi="Arial"/>
                <w:sz w:val="16"/>
                <w:szCs w:val="16"/>
                <w:color w:val="auto"/>
                <w:w w:val="89"/>
              </w:rPr>
            </w:pPr>
            <w:hyperlink w:anchor="page4">
              <w:r>
                <w:rPr>
                  <w:rFonts w:ascii="Arial" w:cs="Arial" w:eastAsia="Arial" w:hAnsi="Arial"/>
                  <w:sz w:val="16"/>
                  <w:szCs w:val="16"/>
                  <w:color w:val="auto"/>
                  <w:w w:val="89"/>
                </w:rPr>
                <w:t>1.</w:t>
              </w:r>
            </w:hyperlink>
          </w:p>
        </w:tc>
        <w:tc>
          <w:tcPr>
            <w:tcW w:w="8620" w:type="dxa"/>
            <w:vAlign w:val="bottom"/>
          </w:tcPr>
          <w:p>
            <w:pPr>
              <w:ind w:left="20"/>
              <w:spacing w:after="0"/>
              <w:rPr>
                <w:rFonts w:ascii="Arial" w:cs="Arial" w:eastAsia="Arial" w:hAnsi="Arial"/>
                <w:sz w:val="16"/>
                <w:szCs w:val="16"/>
                <w:color w:val="auto"/>
              </w:rPr>
            </w:pPr>
            <w:hyperlink w:anchor="page4">
              <w:r>
                <w:rPr>
                  <w:rFonts w:ascii="Arial" w:cs="Arial" w:eastAsia="Arial" w:hAnsi="Arial"/>
                  <w:sz w:val="16"/>
                  <w:szCs w:val="16"/>
                  <w:color w:val="auto"/>
                </w:rPr>
                <w:t>Business</w:t>
              </w:r>
            </w:hyperlink>
          </w:p>
        </w:tc>
        <w:tc>
          <w:tcPr>
            <w:tcW w:w="188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12">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12">
              <w:r>
                <w:rPr>
                  <w:rFonts w:ascii="Arial" w:cs="Arial" w:eastAsia="Arial" w:hAnsi="Arial"/>
                  <w:sz w:val="16"/>
                  <w:szCs w:val="16"/>
                  <w:color w:val="auto"/>
                </w:rPr>
                <w:t>1A. Risk Factors</w:t>
              </w:r>
            </w:hyperlink>
          </w:p>
        </w:tc>
        <w:tc>
          <w:tcPr>
            <w:tcW w:w="1880" w:type="dxa"/>
            <w:vAlign w:val="bottom"/>
          </w:tcPr>
          <w:p>
            <w:pPr>
              <w:jc w:val="right"/>
              <w:spacing w:after="0"/>
              <w:rPr>
                <w:rFonts w:ascii="Arial" w:cs="Arial" w:eastAsia="Arial" w:hAnsi="Arial"/>
                <w:sz w:val="16"/>
                <w:szCs w:val="16"/>
                <w:color w:val="auto"/>
              </w:rPr>
            </w:pPr>
            <w:hyperlink w:anchor="page12">
              <w:r>
                <w:rPr>
                  <w:rFonts w:ascii="Arial" w:cs="Arial" w:eastAsia="Arial" w:hAnsi="Arial"/>
                  <w:sz w:val="16"/>
                  <w:szCs w:val="16"/>
                  <w:color w:val="auto"/>
                </w:rPr>
                <w:t>11</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24">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24">
              <w:r>
                <w:rPr>
                  <w:rFonts w:ascii="Arial" w:cs="Arial" w:eastAsia="Arial" w:hAnsi="Arial"/>
                  <w:sz w:val="16"/>
                  <w:szCs w:val="16"/>
                  <w:color w:val="auto"/>
                </w:rPr>
                <w:t>1B. Unresolved Staff Comments</w:t>
              </w:r>
            </w:hyperlink>
          </w:p>
        </w:tc>
        <w:tc>
          <w:tcPr>
            <w:tcW w:w="188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22</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24">
              <w:r>
                <w:rPr>
                  <w:rFonts w:ascii="Arial" w:cs="Arial" w:eastAsia="Arial" w:hAnsi="Arial"/>
                  <w:sz w:val="16"/>
                  <w:szCs w:val="16"/>
                  <w:color w:val="auto"/>
                  <w:w w:val="96"/>
                </w:rPr>
                <w:t>Item</w:t>
              </w:r>
            </w:hyperlink>
          </w:p>
        </w:tc>
        <w:tc>
          <w:tcPr>
            <w:tcW w:w="140" w:type="dxa"/>
            <w:vAlign w:val="bottom"/>
          </w:tcPr>
          <w:p>
            <w:pPr>
              <w:spacing w:after="0"/>
              <w:rPr>
                <w:rFonts w:ascii="Arial" w:cs="Arial" w:eastAsia="Arial" w:hAnsi="Arial"/>
                <w:sz w:val="16"/>
                <w:szCs w:val="16"/>
                <w:color w:val="auto"/>
                <w:w w:val="89"/>
              </w:rPr>
            </w:pPr>
            <w:hyperlink w:anchor="page24">
              <w:r>
                <w:rPr>
                  <w:rFonts w:ascii="Arial" w:cs="Arial" w:eastAsia="Arial" w:hAnsi="Arial"/>
                  <w:sz w:val="16"/>
                  <w:szCs w:val="16"/>
                  <w:color w:val="auto"/>
                  <w:w w:val="89"/>
                </w:rPr>
                <w:t>2.</w:t>
              </w:r>
            </w:hyperlink>
          </w:p>
        </w:tc>
        <w:tc>
          <w:tcPr>
            <w:tcW w:w="8620" w:type="dxa"/>
            <w:vAlign w:val="bottom"/>
          </w:tcPr>
          <w:p>
            <w:pPr>
              <w:ind w:left="20"/>
              <w:spacing w:after="0"/>
              <w:rPr>
                <w:rFonts w:ascii="Arial" w:cs="Arial" w:eastAsia="Arial" w:hAnsi="Arial"/>
                <w:sz w:val="16"/>
                <w:szCs w:val="16"/>
                <w:color w:val="auto"/>
              </w:rPr>
            </w:pPr>
            <w:hyperlink w:anchor="page24">
              <w:r>
                <w:rPr>
                  <w:rFonts w:ascii="Arial" w:cs="Arial" w:eastAsia="Arial" w:hAnsi="Arial"/>
                  <w:sz w:val="16"/>
                  <w:szCs w:val="16"/>
                  <w:color w:val="auto"/>
                </w:rPr>
                <w:t>Properties</w:t>
              </w:r>
            </w:hyperlink>
          </w:p>
        </w:tc>
        <w:tc>
          <w:tcPr>
            <w:tcW w:w="188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23</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25">
              <w:r>
                <w:rPr>
                  <w:rFonts w:ascii="Arial" w:cs="Arial" w:eastAsia="Arial" w:hAnsi="Arial"/>
                  <w:sz w:val="16"/>
                  <w:szCs w:val="16"/>
                  <w:color w:val="auto"/>
                  <w:w w:val="96"/>
                </w:rPr>
                <w:t>Item</w:t>
              </w:r>
            </w:hyperlink>
          </w:p>
        </w:tc>
        <w:tc>
          <w:tcPr>
            <w:tcW w:w="140" w:type="dxa"/>
            <w:vAlign w:val="bottom"/>
          </w:tcPr>
          <w:p>
            <w:pPr>
              <w:spacing w:after="0"/>
              <w:rPr>
                <w:rFonts w:ascii="Arial" w:cs="Arial" w:eastAsia="Arial" w:hAnsi="Arial"/>
                <w:sz w:val="16"/>
                <w:szCs w:val="16"/>
                <w:color w:val="auto"/>
                <w:w w:val="89"/>
              </w:rPr>
            </w:pPr>
            <w:hyperlink w:anchor="page25">
              <w:r>
                <w:rPr>
                  <w:rFonts w:ascii="Arial" w:cs="Arial" w:eastAsia="Arial" w:hAnsi="Arial"/>
                  <w:sz w:val="16"/>
                  <w:szCs w:val="16"/>
                  <w:color w:val="auto"/>
                  <w:w w:val="89"/>
                </w:rPr>
                <w:t>3.</w:t>
              </w:r>
            </w:hyperlink>
          </w:p>
        </w:tc>
        <w:tc>
          <w:tcPr>
            <w:tcW w:w="8620" w:type="dxa"/>
            <w:vAlign w:val="bottom"/>
          </w:tcPr>
          <w:p>
            <w:pPr>
              <w:ind w:left="20"/>
              <w:spacing w:after="0"/>
              <w:rPr>
                <w:rFonts w:ascii="Arial" w:cs="Arial" w:eastAsia="Arial" w:hAnsi="Arial"/>
                <w:sz w:val="16"/>
                <w:szCs w:val="16"/>
                <w:color w:val="auto"/>
              </w:rPr>
            </w:pPr>
            <w:hyperlink w:anchor="page25">
              <w:r>
                <w:rPr>
                  <w:rFonts w:ascii="Arial" w:cs="Arial" w:eastAsia="Arial" w:hAnsi="Arial"/>
                  <w:sz w:val="16"/>
                  <w:szCs w:val="16"/>
                  <w:color w:val="auto"/>
                </w:rPr>
                <w:t>Legal Proceedings</w:t>
              </w:r>
            </w:hyperlink>
          </w:p>
        </w:tc>
        <w:tc>
          <w:tcPr>
            <w:tcW w:w="1880" w:type="dxa"/>
            <w:vAlign w:val="bottom"/>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24</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26">
              <w:r>
                <w:rPr>
                  <w:rFonts w:ascii="Arial" w:cs="Arial" w:eastAsia="Arial" w:hAnsi="Arial"/>
                  <w:sz w:val="16"/>
                  <w:szCs w:val="16"/>
                  <w:color w:val="auto"/>
                  <w:w w:val="96"/>
                </w:rPr>
                <w:t>Item</w:t>
              </w:r>
            </w:hyperlink>
          </w:p>
        </w:tc>
        <w:tc>
          <w:tcPr>
            <w:tcW w:w="140" w:type="dxa"/>
            <w:vAlign w:val="bottom"/>
          </w:tcPr>
          <w:p>
            <w:pPr>
              <w:spacing w:after="0"/>
              <w:rPr>
                <w:rFonts w:ascii="Arial" w:cs="Arial" w:eastAsia="Arial" w:hAnsi="Arial"/>
                <w:sz w:val="16"/>
                <w:szCs w:val="16"/>
                <w:color w:val="auto"/>
                <w:w w:val="89"/>
              </w:rPr>
            </w:pPr>
            <w:hyperlink w:anchor="page26">
              <w:r>
                <w:rPr>
                  <w:rFonts w:ascii="Arial" w:cs="Arial" w:eastAsia="Arial" w:hAnsi="Arial"/>
                  <w:sz w:val="16"/>
                  <w:szCs w:val="16"/>
                  <w:color w:val="auto"/>
                  <w:w w:val="89"/>
                </w:rPr>
                <w:t>4.</w:t>
              </w:r>
            </w:hyperlink>
          </w:p>
        </w:tc>
        <w:tc>
          <w:tcPr>
            <w:tcW w:w="8620" w:type="dxa"/>
            <w:vAlign w:val="bottom"/>
          </w:tcPr>
          <w:p>
            <w:pPr>
              <w:ind w:left="20"/>
              <w:spacing w:after="0"/>
              <w:rPr>
                <w:rFonts w:ascii="Arial" w:cs="Arial" w:eastAsia="Arial" w:hAnsi="Arial"/>
                <w:sz w:val="16"/>
                <w:szCs w:val="16"/>
                <w:color w:val="auto"/>
              </w:rPr>
            </w:pPr>
            <w:hyperlink w:anchor="page26">
              <w:r>
                <w:rPr>
                  <w:rFonts w:ascii="Arial" w:cs="Arial" w:eastAsia="Arial" w:hAnsi="Arial"/>
                  <w:sz w:val="16"/>
                  <w:szCs w:val="16"/>
                  <w:color w:val="auto"/>
                </w:rPr>
                <w:t>Mine Safety Disclosures</w:t>
              </w:r>
            </w:hyperlink>
          </w:p>
        </w:tc>
        <w:tc>
          <w:tcPr>
            <w:tcW w:w="188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24</w:t>
              </w:r>
            </w:hyperlink>
          </w:p>
        </w:tc>
      </w:tr>
      <w:tr>
        <w:trPr>
          <w:trHeight w:val="199"/>
        </w:trPr>
        <w:tc>
          <w:tcPr>
            <w:tcW w:w="9380" w:type="dxa"/>
            <w:vAlign w:val="bottom"/>
            <w:gridSpan w:val="3"/>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Information About our </w:t>
            </w:r>
            <w:hyperlink w:anchor="page26">
              <w:r>
                <w:rPr>
                  <w:rFonts w:ascii="Arial" w:cs="Arial" w:eastAsia="Arial" w:hAnsi="Arial"/>
                  <w:sz w:val="16"/>
                  <w:szCs w:val="16"/>
                  <w:color w:val="auto"/>
                </w:rPr>
                <w:t>Executive Officers</w:t>
              </w:r>
            </w:hyperlink>
          </w:p>
        </w:tc>
        <w:tc>
          <w:tcPr>
            <w:tcW w:w="188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25</w:t>
              </w:r>
            </w:hyperlink>
          </w:p>
        </w:tc>
      </w:tr>
      <w:tr>
        <w:trPr>
          <w:trHeight w:val="199"/>
        </w:trPr>
        <w:tc>
          <w:tcPr>
            <w:tcW w:w="620" w:type="dxa"/>
            <w:vAlign w:val="bottom"/>
          </w:tcPr>
          <w:p>
            <w:pPr>
              <w:ind w:left="20"/>
              <w:spacing w:after="0"/>
              <w:rPr>
                <w:rFonts w:ascii="Arial" w:cs="Arial" w:eastAsia="Arial" w:hAnsi="Arial"/>
                <w:sz w:val="16"/>
                <w:szCs w:val="16"/>
                <w:color w:val="auto"/>
              </w:rPr>
            </w:pPr>
            <w:hyperlink w:anchor="page27">
              <w:r>
                <w:rPr>
                  <w:rFonts w:ascii="Arial" w:cs="Arial" w:eastAsia="Arial" w:hAnsi="Arial"/>
                  <w:sz w:val="16"/>
                  <w:szCs w:val="16"/>
                  <w:color w:val="auto"/>
                </w:rPr>
                <w:t>PART II</w:t>
              </w:r>
            </w:hyperlink>
          </w:p>
        </w:tc>
        <w:tc>
          <w:tcPr>
            <w:tcW w:w="14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1880" w:type="dxa"/>
            <w:vAlign w:val="bottom"/>
          </w:tcPr>
          <w:p>
            <w:pPr>
              <w:jc w:val="right"/>
              <w:spacing w:after="0"/>
              <w:rPr>
                <w:rFonts w:ascii="Arial" w:cs="Arial" w:eastAsia="Arial" w:hAnsi="Arial"/>
                <w:sz w:val="16"/>
                <w:szCs w:val="16"/>
                <w:color w:val="auto"/>
              </w:rPr>
            </w:pPr>
            <w:hyperlink w:anchor="page27">
              <w:r>
                <w:rPr>
                  <w:rFonts w:ascii="Arial" w:cs="Arial" w:eastAsia="Arial" w:hAnsi="Arial"/>
                  <w:sz w:val="16"/>
                  <w:szCs w:val="16"/>
                  <w:color w:val="auto"/>
                </w:rPr>
                <w:t>26</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28">
              <w:r>
                <w:rPr>
                  <w:rFonts w:ascii="Arial" w:cs="Arial" w:eastAsia="Arial" w:hAnsi="Arial"/>
                  <w:sz w:val="16"/>
                  <w:szCs w:val="16"/>
                  <w:color w:val="auto"/>
                  <w:w w:val="96"/>
                </w:rPr>
                <w:t>Item</w:t>
              </w:r>
            </w:hyperlink>
          </w:p>
        </w:tc>
        <w:tc>
          <w:tcPr>
            <w:tcW w:w="140" w:type="dxa"/>
            <w:vAlign w:val="bottom"/>
          </w:tcPr>
          <w:p>
            <w:pPr>
              <w:spacing w:after="0"/>
              <w:rPr>
                <w:rFonts w:ascii="Arial" w:cs="Arial" w:eastAsia="Arial" w:hAnsi="Arial"/>
                <w:sz w:val="16"/>
                <w:szCs w:val="16"/>
                <w:color w:val="auto"/>
                <w:w w:val="89"/>
              </w:rPr>
            </w:pPr>
            <w:hyperlink w:anchor="page28">
              <w:r>
                <w:rPr>
                  <w:rFonts w:ascii="Arial" w:cs="Arial" w:eastAsia="Arial" w:hAnsi="Arial"/>
                  <w:sz w:val="16"/>
                  <w:szCs w:val="16"/>
                  <w:color w:val="auto"/>
                  <w:w w:val="89"/>
                </w:rPr>
                <w:t>5.</w:t>
              </w:r>
            </w:hyperlink>
          </w:p>
        </w:tc>
        <w:tc>
          <w:tcPr>
            <w:tcW w:w="8620" w:type="dxa"/>
            <w:vAlign w:val="bottom"/>
          </w:tcPr>
          <w:p>
            <w:pPr>
              <w:ind w:left="20"/>
              <w:spacing w:after="0"/>
              <w:rPr>
                <w:rFonts w:ascii="Arial" w:cs="Arial" w:eastAsia="Arial" w:hAnsi="Arial"/>
                <w:sz w:val="16"/>
                <w:szCs w:val="16"/>
                <w:color w:val="auto"/>
              </w:rPr>
            </w:pPr>
            <w:hyperlink w:anchor="page28">
              <w:r>
                <w:rPr>
                  <w:rFonts w:ascii="Arial" w:cs="Arial" w:eastAsia="Arial" w:hAnsi="Arial"/>
                  <w:sz w:val="16"/>
                  <w:szCs w:val="16"/>
                  <w:color w:val="auto"/>
                </w:rPr>
                <w:t>Market for Registrant's Common Equity, Related Stockholder Matters and Issuer Purchases of Equity Securities</w:t>
              </w:r>
            </w:hyperlink>
          </w:p>
        </w:tc>
        <w:tc>
          <w:tcPr>
            <w:tcW w:w="1880" w:type="dxa"/>
            <w:vAlign w:val="bottom"/>
          </w:tcPr>
          <w:p>
            <w:pPr>
              <w:jc w:val="right"/>
              <w:spacing w:after="0"/>
              <w:rPr>
                <w:rFonts w:ascii="Arial" w:cs="Arial" w:eastAsia="Arial" w:hAnsi="Arial"/>
                <w:sz w:val="16"/>
                <w:szCs w:val="16"/>
                <w:color w:val="auto"/>
              </w:rPr>
            </w:pPr>
            <w:hyperlink w:anchor="page28">
              <w:r>
                <w:rPr>
                  <w:rFonts w:ascii="Arial" w:cs="Arial" w:eastAsia="Arial" w:hAnsi="Arial"/>
                  <w:sz w:val="16"/>
                  <w:szCs w:val="16"/>
                  <w:color w:val="auto"/>
                </w:rPr>
                <w:t>26</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29">
              <w:r>
                <w:rPr>
                  <w:rFonts w:ascii="Arial" w:cs="Arial" w:eastAsia="Arial" w:hAnsi="Arial"/>
                  <w:sz w:val="16"/>
                  <w:szCs w:val="16"/>
                  <w:color w:val="auto"/>
                  <w:w w:val="96"/>
                </w:rPr>
                <w:t>Item</w:t>
              </w:r>
            </w:hyperlink>
          </w:p>
        </w:tc>
        <w:tc>
          <w:tcPr>
            <w:tcW w:w="140" w:type="dxa"/>
            <w:vAlign w:val="bottom"/>
          </w:tcPr>
          <w:p>
            <w:pPr>
              <w:spacing w:after="0"/>
              <w:rPr>
                <w:rFonts w:ascii="Arial" w:cs="Arial" w:eastAsia="Arial" w:hAnsi="Arial"/>
                <w:sz w:val="16"/>
                <w:szCs w:val="16"/>
                <w:color w:val="auto"/>
                <w:w w:val="89"/>
              </w:rPr>
            </w:pPr>
            <w:hyperlink w:anchor="page29">
              <w:r>
                <w:rPr>
                  <w:rFonts w:ascii="Arial" w:cs="Arial" w:eastAsia="Arial" w:hAnsi="Arial"/>
                  <w:sz w:val="16"/>
                  <w:szCs w:val="16"/>
                  <w:color w:val="auto"/>
                  <w:w w:val="89"/>
                </w:rPr>
                <w:t>6.</w:t>
              </w:r>
            </w:hyperlink>
          </w:p>
        </w:tc>
        <w:tc>
          <w:tcPr>
            <w:tcW w:w="8620" w:type="dxa"/>
            <w:vAlign w:val="bottom"/>
          </w:tcPr>
          <w:p>
            <w:pPr>
              <w:ind w:left="20"/>
              <w:spacing w:after="0"/>
              <w:rPr>
                <w:sz w:val="20"/>
                <w:szCs w:val="20"/>
                <w:color w:val="auto"/>
              </w:rPr>
            </w:pPr>
            <w:r>
              <w:rPr>
                <w:rFonts w:ascii="Arial" w:cs="Arial" w:eastAsia="Arial" w:hAnsi="Arial"/>
                <w:sz w:val="16"/>
                <w:szCs w:val="16"/>
                <w:color w:val="auto"/>
              </w:rPr>
              <w:t>Reserved</w:t>
            </w:r>
          </w:p>
        </w:tc>
        <w:tc>
          <w:tcPr>
            <w:tcW w:w="1880" w:type="dxa"/>
            <w:vAlign w:val="bottom"/>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27</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29">
              <w:r>
                <w:rPr>
                  <w:rFonts w:ascii="Arial" w:cs="Arial" w:eastAsia="Arial" w:hAnsi="Arial"/>
                  <w:sz w:val="16"/>
                  <w:szCs w:val="16"/>
                  <w:color w:val="auto"/>
                  <w:w w:val="96"/>
                </w:rPr>
                <w:t>Item</w:t>
              </w:r>
            </w:hyperlink>
          </w:p>
        </w:tc>
        <w:tc>
          <w:tcPr>
            <w:tcW w:w="140" w:type="dxa"/>
            <w:vAlign w:val="bottom"/>
          </w:tcPr>
          <w:p>
            <w:pPr>
              <w:spacing w:after="0"/>
              <w:rPr>
                <w:rFonts w:ascii="Arial" w:cs="Arial" w:eastAsia="Arial" w:hAnsi="Arial"/>
                <w:sz w:val="16"/>
                <w:szCs w:val="16"/>
                <w:color w:val="auto"/>
                <w:w w:val="89"/>
              </w:rPr>
            </w:pPr>
            <w:hyperlink w:anchor="page29">
              <w:r>
                <w:rPr>
                  <w:rFonts w:ascii="Arial" w:cs="Arial" w:eastAsia="Arial" w:hAnsi="Arial"/>
                  <w:sz w:val="16"/>
                  <w:szCs w:val="16"/>
                  <w:color w:val="auto"/>
                  <w:w w:val="89"/>
                </w:rPr>
                <w:t>7.</w:t>
              </w:r>
            </w:hyperlink>
          </w:p>
        </w:tc>
        <w:tc>
          <w:tcPr>
            <w:tcW w:w="8620" w:type="dxa"/>
            <w:vAlign w:val="bottom"/>
          </w:tcPr>
          <w:p>
            <w:pPr>
              <w:ind w:left="20"/>
              <w:spacing w:after="0"/>
              <w:rPr>
                <w:rFonts w:ascii="Arial" w:cs="Arial" w:eastAsia="Arial" w:hAnsi="Arial"/>
                <w:sz w:val="16"/>
                <w:szCs w:val="16"/>
                <w:color w:val="auto"/>
              </w:rPr>
            </w:pPr>
            <w:hyperlink w:anchor="page29">
              <w:r>
                <w:rPr>
                  <w:rFonts w:ascii="Arial" w:cs="Arial" w:eastAsia="Arial" w:hAnsi="Arial"/>
                  <w:sz w:val="16"/>
                  <w:szCs w:val="16"/>
                  <w:color w:val="auto"/>
                </w:rPr>
                <w:t>Management's Discussion and Analysis of Financial Condition and Results of Operations</w:t>
              </w:r>
            </w:hyperlink>
          </w:p>
        </w:tc>
        <w:tc>
          <w:tcPr>
            <w:tcW w:w="1880" w:type="dxa"/>
            <w:vAlign w:val="bottom"/>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28</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42">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42">
              <w:r>
                <w:rPr>
                  <w:rFonts w:ascii="Arial" w:cs="Arial" w:eastAsia="Arial" w:hAnsi="Arial"/>
                  <w:sz w:val="16"/>
                  <w:szCs w:val="16"/>
                  <w:color w:val="auto"/>
                </w:rPr>
                <w:t>7A. Quantitative and Qualitative Disclosures about Market Risk</w:t>
              </w:r>
            </w:hyperlink>
          </w:p>
        </w:tc>
        <w:tc>
          <w:tcPr>
            <w:tcW w:w="1880" w:type="dxa"/>
            <w:vAlign w:val="bottom"/>
          </w:tcPr>
          <w:p>
            <w:pPr>
              <w:jc w:val="right"/>
              <w:spacing w:after="0"/>
              <w:rPr>
                <w:rFonts w:ascii="Arial" w:cs="Arial" w:eastAsia="Arial" w:hAnsi="Arial"/>
                <w:sz w:val="16"/>
                <w:szCs w:val="16"/>
                <w:color w:val="auto"/>
              </w:rPr>
            </w:pPr>
            <w:hyperlink w:anchor="page42">
              <w:r>
                <w:rPr>
                  <w:rFonts w:ascii="Arial" w:cs="Arial" w:eastAsia="Arial" w:hAnsi="Arial"/>
                  <w:sz w:val="16"/>
                  <w:szCs w:val="16"/>
                  <w:color w:val="auto"/>
                </w:rPr>
                <w:t>41</w:t>
              </w:r>
            </w:hyperlink>
          </w:p>
        </w:tc>
      </w:tr>
      <w:tr>
        <w:trPr>
          <w:trHeight w:val="199"/>
        </w:trPr>
        <w:tc>
          <w:tcPr>
            <w:tcW w:w="9380" w:type="dxa"/>
            <w:vAlign w:val="bottom"/>
            <w:gridSpan w:val="3"/>
          </w:tcPr>
          <w:p>
            <w:pPr>
              <w:ind w:left="300"/>
              <w:spacing w:after="0"/>
              <w:rPr>
                <w:rFonts w:ascii="Arial" w:cs="Arial" w:eastAsia="Arial" w:hAnsi="Arial"/>
                <w:sz w:val="16"/>
                <w:szCs w:val="16"/>
                <w:color w:val="auto"/>
              </w:rPr>
            </w:pPr>
            <w:hyperlink w:anchor="page44">
              <w:r>
                <w:rPr>
                  <w:rFonts w:ascii="Arial" w:cs="Arial" w:eastAsia="Arial" w:hAnsi="Arial"/>
                  <w:sz w:val="16"/>
                  <w:szCs w:val="16"/>
                  <w:color w:val="auto"/>
                </w:rPr>
                <w:t>Report of Independent Registered Public Accounting Firm</w:t>
              </w:r>
            </w:hyperlink>
          </w:p>
        </w:tc>
        <w:tc>
          <w:tcPr>
            <w:tcW w:w="1880" w:type="dxa"/>
            <w:vAlign w:val="bottom"/>
          </w:tcPr>
          <w:p>
            <w:pPr>
              <w:jc w:val="right"/>
              <w:spacing w:after="0"/>
              <w:rPr>
                <w:rFonts w:ascii="Arial" w:cs="Arial" w:eastAsia="Arial" w:hAnsi="Arial"/>
                <w:sz w:val="16"/>
                <w:szCs w:val="16"/>
                <w:color w:val="auto"/>
              </w:rPr>
            </w:pPr>
            <w:hyperlink w:anchor="page44">
              <w:r>
                <w:rPr>
                  <w:rFonts w:ascii="Arial" w:cs="Arial" w:eastAsia="Arial" w:hAnsi="Arial"/>
                  <w:sz w:val="16"/>
                  <w:szCs w:val="16"/>
                  <w:color w:val="auto"/>
                </w:rPr>
                <w:t>43</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46">
              <w:r>
                <w:rPr>
                  <w:rFonts w:ascii="Arial" w:cs="Arial" w:eastAsia="Arial" w:hAnsi="Arial"/>
                  <w:sz w:val="16"/>
                  <w:szCs w:val="16"/>
                  <w:color w:val="auto"/>
                  <w:w w:val="96"/>
                </w:rPr>
                <w:t>Item</w:t>
              </w:r>
            </w:hyperlink>
          </w:p>
        </w:tc>
        <w:tc>
          <w:tcPr>
            <w:tcW w:w="140" w:type="dxa"/>
            <w:vAlign w:val="bottom"/>
          </w:tcPr>
          <w:p>
            <w:pPr>
              <w:spacing w:after="0"/>
              <w:rPr>
                <w:rFonts w:ascii="Arial" w:cs="Arial" w:eastAsia="Arial" w:hAnsi="Arial"/>
                <w:sz w:val="16"/>
                <w:szCs w:val="16"/>
                <w:color w:val="auto"/>
                <w:w w:val="89"/>
              </w:rPr>
            </w:pPr>
            <w:hyperlink w:anchor="page46">
              <w:r>
                <w:rPr>
                  <w:rFonts w:ascii="Arial" w:cs="Arial" w:eastAsia="Arial" w:hAnsi="Arial"/>
                  <w:sz w:val="16"/>
                  <w:szCs w:val="16"/>
                  <w:color w:val="auto"/>
                  <w:w w:val="89"/>
                </w:rPr>
                <w:t>8.</w:t>
              </w:r>
            </w:hyperlink>
          </w:p>
        </w:tc>
        <w:tc>
          <w:tcPr>
            <w:tcW w:w="8620" w:type="dxa"/>
            <w:vAlign w:val="bottom"/>
          </w:tcPr>
          <w:p>
            <w:pPr>
              <w:ind w:left="20"/>
              <w:spacing w:after="0"/>
              <w:rPr>
                <w:rFonts w:ascii="Arial" w:cs="Arial" w:eastAsia="Arial" w:hAnsi="Arial"/>
                <w:sz w:val="16"/>
                <w:szCs w:val="16"/>
                <w:color w:val="auto"/>
              </w:rPr>
            </w:pPr>
            <w:hyperlink w:anchor="page46">
              <w:r>
                <w:rPr>
                  <w:rFonts w:ascii="Arial" w:cs="Arial" w:eastAsia="Arial" w:hAnsi="Arial"/>
                  <w:sz w:val="16"/>
                  <w:szCs w:val="16"/>
                  <w:color w:val="auto"/>
                </w:rPr>
                <w:t>Financial Statements and Supplementary Data</w:t>
              </w:r>
            </w:hyperlink>
          </w:p>
        </w:tc>
        <w:tc>
          <w:tcPr>
            <w:tcW w:w="1880" w:type="dxa"/>
            <w:vAlign w:val="bottom"/>
          </w:tcPr>
          <w:p>
            <w:pPr>
              <w:jc w:val="right"/>
              <w:spacing w:after="0"/>
              <w:rPr>
                <w:rFonts w:ascii="Arial" w:cs="Arial" w:eastAsia="Arial" w:hAnsi="Arial"/>
                <w:sz w:val="16"/>
                <w:szCs w:val="16"/>
                <w:color w:val="auto"/>
              </w:rPr>
            </w:pPr>
            <w:hyperlink w:anchor="page46">
              <w:r>
                <w:rPr>
                  <w:rFonts w:ascii="Arial" w:cs="Arial" w:eastAsia="Arial" w:hAnsi="Arial"/>
                  <w:sz w:val="16"/>
                  <w:szCs w:val="16"/>
                  <w:color w:val="auto"/>
                </w:rPr>
                <w:t>45</w:t>
              </w:r>
            </w:hyperlink>
          </w:p>
        </w:tc>
      </w:tr>
      <w:tr>
        <w:trPr>
          <w:trHeight w:val="199"/>
        </w:trPr>
        <w:tc>
          <w:tcPr>
            <w:tcW w:w="9380" w:type="dxa"/>
            <w:vAlign w:val="bottom"/>
            <w:gridSpan w:val="3"/>
          </w:tcPr>
          <w:p>
            <w:pPr>
              <w:ind w:left="580"/>
              <w:spacing w:after="0"/>
              <w:rPr>
                <w:rFonts w:ascii="Arial" w:cs="Arial" w:eastAsia="Arial" w:hAnsi="Arial"/>
                <w:sz w:val="16"/>
                <w:szCs w:val="16"/>
                <w:color w:val="auto"/>
              </w:rPr>
            </w:pPr>
            <w:hyperlink w:anchor="page47">
              <w:r>
                <w:rPr>
                  <w:rFonts w:ascii="Arial" w:cs="Arial" w:eastAsia="Arial" w:hAnsi="Arial"/>
                  <w:sz w:val="16"/>
                  <w:szCs w:val="16"/>
                  <w:color w:val="auto"/>
                </w:rPr>
                <w:t>Consolidated Statements of Income</w:t>
              </w:r>
            </w:hyperlink>
          </w:p>
        </w:tc>
        <w:tc>
          <w:tcPr>
            <w:tcW w:w="1880" w:type="dxa"/>
            <w:vAlign w:val="bottom"/>
          </w:tcPr>
          <w:p>
            <w:pPr>
              <w:jc w:val="right"/>
              <w:spacing w:after="0"/>
              <w:rPr>
                <w:rFonts w:ascii="Arial" w:cs="Arial" w:eastAsia="Arial" w:hAnsi="Arial"/>
                <w:sz w:val="16"/>
                <w:szCs w:val="16"/>
                <w:color w:val="auto"/>
              </w:rPr>
            </w:pPr>
            <w:hyperlink w:anchor="page47">
              <w:r>
                <w:rPr>
                  <w:rFonts w:ascii="Arial" w:cs="Arial" w:eastAsia="Arial" w:hAnsi="Arial"/>
                  <w:sz w:val="16"/>
                  <w:szCs w:val="16"/>
                  <w:color w:val="auto"/>
                </w:rPr>
                <w:t>45</w:t>
              </w:r>
            </w:hyperlink>
          </w:p>
        </w:tc>
      </w:tr>
      <w:tr>
        <w:trPr>
          <w:trHeight w:val="199"/>
        </w:trPr>
        <w:tc>
          <w:tcPr>
            <w:tcW w:w="9380" w:type="dxa"/>
            <w:vAlign w:val="bottom"/>
            <w:gridSpan w:val="3"/>
          </w:tcPr>
          <w:p>
            <w:pPr>
              <w:ind w:left="580"/>
              <w:spacing w:after="0"/>
              <w:rPr>
                <w:rFonts w:ascii="Arial" w:cs="Arial" w:eastAsia="Arial" w:hAnsi="Arial"/>
                <w:sz w:val="16"/>
                <w:szCs w:val="16"/>
                <w:color w:val="auto"/>
              </w:rPr>
            </w:pPr>
            <w:hyperlink w:anchor="page47">
              <w:r>
                <w:rPr>
                  <w:rFonts w:ascii="Arial" w:cs="Arial" w:eastAsia="Arial" w:hAnsi="Arial"/>
                  <w:sz w:val="16"/>
                  <w:szCs w:val="16"/>
                  <w:color w:val="auto"/>
                </w:rPr>
                <w:t>Consolidated Statements of Comprehensive Income</w:t>
              </w:r>
            </w:hyperlink>
          </w:p>
        </w:tc>
        <w:tc>
          <w:tcPr>
            <w:tcW w:w="1880" w:type="dxa"/>
            <w:vAlign w:val="bottom"/>
          </w:tcPr>
          <w:p>
            <w:pPr>
              <w:jc w:val="right"/>
              <w:spacing w:after="0"/>
              <w:rPr>
                <w:rFonts w:ascii="Arial" w:cs="Arial" w:eastAsia="Arial" w:hAnsi="Arial"/>
                <w:sz w:val="16"/>
                <w:szCs w:val="16"/>
                <w:color w:val="auto"/>
              </w:rPr>
            </w:pPr>
            <w:hyperlink w:anchor="page47">
              <w:r>
                <w:rPr>
                  <w:rFonts w:ascii="Arial" w:cs="Arial" w:eastAsia="Arial" w:hAnsi="Arial"/>
                  <w:sz w:val="16"/>
                  <w:szCs w:val="16"/>
                  <w:color w:val="auto"/>
                </w:rPr>
                <w:t>46</w:t>
              </w:r>
            </w:hyperlink>
          </w:p>
        </w:tc>
      </w:tr>
      <w:tr>
        <w:trPr>
          <w:trHeight w:val="199"/>
        </w:trPr>
        <w:tc>
          <w:tcPr>
            <w:tcW w:w="9380" w:type="dxa"/>
            <w:vAlign w:val="bottom"/>
            <w:gridSpan w:val="3"/>
          </w:tcPr>
          <w:p>
            <w:pPr>
              <w:ind w:left="580"/>
              <w:spacing w:after="0"/>
              <w:rPr>
                <w:rFonts w:ascii="Arial" w:cs="Arial" w:eastAsia="Arial" w:hAnsi="Arial"/>
                <w:sz w:val="16"/>
                <w:szCs w:val="16"/>
                <w:color w:val="auto"/>
              </w:rPr>
            </w:pPr>
            <w:hyperlink w:anchor="page48">
              <w:r>
                <w:rPr>
                  <w:rFonts w:ascii="Arial" w:cs="Arial" w:eastAsia="Arial" w:hAnsi="Arial"/>
                  <w:sz w:val="16"/>
                  <w:szCs w:val="16"/>
                  <w:color w:val="auto"/>
                </w:rPr>
                <w:t>Consolidated Balance Sheets</w:t>
              </w:r>
            </w:hyperlink>
          </w:p>
        </w:tc>
        <w:tc>
          <w:tcPr>
            <w:tcW w:w="1880" w:type="dxa"/>
            <w:vAlign w:val="bottom"/>
          </w:tcPr>
          <w:p>
            <w:pPr>
              <w:jc w:val="right"/>
              <w:spacing w:after="0"/>
              <w:rPr>
                <w:rFonts w:ascii="Arial" w:cs="Arial" w:eastAsia="Arial" w:hAnsi="Arial"/>
                <w:sz w:val="16"/>
                <w:szCs w:val="16"/>
                <w:color w:val="auto"/>
              </w:rPr>
            </w:pPr>
            <w:hyperlink w:anchor="page48">
              <w:r>
                <w:rPr>
                  <w:rFonts w:ascii="Arial" w:cs="Arial" w:eastAsia="Arial" w:hAnsi="Arial"/>
                  <w:sz w:val="16"/>
                  <w:szCs w:val="16"/>
                  <w:color w:val="auto"/>
                </w:rPr>
                <w:t>47</w:t>
              </w:r>
            </w:hyperlink>
          </w:p>
        </w:tc>
      </w:tr>
      <w:tr>
        <w:trPr>
          <w:trHeight w:val="199"/>
        </w:trPr>
        <w:tc>
          <w:tcPr>
            <w:tcW w:w="9380" w:type="dxa"/>
            <w:vAlign w:val="bottom"/>
            <w:gridSpan w:val="3"/>
          </w:tcPr>
          <w:p>
            <w:pPr>
              <w:ind w:left="580"/>
              <w:spacing w:after="0"/>
              <w:rPr>
                <w:rFonts w:ascii="Arial" w:cs="Arial" w:eastAsia="Arial" w:hAnsi="Arial"/>
                <w:sz w:val="16"/>
                <w:szCs w:val="16"/>
                <w:color w:val="auto"/>
              </w:rPr>
            </w:pPr>
            <w:hyperlink w:anchor="page49">
              <w:r>
                <w:rPr>
                  <w:rFonts w:ascii="Arial" w:cs="Arial" w:eastAsia="Arial" w:hAnsi="Arial"/>
                  <w:sz w:val="16"/>
                  <w:szCs w:val="16"/>
                  <w:color w:val="auto"/>
                </w:rPr>
                <w:t>Consolidated Statements of Shareholders' Equity</w:t>
              </w:r>
            </w:hyperlink>
          </w:p>
        </w:tc>
        <w:tc>
          <w:tcPr>
            <w:tcW w:w="1880" w:type="dxa"/>
            <w:vAlign w:val="bottom"/>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48</w:t>
              </w:r>
            </w:hyperlink>
          </w:p>
        </w:tc>
      </w:tr>
      <w:tr>
        <w:trPr>
          <w:trHeight w:val="199"/>
        </w:trPr>
        <w:tc>
          <w:tcPr>
            <w:tcW w:w="9380" w:type="dxa"/>
            <w:vAlign w:val="bottom"/>
            <w:gridSpan w:val="3"/>
          </w:tcPr>
          <w:p>
            <w:pPr>
              <w:ind w:left="580"/>
              <w:spacing w:after="0"/>
              <w:rPr>
                <w:rFonts w:ascii="Arial" w:cs="Arial" w:eastAsia="Arial" w:hAnsi="Arial"/>
                <w:sz w:val="16"/>
                <w:szCs w:val="16"/>
                <w:color w:val="auto"/>
              </w:rPr>
            </w:pPr>
            <w:hyperlink w:anchor="page50">
              <w:r>
                <w:rPr>
                  <w:rFonts w:ascii="Arial" w:cs="Arial" w:eastAsia="Arial" w:hAnsi="Arial"/>
                  <w:sz w:val="16"/>
                  <w:szCs w:val="16"/>
                  <w:color w:val="auto"/>
                </w:rPr>
                <w:t>Consolidated Statements of Cash Flows</w:t>
              </w:r>
            </w:hyperlink>
          </w:p>
        </w:tc>
        <w:tc>
          <w:tcPr>
            <w:tcW w:w="1880" w:type="dxa"/>
            <w:vAlign w:val="bottom"/>
          </w:tcPr>
          <w:p>
            <w:pPr>
              <w:jc w:val="right"/>
              <w:spacing w:after="0"/>
              <w:rPr>
                <w:rFonts w:ascii="Arial" w:cs="Arial" w:eastAsia="Arial" w:hAnsi="Arial"/>
                <w:sz w:val="16"/>
                <w:szCs w:val="16"/>
                <w:color w:val="auto"/>
              </w:rPr>
            </w:pPr>
            <w:hyperlink w:anchor="page50">
              <w:r>
                <w:rPr>
                  <w:rFonts w:ascii="Arial" w:cs="Arial" w:eastAsia="Arial" w:hAnsi="Arial"/>
                  <w:sz w:val="16"/>
                  <w:szCs w:val="16"/>
                  <w:color w:val="auto"/>
                </w:rPr>
                <w:t>49</w:t>
              </w:r>
            </w:hyperlink>
          </w:p>
        </w:tc>
      </w:tr>
      <w:tr>
        <w:trPr>
          <w:trHeight w:val="199"/>
        </w:trPr>
        <w:tc>
          <w:tcPr>
            <w:tcW w:w="9380" w:type="dxa"/>
            <w:vAlign w:val="bottom"/>
            <w:gridSpan w:val="3"/>
          </w:tcPr>
          <w:p>
            <w:pPr>
              <w:ind w:left="580"/>
              <w:spacing w:after="0"/>
              <w:rPr>
                <w:rFonts w:ascii="Arial" w:cs="Arial" w:eastAsia="Arial" w:hAnsi="Arial"/>
                <w:sz w:val="16"/>
                <w:szCs w:val="16"/>
                <w:color w:val="auto"/>
              </w:rPr>
            </w:pPr>
            <w:hyperlink w:anchor="page51">
              <w:r>
                <w:rPr>
                  <w:rFonts w:ascii="Arial" w:cs="Arial" w:eastAsia="Arial" w:hAnsi="Arial"/>
                  <w:sz w:val="16"/>
                  <w:szCs w:val="16"/>
                  <w:color w:val="auto"/>
                </w:rPr>
                <w:t>Notes to Consolidated Financial Statements</w:t>
              </w:r>
            </w:hyperlink>
          </w:p>
        </w:tc>
        <w:tc>
          <w:tcPr>
            <w:tcW w:w="1880" w:type="dxa"/>
            <w:vAlign w:val="bottom"/>
          </w:tcPr>
          <w:p>
            <w:pPr>
              <w:jc w:val="right"/>
              <w:spacing w:after="0"/>
              <w:rPr>
                <w:rFonts w:ascii="Arial" w:cs="Arial" w:eastAsia="Arial" w:hAnsi="Arial"/>
                <w:sz w:val="16"/>
                <w:szCs w:val="16"/>
                <w:color w:val="auto"/>
              </w:rPr>
            </w:pPr>
            <w:hyperlink w:anchor="page51">
              <w:r>
                <w:rPr>
                  <w:rFonts w:ascii="Arial" w:cs="Arial" w:eastAsia="Arial" w:hAnsi="Arial"/>
                  <w:sz w:val="16"/>
                  <w:szCs w:val="16"/>
                  <w:color w:val="auto"/>
                </w:rPr>
                <w:t>50</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89">
              <w:r>
                <w:rPr>
                  <w:rFonts w:ascii="Arial" w:cs="Arial" w:eastAsia="Arial" w:hAnsi="Arial"/>
                  <w:sz w:val="16"/>
                  <w:szCs w:val="16"/>
                  <w:color w:val="auto"/>
                  <w:w w:val="96"/>
                </w:rPr>
                <w:t>Item</w:t>
              </w:r>
            </w:hyperlink>
          </w:p>
        </w:tc>
        <w:tc>
          <w:tcPr>
            <w:tcW w:w="140" w:type="dxa"/>
            <w:vAlign w:val="bottom"/>
          </w:tcPr>
          <w:p>
            <w:pPr>
              <w:spacing w:after="0"/>
              <w:rPr>
                <w:rFonts w:ascii="Arial" w:cs="Arial" w:eastAsia="Arial" w:hAnsi="Arial"/>
                <w:sz w:val="16"/>
                <w:szCs w:val="16"/>
                <w:color w:val="auto"/>
                <w:w w:val="89"/>
              </w:rPr>
            </w:pPr>
            <w:hyperlink w:anchor="page89">
              <w:r>
                <w:rPr>
                  <w:rFonts w:ascii="Arial" w:cs="Arial" w:eastAsia="Arial" w:hAnsi="Arial"/>
                  <w:sz w:val="16"/>
                  <w:szCs w:val="16"/>
                  <w:color w:val="auto"/>
                  <w:w w:val="89"/>
                </w:rPr>
                <w:t>9.</w:t>
              </w:r>
            </w:hyperlink>
          </w:p>
        </w:tc>
        <w:tc>
          <w:tcPr>
            <w:tcW w:w="8620" w:type="dxa"/>
            <w:vAlign w:val="bottom"/>
          </w:tcPr>
          <w:p>
            <w:pPr>
              <w:ind w:left="20"/>
              <w:spacing w:after="0"/>
              <w:rPr>
                <w:rFonts w:ascii="Arial" w:cs="Arial" w:eastAsia="Arial" w:hAnsi="Arial"/>
                <w:sz w:val="16"/>
                <w:szCs w:val="16"/>
                <w:color w:val="auto"/>
              </w:rPr>
            </w:pPr>
            <w:hyperlink w:anchor="page89">
              <w:r>
                <w:rPr>
                  <w:rFonts w:ascii="Arial" w:cs="Arial" w:eastAsia="Arial" w:hAnsi="Arial"/>
                  <w:sz w:val="16"/>
                  <w:szCs w:val="16"/>
                  <w:color w:val="auto"/>
                </w:rPr>
                <w:t>Changes in and Disagreements with Accountants on Accounting and Financial Disclosure</w:t>
              </w:r>
            </w:hyperlink>
          </w:p>
        </w:tc>
        <w:tc>
          <w:tcPr>
            <w:tcW w:w="1880" w:type="dxa"/>
            <w:vAlign w:val="bottom"/>
          </w:tcPr>
          <w:p>
            <w:pPr>
              <w:jc w:val="right"/>
              <w:spacing w:after="0"/>
              <w:rPr>
                <w:rFonts w:ascii="Arial" w:cs="Arial" w:eastAsia="Arial" w:hAnsi="Arial"/>
                <w:sz w:val="16"/>
                <w:szCs w:val="16"/>
                <w:color w:val="auto"/>
              </w:rPr>
            </w:pPr>
            <w:hyperlink w:anchor="page89">
              <w:r>
                <w:rPr>
                  <w:rFonts w:ascii="Arial" w:cs="Arial" w:eastAsia="Arial" w:hAnsi="Arial"/>
                  <w:sz w:val="16"/>
                  <w:szCs w:val="16"/>
                  <w:color w:val="auto"/>
                </w:rPr>
                <w:t>88</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90">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90">
              <w:r>
                <w:rPr>
                  <w:rFonts w:ascii="Arial" w:cs="Arial" w:eastAsia="Arial" w:hAnsi="Arial"/>
                  <w:sz w:val="16"/>
                  <w:szCs w:val="16"/>
                  <w:color w:val="auto"/>
                </w:rPr>
                <w:t>9A. Controls and Procedures</w:t>
              </w:r>
            </w:hyperlink>
          </w:p>
        </w:tc>
        <w:tc>
          <w:tcPr>
            <w:tcW w:w="1880" w:type="dxa"/>
            <w:vAlign w:val="bottom"/>
          </w:tcPr>
          <w:p>
            <w:pPr>
              <w:jc w:val="right"/>
              <w:spacing w:after="0"/>
              <w:rPr>
                <w:rFonts w:ascii="Arial" w:cs="Arial" w:eastAsia="Arial" w:hAnsi="Arial"/>
                <w:sz w:val="16"/>
                <w:szCs w:val="16"/>
                <w:color w:val="auto"/>
              </w:rPr>
            </w:pPr>
            <w:hyperlink w:anchor="page90">
              <w:r>
                <w:rPr>
                  <w:rFonts w:ascii="Arial" w:cs="Arial" w:eastAsia="Arial" w:hAnsi="Arial"/>
                  <w:sz w:val="16"/>
                  <w:szCs w:val="16"/>
                  <w:color w:val="auto"/>
                </w:rPr>
                <w:t>88</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92">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92">
              <w:r>
                <w:rPr>
                  <w:rFonts w:ascii="Arial" w:cs="Arial" w:eastAsia="Arial" w:hAnsi="Arial"/>
                  <w:sz w:val="16"/>
                  <w:szCs w:val="16"/>
                  <w:color w:val="auto"/>
                </w:rPr>
                <w:t>9B. Other Information</w:t>
              </w:r>
            </w:hyperlink>
          </w:p>
        </w:tc>
        <w:tc>
          <w:tcPr>
            <w:tcW w:w="1880" w:type="dxa"/>
            <w:vAlign w:val="bottom"/>
          </w:tcPr>
          <w:p>
            <w:pPr>
              <w:jc w:val="right"/>
              <w:spacing w:after="0"/>
              <w:rPr>
                <w:rFonts w:ascii="Arial" w:cs="Arial" w:eastAsia="Arial" w:hAnsi="Arial"/>
                <w:sz w:val="16"/>
                <w:szCs w:val="16"/>
                <w:color w:val="auto"/>
              </w:rPr>
            </w:pPr>
            <w:hyperlink w:anchor="page92">
              <w:r>
                <w:rPr>
                  <w:rFonts w:ascii="Arial" w:cs="Arial" w:eastAsia="Arial" w:hAnsi="Arial"/>
                  <w:sz w:val="16"/>
                  <w:szCs w:val="16"/>
                  <w:color w:val="auto"/>
                </w:rPr>
                <w:t>90</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92">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92">
              <w:r>
                <w:rPr>
                  <w:rFonts w:ascii="Arial" w:cs="Arial" w:eastAsia="Arial" w:hAnsi="Arial"/>
                  <w:sz w:val="16"/>
                  <w:szCs w:val="16"/>
                  <w:color w:val="auto"/>
                </w:rPr>
                <w:t xml:space="preserve">9C. Disclosure </w:t>
              </w:r>
            </w:hyperlink>
            <w:r>
              <w:rPr>
                <w:rFonts w:ascii="Arial" w:cs="Arial" w:eastAsia="Arial" w:hAnsi="Arial"/>
                <w:sz w:val="16"/>
                <w:szCs w:val="16"/>
                <w:color w:val="auto"/>
              </w:rPr>
              <w:t>Regarding Foreign Jurisdictions That Prevent Inspections</w:t>
            </w:r>
          </w:p>
        </w:tc>
        <w:tc>
          <w:tcPr>
            <w:tcW w:w="1880" w:type="dxa"/>
            <w:vAlign w:val="bottom"/>
          </w:tcPr>
          <w:p>
            <w:pPr>
              <w:jc w:val="right"/>
              <w:spacing w:after="0"/>
              <w:rPr>
                <w:rFonts w:ascii="Arial" w:cs="Arial" w:eastAsia="Arial" w:hAnsi="Arial"/>
                <w:sz w:val="16"/>
                <w:szCs w:val="16"/>
                <w:color w:val="auto"/>
              </w:rPr>
            </w:pPr>
            <w:hyperlink w:anchor="page92">
              <w:r>
                <w:rPr>
                  <w:rFonts w:ascii="Arial" w:cs="Arial" w:eastAsia="Arial" w:hAnsi="Arial"/>
                  <w:sz w:val="16"/>
                  <w:szCs w:val="16"/>
                  <w:color w:val="auto"/>
                </w:rPr>
                <w:t>90</w:t>
              </w:r>
            </w:hyperlink>
          </w:p>
        </w:tc>
      </w:tr>
      <w:tr>
        <w:trPr>
          <w:trHeight w:val="199"/>
        </w:trPr>
        <w:tc>
          <w:tcPr>
            <w:tcW w:w="620" w:type="dxa"/>
            <w:vAlign w:val="bottom"/>
          </w:tcPr>
          <w:p>
            <w:pPr>
              <w:ind w:left="20"/>
              <w:spacing w:after="0"/>
              <w:rPr>
                <w:rFonts w:ascii="Arial" w:cs="Arial" w:eastAsia="Arial" w:hAnsi="Arial"/>
                <w:sz w:val="16"/>
                <w:szCs w:val="16"/>
                <w:color w:val="auto"/>
                <w:w w:val="95"/>
              </w:rPr>
            </w:pPr>
            <w:hyperlink w:anchor="page92">
              <w:r>
                <w:rPr>
                  <w:rFonts w:ascii="Arial" w:cs="Arial" w:eastAsia="Arial" w:hAnsi="Arial"/>
                  <w:sz w:val="16"/>
                  <w:szCs w:val="16"/>
                  <w:color w:val="auto"/>
                  <w:w w:val="95"/>
                </w:rPr>
                <w:t>PART III</w:t>
              </w:r>
            </w:hyperlink>
          </w:p>
        </w:tc>
        <w:tc>
          <w:tcPr>
            <w:tcW w:w="14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1880" w:type="dxa"/>
            <w:vAlign w:val="bottom"/>
          </w:tcPr>
          <w:p>
            <w:pPr>
              <w:jc w:val="right"/>
              <w:spacing w:after="0"/>
              <w:rPr>
                <w:rFonts w:ascii="Arial" w:cs="Arial" w:eastAsia="Arial" w:hAnsi="Arial"/>
                <w:sz w:val="16"/>
                <w:szCs w:val="16"/>
                <w:color w:val="auto"/>
              </w:rPr>
            </w:pPr>
            <w:hyperlink w:anchor="page92">
              <w:r>
                <w:rPr>
                  <w:rFonts w:ascii="Arial" w:cs="Arial" w:eastAsia="Arial" w:hAnsi="Arial"/>
                  <w:sz w:val="16"/>
                  <w:szCs w:val="16"/>
                  <w:color w:val="auto"/>
                </w:rPr>
                <w:t>91</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93">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93">
              <w:r>
                <w:rPr>
                  <w:rFonts w:ascii="Arial" w:cs="Arial" w:eastAsia="Arial" w:hAnsi="Arial"/>
                  <w:sz w:val="16"/>
                  <w:szCs w:val="16"/>
                  <w:color w:val="auto"/>
                </w:rPr>
                <w:t>10. Directors, Executive Officers and Corporate Governance</w:t>
              </w:r>
            </w:hyperlink>
          </w:p>
        </w:tc>
        <w:tc>
          <w:tcPr>
            <w:tcW w:w="1880" w:type="dxa"/>
            <w:vAlign w:val="bottom"/>
          </w:tcPr>
          <w:p>
            <w:pPr>
              <w:jc w:val="right"/>
              <w:spacing w:after="0"/>
              <w:rPr>
                <w:rFonts w:ascii="Arial" w:cs="Arial" w:eastAsia="Arial" w:hAnsi="Arial"/>
                <w:sz w:val="16"/>
                <w:szCs w:val="16"/>
                <w:color w:val="auto"/>
              </w:rPr>
            </w:pPr>
            <w:hyperlink w:anchor="page93">
              <w:r>
                <w:rPr>
                  <w:rFonts w:ascii="Arial" w:cs="Arial" w:eastAsia="Arial" w:hAnsi="Arial"/>
                  <w:sz w:val="16"/>
                  <w:szCs w:val="16"/>
                  <w:color w:val="auto"/>
                </w:rPr>
                <w:t>91</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93">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93">
              <w:r>
                <w:rPr>
                  <w:rFonts w:ascii="Arial" w:cs="Arial" w:eastAsia="Arial" w:hAnsi="Arial"/>
                  <w:sz w:val="16"/>
                  <w:szCs w:val="16"/>
                  <w:color w:val="auto"/>
                </w:rPr>
                <w:t>11. Executive Compensation</w:t>
              </w:r>
            </w:hyperlink>
          </w:p>
        </w:tc>
        <w:tc>
          <w:tcPr>
            <w:tcW w:w="1880" w:type="dxa"/>
            <w:vAlign w:val="bottom"/>
          </w:tcPr>
          <w:p>
            <w:pPr>
              <w:jc w:val="right"/>
              <w:spacing w:after="0"/>
              <w:rPr>
                <w:rFonts w:ascii="Arial" w:cs="Arial" w:eastAsia="Arial" w:hAnsi="Arial"/>
                <w:sz w:val="16"/>
                <w:szCs w:val="16"/>
                <w:color w:val="auto"/>
              </w:rPr>
            </w:pPr>
            <w:hyperlink w:anchor="page93">
              <w:r>
                <w:rPr>
                  <w:rFonts w:ascii="Arial" w:cs="Arial" w:eastAsia="Arial" w:hAnsi="Arial"/>
                  <w:sz w:val="16"/>
                  <w:szCs w:val="16"/>
                  <w:color w:val="auto"/>
                </w:rPr>
                <w:t>91</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93">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93">
              <w:r>
                <w:rPr>
                  <w:rFonts w:ascii="Arial" w:cs="Arial" w:eastAsia="Arial" w:hAnsi="Arial"/>
                  <w:sz w:val="16"/>
                  <w:szCs w:val="16"/>
                  <w:color w:val="auto"/>
                </w:rPr>
                <w:t>12. Security Ownership of Certain Beneficial Owners and Management and Related Stockholder Matters</w:t>
              </w:r>
            </w:hyperlink>
          </w:p>
        </w:tc>
        <w:tc>
          <w:tcPr>
            <w:tcW w:w="1880" w:type="dxa"/>
            <w:vAlign w:val="bottom"/>
          </w:tcPr>
          <w:p>
            <w:pPr>
              <w:jc w:val="right"/>
              <w:spacing w:after="0"/>
              <w:rPr>
                <w:rFonts w:ascii="Arial" w:cs="Arial" w:eastAsia="Arial" w:hAnsi="Arial"/>
                <w:sz w:val="16"/>
                <w:szCs w:val="16"/>
                <w:color w:val="auto"/>
              </w:rPr>
            </w:pPr>
            <w:hyperlink w:anchor="page93">
              <w:r>
                <w:rPr>
                  <w:rFonts w:ascii="Arial" w:cs="Arial" w:eastAsia="Arial" w:hAnsi="Arial"/>
                  <w:sz w:val="16"/>
                  <w:szCs w:val="16"/>
                  <w:color w:val="auto"/>
                </w:rPr>
                <w:t>91</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93">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93">
              <w:r>
                <w:rPr>
                  <w:rFonts w:ascii="Arial" w:cs="Arial" w:eastAsia="Arial" w:hAnsi="Arial"/>
                  <w:sz w:val="16"/>
                  <w:szCs w:val="16"/>
                  <w:color w:val="auto"/>
                </w:rPr>
                <w:t>13. Certain Relationships and Related Transactions, and Director Independence</w:t>
              </w:r>
            </w:hyperlink>
          </w:p>
        </w:tc>
        <w:tc>
          <w:tcPr>
            <w:tcW w:w="1880" w:type="dxa"/>
            <w:vAlign w:val="bottom"/>
          </w:tcPr>
          <w:p>
            <w:pPr>
              <w:jc w:val="right"/>
              <w:spacing w:after="0"/>
              <w:rPr>
                <w:rFonts w:ascii="Arial" w:cs="Arial" w:eastAsia="Arial" w:hAnsi="Arial"/>
                <w:sz w:val="16"/>
                <w:szCs w:val="16"/>
                <w:color w:val="auto"/>
              </w:rPr>
            </w:pPr>
            <w:hyperlink w:anchor="page93">
              <w:r>
                <w:rPr>
                  <w:rFonts w:ascii="Arial" w:cs="Arial" w:eastAsia="Arial" w:hAnsi="Arial"/>
                  <w:sz w:val="16"/>
                  <w:szCs w:val="16"/>
                  <w:color w:val="auto"/>
                </w:rPr>
                <w:t>91</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93">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93">
              <w:r>
                <w:rPr>
                  <w:rFonts w:ascii="Arial" w:cs="Arial" w:eastAsia="Arial" w:hAnsi="Arial"/>
                  <w:sz w:val="16"/>
                  <w:szCs w:val="16"/>
                  <w:color w:val="auto"/>
                </w:rPr>
                <w:t>14. Principal Accounting Fees and Services</w:t>
              </w:r>
            </w:hyperlink>
          </w:p>
        </w:tc>
        <w:tc>
          <w:tcPr>
            <w:tcW w:w="1880" w:type="dxa"/>
            <w:vAlign w:val="bottom"/>
          </w:tcPr>
          <w:p>
            <w:pPr>
              <w:jc w:val="right"/>
              <w:spacing w:after="0"/>
              <w:rPr>
                <w:rFonts w:ascii="Arial" w:cs="Arial" w:eastAsia="Arial" w:hAnsi="Arial"/>
                <w:sz w:val="16"/>
                <w:szCs w:val="16"/>
                <w:color w:val="auto"/>
              </w:rPr>
            </w:pPr>
            <w:hyperlink w:anchor="page93">
              <w:r>
                <w:rPr>
                  <w:rFonts w:ascii="Arial" w:cs="Arial" w:eastAsia="Arial" w:hAnsi="Arial"/>
                  <w:sz w:val="16"/>
                  <w:szCs w:val="16"/>
                  <w:color w:val="auto"/>
                </w:rPr>
                <w:t>91</w:t>
              </w:r>
            </w:hyperlink>
          </w:p>
        </w:tc>
      </w:tr>
      <w:tr>
        <w:trPr>
          <w:trHeight w:val="199"/>
        </w:trPr>
        <w:tc>
          <w:tcPr>
            <w:tcW w:w="620" w:type="dxa"/>
            <w:vAlign w:val="bottom"/>
          </w:tcPr>
          <w:p>
            <w:pPr>
              <w:ind w:left="20"/>
              <w:spacing w:after="0"/>
              <w:rPr>
                <w:rFonts w:ascii="Arial" w:cs="Arial" w:eastAsia="Arial" w:hAnsi="Arial"/>
                <w:sz w:val="16"/>
                <w:szCs w:val="16"/>
                <w:color w:val="auto"/>
                <w:w w:val="93"/>
              </w:rPr>
            </w:pPr>
            <w:hyperlink w:anchor="page93">
              <w:r>
                <w:rPr>
                  <w:rFonts w:ascii="Arial" w:cs="Arial" w:eastAsia="Arial" w:hAnsi="Arial"/>
                  <w:sz w:val="16"/>
                  <w:szCs w:val="16"/>
                  <w:color w:val="auto"/>
                  <w:w w:val="93"/>
                </w:rPr>
                <w:t>PART IV</w:t>
              </w:r>
            </w:hyperlink>
          </w:p>
        </w:tc>
        <w:tc>
          <w:tcPr>
            <w:tcW w:w="140" w:type="dxa"/>
            <w:vAlign w:val="bottom"/>
          </w:tcPr>
          <w:p>
            <w:pPr>
              <w:spacing w:after="0"/>
              <w:rPr>
                <w:sz w:val="17"/>
                <w:szCs w:val="17"/>
                <w:color w:val="auto"/>
              </w:rPr>
            </w:pPr>
          </w:p>
        </w:tc>
        <w:tc>
          <w:tcPr>
            <w:tcW w:w="8620" w:type="dxa"/>
            <w:vAlign w:val="bottom"/>
          </w:tcPr>
          <w:p>
            <w:pPr>
              <w:spacing w:after="0"/>
              <w:rPr>
                <w:sz w:val="17"/>
                <w:szCs w:val="17"/>
                <w:color w:val="auto"/>
              </w:rPr>
            </w:pPr>
          </w:p>
        </w:tc>
        <w:tc>
          <w:tcPr>
            <w:tcW w:w="1880" w:type="dxa"/>
            <w:vAlign w:val="bottom"/>
          </w:tcPr>
          <w:p>
            <w:pPr>
              <w:jc w:val="right"/>
              <w:spacing w:after="0"/>
              <w:rPr>
                <w:rFonts w:ascii="Arial" w:cs="Arial" w:eastAsia="Arial" w:hAnsi="Arial"/>
                <w:sz w:val="16"/>
                <w:szCs w:val="16"/>
                <w:color w:val="auto"/>
              </w:rPr>
            </w:pPr>
            <w:hyperlink w:anchor="page93">
              <w:r>
                <w:rPr>
                  <w:rFonts w:ascii="Arial" w:cs="Arial" w:eastAsia="Arial" w:hAnsi="Arial"/>
                  <w:sz w:val="16"/>
                  <w:szCs w:val="16"/>
                  <w:color w:val="auto"/>
                </w:rPr>
                <w:t>92</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94">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94">
              <w:r>
                <w:rPr>
                  <w:rFonts w:ascii="Arial" w:cs="Arial" w:eastAsia="Arial" w:hAnsi="Arial"/>
                  <w:sz w:val="16"/>
                  <w:szCs w:val="16"/>
                  <w:color w:val="auto"/>
                </w:rPr>
                <w:t>15. Exhibits and Financial Statement Schedules</w:t>
              </w:r>
            </w:hyperlink>
          </w:p>
        </w:tc>
        <w:tc>
          <w:tcPr>
            <w:tcW w:w="1880" w:type="dxa"/>
            <w:vAlign w:val="bottom"/>
          </w:tcPr>
          <w:p>
            <w:pPr>
              <w:jc w:val="right"/>
              <w:spacing w:after="0"/>
              <w:rPr>
                <w:rFonts w:ascii="Arial" w:cs="Arial" w:eastAsia="Arial" w:hAnsi="Arial"/>
                <w:sz w:val="16"/>
                <w:szCs w:val="16"/>
                <w:color w:val="auto"/>
              </w:rPr>
            </w:pPr>
            <w:hyperlink w:anchor="page94">
              <w:r>
                <w:rPr>
                  <w:rFonts w:ascii="Arial" w:cs="Arial" w:eastAsia="Arial" w:hAnsi="Arial"/>
                  <w:sz w:val="16"/>
                  <w:szCs w:val="16"/>
                  <w:color w:val="auto"/>
                </w:rPr>
                <w:t>92</w:t>
              </w:r>
            </w:hyperlink>
          </w:p>
        </w:tc>
      </w:tr>
      <w:tr>
        <w:trPr>
          <w:trHeight w:val="199"/>
        </w:trPr>
        <w:tc>
          <w:tcPr>
            <w:tcW w:w="9380" w:type="dxa"/>
            <w:vAlign w:val="bottom"/>
            <w:gridSpan w:val="3"/>
          </w:tcPr>
          <w:p>
            <w:pPr>
              <w:ind w:left="300"/>
              <w:spacing w:after="0"/>
              <w:rPr>
                <w:rFonts w:ascii="Arial" w:cs="Arial" w:eastAsia="Arial" w:hAnsi="Arial"/>
                <w:sz w:val="16"/>
                <w:szCs w:val="16"/>
                <w:color w:val="auto"/>
              </w:rPr>
            </w:pPr>
            <w:hyperlink w:anchor="page99">
              <w:r>
                <w:rPr>
                  <w:rFonts w:ascii="Arial" w:cs="Arial" w:eastAsia="Arial" w:hAnsi="Arial"/>
                  <w:sz w:val="16"/>
                  <w:szCs w:val="16"/>
                  <w:color w:val="auto"/>
                </w:rPr>
                <w:t xml:space="preserve">Schedule II - Valuation </w:t>
              </w:r>
            </w:hyperlink>
            <w:r>
              <w:rPr>
                <w:rFonts w:ascii="Arial" w:cs="Arial" w:eastAsia="Arial" w:hAnsi="Arial"/>
                <w:sz w:val="16"/>
                <w:szCs w:val="16"/>
                <w:color w:val="auto"/>
              </w:rPr>
              <w:t>and Qualifying Accounts</w:t>
            </w:r>
          </w:p>
        </w:tc>
        <w:tc>
          <w:tcPr>
            <w:tcW w:w="1880" w:type="dxa"/>
            <w:vAlign w:val="bottom"/>
          </w:tcPr>
          <w:p>
            <w:pPr>
              <w:jc w:val="right"/>
              <w:spacing w:after="0"/>
              <w:rPr>
                <w:rFonts w:ascii="Arial" w:cs="Arial" w:eastAsia="Arial" w:hAnsi="Arial"/>
                <w:sz w:val="16"/>
                <w:szCs w:val="16"/>
                <w:color w:val="auto"/>
              </w:rPr>
            </w:pPr>
            <w:hyperlink w:anchor="page99">
              <w:r>
                <w:rPr>
                  <w:rFonts w:ascii="Arial" w:cs="Arial" w:eastAsia="Arial" w:hAnsi="Arial"/>
                  <w:sz w:val="16"/>
                  <w:szCs w:val="16"/>
                  <w:color w:val="auto"/>
                </w:rPr>
                <w:t>98</w:t>
              </w:r>
            </w:hyperlink>
          </w:p>
        </w:tc>
      </w:tr>
      <w:tr>
        <w:trPr>
          <w:trHeight w:val="199"/>
        </w:trPr>
        <w:tc>
          <w:tcPr>
            <w:tcW w:w="620" w:type="dxa"/>
            <w:vAlign w:val="bottom"/>
          </w:tcPr>
          <w:p>
            <w:pPr>
              <w:ind w:left="300"/>
              <w:spacing w:after="0"/>
              <w:rPr>
                <w:rFonts w:ascii="Arial" w:cs="Arial" w:eastAsia="Arial" w:hAnsi="Arial"/>
                <w:sz w:val="16"/>
                <w:szCs w:val="16"/>
                <w:color w:val="auto"/>
                <w:w w:val="96"/>
              </w:rPr>
            </w:pPr>
            <w:hyperlink w:anchor="page100">
              <w:r>
                <w:rPr>
                  <w:rFonts w:ascii="Arial" w:cs="Arial" w:eastAsia="Arial" w:hAnsi="Arial"/>
                  <w:sz w:val="16"/>
                  <w:szCs w:val="16"/>
                  <w:color w:val="auto"/>
                  <w:w w:val="96"/>
                </w:rPr>
                <w:t>Item</w:t>
              </w:r>
            </w:hyperlink>
          </w:p>
        </w:tc>
        <w:tc>
          <w:tcPr>
            <w:tcW w:w="8760" w:type="dxa"/>
            <w:vAlign w:val="bottom"/>
            <w:gridSpan w:val="2"/>
          </w:tcPr>
          <w:p>
            <w:pPr>
              <w:spacing w:after="0"/>
              <w:rPr>
                <w:rFonts w:ascii="Arial" w:cs="Arial" w:eastAsia="Arial" w:hAnsi="Arial"/>
                <w:sz w:val="16"/>
                <w:szCs w:val="16"/>
                <w:color w:val="auto"/>
              </w:rPr>
            </w:pPr>
            <w:hyperlink w:anchor="page100">
              <w:r>
                <w:rPr>
                  <w:rFonts w:ascii="Arial" w:cs="Arial" w:eastAsia="Arial" w:hAnsi="Arial"/>
                  <w:sz w:val="16"/>
                  <w:szCs w:val="16"/>
                  <w:color w:val="auto"/>
                </w:rPr>
                <w:t>16. Form 10-K Summary</w:t>
              </w:r>
            </w:hyperlink>
          </w:p>
        </w:tc>
        <w:tc>
          <w:tcPr>
            <w:tcW w:w="1880" w:type="dxa"/>
            <w:vAlign w:val="bottom"/>
          </w:tcPr>
          <w:p>
            <w:pPr>
              <w:jc w:val="right"/>
              <w:spacing w:after="0"/>
              <w:rPr>
                <w:rFonts w:ascii="Arial" w:cs="Arial" w:eastAsia="Arial" w:hAnsi="Arial"/>
                <w:sz w:val="16"/>
                <w:szCs w:val="16"/>
                <w:color w:val="auto"/>
              </w:rPr>
            </w:pPr>
            <w:hyperlink w:anchor="page100">
              <w:r>
                <w:rPr>
                  <w:rFonts w:ascii="Arial" w:cs="Arial" w:eastAsia="Arial" w:hAnsi="Arial"/>
                  <w:sz w:val="16"/>
                  <w:szCs w:val="16"/>
                  <w:color w:val="auto"/>
                </w:rPr>
                <w:t>99</w:t>
              </w:r>
            </w:hyperlink>
          </w:p>
        </w:tc>
      </w:tr>
      <w:tr>
        <w:trPr>
          <w:trHeight w:val="199"/>
        </w:trPr>
        <w:tc>
          <w:tcPr>
            <w:tcW w:w="760" w:type="dxa"/>
            <w:vAlign w:val="bottom"/>
            <w:gridSpan w:val="2"/>
          </w:tcPr>
          <w:p>
            <w:pPr>
              <w:ind w:left="20"/>
              <w:spacing w:after="0"/>
              <w:rPr>
                <w:rFonts w:ascii="Arial" w:cs="Arial" w:eastAsia="Arial" w:hAnsi="Arial"/>
                <w:sz w:val="16"/>
                <w:szCs w:val="16"/>
                <w:color w:val="auto"/>
                <w:w w:val="94"/>
              </w:rPr>
            </w:pPr>
            <w:hyperlink w:anchor="page102">
              <w:r>
                <w:rPr>
                  <w:rFonts w:ascii="Arial" w:cs="Arial" w:eastAsia="Arial" w:hAnsi="Arial"/>
                  <w:sz w:val="16"/>
                  <w:szCs w:val="16"/>
                  <w:color w:val="auto"/>
                  <w:w w:val="94"/>
                </w:rPr>
                <w:t>Signatures</w:t>
              </w:r>
            </w:hyperlink>
          </w:p>
        </w:tc>
        <w:tc>
          <w:tcPr>
            <w:tcW w:w="8620" w:type="dxa"/>
            <w:vAlign w:val="bottom"/>
          </w:tcPr>
          <w:p>
            <w:pPr>
              <w:spacing w:after="0"/>
              <w:rPr>
                <w:sz w:val="17"/>
                <w:szCs w:val="17"/>
                <w:color w:val="auto"/>
              </w:rPr>
            </w:pPr>
          </w:p>
        </w:tc>
        <w:tc>
          <w:tcPr>
            <w:tcW w:w="1880" w:type="dxa"/>
            <w:vAlign w:val="bottom"/>
          </w:tcPr>
          <w:p>
            <w:pPr>
              <w:jc w:val="right"/>
              <w:spacing w:after="0"/>
              <w:rPr>
                <w:rFonts w:ascii="Arial" w:cs="Arial" w:eastAsia="Arial" w:hAnsi="Arial"/>
                <w:sz w:val="16"/>
                <w:szCs w:val="16"/>
                <w:color w:val="auto"/>
              </w:rPr>
            </w:pPr>
            <w:hyperlink w:anchor="page102">
              <w:r>
                <w:rPr>
                  <w:rFonts w:ascii="Arial" w:cs="Arial" w:eastAsia="Arial" w:hAnsi="Arial"/>
                  <w:sz w:val="16"/>
                  <w:szCs w:val="16"/>
                  <w:color w:val="auto"/>
                </w:rPr>
                <w:t>100</w:t>
              </w:r>
            </w:hyperlink>
          </w:p>
        </w:tc>
      </w:tr>
      <w:tr>
        <w:trPr>
          <w:trHeight w:val="1057"/>
        </w:trPr>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Note About Forward-Looking Statements</w:t>
      </w:r>
    </w:p>
    <w:p>
      <w:pPr>
        <w:spacing w:after="0" w:line="89" w:lineRule="exact"/>
        <w:rPr>
          <w:sz w:val="20"/>
          <w:szCs w:val="20"/>
          <w:color w:val="auto"/>
        </w:rPr>
      </w:pPr>
    </w:p>
    <w:p>
      <w:pPr>
        <w:ind w:firstLine="561"/>
        <w:spacing w:after="0" w:line="282" w:lineRule="auto"/>
        <w:rPr>
          <w:sz w:val="20"/>
          <w:szCs w:val="20"/>
          <w:color w:val="auto"/>
        </w:rPr>
      </w:pPr>
      <w:r>
        <w:rPr>
          <w:rFonts w:ascii="Arial" w:cs="Arial" w:eastAsia="Arial" w:hAnsi="Arial"/>
          <w:sz w:val="14"/>
          <w:szCs w:val="14"/>
          <w:color w:val="auto"/>
        </w:rPr>
        <w:t>This Annual Report on Form 10-K, including “Management’s Discussion and Analysis of Financial Condition and Results of Operations,”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the impact of the COVID-19 pandemic on our business, financial condition and results of operations;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expected cost savings; the effect of new accounting pronouncements; our ability to successfully integrate acquired businesses and technologies, including the acquired business, operations and employees of Maxim Integrated Products, Inc.;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this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w:t>
      </w:r>
    </w:p>
    <w:p>
      <w:pPr>
        <w:spacing w:after="0" w:line="354"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Overview, Strategy and Mission</w:t>
      </w:r>
    </w:p>
    <w:p>
      <w:pPr>
        <w:spacing w:after="0" w:line="124" w:lineRule="exact"/>
        <w:rPr>
          <w:sz w:val="20"/>
          <w:szCs w:val="20"/>
          <w:color w:val="auto"/>
        </w:rPr>
      </w:pPr>
    </w:p>
    <w:p>
      <w:pPr>
        <w:ind w:right="60" w:firstLine="386"/>
        <w:spacing w:after="0" w:line="290" w:lineRule="auto"/>
        <w:rPr>
          <w:sz w:val="20"/>
          <w:szCs w:val="20"/>
          <w:color w:val="auto"/>
        </w:rPr>
      </w:pPr>
      <w:r>
        <w:rPr>
          <w:rFonts w:ascii="Arial" w:cs="Arial" w:eastAsia="Arial" w:hAnsi="Arial"/>
          <w:sz w:val="14"/>
          <w:szCs w:val="14"/>
          <w:color w:val="auto"/>
        </w:rPr>
        <w:t>Analog Devices, Inc. (we, Analog Devices or the Company) is a leading global high-performance semiconductor company dedicated to solving our customers' most complex engineering challenges. We play a critical role at the intersection of the physical and digital world by providing the building blocks to sense, measure, interpret, connect and power. We design, manufacture, test and market a broad portfolio of solutions, including integrated circuits (ICs), software and subsystems that leverage high-performance analog, mixed-signal and digital signal processing technologies. Our comprehensive product portfolio, deep domain expertise and advanced manufacturing capabilities extend across high-performance precision and high-speed mixed-signal, power management and processing technologies – including data converters, amplifiers, power management, radio frequency (RF) ICs, edge processors and other sensors.</w:t>
      </w:r>
    </w:p>
    <w:p>
      <w:pPr>
        <w:spacing w:after="0" w:line="61" w:lineRule="exact"/>
        <w:rPr>
          <w:sz w:val="20"/>
          <w:szCs w:val="20"/>
          <w:color w:val="auto"/>
        </w:rPr>
      </w:pPr>
    </w:p>
    <w:p>
      <w:pPr>
        <w:ind w:right="120" w:firstLine="386"/>
        <w:spacing w:after="0" w:line="248" w:lineRule="auto"/>
        <w:rPr>
          <w:sz w:val="20"/>
          <w:szCs w:val="20"/>
          <w:color w:val="auto"/>
        </w:rPr>
      </w:pPr>
      <w:r>
        <w:rPr>
          <w:rFonts w:ascii="Arial" w:cs="Arial" w:eastAsia="Arial" w:hAnsi="Arial"/>
          <w:sz w:val="16"/>
          <w:szCs w:val="16"/>
          <w:color w:val="auto"/>
        </w:rPr>
        <w:t>The Third Wave of Information and Communications Technology, as we refer to it at Analog Devices, is characterized by ubiquitous sensing, hyper-scale and edge computing and pervasive connectivity. These technological trends are driving a continuous evolution of new generations of applications that are increasing the demand for Analog Devices’ high-performance analog, mixed-signal, power and RF ICs. We have positioned our business to capitalize on the secular growth opportunities across our markets and to deliver innovative solutions. Central to our strategy is our focus on challenges that our customers have across the most impactful application areas. That is built around the following three key priorities, which will continue to drive our long-term success:</w:t>
      </w:r>
    </w:p>
    <w:p>
      <w:pPr>
        <w:spacing w:after="0" w:line="86" w:lineRule="exact"/>
        <w:rPr>
          <w:sz w:val="20"/>
          <w:szCs w:val="20"/>
          <w:color w:val="auto"/>
        </w:rPr>
      </w:pPr>
    </w:p>
    <w:p>
      <w:pPr>
        <w:ind w:left="560" w:right="60" w:hanging="286"/>
        <w:spacing w:after="0" w:line="299" w:lineRule="auto"/>
        <w:tabs>
          <w:tab w:leader="none" w:pos="55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Efficient use of capital. </w:t>
      </w:r>
      <w:r>
        <w:rPr>
          <w:rFonts w:ascii="Arial" w:cs="Arial" w:eastAsia="Arial" w:hAnsi="Arial"/>
          <w:sz w:val="14"/>
          <w:szCs w:val="14"/>
          <w:color w:val="auto"/>
        </w:rPr>
        <w:t>Research and development (R&amp;D) is critical to continue our cycle of innovation-driven success. We target the most attractive opportunities,</w:t>
      </w:r>
      <w:r>
        <w:rPr>
          <w:rFonts w:ascii="Arial" w:cs="Arial" w:eastAsia="Arial" w:hAnsi="Arial"/>
          <w:sz w:val="14"/>
          <w:szCs w:val="14"/>
          <w:b w:val="1"/>
          <w:bCs w:val="1"/>
          <w:color w:val="auto"/>
        </w:rPr>
        <w:t xml:space="preserve"> </w:t>
      </w:r>
      <w:r>
        <w:rPr>
          <w:rFonts w:ascii="Arial" w:cs="Arial" w:eastAsia="Arial" w:hAnsi="Arial"/>
          <w:sz w:val="14"/>
          <w:szCs w:val="14"/>
          <w:color w:val="auto"/>
        </w:rPr>
        <w:t>particularly across our business-to-business (B2B) markets including Industrial, Automotive and Communications. We are also deeply committed to extracting value from our recent acquisitions to complement our R&amp;D and drive long-term value creation. Through the development of cutting-edge innovations and our ability to solve difficult problems across a broad array of applications, we generate significant cash flow and are deeply committed to delivering strong shareholder returns.</w:t>
      </w:r>
    </w:p>
    <w:p>
      <w:pPr>
        <w:spacing w:after="0" w:line="63" w:lineRule="exact"/>
        <w:rPr>
          <w:rFonts w:ascii="Arial" w:cs="Arial" w:eastAsia="Arial" w:hAnsi="Arial"/>
          <w:sz w:val="14"/>
          <w:szCs w:val="14"/>
          <w:color w:val="auto"/>
        </w:rPr>
      </w:pPr>
    </w:p>
    <w:p>
      <w:pPr>
        <w:ind w:left="560" w:right="80" w:hanging="286"/>
        <w:spacing w:after="0" w:line="250"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Deepening customer-centricity. </w:t>
      </w:r>
      <w:r>
        <w:rPr>
          <w:rFonts w:ascii="Arial" w:cs="Arial" w:eastAsia="Arial" w:hAnsi="Arial"/>
          <w:sz w:val="16"/>
          <w:szCs w:val="16"/>
          <w:color w:val="auto"/>
        </w:rPr>
        <w:t>We possess a broad range of product portfolios, applications expertise, and manufacturing capabilities in high-performance power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precision and high-speed signal processing technologies. At the same time, our engineering talent continues to be an important competitive differentiator in the semiconductor space. We strive to be the destination for the world's best engineering talent with a team of more than 11,000 engineers. Together, our products and our engineering talent enable us to partner with our customers, leveraging our analog domain expertise and receiving the full benefit of our technology capabilities to develop complete and innovative solutions.</w:t>
      </w:r>
    </w:p>
    <w:p>
      <w:pPr>
        <w:spacing w:after="0" w:line="82" w:lineRule="exact"/>
        <w:rPr>
          <w:rFonts w:ascii="Arial" w:cs="Arial" w:eastAsia="Arial" w:hAnsi="Arial"/>
          <w:sz w:val="16"/>
          <w:szCs w:val="16"/>
          <w:color w:val="auto"/>
        </w:rPr>
      </w:pPr>
    </w:p>
    <w:p>
      <w:pPr>
        <w:ind w:left="560" w:right="80" w:hanging="286"/>
        <w:spacing w:after="0" w:line="310" w:lineRule="auto"/>
        <w:tabs>
          <w:tab w:leader="none" w:pos="55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Capitalizing on secular trends. </w:t>
      </w:r>
      <w:r>
        <w:rPr>
          <w:rFonts w:ascii="Arial" w:cs="Arial" w:eastAsia="Arial" w:hAnsi="Arial"/>
          <w:sz w:val="14"/>
          <w:szCs w:val="14"/>
          <w:color w:val="auto"/>
        </w:rPr>
        <w:t>We are positioned to capitalize on important secular growth trends, including Industry 4.0, 5G communications networks, data center</w:t>
      </w:r>
      <w:r>
        <w:rPr>
          <w:rFonts w:ascii="Arial" w:cs="Arial" w:eastAsia="Arial" w:hAnsi="Arial"/>
          <w:sz w:val="14"/>
          <w:szCs w:val="14"/>
          <w:b w:val="1"/>
          <w:bCs w:val="1"/>
          <w:color w:val="auto"/>
        </w:rPr>
        <w:t xml:space="preserve"> </w:t>
      </w:r>
      <w:r>
        <w:rPr>
          <w:rFonts w:ascii="Arial" w:cs="Arial" w:eastAsia="Arial" w:hAnsi="Arial"/>
          <w:sz w:val="14"/>
          <w:szCs w:val="14"/>
          <w:color w:val="auto"/>
        </w:rPr>
        <w:t>connectivity, electric vehicles, in-cabin experience, digital healthcare and space, as we are well-aligned with the key B2B markets driving this increase in data and we will continue to be a critical partner in the collection, creation and communication of our customers’ edge data.</w:t>
      </w:r>
    </w:p>
    <w:p>
      <w:pPr>
        <w:spacing w:after="0" w:line="47" w:lineRule="exact"/>
        <w:rPr>
          <w:sz w:val="20"/>
          <w:szCs w:val="20"/>
          <w:color w:val="auto"/>
        </w:rPr>
      </w:pPr>
    </w:p>
    <w:p>
      <w:pPr>
        <w:jc w:val="both"/>
        <w:ind w:right="140" w:firstLine="386"/>
        <w:spacing w:after="0" w:line="335" w:lineRule="auto"/>
        <w:rPr>
          <w:sz w:val="20"/>
          <w:szCs w:val="20"/>
          <w:color w:val="auto"/>
        </w:rPr>
      </w:pPr>
      <w:r>
        <w:rPr>
          <w:rFonts w:ascii="Arial" w:cs="Arial" w:eastAsia="Arial" w:hAnsi="Arial"/>
          <w:sz w:val="14"/>
          <w:szCs w:val="14"/>
          <w:color w:val="auto"/>
        </w:rPr>
        <w:t>In addition to driving organic growth, our strategy involves expansion through the acquisition of businesses, assets or technologies that allow us to complement our existing product offerings, expand our market coverage, increase our engineering talent or enhance our technological capabilities. For example, we have executed on this strategy through:</w:t>
      </w:r>
    </w:p>
    <w:p>
      <w:pPr>
        <w:spacing w:after="0" w:line="42" w:lineRule="exact"/>
        <w:rPr>
          <w:sz w:val="20"/>
          <w:szCs w:val="20"/>
          <w:color w:val="auto"/>
        </w:rPr>
      </w:pPr>
    </w:p>
    <w:p>
      <w:pPr>
        <w:ind w:left="560" w:right="460" w:hanging="286"/>
        <w:spacing w:after="0" w:line="263"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acquisition of Hittite Microwave Corporation in the fiscal year ended November 1, 2014, which strengthened our market leadership in high-performance RF and broadened our portfolio across the entire frequency spectrum from DC to 100 gigahertz;</w:t>
      </w:r>
    </w:p>
    <w:p>
      <w:pPr>
        <w:spacing w:after="0" w:line="76" w:lineRule="exact"/>
        <w:rPr>
          <w:rFonts w:ascii="Arial" w:cs="Arial" w:eastAsia="Arial" w:hAnsi="Arial"/>
          <w:sz w:val="16"/>
          <w:szCs w:val="16"/>
          <w:color w:val="auto"/>
        </w:rPr>
      </w:pPr>
    </w:p>
    <w:p>
      <w:pPr>
        <w:ind w:left="560" w:right="240" w:hanging="286"/>
        <w:spacing w:after="0" w:line="335" w:lineRule="auto"/>
        <w:tabs>
          <w:tab w:leader="none" w:pos="5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acquisition of Linear Technology Corporation (Linear) in the fiscal year ended October 28, 2017, which added high-performance power management and additional precision signal processing to our portfolio, expanding and diversifying our offerings to deliver more complete solutions; and</w:t>
      </w:r>
    </w:p>
    <w:p>
      <w:pPr>
        <w:spacing w:after="0" w:line="29" w:lineRule="exact"/>
        <w:rPr>
          <w:rFonts w:ascii="Arial" w:cs="Arial" w:eastAsia="Arial" w:hAnsi="Arial"/>
          <w:sz w:val="14"/>
          <w:szCs w:val="14"/>
          <w:color w:val="auto"/>
        </w:rPr>
      </w:pPr>
    </w:p>
    <w:p>
      <w:pPr>
        <w:ind w:left="560" w:right="600" w:hanging="286"/>
        <w:spacing w:after="0" w:line="263" w:lineRule="auto"/>
        <w:tabs>
          <w:tab w:leader="none" w:pos="55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acquisition of Maxim Integrated Products, Inc. (Maxim) completed on August 26, 2021 and further described below, which strengthens our position as a high-performance analog semiconductor company.</w:t>
      </w:r>
    </w:p>
    <w:p>
      <w:pPr>
        <w:spacing w:after="0" w:line="111" w:lineRule="exact"/>
        <w:rPr>
          <w:sz w:val="20"/>
          <w:szCs w:val="20"/>
          <w:color w:val="auto"/>
        </w:rPr>
      </w:pPr>
    </w:p>
    <w:p>
      <w:pPr>
        <w:ind w:firstLine="386"/>
        <w:spacing w:after="0" w:line="246" w:lineRule="auto"/>
        <w:rPr>
          <w:sz w:val="20"/>
          <w:szCs w:val="20"/>
          <w:color w:val="auto"/>
        </w:rPr>
      </w:pPr>
      <w:r>
        <w:rPr>
          <w:rFonts w:ascii="Arial" w:cs="Arial" w:eastAsia="Arial" w:hAnsi="Arial"/>
          <w:sz w:val="16"/>
          <w:szCs w:val="16"/>
          <w:color w:val="auto"/>
        </w:rPr>
        <w:t>We were incorporated in Massachusetts in 1965 with our corporate headquarters near Boston in Wilmington, Massachusetts. We have manufacturing facilities primarily in the United States, Ireland and Southeast Asia. Our common stock is listed on the Nasdaq Global Select Market under the symbol ADI and is included in the Standard &amp; Poor’s 500 Index.</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Acquisition of Maxim Integrated Products, Inc.</w:t>
      </w:r>
    </w:p>
    <w:p>
      <w:pPr>
        <w:spacing w:after="0" w:line="124" w:lineRule="exact"/>
        <w:rPr>
          <w:sz w:val="20"/>
          <w:szCs w:val="20"/>
          <w:color w:val="auto"/>
        </w:rPr>
      </w:pPr>
    </w:p>
    <w:p>
      <w:pPr>
        <w:ind w:right="140" w:firstLine="386"/>
        <w:spacing w:after="0" w:line="250" w:lineRule="auto"/>
        <w:rPr>
          <w:sz w:val="20"/>
          <w:szCs w:val="20"/>
          <w:color w:val="auto"/>
        </w:rPr>
      </w:pPr>
      <w:r>
        <w:rPr>
          <w:rFonts w:ascii="Arial" w:cs="Arial" w:eastAsia="Arial" w:hAnsi="Arial"/>
          <w:sz w:val="16"/>
          <w:szCs w:val="16"/>
          <w:color w:val="auto"/>
        </w:rPr>
        <w:t>On August 26, 2021 (Acquisition Date), we completed the acquisition of Maxim, an independent manufacturer of innovative analog and mixed-signal products and technologies. Pursuant to the Agreement and Plan of Merger, dated as of July 12, 2020 (the Merger Agreement), Maxim stockholders received, for each outstanding share of Maxim common stock, 0.6300 of a share of the Company’s common stock as of the Acquisition Date, for total consideration of approximately $28.0 billion of our common stock. The acquisition of Maxim is referred to as the Acquisition.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12" w:lineRule="exact"/>
        <w:rPr>
          <w:sz w:val="20"/>
          <w:szCs w:val="20"/>
          <w:color w:val="auto"/>
        </w:rPr>
      </w:pPr>
    </w:p>
    <w:p>
      <w:pPr>
        <w:ind w:right="60" w:firstLine="386"/>
        <w:spacing w:after="0" w:line="286" w:lineRule="auto"/>
        <w:rPr>
          <w:sz w:val="20"/>
          <w:szCs w:val="20"/>
          <w:color w:val="auto"/>
        </w:rPr>
      </w:pPr>
      <w:r>
        <w:rPr>
          <w:rFonts w:ascii="Arial" w:cs="Arial" w:eastAsia="Arial" w:hAnsi="Arial"/>
          <w:sz w:val="14"/>
          <w:szCs w:val="14"/>
          <w:color w:val="auto"/>
        </w:rPr>
        <w:t>We maintain a website with the address www.analog.com. We are not including the information contained on our website as a part of, or incorporating it by reference into, this Annual Report on Form 10-K. We make available free of charge through our website our Annual Reports on Form 10-K, Quarterly Reports on Form 10-Q and Current Reports on Form 8-K (including exhibits), and amendments to these reports, as soon as reasonably practicable after we electronically file such material with, or furnish such material to, the Securities and Exchange Commission (SEC). We also make available on our website our by-laws, corporate governance guidelines, the charters for our audit committee, compensation committee, and nominating and corporate governance committee, our equity award granting policies, our code of business conduct and ethics which applies to our directors, officers and employees, and our related person transaction policy, and such information is available in print and free of charge to any shareholder of Analog Devices who requests it. In addition, we intend to disclose on our website any amendments to, or waivers from, our code of business conduct and ethics that are required to be publicly disclosed pursuant to rules of the SEC or Nasdaq.</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w:t>
      </w:r>
    </w:p>
    <w:p>
      <w:pPr>
        <w:spacing w:after="0" w:line="112" w:lineRule="exact"/>
        <w:rPr>
          <w:sz w:val="20"/>
          <w:szCs w:val="20"/>
          <w:color w:val="auto"/>
        </w:rPr>
      </w:pPr>
    </w:p>
    <w:p>
      <w:pPr>
        <w:ind w:right="160" w:firstLine="386"/>
        <w:spacing w:after="0" w:line="335" w:lineRule="auto"/>
        <w:rPr>
          <w:sz w:val="20"/>
          <w:szCs w:val="20"/>
          <w:color w:val="auto"/>
        </w:rPr>
      </w:pPr>
      <w:r>
        <w:rPr>
          <w:rFonts w:ascii="Arial" w:cs="Arial" w:eastAsia="Arial" w:hAnsi="Arial"/>
          <w:sz w:val="14"/>
          <w:szCs w:val="14"/>
          <w:color w:val="auto"/>
        </w:rPr>
        <w:t>Semiconductor components are the building blocks used in electronic systems and equipment. These components are classified as either discrete devices, such as individual transistors, or as ICs, in which a number of transistors and other elements are combined to form a more complicated electronic circuit.</w:t>
      </w:r>
    </w:p>
    <w:p>
      <w:pPr>
        <w:spacing w:after="0" w:line="30" w:lineRule="exact"/>
        <w:rPr>
          <w:sz w:val="20"/>
          <w:szCs w:val="20"/>
          <w:color w:val="auto"/>
        </w:rPr>
      </w:pPr>
    </w:p>
    <w:p>
      <w:pPr>
        <w:ind w:firstLine="386"/>
        <w:spacing w:after="0" w:line="288" w:lineRule="auto"/>
        <w:rPr>
          <w:sz w:val="20"/>
          <w:szCs w:val="20"/>
          <w:color w:val="auto"/>
        </w:rPr>
      </w:pPr>
      <w:r>
        <w:rPr>
          <w:rFonts w:ascii="Arial" w:cs="Arial" w:eastAsia="Arial" w:hAnsi="Arial"/>
          <w:sz w:val="14"/>
          <w:szCs w:val="14"/>
          <w:color w:val="auto"/>
        </w:rPr>
        <w:t>Our ICs are designed to address a wide range of real-world signal processing applications. We sell our ICs to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More specifically, our analog ICs monitor, condition, amplify or transform continuous analog signals associated with physical properties, such as temperature, pressure, weight, light, sound or motion, and play an important role in bridging real world phenomena to a variety of electronic systems. Analog ICs also provide voltage regulation and power control to electronic systems.</w:t>
      </w:r>
    </w:p>
    <w:p>
      <w:pPr>
        <w:spacing w:after="0" w:line="74" w:lineRule="exact"/>
        <w:rPr>
          <w:sz w:val="20"/>
          <w:szCs w:val="20"/>
          <w:color w:val="auto"/>
        </w:rPr>
      </w:pPr>
    </w:p>
    <w:p>
      <w:pPr>
        <w:ind w:right="100" w:firstLine="386"/>
        <w:spacing w:after="0" w:line="307" w:lineRule="auto"/>
        <w:rPr>
          <w:sz w:val="20"/>
          <w:szCs w:val="20"/>
          <w:color w:val="auto"/>
        </w:rPr>
      </w:pPr>
      <w:r>
        <w:rPr>
          <w:rFonts w:ascii="Arial" w:cs="Arial" w:eastAsia="Arial" w:hAnsi="Arial"/>
          <w:sz w:val="14"/>
          <w:szCs w:val="14"/>
          <w:color w:val="auto"/>
        </w:rPr>
        <w:t>We also focus on working with leading customers to design application-specific solutions. We begin with our existing core technologies, which leverage our analog and mixed signal, power management, RF and microwave, edge processors and other sensors, and devise solutions that more closely meet the needs of a specific customer or group of customers. Because we have already developed the core technology platform for our general-purpose products, we can create application-specific solutions quickly and efficiently.</w:t>
      </w:r>
    </w:p>
    <w:p>
      <w:pPr>
        <w:spacing w:after="0" w:line="49" w:lineRule="exact"/>
        <w:rPr>
          <w:sz w:val="20"/>
          <w:szCs w:val="20"/>
          <w:color w:val="auto"/>
        </w:rPr>
      </w:pPr>
    </w:p>
    <w:p>
      <w:pPr>
        <w:ind w:firstLine="386"/>
        <w:spacing w:after="0" w:line="290" w:lineRule="auto"/>
        <w:rPr>
          <w:sz w:val="20"/>
          <w:szCs w:val="20"/>
          <w:color w:val="auto"/>
        </w:rPr>
      </w:pPr>
      <w:r>
        <w:rPr>
          <w:rFonts w:ascii="Arial" w:cs="Arial" w:eastAsia="Arial" w:hAnsi="Arial"/>
          <w:sz w:val="14"/>
          <w:szCs w:val="14"/>
          <w:color w:val="auto"/>
        </w:rPr>
        <w:t>Our analog and mixed-signal IC technology has been the foundation of our business for over five decades, and we are one of the world’s largest suppliers of high-performance analog ICs. Our analog signal processing ICs are primarily high-performance devices, offering higher dynamic range, greater bandwidth, and other enhanced features. We believe that the principal advantages these products have as compared to competitors’ products include higher accuracy, higher speed, lower cost per function, smaller size, lower power consumption and fewer components, resulting in improved performance and reliability. Our product portfolio includes several thousand analog ICs, many of which can have several hundred end customers. Our analog ICs typically have long product life cycles. Our customers include original equipment manufacturers (OEMs) and customers who build electronic subsystems for integration into larger systems.</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product offerings include more than 75,000 stock keeping units (SKUs) that can be aggregated into the following general categories:</w:t>
      </w:r>
    </w:p>
    <w:p>
      <w:pPr>
        <w:spacing w:after="0" w:line="120" w:lineRule="exact"/>
        <w:rPr>
          <w:sz w:val="20"/>
          <w:szCs w:val="20"/>
          <w:color w:val="auto"/>
        </w:rPr>
      </w:pPr>
    </w:p>
    <w:p>
      <w:pPr>
        <w:ind w:left="560" w:right="280" w:hanging="286"/>
        <w:spacing w:after="0" w:line="297" w:lineRule="auto"/>
        <w:tabs>
          <w:tab w:leader="none" w:pos="556"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Analog and Mixed Signal</w:t>
      </w:r>
      <w:r>
        <w:rPr>
          <w:rFonts w:ascii="Arial" w:cs="Arial" w:eastAsia="Arial" w:hAnsi="Arial"/>
          <w:sz w:val="14"/>
          <w:szCs w:val="14"/>
          <w:color w:val="auto"/>
        </w:rPr>
        <w:t>—We are a leading supplier of data converter products. Data converters translate real-world analog signals into digital data and also translate</w:t>
      </w:r>
      <w:r>
        <w:rPr>
          <w:rFonts w:ascii="Arial" w:cs="Arial" w:eastAsia="Arial" w:hAnsi="Arial"/>
          <w:sz w:val="14"/>
          <w:szCs w:val="14"/>
          <w:i w:val="1"/>
          <w:iCs w:val="1"/>
          <w:color w:val="auto"/>
        </w:rPr>
        <w:t xml:space="preserve"> </w:t>
      </w:r>
      <w:r>
        <w:rPr>
          <w:rFonts w:ascii="Arial" w:cs="Arial" w:eastAsia="Arial" w:hAnsi="Arial"/>
          <w:sz w:val="14"/>
          <w:szCs w:val="14"/>
          <w:color w:val="auto"/>
        </w:rPr>
        <w:t>digital data into analog signals. Data converters remain our largest and most diverse product family and an area where we are continuously innovating to enable our customers to redefine and differentiate their products. Our converter products combine sampling rates and accuracy with the low noise, power, price and small package size required by industrial, automotive, consumer, and communications electronics.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5" w:name="page6"/>
    <w:bookmarkEnd w:id="5"/>
    <w:p>
      <w:pPr>
        <w:ind w:left="560" w:right="60" w:hanging="286"/>
        <w:spacing w:after="0" w:line="250"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Power Management &amp; Reference</w:t>
      </w:r>
      <w:r>
        <w:rPr>
          <w:rFonts w:ascii="Arial" w:cs="Arial" w:eastAsia="Arial" w:hAnsi="Arial"/>
          <w:sz w:val="16"/>
          <w:szCs w:val="16"/>
          <w:color w:val="auto"/>
        </w:rPr>
        <w:t>—Power management and reference products, which include functions such as power conversion, driver monitoring, sequencing and</w:t>
      </w:r>
      <w:r>
        <w:rPr>
          <w:rFonts w:ascii="Arial" w:cs="Arial" w:eastAsia="Arial" w:hAnsi="Arial"/>
          <w:sz w:val="16"/>
          <w:szCs w:val="16"/>
          <w:i w:val="1"/>
          <w:iCs w:val="1"/>
          <w:color w:val="auto"/>
        </w:rPr>
        <w:t xml:space="preserve"> </w:t>
      </w:r>
      <w:r>
        <w:rPr>
          <w:rFonts w:ascii="Arial" w:cs="Arial" w:eastAsia="Arial" w:hAnsi="Arial"/>
          <w:sz w:val="16"/>
          <w:szCs w:val="16"/>
          <w:color w:val="auto"/>
        </w:rPr>
        <w:t>energy management, provide efficient solutions for power management and conversion applications in the automotive, communications, industrial and high-end consumer markets. Our high-performance power ICs include powerful performance, integration and software design simulation tools to provide fast and accurate power supply designs.</w:t>
      </w:r>
    </w:p>
    <w:p>
      <w:pPr>
        <w:spacing w:after="0" w:line="98" w:lineRule="exact"/>
        <w:rPr>
          <w:rFonts w:ascii="Arial" w:cs="Arial" w:eastAsia="Arial" w:hAnsi="Arial"/>
          <w:sz w:val="16"/>
          <w:szCs w:val="16"/>
          <w:color w:val="auto"/>
        </w:rPr>
      </w:pPr>
    </w:p>
    <w:p>
      <w:pPr>
        <w:ind w:left="560" w:right="180" w:hanging="286"/>
        <w:spacing w:after="0" w:line="293" w:lineRule="auto"/>
        <w:tabs>
          <w:tab w:leader="none" w:pos="55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Amplifiers/Radio Frequency (RF) and Microwave</w:t>
      </w:r>
      <w:r>
        <w:rPr>
          <w:rFonts w:ascii="Arial" w:cs="Arial" w:eastAsia="Arial" w:hAnsi="Arial"/>
          <w:sz w:val="14"/>
          <w:szCs w:val="14"/>
          <w:color w:val="auto"/>
        </w:rPr>
        <w:t>—We are also a leading supplier of high-performance amplifiers which are used to condition analog signals. High</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amplifiers emphasize the performance dimensions of speed and precision. Within this product portfolio we provide precision, instrumentation, high speed, intermediate frequency/RF/microwave, broadband, and other amplifiers. Our analog product line also includes a broad portfolio of high-performance RF and microwave ICs covering the entire RF signal chain. Our high-performance RF and microwave ICs support the high-performance requirements of cellular infrastructure and a broad range of applications in our target markets, including instrumentation, aerospace and automotive.</w:t>
      </w:r>
    </w:p>
    <w:p>
      <w:pPr>
        <w:spacing w:after="0" w:line="57" w:lineRule="exact"/>
        <w:rPr>
          <w:rFonts w:ascii="Arial" w:cs="Arial" w:eastAsia="Arial" w:hAnsi="Arial"/>
          <w:sz w:val="14"/>
          <w:szCs w:val="14"/>
          <w:color w:val="auto"/>
        </w:rPr>
      </w:pPr>
    </w:p>
    <w:p>
      <w:pPr>
        <w:ind w:left="560" w:hanging="286"/>
        <w:spacing w:after="0" w:line="290" w:lineRule="auto"/>
        <w:tabs>
          <w:tab w:leader="none" w:pos="55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Sensors &amp; Actuators</w:t>
      </w:r>
      <w:r>
        <w:rPr>
          <w:rFonts w:ascii="Arial" w:cs="Arial" w:eastAsia="Arial" w:hAnsi="Arial"/>
          <w:sz w:val="14"/>
          <w:szCs w:val="14"/>
          <w:color w:val="auto"/>
        </w:rPr>
        <w:t>—Our analog technology portfolio is comprised of sensor and actuator products, including products based on MEMS technology. MEMS technology</w:t>
      </w:r>
      <w:r>
        <w:rPr>
          <w:rFonts w:ascii="Arial" w:cs="Arial" w:eastAsia="Arial" w:hAnsi="Arial"/>
          <w:sz w:val="14"/>
          <w:szCs w:val="14"/>
          <w:i w:val="1"/>
          <w:iCs w:val="1"/>
          <w:color w:val="auto"/>
        </w:rPr>
        <w:t xml:space="preserve"> </w:t>
      </w:r>
      <w:r>
        <w:rPr>
          <w:rFonts w:ascii="Arial" w:cs="Arial" w:eastAsia="Arial" w:hAnsi="Arial"/>
          <w:sz w:val="14"/>
          <w:szCs w:val="14"/>
          <w:color w:val="auto"/>
        </w:rPr>
        <w:t>enables us to build extremely small sensors that incorporate an electromechanical structure and the supporting analog circuitry for conditioning signals obtained from the sensing element. Our MEMS product portfolio includes accelerometers used to sense acceleration, gyroscopes used to sense rotation, inertial measurement units used to sense multiple degrees of freedom combining multiple sensing types along multiple axes, and broadband switches suitable for radio and instrument systems. We offer other high-performance sensors, from temperature to magnetic fields, that are deployed in a variety of systems. In addition to sensor products, our other analog product category includes isolators that enable designers to implement isolation in designs without the cost, size, power, performance, and reliability constraints found with optocouplers.</w:t>
      </w:r>
    </w:p>
    <w:p>
      <w:pPr>
        <w:spacing w:after="0" w:line="60" w:lineRule="exact"/>
        <w:rPr>
          <w:rFonts w:ascii="Arial" w:cs="Arial" w:eastAsia="Arial" w:hAnsi="Arial"/>
          <w:sz w:val="14"/>
          <w:szCs w:val="14"/>
          <w:color w:val="auto"/>
        </w:rPr>
      </w:pPr>
    </w:p>
    <w:p>
      <w:pPr>
        <w:ind w:left="560" w:right="20" w:hanging="286"/>
        <w:spacing w:after="0" w:line="247" w:lineRule="auto"/>
        <w:tabs>
          <w:tab w:leader="none" w:pos="55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Digital Signal Processing and System Products (DSPs)</w:t>
      </w:r>
      <w:r>
        <w:rPr>
          <w:rFonts w:ascii="Arial" w:cs="Arial" w:eastAsia="Arial" w:hAnsi="Arial"/>
          <w:sz w:val="16"/>
          <w:szCs w:val="16"/>
          <w:color w:val="auto"/>
        </w:rPr>
        <w:t>—DSPs are optimized for high-speed numeric calculations, which are essential for instantaneous, or real-time,</w:t>
      </w:r>
      <w:r>
        <w:rPr>
          <w:rFonts w:ascii="Arial" w:cs="Arial" w:eastAsia="Arial" w:hAnsi="Arial"/>
          <w:sz w:val="16"/>
          <w:szCs w:val="16"/>
          <w:i w:val="1"/>
          <w:iCs w:val="1"/>
          <w:color w:val="auto"/>
        </w:rPr>
        <w:t xml:space="preserve"> </w:t>
      </w:r>
      <w:r>
        <w:rPr>
          <w:rFonts w:ascii="Arial" w:cs="Arial" w:eastAsia="Arial" w:hAnsi="Arial"/>
          <w:sz w:val="16"/>
          <w:szCs w:val="16"/>
          <w:color w:val="auto"/>
        </w:rPr>
        <w:t>processing of digital data generated, in most cases, from analog to digital signal conversion. Our DSPs are designed to be fully programmable and to efficiently execute specialized software programs, or algorithms, associated with processing digitized real-time, real-world data. Programmable DSPs are designed to provide the flexibility to modify the device’s function quickly and inexpensively using software. Our general-purpose DSP IC customers typically write their own algorithms using software development tools provided by us and third-party suppliers. Our DSPs are designed in families of products that share common architectures and therefore can execute the same software across a range of products.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Channel</w:t>
      </w:r>
    </w:p>
    <w:p>
      <w:pPr>
        <w:spacing w:after="0" w:line="112" w:lineRule="exact"/>
        <w:rPr>
          <w:sz w:val="20"/>
          <w:szCs w:val="20"/>
          <w:color w:val="auto"/>
        </w:rPr>
      </w:pPr>
    </w:p>
    <w:p>
      <w:pPr>
        <w:ind w:right="80" w:firstLine="386"/>
        <w:spacing w:after="0" w:line="247" w:lineRule="auto"/>
        <w:rPr>
          <w:sz w:val="20"/>
          <w:szCs w:val="20"/>
          <w:color w:val="auto"/>
        </w:rPr>
      </w:pPr>
      <w:r>
        <w:rPr>
          <w:rFonts w:ascii="Arial" w:cs="Arial" w:eastAsia="Arial" w:hAnsi="Arial"/>
          <w:sz w:val="16"/>
          <w:szCs w:val="16"/>
          <w:color w:val="auto"/>
        </w:rPr>
        <w:t>We sell our products globally through a direct sales force, third-party distributors, independent sales representatives and via our website. We have direct sales offices, sales representatives and/or distributors in over 50 countries. We support our worldwide sales efforts through our website and with extensive promotional programs that include editorial coverage and paid advertising in online and printed trade publications, webinars, social media and communities, promotional and training videos, direct mail programs, technical seminars and participation in trade shows. We publish, share and distribute technical content such as data sheets, application guides and catalogs. We maintain a staff of field application engineers who aid customers in incorporating our products into their products. In addition, we offer a variety of web-based tools that ease product selection and aid in the design process for our customers.</w:t>
      </w:r>
    </w:p>
    <w:p>
      <w:pPr>
        <w:spacing w:after="0" w:line="92" w:lineRule="exact"/>
        <w:rPr>
          <w:sz w:val="20"/>
          <w:szCs w:val="20"/>
          <w:color w:val="auto"/>
        </w:rPr>
      </w:pPr>
    </w:p>
    <w:p>
      <w:pPr>
        <w:ind w:right="140" w:firstLine="386"/>
        <w:spacing w:after="0" w:line="253" w:lineRule="auto"/>
        <w:rPr>
          <w:sz w:val="20"/>
          <w:szCs w:val="20"/>
          <w:color w:val="auto"/>
        </w:rPr>
      </w:pPr>
      <w:r>
        <w:rPr>
          <w:rFonts w:ascii="Arial" w:cs="Arial" w:eastAsia="Arial" w:hAnsi="Arial"/>
          <w:sz w:val="16"/>
          <w:szCs w:val="16"/>
          <w:color w:val="auto"/>
        </w:rPr>
        <w:t>We believe distributors provide a cost-effective means of reaching a broad range of customers while providing efficient logistics services. From time to time, we may add or terminate distributors in specific geographies, or move customers to a direct support or fulfillment model as we deem appropriate given our strategies, the level of distributor business activity and distributor performance and financial condition.</w:t>
      </w:r>
    </w:p>
    <w:p>
      <w:pPr>
        <w:spacing w:after="0" w:line="96" w:lineRule="exact"/>
        <w:rPr>
          <w:sz w:val="20"/>
          <w:szCs w:val="20"/>
          <w:color w:val="auto"/>
        </w:rPr>
      </w:pPr>
    </w:p>
    <w:p>
      <w:pPr>
        <w:ind w:right="20" w:firstLine="386"/>
        <w:spacing w:after="0" w:line="290" w:lineRule="auto"/>
        <w:rPr>
          <w:sz w:val="20"/>
          <w:szCs w:val="20"/>
          <w:color w:val="auto"/>
        </w:rPr>
      </w:pPr>
      <w:r>
        <w:rPr>
          <w:rFonts w:ascii="Arial" w:cs="Arial" w:eastAsia="Arial" w:hAnsi="Arial"/>
          <w:sz w:val="14"/>
          <w:szCs w:val="14"/>
          <w:color w:val="auto"/>
        </w:rPr>
        <w:t xml:space="preserve">These distributors typically maintain an inventory of our products. Some of them also sell products that compete with our products, including those for which we are an alternate source. We make sales to distributors under agreements that allow certain distributors to receive price adjustment credits and to return qualifying products for credit, as determined by us, in order to reduce the amounts of slow-moving, discontinued or obsolete product from their inventory. These agreements limit such returns to a certain percentage of our shipments to that distributor during the prior quarter. In addition, certain distributors are allowed to return unsold products if we terminate the relationship with the distributor. Additional information relating to our revenue and customer concentration is set forth in Note 2l, </w:t>
      </w:r>
      <w:r>
        <w:rPr>
          <w:rFonts w:ascii="Arial" w:cs="Arial" w:eastAsia="Arial" w:hAnsi="Arial"/>
          <w:sz w:val="14"/>
          <w:szCs w:val="14"/>
          <w:i w:val="1"/>
          <w:iCs w:val="1"/>
          <w:color w:val="auto"/>
        </w:rPr>
        <w:t>Concentrations of Risk</w:t>
      </w:r>
      <w:r>
        <w:rPr>
          <w:rFonts w:ascii="Arial" w:cs="Arial" w:eastAsia="Arial" w:hAnsi="Arial"/>
          <w:sz w:val="14"/>
          <w:szCs w:val="14"/>
          <w:color w:val="auto"/>
        </w:rPr>
        <w:t xml:space="preserve">; Note 2n,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and Note 4, </w:t>
      </w:r>
      <w:r>
        <w:rPr>
          <w:rFonts w:ascii="Arial" w:cs="Arial" w:eastAsia="Arial" w:hAnsi="Arial"/>
          <w:sz w:val="14"/>
          <w:szCs w:val="14"/>
          <w:i w:val="1"/>
          <w:iCs w:val="1"/>
          <w:color w:val="auto"/>
        </w:rPr>
        <w:t>Industry, Segment and Geographic Information</w:t>
      </w:r>
      <w:r>
        <w:rPr>
          <w:rFonts w:ascii="Arial" w:cs="Arial" w:eastAsia="Arial" w:hAnsi="Arial"/>
          <w:sz w:val="14"/>
          <w:szCs w:val="14"/>
          <w:color w:val="auto"/>
        </w:rPr>
        <w:t>, of the Notes to Consolidated Financial Statements contained in Part II, Item 8 of this Annual Report on Form 10-K.</w:t>
      </w:r>
    </w:p>
    <w:p>
      <w:pPr>
        <w:spacing w:after="0" w:line="61" w:lineRule="exact"/>
        <w:rPr>
          <w:sz w:val="20"/>
          <w:szCs w:val="20"/>
          <w:color w:val="auto"/>
        </w:rPr>
      </w:pPr>
    </w:p>
    <w:p>
      <w:pPr>
        <w:jc w:val="both"/>
        <w:ind w:right="220" w:firstLine="386"/>
        <w:spacing w:after="0" w:line="253" w:lineRule="auto"/>
        <w:rPr>
          <w:sz w:val="20"/>
          <w:szCs w:val="20"/>
          <w:color w:val="auto"/>
        </w:rPr>
      </w:pPr>
      <w:r>
        <w:rPr>
          <w:rFonts w:ascii="Arial" w:cs="Arial" w:eastAsia="Arial" w:hAnsi="Arial"/>
          <w:sz w:val="16"/>
          <w:szCs w:val="16"/>
          <w:color w:val="auto"/>
        </w:rPr>
        <w:t>We typically do not have long-term sales contracts with our customers. In some of our markets where end-user demand may be particularly volatile and difficult to predict, some customers place orders that require us to manufacture product and have it available for shipment, even though the customer is unwilling to make a binding commitment to purchase all, or even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6" w:name="page7"/>
    <w:bookmarkEnd w:id="6"/>
    <w:p>
      <w:pPr>
        <w:ind w:right="80"/>
        <w:spacing w:after="0" w:line="297" w:lineRule="auto"/>
        <w:rPr>
          <w:sz w:val="20"/>
          <w:szCs w:val="20"/>
          <w:color w:val="auto"/>
        </w:rPr>
      </w:pPr>
      <w:r>
        <w:rPr>
          <w:rFonts w:ascii="Arial" w:cs="Arial" w:eastAsia="Arial" w:hAnsi="Arial"/>
          <w:sz w:val="14"/>
          <w:szCs w:val="14"/>
          <w:color w:val="auto"/>
        </w:rPr>
        <w:t>any, of the product. In other instances, we manufacture product based on forecasts of customer demand. As a result, we may incur inventory and manufacturing costs in advance of anticipated sales and are subject to the risk of cancellation of orders leading to a sharp reduction of sales and backlog. Further, those orders or forecasts may be for products that meet the customer’s unique requirements so that those canceled orders would, in addition, result in an inventory of unsaleable products, resulting in potential inventory write-offs. As a result of lengthy manufacturing cycles for some of our products that are subject to these uncertainties, the amount of unsaleable product could be substantial.</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breakdown of our annual revenue by end market is set out in the table below:</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8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End Market*</w:t>
            </w:r>
          </w:p>
        </w:tc>
        <w:tc>
          <w:tcPr>
            <w:tcW w:w="1540" w:type="dxa"/>
            <w:vAlign w:val="bottom"/>
            <w:gridSpan w:val="2"/>
          </w:tcPr>
          <w:p>
            <w:pPr>
              <w:jc w:val="center"/>
              <w:ind w:left="187"/>
              <w:spacing w:after="0"/>
              <w:rPr>
                <w:sz w:val="20"/>
                <w:szCs w:val="20"/>
                <w:color w:val="auto"/>
              </w:rPr>
            </w:pPr>
            <w:r>
              <w:rPr>
                <w:rFonts w:ascii="Arial" w:cs="Arial" w:eastAsia="Arial" w:hAnsi="Arial"/>
                <w:sz w:val="12"/>
                <w:szCs w:val="12"/>
                <w:b w:val="1"/>
                <w:bCs w:val="1"/>
                <w:color w:val="auto"/>
                <w:w w:val="91"/>
              </w:rPr>
              <w:t>Percent of Fiscal</w:t>
            </w:r>
          </w:p>
        </w:tc>
        <w:tc>
          <w:tcPr>
            <w:tcW w:w="1740" w:type="dxa"/>
            <w:vAlign w:val="bottom"/>
          </w:tcPr>
          <w:p>
            <w:pPr>
              <w:jc w:val="right"/>
              <w:spacing w:after="0"/>
              <w:rPr>
                <w:sz w:val="20"/>
                <w:szCs w:val="20"/>
                <w:color w:val="auto"/>
              </w:rPr>
            </w:pPr>
            <w:r>
              <w:rPr>
                <w:rFonts w:ascii="Arial" w:cs="Arial" w:eastAsia="Arial" w:hAnsi="Arial"/>
                <w:sz w:val="12"/>
                <w:szCs w:val="12"/>
                <w:b w:val="1"/>
                <w:bCs w:val="1"/>
                <w:color w:val="auto"/>
              </w:rPr>
              <w:t>Percent of Fiscal 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2"/>
                <w:szCs w:val="12"/>
                <w:b w:val="1"/>
                <w:bCs w:val="1"/>
                <w:color w:val="auto"/>
              </w:rPr>
              <w:t>Percent of Fiscal 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gridSpan w:val="2"/>
            <w:vMerge w:val="continue"/>
          </w:tcPr>
          <w:p>
            <w:pPr>
              <w:spacing w:after="0"/>
              <w:rPr>
                <w:sz w:val="14"/>
                <w:szCs w:val="14"/>
                <w:color w:val="auto"/>
              </w:rPr>
            </w:pPr>
          </w:p>
        </w:tc>
        <w:tc>
          <w:tcPr>
            <w:tcW w:w="1540" w:type="dxa"/>
            <w:vAlign w:val="bottom"/>
            <w:gridSpan w:val="2"/>
          </w:tcPr>
          <w:p>
            <w:pPr>
              <w:ind w:left="340"/>
              <w:spacing w:after="0"/>
              <w:rPr>
                <w:sz w:val="20"/>
                <w:szCs w:val="20"/>
                <w:color w:val="auto"/>
              </w:rPr>
            </w:pPr>
            <w:r>
              <w:rPr>
                <w:rFonts w:ascii="Arial" w:cs="Arial" w:eastAsia="Arial" w:hAnsi="Arial"/>
                <w:sz w:val="12"/>
                <w:szCs w:val="12"/>
                <w:b w:val="1"/>
                <w:bCs w:val="1"/>
                <w:color w:val="auto"/>
              </w:rPr>
              <w:t>2021 Revenue</w:t>
            </w:r>
          </w:p>
        </w:tc>
        <w:tc>
          <w:tcPr>
            <w:tcW w:w="1740" w:type="dxa"/>
            <w:vAlign w:val="bottom"/>
          </w:tcPr>
          <w:p>
            <w:pPr>
              <w:jc w:val="right"/>
              <w:ind w:right="487"/>
              <w:spacing w:after="0"/>
              <w:rPr>
                <w:sz w:val="20"/>
                <w:szCs w:val="20"/>
                <w:color w:val="auto"/>
              </w:rPr>
            </w:pPr>
            <w:r>
              <w:rPr>
                <w:rFonts w:ascii="Arial" w:cs="Arial" w:eastAsia="Arial" w:hAnsi="Arial"/>
                <w:sz w:val="12"/>
                <w:szCs w:val="12"/>
                <w:b w:val="1"/>
                <w:bCs w:val="1"/>
                <w:color w:val="auto"/>
              </w:rPr>
              <w:t>Revenue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jc w:val="right"/>
              <w:ind w:right="507"/>
              <w:spacing w:after="0"/>
              <w:rPr>
                <w:sz w:val="20"/>
                <w:szCs w:val="20"/>
                <w:color w:val="auto"/>
              </w:rPr>
            </w:pPr>
            <w:r>
              <w:rPr>
                <w:rFonts w:ascii="Arial" w:cs="Arial" w:eastAsia="Arial" w:hAnsi="Arial"/>
                <w:sz w:val="12"/>
                <w:szCs w:val="12"/>
                <w:b w:val="1"/>
                <w:bCs w:val="1"/>
                <w:color w:val="auto"/>
              </w:rPr>
              <w:t>Revenue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66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Industrial</w:t>
            </w:r>
          </w:p>
        </w:tc>
        <w:tc>
          <w:tcPr>
            <w:tcW w:w="120" w:type="dxa"/>
            <w:vAlign w:val="bottom"/>
          </w:tcPr>
          <w:p>
            <w:pPr>
              <w:spacing w:after="0"/>
              <w:rPr>
                <w:sz w:val="16"/>
                <w:szCs w:val="16"/>
                <w:color w:val="auto"/>
              </w:rPr>
            </w:pPr>
          </w:p>
        </w:tc>
        <w:tc>
          <w:tcPr>
            <w:tcW w:w="1420" w:type="dxa"/>
            <w:vAlign w:val="bottom"/>
            <w:tcBorders>
              <w:top w:val="single" w:sz="8" w:color="auto"/>
            </w:tcBorders>
          </w:tcPr>
          <w:p>
            <w:pPr>
              <w:jc w:val="center"/>
              <w:ind w:left="307"/>
              <w:spacing w:after="0"/>
              <w:rPr>
                <w:sz w:val="20"/>
                <w:szCs w:val="20"/>
                <w:color w:val="auto"/>
              </w:rPr>
            </w:pPr>
            <w:r>
              <w:rPr>
                <w:rFonts w:ascii="Arial" w:cs="Arial" w:eastAsia="Arial" w:hAnsi="Arial"/>
                <w:sz w:val="16"/>
                <w:szCs w:val="16"/>
                <w:color w:val="auto"/>
                <w:w w:val="87"/>
              </w:rPr>
              <w:t>55%</w:t>
            </w:r>
          </w:p>
        </w:tc>
        <w:tc>
          <w:tcPr>
            <w:tcW w:w="120" w:type="dxa"/>
            <w:vAlign w:val="bottom"/>
          </w:tcPr>
          <w:p>
            <w:pPr>
              <w:spacing w:after="0"/>
              <w:rPr>
                <w:sz w:val="16"/>
                <w:szCs w:val="16"/>
                <w:color w:val="auto"/>
              </w:rPr>
            </w:pPr>
          </w:p>
        </w:tc>
        <w:tc>
          <w:tcPr>
            <w:tcW w:w="1740" w:type="dxa"/>
            <w:vAlign w:val="bottom"/>
            <w:tcBorders>
              <w:top w:val="single" w:sz="8" w:color="auto"/>
            </w:tcBorders>
          </w:tcPr>
          <w:p>
            <w:pPr>
              <w:jc w:val="right"/>
              <w:ind w:right="347"/>
              <w:spacing w:after="0"/>
              <w:rPr>
                <w:sz w:val="20"/>
                <w:szCs w:val="20"/>
                <w:color w:val="auto"/>
              </w:rPr>
            </w:pPr>
            <w:r>
              <w:rPr>
                <w:rFonts w:ascii="Arial" w:cs="Arial" w:eastAsia="Arial" w:hAnsi="Arial"/>
                <w:sz w:val="16"/>
                <w:szCs w:val="16"/>
                <w:color w:val="auto"/>
              </w:rPr>
              <w:t>54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6"/>
                <w:szCs w:val="16"/>
                <w:color w:val="auto"/>
              </w:rPr>
            </w:pPr>
          </w:p>
        </w:tc>
        <w:tc>
          <w:tcPr>
            <w:tcW w:w="1760" w:type="dxa"/>
            <w:vAlign w:val="bottom"/>
            <w:tcBorders>
              <w:top w:val="single" w:sz="8" w:color="auto"/>
            </w:tcBorders>
          </w:tcPr>
          <w:p>
            <w:pPr>
              <w:jc w:val="right"/>
              <w:ind w:right="347"/>
              <w:spacing w:after="0"/>
              <w:rPr>
                <w:sz w:val="20"/>
                <w:szCs w:val="20"/>
                <w:color w:val="auto"/>
              </w:rPr>
            </w:pPr>
            <w:r>
              <w:rPr>
                <w:rFonts w:ascii="Arial" w:cs="Arial" w:eastAsia="Arial" w:hAnsi="Arial"/>
                <w:sz w:val="16"/>
                <w:szCs w:val="16"/>
                <w:color w:val="auto"/>
              </w:rPr>
              <w:t>50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9"/>
        </w:trPr>
        <w:tc>
          <w:tcPr>
            <w:tcW w:w="5780" w:type="dxa"/>
            <w:vAlign w:val="bottom"/>
            <w:gridSpan w:val="2"/>
          </w:tcPr>
          <w:p>
            <w:pPr>
              <w:ind w:left="400"/>
              <w:spacing w:after="0"/>
              <w:rPr>
                <w:sz w:val="20"/>
                <w:szCs w:val="20"/>
                <w:color w:val="auto"/>
              </w:rPr>
            </w:pPr>
            <w:r>
              <w:rPr>
                <w:rFonts w:ascii="Arial" w:cs="Arial" w:eastAsia="Arial" w:hAnsi="Arial"/>
                <w:sz w:val="16"/>
                <w:szCs w:val="16"/>
                <w:color w:val="auto"/>
              </w:rPr>
              <w:t>Automotive</w:t>
            </w:r>
          </w:p>
        </w:tc>
        <w:tc>
          <w:tcPr>
            <w:tcW w:w="1420" w:type="dxa"/>
            <w:vAlign w:val="bottom"/>
          </w:tcPr>
          <w:p>
            <w:pPr>
              <w:jc w:val="center"/>
              <w:ind w:left="307"/>
              <w:spacing w:after="0"/>
              <w:rPr>
                <w:sz w:val="20"/>
                <w:szCs w:val="20"/>
                <w:color w:val="auto"/>
              </w:rPr>
            </w:pPr>
            <w:r>
              <w:rPr>
                <w:rFonts w:ascii="Arial" w:cs="Arial" w:eastAsia="Arial" w:hAnsi="Arial"/>
                <w:sz w:val="16"/>
                <w:szCs w:val="16"/>
                <w:color w:val="auto"/>
                <w:w w:val="87"/>
              </w:rPr>
              <w:t>17%</w:t>
            </w:r>
          </w:p>
        </w:tc>
        <w:tc>
          <w:tcPr>
            <w:tcW w:w="120" w:type="dxa"/>
            <w:vAlign w:val="bottom"/>
          </w:tcPr>
          <w:p>
            <w:pPr>
              <w:spacing w:after="0"/>
              <w:rPr>
                <w:sz w:val="17"/>
                <w:szCs w:val="17"/>
                <w:color w:val="auto"/>
              </w:rPr>
            </w:pPr>
          </w:p>
        </w:tc>
        <w:tc>
          <w:tcPr>
            <w:tcW w:w="1740" w:type="dxa"/>
            <w:vAlign w:val="bottom"/>
          </w:tcPr>
          <w:p>
            <w:pPr>
              <w:jc w:val="right"/>
              <w:ind w:right="347"/>
              <w:spacing w:after="0"/>
              <w:rPr>
                <w:sz w:val="20"/>
                <w:szCs w:val="20"/>
                <w:color w:val="auto"/>
              </w:rPr>
            </w:pPr>
            <w:r>
              <w:rPr>
                <w:rFonts w:ascii="Arial" w:cs="Arial" w:eastAsia="Arial" w:hAnsi="Arial"/>
                <w:sz w:val="16"/>
                <w:szCs w:val="16"/>
                <w:color w:val="auto"/>
              </w:rPr>
              <w:t>14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7"/>
                <w:szCs w:val="17"/>
                <w:color w:val="auto"/>
              </w:rPr>
            </w:pPr>
          </w:p>
        </w:tc>
        <w:tc>
          <w:tcPr>
            <w:tcW w:w="1760" w:type="dxa"/>
            <w:vAlign w:val="bottom"/>
          </w:tcPr>
          <w:p>
            <w:pPr>
              <w:jc w:val="right"/>
              <w:ind w:right="347"/>
              <w:spacing w:after="0"/>
              <w:rPr>
                <w:sz w:val="20"/>
                <w:szCs w:val="20"/>
                <w:color w:val="auto"/>
              </w:rPr>
            </w:pPr>
            <w:r>
              <w:rPr>
                <w:rFonts w:ascii="Arial" w:cs="Arial" w:eastAsia="Arial" w:hAnsi="Arial"/>
                <w:sz w:val="16"/>
                <w:szCs w:val="16"/>
                <w:color w:val="auto"/>
              </w:rPr>
              <w:t>16</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9"/>
        </w:trPr>
        <w:tc>
          <w:tcPr>
            <w:tcW w:w="5780" w:type="dxa"/>
            <w:vAlign w:val="bottom"/>
            <w:gridSpan w:val="2"/>
          </w:tcPr>
          <w:p>
            <w:pPr>
              <w:ind w:left="400"/>
              <w:spacing w:after="0"/>
              <w:rPr>
                <w:sz w:val="20"/>
                <w:szCs w:val="20"/>
                <w:color w:val="auto"/>
              </w:rPr>
            </w:pPr>
            <w:r>
              <w:rPr>
                <w:rFonts w:ascii="Arial" w:cs="Arial" w:eastAsia="Arial" w:hAnsi="Arial"/>
                <w:sz w:val="16"/>
                <w:szCs w:val="16"/>
                <w:color w:val="auto"/>
              </w:rPr>
              <w:t>Communications</w:t>
            </w:r>
          </w:p>
        </w:tc>
        <w:tc>
          <w:tcPr>
            <w:tcW w:w="1420" w:type="dxa"/>
            <w:vAlign w:val="bottom"/>
          </w:tcPr>
          <w:p>
            <w:pPr>
              <w:jc w:val="center"/>
              <w:ind w:left="307"/>
              <w:spacing w:after="0"/>
              <w:rPr>
                <w:sz w:val="20"/>
                <w:szCs w:val="20"/>
                <w:color w:val="auto"/>
              </w:rPr>
            </w:pPr>
            <w:r>
              <w:rPr>
                <w:rFonts w:ascii="Arial" w:cs="Arial" w:eastAsia="Arial" w:hAnsi="Arial"/>
                <w:sz w:val="16"/>
                <w:szCs w:val="16"/>
                <w:color w:val="auto"/>
                <w:w w:val="87"/>
              </w:rPr>
              <w:t>16%</w:t>
            </w:r>
          </w:p>
        </w:tc>
        <w:tc>
          <w:tcPr>
            <w:tcW w:w="120" w:type="dxa"/>
            <w:vAlign w:val="bottom"/>
          </w:tcPr>
          <w:p>
            <w:pPr>
              <w:spacing w:after="0"/>
              <w:rPr>
                <w:sz w:val="17"/>
                <w:szCs w:val="17"/>
                <w:color w:val="auto"/>
              </w:rPr>
            </w:pPr>
          </w:p>
        </w:tc>
        <w:tc>
          <w:tcPr>
            <w:tcW w:w="1740" w:type="dxa"/>
            <w:vAlign w:val="bottom"/>
          </w:tcPr>
          <w:p>
            <w:pPr>
              <w:jc w:val="right"/>
              <w:ind w:right="347"/>
              <w:spacing w:after="0"/>
              <w:rPr>
                <w:sz w:val="20"/>
                <w:szCs w:val="20"/>
                <w:color w:val="auto"/>
              </w:rPr>
            </w:pPr>
            <w:r>
              <w:rPr>
                <w:rFonts w:ascii="Arial" w:cs="Arial" w:eastAsia="Arial" w:hAnsi="Arial"/>
                <w:sz w:val="16"/>
                <w:szCs w:val="16"/>
                <w:color w:val="auto"/>
              </w:rPr>
              <w:t>21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7"/>
                <w:szCs w:val="17"/>
                <w:color w:val="auto"/>
              </w:rPr>
            </w:pPr>
          </w:p>
        </w:tc>
        <w:tc>
          <w:tcPr>
            <w:tcW w:w="1760" w:type="dxa"/>
            <w:vAlign w:val="bottom"/>
          </w:tcPr>
          <w:p>
            <w:pPr>
              <w:jc w:val="right"/>
              <w:ind w:right="347"/>
              <w:spacing w:after="0"/>
              <w:rPr>
                <w:sz w:val="20"/>
                <w:szCs w:val="20"/>
                <w:color w:val="auto"/>
              </w:rPr>
            </w:pPr>
            <w:r>
              <w:rPr>
                <w:rFonts w:ascii="Arial" w:cs="Arial" w:eastAsia="Arial" w:hAnsi="Arial"/>
                <w:sz w:val="16"/>
                <w:szCs w:val="16"/>
                <w:color w:val="auto"/>
              </w:rPr>
              <w:t>22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9"/>
        </w:trPr>
        <w:tc>
          <w:tcPr>
            <w:tcW w:w="5780" w:type="dxa"/>
            <w:vAlign w:val="bottom"/>
            <w:gridSpan w:val="2"/>
          </w:tcPr>
          <w:p>
            <w:pPr>
              <w:ind w:left="400"/>
              <w:spacing w:after="0"/>
              <w:rPr>
                <w:sz w:val="20"/>
                <w:szCs w:val="20"/>
                <w:color w:val="auto"/>
              </w:rPr>
            </w:pPr>
            <w:r>
              <w:rPr>
                <w:rFonts w:ascii="Arial" w:cs="Arial" w:eastAsia="Arial" w:hAnsi="Arial"/>
                <w:sz w:val="16"/>
                <w:szCs w:val="16"/>
                <w:color w:val="auto"/>
              </w:rPr>
              <w:t>Consumer</w:t>
            </w:r>
          </w:p>
        </w:tc>
        <w:tc>
          <w:tcPr>
            <w:tcW w:w="1420" w:type="dxa"/>
            <w:vAlign w:val="bottom"/>
          </w:tcPr>
          <w:p>
            <w:pPr>
              <w:jc w:val="center"/>
              <w:ind w:left="307"/>
              <w:spacing w:after="0"/>
              <w:rPr>
                <w:sz w:val="20"/>
                <w:szCs w:val="20"/>
                <w:color w:val="auto"/>
              </w:rPr>
            </w:pPr>
            <w:r>
              <w:rPr>
                <w:rFonts w:ascii="Arial" w:cs="Arial" w:eastAsia="Arial" w:hAnsi="Arial"/>
                <w:sz w:val="16"/>
                <w:szCs w:val="16"/>
                <w:color w:val="auto"/>
                <w:w w:val="87"/>
              </w:rPr>
              <w:t>12%</w:t>
            </w:r>
          </w:p>
        </w:tc>
        <w:tc>
          <w:tcPr>
            <w:tcW w:w="120" w:type="dxa"/>
            <w:vAlign w:val="bottom"/>
          </w:tcPr>
          <w:p>
            <w:pPr>
              <w:spacing w:after="0"/>
              <w:rPr>
                <w:sz w:val="17"/>
                <w:szCs w:val="17"/>
                <w:color w:val="auto"/>
              </w:rPr>
            </w:pPr>
          </w:p>
        </w:tc>
        <w:tc>
          <w:tcPr>
            <w:tcW w:w="1740" w:type="dxa"/>
            <w:vAlign w:val="bottom"/>
          </w:tcPr>
          <w:p>
            <w:pPr>
              <w:jc w:val="right"/>
              <w:ind w:right="347"/>
              <w:spacing w:after="0"/>
              <w:rPr>
                <w:sz w:val="20"/>
                <w:szCs w:val="20"/>
                <w:color w:val="auto"/>
              </w:rPr>
            </w:pPr>
            <w:r>
              <w:rPr>
                <w:rFonts w:ascii="Arial" w:cs="Arial" w:eastAsia="Arial" w:hAnsi="Arial"/>
                <w:sz w:val="16"/>
                <w:szCs w:val="16"/>
                <w:color w:val="auto"/>
              </w:rPr>
              <w:t>11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7"/>
                <w:szCs w:val="17"/>
                <w:color w:val="auto"/>
              </w:rPr>
            </w:pPr>
          </w:p>
        </w:tc>
        <w:tc>
          <w:tcPr>
            <w:tcW w:w="1760" w:type="dxa"/>
            <w:vAlign w:val="bottom"/>
          </w:tcPr>
          <w:p>
            <w:pPr>
              <w:jc w:val="right"/>
              <w:ind w:right="347"/>
              <w:spacing w:after="0"/>
              <w:rPr>
                <w:sz w:val="20"/>
                <w:szCs w:val="20"/>
                <w:color w:val="auto"/>
              </w:rPr>
            </w:pPr>
            <w:r>
              <w:rPr>
                <w:rFonts w:ascii="Arial" w:cs="Arial" w:eastAsia="Arial" w:hAnsi="Arial"/>
                <w:sz w:val="16"/>
                <w:szCs w:val="16"/>
                <w:color w:val="auto"/>
              </w:rPr>
              <w:t>13</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individual percentages may not equal 100% due to rounding.</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describes some of the characteristics of, and customer products within, our major end markets of Industrial, Automotive, Communications and Consumer:</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 xml:space="preserve">Industrial </w:t>
      </w:r>
      <w:r>
        <w:rPr>
          <w:rFonts w:ascii="Arial" w:cs="Arial" w:eastAsia="Arial" w:hAnsi="Arial"/>
          <w:sz w:val="16"/>
          <w:szCs w:val="16"/>
          <w:color w:val="auto"/>
        </w:rPr>
        <w:t>— Our industrial market includes the following sectors:</w:t>
      </w:r>
    </w:p>
    <w:p>
      <w:pPr>
        <w:spacing w:after="0" w:line="108" w:lineRule="exact"/>
        <w:rPr>
          <w:sz w:val="20"/>
          <w:szCs w:val="20"/>
          <w:color w:val="auto"/>
        </w:rPr>
      </w:pPr>
    </w:p>
    <w:p>
      <w:pPr>
        <w:ind w:right="60" w:firstLine="386"/>
        <w:spacing w:after="0" w:line="248" w:lineRule="auto"/>
        <w:rPr>
          <w:sz w:val="20"/>
          <w:szCs w:val="20"/>
          <w:color w:val="auto"/>
        </w:rPr>
      </w:pPr>
      <w:r>
        <w:rPr>
          <w:rFonts w:ascii="Arial" w:cs="Arial" w:eastAsia="Arial" w:hAnsi="Arial"/>
          <w:sz w:val="16"/>
          <w:szCs w:val="16"/>
          <w:i w:val="1"/>
          <w:iCs w:val="1"/>
          <w:color w:val="auto"/>
        </w:rPr>
        <w:t xml:space="preserve">Industrial Automation </w:t>
      </w:r>
      <w:r>
        <w:rPr>
          <w:rFonts w:ascii="Arial" w:cs="Arial" w:eastAsia="Arial" w:hAnsi="Arial"/>
          <w:sz w:val="16"/>
          <w:szCs w:val="16"/>
          <w:color w:val="auto"/>
        </w:rPr>
        <w:t>— We are a leader in industrial automation because we deliver robust, high performance solutions that impact our planet and people—from our deep</w:t>
      </w:r>
      <w:r>
        <w:rPr>
          <w:rFonts w:ascii="Arial" w:cs="Arial" w:eastAsia="Arial" w:hAnsi="Arial"/>
          <w:sz w:val="16"/>
          <w:szCs w:val="16"/>
          <w:i w:val="1"/>
          <w:iCs w:val="1"/>
          <w:color w:val="auto"/>
        </w:rPr>
        <w:t xml:space="preserve"> </w:t>
      </w:r>
      <w:r>
        <w:rPr>
          <w:rFonts w:ascii="Arial" w:cs="Arial" w:eastAsia="Arial" w:hAnsi="Arial"/>
          <w:sz w:val="16"/>
          <w:szCs w:val="16"/>
          <w:color w:val="auto"/>
        </w:rPr>
        <w:t>motion and process control expertise and precision sensing measurement and interpretation, to expansive connectivity and power capabilities. We take real-world phenomena in the most complex environments on the factory floor, and translate it into valuable insights and outcomes. We co-create with customers to architect robotics systems and solutions that improve dynamic behavior and precision while enhancing worker safety, machine health, and manufacturing flexibility—delivering energy efficiency and sustainability. Our industrial automation market includes applications such as:</w:t>
      </w:r>
    </w:p>
    <w:p>
      <w:pPr>
        <w:sectPr>
          <w:pgSz w:w="11900" w:h="16838" w:orient="portrait"/>
          <w:cols w:equalWidth="0" w:num="1">
            <w:col w:w="11260"/>
          </w:cols>
          <w:pgMar w:left="320" w:top="899" w:right="319" w:bottom="1440" w:gutter="0" w:footer="0" w:header="0"/>
        </w:sectPr>
      </w:pPr>
    </w:p>
    <w:p>
      <w:pPr>
        <w:spacing w:after="0" w:line="2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Condition-based monitoring (CbM)</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Industrial robotics</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Factory and process control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Industrial power supplies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Industrial motion control</w:t>
      </w:r>
    </w:p>
    <w:p>
      <w:pPr>
        <w:spacing w:after="0" w:line="411" w:lineRule="exact"/>
        <w:rPr>
          <w:sz w:val="20"/>
          <w:szCs w:val="20"/>
          <w:color w:val="auto"/>
        </w:rPr>
      </w:pPr>
    </w:p>
    <w:p>
      <w:pPr>
        <w:sectPr>
          <w:pgSz w:w="11900" w:h="16838" w:orient="portrait"/>
          <w:cols w:equalWidth="0" w:num="2">
            <w:col w:w="5520" w:space="720"/>
            <w:col w:w="5020"/>
          </w:cols>
          <w:pgMar w:left="320" w:top="899" w:right="319" w:bottom="1440" w:gutter="0" w:footer="0" w:header="0"/>
          <w:type w:val="continuous"/>
        </w:sectPr>
      </w:pPr>
    </w:p>
    <w:p>
      <w:pPr>
        <w:ind w:right="40" w:firstLine="386"/>
        <w:spacing w:after="0" w:line="289" w:lineRule="auto"/>
        <w:rPr>
          <w:sz w:val="20"/>
          <w:szCs w:val="20"/>
          <w:color w:val="auto"/>
        </w:rPr>
      </w:pPr>
      <w:r>
        <w:rPr>
          <w:rFonts w:ascii="Arial" w:cs="Arial" w:eastAsia="Arial" w:hAnsi="Arial"/>
          <w:sz w:val="14"/>
          <w:szCs w:val="14"/>
          <w:i w:val="1"/>
          <w:iCs w:val="1"/>
          <w:color w:val="auto"/>
        </w:rPr>
        <w:t xml:space="preserve">Instrumentation &amp; Measurement </w:t>
      </w:r>
      <w:r>
        <w:rPr>
          <w:rFonts w:ascii="Arial" w:cs="Arial" w:eastAsia="Arial" w:hAnsi="Arial"/>
          <w:sz w:val="14"/>
          <w:szCs w:val="14"/>
          <w:color w:val="auto"/>
        </w:rPr>
        <w:t>— Advances in wireless communication technology, autonomous vehicles, energy storage, human machine interfaces and cloud-connected</w:t>
      </w:r>
      <w:r>
        <w:rPr>
          <w:rFonts w:ascii="Arial" w:cs="Arial" w:eastAsia="Arial" w:hAnsi="Arial"/>
          <w:sz w:val="14"/>
          <w:szCs w:val="14"/>
          <w:i w:val="1"/>
          <w:iCs w:val="1"/>
          <w:color w:val="auto"/>
        </w:rPr>
        <w:t xml:space="preserve"> </w:t>
      </w:r>
      <w:r>
        <w:rPr>
          <w:rFonts w:ascii="Arial" w:cs="Arial" w:eastAsia="Arial" w:hAnsi="Arial"/>
          <w:sz w:val="14"/>
          <w:szCs w:val="14"/>
          <w:color w:val="auto"/>
        </w:rPr>
        <w:t>sensors that help form the Internet of Things are driving the demand for faster and more precise measurement capabilities in smaller form-factors. Our semiconductors and advanced packaging technologies form the foundation of next-generation electronic test and measurement solutions for measuring the electrical parameters in applications such as these, enabling the research, development and production of future electronic systems. In addition, our ICs have set the standard for precision in battery formation and test, which is critical for ensuring battery quality and safety in electric vehicles. Our instrumentation and measurement market includes applications such as:</w:t>
      </w:r>
    </w:p>
    <w:p>
      <w:pPr>
        <w:sectPr>
          <w:pgSz w:w="11900" w:h="16838" w:orient="portrait"/>
          <w:cols w:equalWidth="0" w:num="1">
            <w:col w:w="11260"/>
          </w:cols>
          <w:pgMar w:left="320" w:top="899" w:right="319" w:bottom="1440" w:gutter="0" w:footer="0" w:header="0"/>
          <w:type w:val="continuous"/>
        </w:sectPr>
      </w:pPr>
    </w:p>
    <w:p>
      <w:pPr>
        <w:spacing w:after="0" w:line="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Automated test equipment</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Weigh scales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Battery formation and test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Chemical analysis and analytical instruments</w:t>
      </w:r>
    </w:p>
    <w:p>
      <w:pPr>
        <w:spacing w:after="0" w:line="212" w:lineRule="exact"/>
        <w:rPr>
          <w:sz w:val="20"/>
          <w:szCs w:val="20"/>
          <w:color w:val="auto"/>
        </w:rPr>
      </w:pPr>
    </w:p>
    <w:p>
      <w:pPr>
        <w:sectPr>
          <w:pgSz w:w="11900" w:h="16838" w:orient="portrait"/>
          <w:cols w:equalWidth="0" w:num="2">
            <w:col w:w="5520" w:space="720"/>
            <w:col w:w="5020"/>
          </w:cols>
          <w:pgMar w:left="320" w:top="899" w:right="319" w:bottom="1440" w:gutter="0" w:footer="0" w:header="0"/>
          <w:type w:val="continuous"/>
        </w:sectPr>
      </w:pPr>
    </w:p>
    <w:p>
      <w:pPr>
        <w:ind w:right="100" w:firstLine="386"/>
        <w:spacing w:after="0" w:line="247" w:lineRule="auto"/>
        <w:rPr>
          <w:sz w:val="20"/>
          <w:szCs w:val="20"/>
          <w:color w:val="auto"/>
        </w:rPr>
      </w:pPr>
      <w:r>
        <w:rPr>
          <w:rFonts w:ascii="Arial" w:cs="Arial" w:eastAsia="Arial" w:hAnsi="Arial"/>
          <w:sz w:val="16"/>
          <w:szCs w:val="16"/>
          <w:i w:val="1"/>
          <w:iCs w:val="1"/>
          <w:color w:val="auto"/>
        </w:rPr>
        <w:t xml:space="preserve">Aerospace/Defense </w:t>
      </w:r>
      <w:r>
        <w:rPr>
          <w:rFonts w:ascii="Arial" w:cs="Arial" w:eastAsia="Arial" w:hAnsi="Arial"/>
          <w:sz w:val="16"/>
          <w:szCs w:val="16"/>
          <w:color w:val="auto"/>
        </w:rPr>
        <w:t>— The defense, commercial avionics and space markets all require high-performance ICs that meet rigorous environmental and reliability specifications.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Many of our ICs can be supplied in versions that meet these standards. In addition, many products can be supplied to meet the standards required for broadcast satellites and other commercial space applications. Most of our products sold in this market are specially tested versions of products derived from our standard product offering. As end systems are becoming more complex, many of our customers in this market also look for us to provide higher levels of integration in order to minimize size, weight and power and to improve ease-of-use. As such, we also sell products in the form of SiPs (system in package), printed circuit board assemblies, modules, and subsystems. Customer products include applications such as: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60" w:type="dxa"/>
            <w:vAlign w:val="bottom"/>
          </w:tcPr>
          <w:p>
            <w:pPr>
              <w:ind w:left="400"/>
              <w:spacing w:after="0"/>
              <w:rPr>
                <w:sz w:val="20"/>
                <w:szCs w:val="20"/>
                <w:color w:val="auto"/>
              </w:rPr>
            </w:pPr>
            <w:r>
              <w:rPr>
                <w:rFonts w:ascii="Arial" w:cs="Arial" w:eastAsia="Arial" w:hAnsi="Arial"/>
                <w:sz w:val="16"/>
                <w:szCs w:val="16"/>
                <w:color w:val="auto"/>
              </w:rPr>
              <w:t>• Navigation systems</w:t>
            </w:r>
          </w:p>
        </w:tc>
        <w:tc>
          <w:tcPr>
            <w:tcW w:w="7100" w:type="dxa"/>
            <w:vAlign w:val="bottom"/>
          </w:tcPr>
          <w:p>
            <w:pPr>
              <w:ind w:left="2080"/>
              <w:spacing w:after="0"/>
              <w:rPr>
                <w:sz w:val="20"/>
                <w:szCs w:val="20"/>
                <w:color w:val="auto"/>
              </w:rPr>
            </w:pPr>
            <w:r>
              <w:rPr>
                <w:rFonts w:ascii="Arial" w:cs="Arial" w:eastAsia="Arial" w:hAnsi="Arial"/>
                <w:sz w:val="16"/>
                <w:szCs w:val="16"/>
                <w:color w:val="auto"/>
              </w:rPr>
              <w:t>• Radar systems</w:t>
            </w:r>
          </w:p>
        </w:tc>
      </w:tr>
      <w:tr>
        <w:trPr>
          <w:trHeight w:val="199"/>
        </w:trPr>
        <w:tc>
          <w:tcPr>
            <w:tcW w:w="4160" w:type="dxa"/>
            <w:vAlign w:val="bottom"/>
          </w:tcPr>
          <w:p>
            <w:pPr>
              <w:ind w:left="400"/>
              <w:spacing w:after="0"/>
              <w:rPr>
                <w:sz w:val="20"/>
                <w:szCs w:val="20"/>
                <w:color w:val="auto"/>
              </w:rPr>
            </w:pPr>
            <w:r>
              <w:rPr>
                <w:rFonts w:ascii="Arial" w:cs="Arial" w:eastAsia="Arial" w:hAnsi="Arial"/>
                <w:sz w:val="16"/>
                <w:szCs w:val="16"/>
                <w:color w:val="auto"/>
              </w:rPr>
              <w:t>• Space and satellite communications</w:t>
            </w:r>
          </w:p>
        </w:tc>
        <w:tc>
          <w:tcPr>
            <w:tcW w:w="7100" w:type="dxa"/>
            <w:vAlign w:val="bottom"/>
          </w:tcPr>
          <w:p>
            <w:pPr>
              <w:ind w:left="2080"/>
              <w:spacing w:after="0"/>
              <w:rPr>
                <w:sz w:val="20"/>
                <w:szCs w:val="20"/>
                <w:color w:val="auto"/>
              </w:rPr>
            </w:pPr>
            <w:r>
              <w:rPr>
                <w:rFonts w:ascii="Arial" w:cs="Arial" w:eastAsia="Arial" w:hAnsi="Arial"/>
                <w:sz w:val="16"/>
                <w:szCs w:val="16"/>
                <w:color w:val="auto"/>
              </w:rPr>
              <w:t>• Security devices</w:t>
            </w:r>
          </w:p>
        </w:tc>
      </w:tr>
      <w:tr>
        <w:trPr>
          <w:trHeight w:val="199"/>
        </w:trPr>
        <w:tc>
          <w:tcPr>
            <w:tcW w:w="4160" w:type="dxa"/>
            <w:vAlign w:val="bottom"/>
          </w:tcPr>
          <w:p>
            <w:pPr>
              <w:ind w:left="400"/>
              <w:spacing w:after="0"/>
              <w:rPr>
                <w:sz w:val="20"/>
                <w:szCs w:val="20"/>
                <w:color w:val="auto"/>
              </w:rPr>
            </w:pPr>
            <w:r>
              <w:rPr>
                <w:rFonts w:ascii="Arial" w:cs="Arial" w:eastAsia="Arial" w:hAnsi="Arial"/>
                <w:sz w:val="16"/>
                <w:szCs w:val="16"/>
                <w:color w:val="auto"/>
              </w:rPr>
              <w:t>• Communication systems</w:t>
            </w:r>
          </w:p>
        </w:tc>
        <w:tc>
          <w:tcPr>
            <w:tcW w:w="7100" w:type="dxa"/>
            <w:vAlign w:val="bottom"/>
          </w:tcPr>
          <w:p>
            <w:pPr>
              <w:ind w:left="2080"/>
              <w:spacing w:after="0"/>
              <w:rPr>
                <w:sz w:val="20"/>
                <w:szCs w:val="20"/>
                <w:color w:val="auto"/>
              </w:rPr>
            </w:pPr>
            <w:r>
              <w:rPr>
                <w:rFonts w:ascii="Arial" w:cs="Arial" w:eastAsia="Arial" w:hAnsi="Arial"/>
                <w:sz w:val="16"/>
                <w:szCs w:val="16"/>
                <w:color w:val="auto"/>
              </w:rPr>
              <w:t>• Electronic surveillance and countermeasures</w:t>
            </w:r>
          </w:p>
        </w:tc>
      </w:tr>
      <w:tr>
        <w:trPr>
          <w:trHeight w:val="748"/>
        </w:trPr>
        <w:tc>
          <w:tcPr>
            <w:tcW w:w="4160" w:type="dxa"/>
            <w:vAlign w:val="bottom"/>
          </w:tcPr>
          <w:p>
            <w:pPr>
              <w:spacing w:after="0"/>
              <w:rPr>
                <w:sz w:val="24"/>
                <w:szCs w:val="24"/>
                <w:color w:val="auto"/>
              </w:rPr>
            </w:pPr>
          </w:p>
        </w:tc>
        <w:tc>
          <w:tcPr>
            <w:tcW w:w="7100" w:type="dxa"/>
            <w:vAlign w:val="bottom"/>
          </w:tcPr>
          <w:p>
            <w:pPr>
              <w:jc w:val="right"/>
              <w:ind w:right="5522"/>
              <w:spacing w:after="0"/>
              <w:rPr>
                <w:sz w:val="20"/>
                <w:szCs w:val="20"/>
                <w:color w:val="auto"/>
              </w:rPr>
            </w:pPr>
            <w:r>
              <w:rPr>
                <w:rFonts w:ascii="Arial" w:cs="Arial" w:eastAsia="Arial" w:hAnsi="Arial"/>
                <w:sz w:val="16"/>
                <w:szCs w:val="16"/>
                <w:color w:val="auto"/>
              </w:rPr>
              <w:t>5</w:t>
            </w:r>
          </w:p>
        </w:tc>
      </w:tr>
      <w:tr>
        <w:trPr>
          <w:trHeight w:val="98"/>
        </w:trPr>
        <w:tc>
          <w:tcPr>
            <w:tcW w:w="4160" w:type="dxa"/>
            <w:vAlign w:val="bottom"/>
            <w:tcBorders>
              <w:bottom w:val="single" w:sz="8" w:color="9A9A9A"/>
            </w:tcBorders>
          </w:tcPr>
          <w:p>
            <w:pPr>
              <w:spacing w:after="0"/>
              <w:rPr>
                <w:sz w:val="8"/>
                <w:szCs w:val="8"/>
                <w:color w:val="auto"/>
              </w:rPr>
            </w:pPr>
          </w:p>
        </w:tc>
        <w:tc>
          <w:tcPr>
            <w:tcW w:w="7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type w:val="continuous"/>
        </w:sectPr>
      </w:pPr>
    </w:p>
    <w:bookmarkStart w:id="7" w:name="page8"/>
    <w:bookmarkEnd w:id="7"/>
    <w:p>
      <w:pPr>
        <w:ind w:right="80" w:firstLine="386"/>
        <w:spacing w:after="0" w:line="250" w:lineRule="auto"/>
        <w:rPr>
          <w:sz w:val="20"/>
          <w:szCs w:val="20"/>
          <w:color w:val="auto"/>
        </w:rPr>
      </w:pPr>
      <w:r>
        <w:rPr>
          <w:rFonts w:ascii="Arial" w:cs="Arial" w:eastAsia="Arial" w:hAnsi="Arial"/>
          <w:sz w:val="16"/>
          <w:szCs w:val="16"/>
          <w:i w:val="1"/>
          <w:iCs w:val="1"/>
          <w:color w:val="auto"/>
        </w:rPr>
        <w:t xml:space="preserve">Healthcare </w:t>
      </w:r>
      <w:r>
        <w:rPr>
          <w:rFonts w:ascii="Arial" w:cs="Arial" w:eastAsia="Arial" w:hAnsi="Arial"/>
          <w:sz w:val="16"/>
          <w:szCs w:val="16"/>
          <w:color w:val="auto"/>
        </w:rPr>
        <w:t>— The healthcare market is evolving in response to the need for increased access to better and more affordable care, as well as a growing focus on preventative</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and the need to better manage chronic conditions. To help achieve this, we are collaborating with customers and partners on innovative solutions that are designed to achieve better outcomes for patients and physicians at reduced costs for all. Our offerings include both standard and application-specific products and are used in applications such as:</w:t>
      </w:r>
    </w:p>
    <w:p>
      <w:pPr>
        <w:sectPr>
          <w:pgSz w:w="11900" w:h="16838" w:orient="portrait"/>
          <w:cols w:equalWidth="0" w:num="1">
            <w:col w:w="11240"/>
          </w:cols>
          <w:pgMar w:left="320" w:top="899" w:right="339" w:bottom="1440" w:gutter="0" w:footer="0" w:header="0"/>
        </w:sectPr>
      </w:pPr>
    </w:p>
    <w:p>
      <w:pPr>
        <w:spacing w:after="0" w:line="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Ultrasound systems</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X-Ray equipment (CT and DR)</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Image guided therapy</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Multi-parameter vital signs monitors</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Remote patient monitoring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Anesthesia equipment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Lab diagnostic equipment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Surgical tools and instruments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Blood analyzers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Point-of-care diagnostics</w:t>
      </w:r>
    </w:p>
    <w:p>
      <w:pPr>
        <w:spacing w:after="0" w:line="200" w:lineRule="exact"/>
        <w:rPr>
          <w:sz w:val="20"/>
          <w:szCs w:val="20"/>
          <w:color w:val="auto"/>
        </w:rPr>
      </w:pPr>
    </w:p>
    <w:p>
      <w:pPr>
        <w:sectPr>
          <w:pgSz w:w="11900" w:h="16838" w:orient="portrait"/>
          <w:cols w:equalWidth="0" w:num="2">
            <w:col w:w="5520" w:space="720"/>
            <w:col w:w="5000"/>
          </w:cols>
          <w:pgMar w:left="320" w:top="899" w:right="339" w:bottom="1440" w:gutter="0" w:footer="0" w:header="0"/>
          <w:type w:val="continuous"/>
        </w:sectPr>
      </w:pPr>
    </w:p>
    <w:p>
      <w:pPr>
        <w:spacing w:after="0" w:line="2" w:lineRule="exact"/>
        <w:rPr>
          <w:sz w:val="20"/>
          <w:szCs w:val="20"/>
          <w:color w:val="auto"/>
        </w:rPr>
      </w:pPr>
    </w:p>
    <w:p>
      <w:pPr>
        <w:jc w:val="both"/>
        <w:ind w:right="180" w:firstLine="386"/>
        <w:spacing w:after="0" w:line="291" w:lineRule="auto"/>
        <w:rPr>
          <w:sz w:val="20"/>
          <w:szCs w:val="20"/>
          <w:color w:val="auto"/>
        </w:rPr>
      </w:pPr>
      <w:r>
        <w:rPr>
          <w:rFonts w:ascii="Arial" w:cs="Arial" w:eastAsia="Arial" w:hAnsi="Arial"/>
          <w:sz w:val="14"/>
          <w:szCs w:val="14"/>
          <w:i w:val="1"/>
          <w:iCs w:val="1"/>
          <w:color w:val="auto"/>
        </w:rPr>
        <w:t xml:space="preserve">Energy Management </w:t>
      </w:r>
      <w:r>
        <w:rPr>
          <w:rFonts w:ascii="Arial" w:cs="Arial" w:eastAsia="Arial" w:hAnsi="Arial"/>
          <w:sz w:val="14"/>
          <w:szCs w:val="14"/>
          <w:color w:val="auto"/>
        </w:rPr>
        <w:t>— The global drive towards improved energy efficiency, conservation, reliability and cleanliness is driving investments in electrification across many</w:t>
      </w:r>
      <w:r>
        <w:rPr>
          <w:rFonts w:ascii="Arial" w:cs="Arial" w:eastAsia="Arial" w:hAnsi="Arial"/>
          <w:sz w:val="14"/>
          <w:szCs w:val="14"/>
          <w:i w:val="1"/>
          <w:iCs w:val="1"/>
          <w:color w:val="auto"/>
        </w:rPr>
        <w:t xml:space="preserve"> </w:t>
      </w:r>
      <w:r>
        <w:rPr>
          <w:rFonts w:ascii="Arial" w:cs="Arial" w:eastAsia="Arial" w:hAnsi="Arial"/>
          <w:sz w:val="14"/>
          <w:szCs w:val="14"/>
          <w:color w:val="auto"/>
        </w:rPr>
        <w:t>different application areas, including electric vehicle charging infrastructure, renewable energy, power transmission and distribution systems, electric meters and other innovative areas. The common characteristic behind these efforts is the addition of sensing, measurement and communication technologies to electrical infrastructure. Our offerings include both standard and application-specific products and are used in applications such as:</w:t>
      </w:r>
    </w:p>
    <w:p>
      <w:pPr>
        <w:sectPr>
          <w:pgSz w:w="11900" w:h="16838" w:orient="portrait"/>
          <w:cols w:equalWidth="0" w:num="1">
            <w:col w:w="11240"/>
          </w:cols>
          <w:pgMar w:left="320" w:top="899" w:right="339" w:bottom="1440" w:gutter="0" w:footer="0" w:header="0"/>
          <w:type w:val="continuous"/>
        </w:sectPr>
      </w:pPr>
    </w:p>
    <w:p>
      <w:pPr>
        <w:spacing w:after="0" w:line="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Utility meters</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Electric vehicle charging infrastructure</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Substation relays and automation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Wind turbines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Solar inverters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Building energy automation/control</w:t>
      </w:r>
    </w:p>
    <w:p>
      <w:pPr>
        <w:spacing w:after="0" w:line="200" w:lineRule="exact"/>
        <w:rPr>
          <w:sz w:val="20"/>
          <w:szCs w:val="20"/>
          <w:color w:val="auto"/>
        </w:rPr>
      </w:pPr>
    </w:p>
    <w:p>
      <w:pPr>
        <w:sectPr>
          <w:pgSz w:w="11900" w:h="16838" w:orient="portrait"/>
          <w:cols w:equalWidth="0" w:num="2">
            <w:col w:w="5520" w:space="720"/>
            <w:col w:w="5000"/>
          </w:cols>
          <w:pgMar w:left="320" w:top="899" w:right="339" w:bottom="1440" w:gutter="0" w:footer="0" w:header="0"/>
          <w:type w:val="continuous"/>
        </w:sectPr>
      </w:pPr>
    </w:p>
    <w:p>
      <w:pPr>
        <w:spacing w:after="0" w:line="13" w:lineRule="exact"/>
        <w:rPr>
          <w:sz w:val="20"/>
          <w:szCs w:val="20"/>
          <w:color w:val="auto"/>
        </w:rPr>
      </w:pPr>
    </w:p>
    <w:p>
      <w:pPr>
        <w:ind w:right="140" w:firstLine="386"/>
        <w:spacing w:after="0" w:line="248" w:lineRule="auto"/>
        <w:rPr>
          <w:sz w:val="20"/>
          <w:szCs w:val="20"/>
          <w:color w:val="auto"/>
        </w:rPr>
      </w:pPr>
      <w:r>
        <w:rPr>
          <w:rFonts w:ascii="Arial" w:cs="Arial" w:eastAsia="Arial" w:hAnsi="Arial"/>
          <w:sz w:val="16"/>
          <w:szCs w:val="16"/>
          <w:b w:val="1"/>
          <w:bCs w:val="1"/>
          <w:i w:val="1"/>
          <w:iCs w:val="1"/>
          <w:color w:val="auto"/>
        </w:rPr>
        <w:t xml:space="preserve">Automotive </w:t>
      </w:r>
      <w:r>
        <w:rPr>
          <w:rFonts w:ascii="Arial" w:cs="Arial" w:eastAsia="Arial" w:hAnsi="Arial"/>
          <w:sz w:val="16"/>
          <w:szCs w:val="16"/>
          <w:color w:val="auto"/>
        </w:rPr>
        <w:t>- We develop differentiated high-performance signal processing solutions, which enable sophisticated transportation systems that span Infotainment,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Electrification and Autonomous applications. Through collaboration with manufacturers worldwide, we have developed a broad portfolio of analog, digital, power and sensor ICs that address the emerging needs of this evolving industry. Our focus is on audio/video applications that lead to an enriched in-cabin experience, electrification applications that improve vehicle range and reduce emissions, and mission-critical perception and navigation applications that enable vehicles to more clearly sense the external environment. Specifically, we have developed products used in applications such as:</w:t>
      </w:r>
    </w:p>
    <w:p>
      <w:pPr>
        <w:spacing w:after="0" w:line="20" w:lineRule="exact"/>
        <w:rPr>
          <w:sz w:val="20"/>
          <w:szCs w:val="20"/>
          <w:color w:val="auto"/>
        </w:rPr>
      </w:pPr>
    </w:p>
    <w:p>
      <w:pPr>
        <w:ind w:left="400"/>
        <w:spacing w:after="0"/>
        <w:tabs>
          <w:tab w:leader="none" w:pos="940" w:val="left"/>
          <w:tab w:leader="none" w:pos="6180" w:val="left"/>
          <w:tab w:leader="none" w:pos="67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Car audio, voice processing and connectivity</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Battery monitoring and management systems</w:t>
      </w:r>
    </w:p>
    <w:p>
      <w:pPr>
        <w:spacing w:after="0" w:line="15" w:lineRule="exact"/>
        <w:rPr>
          <w:sz w:val="20"/>
          <w:szCs w:val="20"/>
          <w:color w:val="auto"/>
        </w:rPr>
      </w:pPr>
    </w:p>
    <w:p>
      <w:pPr>
        <w:ind w:left="960" w:hanging="565"/>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Video processing and connectivity</w:t>
      </w:r>
    </w:p>
    <w:p>
      <w:pPr>
        <w:spacing w:after="0" w:line="190" w:lineRule="exact"/>
        <w:rPr>
          <w:sz w:val="20"/>
          <w:szCs w:val="20"/>
          <w:color w:val="auto"/>
        </w:rPr>
      </w:pPr>
    </w:p>
    <w:p>
      <w:pPr>
        <w:ind w:right="80" w:firstLine="386"/>
        <w:spacing w:after="0" w:line="248" w:lineRule="auto"/>
        <w:rPr>
          <w:sz w:val="20"/>
          <w:szCs w:val="20"/>
          <w:color w:val="auto"/>
        </w:rPr>
      </w:pPr>
      <w:r>
        <w:rPr>
          <w:rFonts w:ascii="Arial" w:cs="Arial" w:eastAsia="Arial" w:hAnsi="Arial"/>
          <w:sz w:val="16"/>
          <w:szCs w:val="16"/>
          <w:b w:val="1"/>
          <w:bCs w:val="1"/>
          <w:i w:val="1"/>
          <w:iCs w:val="1"/>
          <w:color w:val="auto"/>
        </w:rPr>
        <w:t xml:space="preserve">Communications </w:t>
      </w:r>
      <w:r>
        <w:rPr>
          <w:rFonts w:ascii="Arial" w:cs="Arial" w:eastAsia="Arial" w:hAnsi="Arial"/>
          <w:sz w:val="16"/>
          <w:szCs w:val="16"/>
          <w:color w:val="auto"/>
        </w:rPr>
        <w:t>— The development of broadband, wireless and internet infrastructures around the world has created an important market for our communications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Communications technology involves the processing of signals that are converted from analog to digital and digital to analog form during the process of transmitting and receiving data. The need for higher speed and reduced power consumption, coupled with more reliable, bandwidth-efficient communications, creates demand for our products, which are used in the full spectrum of signal processing for data, video, voice and machine-to-machine communications. In wireless and wireline communication applications, our products are incorporated into:</w:t>
      </w:r>
    </w:p>
    <w:p>
      <w:pPr>
        <w:sectPr>
          <w:pgSz w:w="11900" w:h="16838" w:orient="portrait"/>
          <w:cols w:equalWidth="0" w:num="1">
            <w:col w:w="11240"/>
          </w:cols>
          <w:pgMar w:left="320" w:top="899" w:right="339" w:bottom="1440" w:gutter="0" w:footer="0" w:header="0"/>
          <w:type w:val="continuous"/>
        </w:sectPr>
      </w:pPr>
    </w:p>
    <w:p>
      <w:pPr>
        <w:spacing w:after="0" w:line="2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Cellular base station equipment</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Microwave backhaul systems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Satellite and terrestrial broadband access equipment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Optical and cable networking equipment for data center and carrier providers</w:t>
      </w:r>
    </w:p>
    <w:p>
      <w:pPr>
        <w:spacing w:after="0" w:line="73" w:lineRule="exact"/>
        <w:rPr>
          <w:sz w:val="20"/>
          <w:szCs w:val="20"/>
          <w:color w:val="auto"/>
        </w:rPr>
      </w:pPr>
    </w:p>
    <w:p>
      <w:pPr>
        <w:sectPr>
          <w:pgSz w:w="11900" w:h="16838" w:orient="portrait"/>
          <w:cols w:equalWidth="0" w:num="2">
            <w:col w:w="5500" w:space="720"/>
            <w:col w:w="5020"/>
          </w:cols>
          <w:pgMar w:left="320" w:top="899" w:right="339" w:bottom="1440" w:gutter="0" w:footer="0" w:header="0"/>
          <w:type w:val="continuous"/>
        </w:sectPr>
      </w:pPr>
    </w:p>
    <w:p>
      <w:pPr>
        <w:ind w:left="400"/>
        <w:spacing w:after="0"/>
        <w:rPr>
          <w:sz w:val="20"/>
          <w:szCs w:val="20"/>
          <w:color w:val="auto"/>
        </w:rPr>
      </w:pPr>
      <w:r>
        <w:rPr>
          <w:rFonts w:ascii="Arial" w:cs="Arial" w:eastAsia="Arial" w:hAnsi="Arial"/>
          <w:sz w:val="13"/>
          <w:szCs w:val="13"/>
          <w:color w:val="auto"/>
        </w:rPr>
        <w:t>• Data centers &amp; data storage</w:t>
      </w:r>
    </w:p>
    <w:p>
      <w:pPr>
        <w:sectPr>
          <w:pgSz w:w="11900" w:h="16838" w:orient="portrait"/>
          <w:cols w:equalWidth="0" w:num="1">
            <w:col w:w="11240"/>
          </w:cols>
          <w:pgMar w:left="320" w:top="899" w:right="339" w:bottom="1440" w:gutter="0" w:footer="0" w:header="0"/>
          <w:type w:val="continuous"/>
        </w:sectPr>
      </w:pPr>
    </w:p>
    <w:p>
      <w:pPr>
        <w:spacing w:after="0" w:line="260" w:lineRule="exact"/>
        <w:rPr>
          <w:sz w:val="20"/>
          <w:szCs w:val="20"/>
          <w:color w:val="auto"/>
        </w:rPr>
      </w:pPr>
    </w:p>
    <w:p>
      <w:pPr>
        <w:ind w:right="200" w:firstLine="386"/>
        <w:spacing w:after="0" w:line="250" w:lineRule="auto"/>
        <w:rPr>
          <w:sz w:val="20"/>
          <w:szCs w:val="20"/>
          <w:color w:val="auto"/>
        </w:rPr>
      </w:pPr>
      <w:r>
        <w:rPr>
          <w:rFonts w:ascii="Arial" w:cs="Arial" w:eastAsia="Arial" w:hAnsi="Arial"/>
          <w:sz w:val="16"/>
          <w:szCs w:val="16"/>
          <w:b w:val="1"/>
          <w:bCs w:val="1"/>
          <w:i w:val="1"/>
          <w:iCs w:val="1"/>
          <w:color w:val="auto"/>
        </w:rPr>
        <w:t xml:space="preserve">Consumer </w:t>
      </w:r>
      <w:r>
        <w:rPr>
          <w:rFonts w:ascii="Arial" w:cs="Arial" w:eastAsia="Arial" w:hAnsi="Arial"/>
          <w:sz w:val="16"/>
          <w:szCs w:val="16"/>
          <w:color w:val="auto"/>
        </w:rPr>
        <w:t>— To address the market demand for state of the art personal and professional entertainment systems and the consumer demand for high quality user interfaces,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music, movies and photographs, we have developed analog, digital and mixed-signal solutions that meet the rigorous cost and time-to-market requirements of the consumer electronics market. The emergence of high-performance, feature-rich consumer products has created a market for our high-performance ICs with a high level of specific functionality that enables best in class user experience. These products include:</w:t>
      </w:r>
    </w:p>
    <w:p>
      <w:pPr>
        <w:sectPr>
          <w:pgSz w:w="11900" w:h="16838" w:orient="portrait"/>
          <w:cols w:equalWidth="0" w:num="1">
            <w:col w:w="11240"/>
          </w:cols>
          <w:pgMar w:left="320" w:top="899" w:right="339" w:bottom="1440" w:gutter="0" w:footer="0" w:header="0"/>
          <w:type w:val="continuous"/>
        </w:sectPr>
      </w:pPr>
    </w:p>
    <w:p>
      <w:pPr>
        <w:spacing w:after="0" w:line="17" w:lineRule="exact"/>
        <w:rPr>
          <w:sz w:val="20"/>
          <w:szCs w:val="20"/>
          <w:color w:val="auto"/>
        </w:rPr>
      </w:pPr>
    </w:p>
    <w:p>
      <w:pPr>
        <w:ind w:right="260" w:firstLine="386"/>
        <w:spacing w:after="0" w:line="228" w:lineRule="auto"/>
        <w:rPr>
          <w:sz w:val="20"/>
          <w:szCs w:val="20"/>
          <w:color w:val="auto"/>
        </w:rPr>
      </w:pPr>
      <w:r>
        <w:rPr>
          <w:rFonts w:ascii="Arial" w:cs="Arial" w:eastAsia="Arial" w:hAnsi="Arial"/>
          <w:sz w:val="16"/>
          <w:szCs w:val="16"/>
          <w:color w:val="auto"/>
        </w:rPr>
        <w:t>• Portable devices (smart phones, tablets and wearable devices) for media and vital signs monitoring applications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Prosumer audio/video equipment</w:t>
      </w:r>
    </w:p>
    <w:p>
      <w:pPr>
        <w:spacing w:after="0" w:line="365" w:lineRule="exact"/>
        <w:rPr>
          <w:sz w:val="20"/>
          <w:szCs w:val="20"/>
          <w:color w:val="auto"/>
        </w:rPr>
      </w:pPr>
    </w:p>
    <w:p>
      <w:pPr>
        <w:sectPr>
          <w:pgSz w:w="11900" w:h="16838" w:orient="portrait"/>
          <w:cols w:equalWidth="0" w:num="2">
            <w:col w:w="5500" w:space="720"/>
            <w:col w:w="5020"/>
          </w:cols>
          <w:pgMar w:left="320" w:top="899" w:right="339" w:bottom="1440" w:gutter="0" w:footer="0" w:header="0"/>
          <w:type w:val="continuous"/>
        </w:sectPr>
      </w:pPr>
    </w:p>
    <w:p>
      <w:pPr>
        <w:ind w:firstLine="386"/>
        <w:spacing w:after="0" w:line="263" w:lineRule="auto"/>
        <w:rPr>
          <w:sz w:val="20"/>
          <w:szCs w:val="20"/>
          <w:color w:val="auto"/>
        </w:rPr>
      </w:pPr>
      <w:r>
        <w:rPr>
          <w:rFonts w:ascii="Arial" w:cs="Arial" w:eastAsia="Arial" w:hAnsi="Arial"/>
          <w:sz w:val="16"/>
          <w:szCs w:val="16"/>
          <w:color w:val="auto"/>
        </w:rPr>
        <w:t xml:space="preserve">See Note 4, </w:t>
      </w:r>
      <w:r>
        <w:rPr>
          <w:rFonts w:ascii="Arial" w:cs="Arial" w:eastAsia="Arial" w:hAnsi="Arial"/>
          <w:sz w:val="16"/>
          <w:szCs w:val="16"/>
          <w:i w:val="1"/>
          <w:iCs w:val="1"/>
          <w:color w:val="auto"/>
        </w:rPr>
        <w:t>Industry, Segment and Geographic Information</w:t>
      </w:r>
      <w:r>
        <w:rPr>
          <w:rFonts w:ascii="Arial" w:cs="Arial" w:eastAsia="Arial" w:hAnsi="Arial"/>
          <w:sz w:val="16"/>
          <w:szCs w:val="16"/>
          <w:color w:val="auto"/>
        </w:rPr>
        <w:t>, of the Notes to Consolidated Financial Statements contained in Part II, Item 8 of this Annual Report on Form 10-K for further information about our products by end market.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2" w:lineRule="exact"/>
        <w:rPr>
          <w:sz w:val="20"/>
          <w:szCs w:val="20"/>
          <w:color w:val="auto"/>
        </w:rPr>
      </w:pPr>
    </w:p>
    <w:p>
      <w:pPr>
        <w:jc w:val="both"/>
        <w:ind w:right="240" w:firstLine="386"/>
        <w:spacing w:after="0" w:line="253" w:lineRule="auto"/>
        <w:rPr>
          <w:sz w:val="20"/>
          <w:szCs w:val="20"/>
          <w:color w:val="auto"/>
        </w:rPr>
      </w:pPr>
      <w:r>
        <w:rPr>
          <w:rFonts w:ascii="Arial" w:cs="Arial" w:eastAsia="Arial" w:hAnsi="Arial"/>
          <w:sz w:val="16"/>
          <w:szCs w:val="16"/>
          <w:color w:val="auto"/>
        </w:rPr>
        <w:t>We believe that competitive performance in the marketplace for signal processing products depends upon multiple factors, including technological innovation, strength of brand, diversity of product portfolio, product performance, technical support, delivery capabilities, customer service quality, reliability and price, with the relative importance of these factors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8" w:name="page9"/>
    <w:bookmarkEnd w:id="8"/>
    <w:p>
      <w:pPr>
        <w:ind w:right="40"/>
        <w:spacing w:after="0" w:line="248" w:lineRule="auto"/>
        <w:rPr>
          <w:sz w:val="20"/>
          <w:szCs w:val="20"/>
          <w:color w:val="auto"/>
        </w:rPr>
      </w:pPr>
      <w:r>
        <w:rPr>
          <w:rFonts w:ascii="Arial" w:cs="Arial" w:eastAsia="Arial" w:hAnsi="Arial"/>
          <w:sz w:val="16"/>
          <w:szCs w:val="16"/>
          <w:color w:val="auto"/>
        </w:rPr>
        <w:t>varying among products, markets, and customers. We compete with a number of semiconductor companies in markets that are highly competitive.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competitors include but are not limited to:</w:t>
      </w:r>
    </w:p>
    <w:p>
      <w:pPr>
        <w:sectPr>
          <w:pgSz w:w="11900" w:h="16838" w:orient="portrait"/>
          <w:cols w:equalWidth="0" w:num="1">
            <w:col w:w="11240"/>
          </w:cols>
          <w:pgMar w:left="320" w:top="899" w:right="339" w:bottom="1440" w:gutter="0" w:footer="0" w:header="0"/>
        </w:sectPr>
      </w:pPr>
    </w:p>
    <w:p>
      <w:pPr>
        <w:spacing w:after="0" w:line="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Broadcom Inc.</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Infineon Technologies AG</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Microchip Technology Incorporated</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STMicroelectronics N.V.</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Xilinx, Inc.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 Monolithic Power Systems, Inc.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NXP Semiconductors N.V.</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 Qorvo, Inc.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 Texas Instruments Incorporated</w:t>
      </w:r>
    </w:p>
    <w:p>
      <w:pPr>
        <w:spacing w:after="0" w:line="411" w:lineRule="exact"/>
        <w:rPr>
          <w:sz w:val="20"/>
          <w:szCs w:val="20"/>
          <w:color w:val="auto"/>
        </w:rPr>
      </w:pPr>
    </w:p>
    <w:p>
      <w:pPr>
        <w:sectPr>
          <w:pgSz w:w="11900" w:h="16838" w:orient="portrait"/>
          <w:cols w:equalWidth="0" w:num="2">
            <w:col w:w="5520" w:space="720"/>
            <w:col w:w="5000"/>
          </w:cols>
          <w:pgMar w:left="320" w:top="899" w:right="339" w:bottom="1440" w:gutter="0" w:footer="0" w:header="0"/>
          <w:type w:val="continuous"/>
        </w:sectPr>
      </w:pPr>
    </w:p>
    <w:p>
      <w:pPr>
        <w:ind w:right="220" w:firstLine="386"/>
        <w:spacing w:after="0" w:line="263" w:lineRule="auto"/>
        <w:rPr>
          <w:sz w:val="20"/>
          <w:szCs w:val="20"/>
          <w:color w:val="auto"/>
        </w:rPr>
      </w:pPr>
      <w:r>
        <w:rPr>
          <w:rFonts w:ascii="Arial" w:cs="Arial" w:eastAsia="Arial" w:hAnsi="Arial"/>
          <w:sz w:val="16"/>
          <w:szCs w:val="16"/>
          <w:color w:val="auto"/>
        </w:rPr>
        <w:t>We believe that our technical innovation emphasizing product performance and reliability, supported by our commitment to strong customer service and technical support, enables us to make a fundamental difference to our customers’ competitiveness in our chosen markets.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12" w:lineRule="exact"/>
        <w:rPr>
          <w:sz w:val="20"/>
          <w:szCs w:val="20"/>
          <w:color w:val="auto"/>
        </w:rPr>
      </w:pPr>
    </w:p>
    <w:p>
      <w:pPr>
        <w:jc w:val="both"/>
        <w:ind w:firstLine="386"/>
        <w:spacing w:after="0" w:line="250" w:lineRule="auto"/>
        <w:rPr>
          <w:sz w:val="20"/>
          <w:szCs w:val="20"/>
          <w:color w:val="auto"/>
        </w:rPr>
      </w:pPr>
      <w:r>
        <w:rPr>
          <w:rFonts w:ascii="Arial" w:cs="Arial" w:eastAsia="Arial" w:hAnsi="Arial"/>
          <w:sz w:val="16"/>
          <w:szCs w:val="16"/>
          <w:color w:val="auto"/>
        </w:rPr>
        <w:t>Our sales are subject to a varying degree of seasonality. Historically, sales to customers during our first fiscal quarter may be lower than other quarters due to plant shutdowns at some of our customers during the holiday season. In general, the seasonality for any specific period of time has not had a material impact on our results of operations. In addition, as explained in our risk factors contained in Item 1A of this Annual Report on Form 10-K, our revenue is more likely to be influenced on a quarter to quarter basis by cyclicality in the semiconductor industry.</w:t>
      </w:r>
    </w:p>
    <w:p>
      <w:pPr>
        <w:spacing w:after="0" w:line="99" w:lineRule="exact"/>
        <w:rPr>
          <w:sz w:val="20"/>
          <w:szCs w:val="20"/>
          <w:color w:val="auto"/>
        </w:rPr>
      </w:pPr>
    </w:p>
    <w:p>
      <w:pPr>
        <w:ind w:firstLine="386"/>
        <w:spacing w:after="0" w:line="285" w:lineRule="auto"/>
        <w:rPr>
          <w:sz w:val="20"/>
          <w:szCs w:val="20"/>
          <w:color w:val="auto"/>
        </w:rPr>
      </w:pPr>
      <w:r>
        <w:rPr>
          <w:rFonts w:ascii="Arial" w:cs="Arial" w:eastAsia="Arial" w:hAnsi="Arial"/>
          <w:sz w:val="14"/>
          <w:szCs w:val="14"/>
          <w:color w:val="auto"/>
        </w:rPr>
        <w:t>We believe that a number of factors should be used to assess future customer demand, including backlog, macroeconomic trends, customer insights and current customer bookings as compared to billings (book-to-bill) ratio. We define backlog to mean firm orders from a customer or distributor with a requested delivery date within thirteen weeks. However, backlog may be impacted by the tendency of customers to rely on shorter lead times available from suppliers, including us, in periods of depressed demand. In periods of increased demand, there is a tendency towards longer lead times that has the effect of increasing backlog and, in some instances, we may not have manufacturing capacity sufficient to fulfill all orders. Recently, we have experienced increased demand within the semiconductor industry leading to a constrained supply environment which we believe will continue in the near term. We have added manufacturing capacity to address some of the increased demand and we have also required customers to commit to orders for up to a twenty week period prior to shipment to give us better visibility into the backlog. Outside of the commitments window noted above, as is customary in the semiconductor industry, we allow most orders to be canceled or deliveries to be delayed by customers without significant penalty, while also allowing certain distributors to receive price adjustment credits and to return qualifying products for credit, as determined by us, in order to reduce the amounts of slow-moving, discontinued or obsolete product from their inventory.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Resources</w:t>
      </w:r>
    </w:p>
    <w:p>
      <w:pPr>
        <w:spacing w:after="0" w:line="112" w:lineRule="exact"/>
        <w:rPr>
          <w:sz w:val="20"/>
          <w:szCs w:val="20"/>
          <w:color w:val="auto"/>
        </w:rPr>
      </w:pPr>
    </w:p>
    <w:p>
      <w:pPr>
        <w:ind w:right="20" w:firstLine="386"/>
        <w:spacing w:after="0" w:line="290" w:lineRule="auto"/>
        <w:rPr>
          <w:sz w:val="20"/>
          <w:szCs w:val="20"/>
          <w:color w:val="auto"/>
        </w:rPr>
      </w:pPr>
      <w:r>
        <w:rPr>
          <w:rFonts w:ascii="Arial" w:cs="Arial" w:eastAsia="Arial" w:hAnsi="Arial"/>
          <w:sz w:val="14"/>
          <w:szCs w:val="14"/>
          <w:color w:val="auto"/>
        </w:rPr>
        <w:t xml:space="preserve">Monolithic IC components are manufactured in a sequence of semiconductor production steps that include wafer fabrication, wafer testing, dicing the wafer into individual “chips,” or dice, assembly of the dice into packages and electrical testing of the devices in final packaged form. The raw materials used to manufacture these devices include silicon wafers, processing chemicals (including liquefied gases), precious metals laminates, ceramic and plastic used for packaging. We utilize, develop and employ a wide variety of manufacturing processes, primarily based on bipolar and complementary metal-oxide semiconductor (CMOS) transistors, which are specifically tailored for use in fabricating high-performance analog, DSP and mixed-signal ICs. Devices such as MEMS, </w:t>
      </w:r>
      <w:r>
        <w:rPr>
          <w:rFonts w:ascii="Arial" w:cs="Arial" w:eastAsia="Arial" w:hAnsi="Arial"/>
          <w:sz w:val="14"/>
          <w:szCs w:val="14"/>
          <w:i w:val="1"/>
          <w:iCs w:val="1"/>
          <w:color w:val="auto"/>
        </w:rPr>
        <w:t>i</w:t>
      </w:r>
      <w:r>
        <w:rPr>
          <w:rFonts w:ascii="Arial" w:cs="Arial" w:eastAsia="Arial" w:hAnsi="Arial"/>
          <w:sz w:val="14"/>
          <w:szCs w:val="14"/>
          <w:color w:val="auto"/>
        </w:rPr>
        <w:t>Coupler® isolators and various sensors are fabricated using specialized processes, which typically use substantially similar equipment as bipolar and CMOS processes.</w:t>
      </w:r>
    </w:p>
    <w:p>
      <w:pPr>
        <w:spacing w:after="0" w:line="72" w:lineRule="exact"/>
        <w:rPr>
          <w:sz w:val="20"/>
          <w:szCs w:val="20"/>
          <w:color w:val="auto"/>
        </w:rPr>
      </w:pPr>
    </w:p>
    <w:p>
      <w:pPr>
        <w:ind w:right="40" w:firstLine="386"/>
        <w:spacing w:after="0" w:line="293" w:lineRule="auto"/>
        <w:rPr>
          <w:sz w:val="20"/>
          <w:szCs w:val="20"/>
          <w:color w:val="auto"/>
        </w:rPr>
      </w:pPr>
      <w:r>
        <w:rPr>
          <w:rFonts w:ascii="Arial" w:cs="Arial" w:eastAsia="Arial" w:hAnsi="Arial"/>
          <w:sz w:val="14"/>
          <w:szCs w:val="14"/>
          <w:color w:val="auto"/>
        </w:rPr>
        <w:t>Our IC products are fabricated on proprietary processes at our internal production facilities in Wilmington, Massachusetts; Camas, Washington; Beaverton, Oregon; and Limerick, Ireland and also on a mix of proprietary and non-proprietary processes at third-party wafer fabricators. We currently source approximately half of our wafer requirements annually internally and the remaining from third-party wafer fabrication foundries, such as Taiwan Semiconductor Manufacturing Company (TSMC) and others, typically where deep-submicron lithography capabilities and/or large manufacturing capacity is required. In addition, we operate an assembly and wafer sort facility in Penang, Malaysia, and test facilities in the Philippines and Thailand. We also make extensive use of third-party subcontractors for the assembly and testing of our products.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type w:val="continuous"/>
        </w:sectPr>
      </w:pPr>
    </w:p>
    <w:bookmarkStart w:id="9" w:name="page10"/>
    <w:bookmarkEnd w:id="9"/>
    <w:p>
      <w:pPr>
        <w:ind w:right="60" w:firstLine="386"/>
        <w:spacing w:after="0" w:line="290" w:lineRule="auto"/>
        <w:rPr>
          <w:sz w:val="20"/>
          <w:szCs w:val="20"/>
          <w:color w:val="auto"/>
        </w:rPr>
      </w:pPr>
      <w:r>
        <w:rPr>
          <w:rFonts w:ascii="Arial" w:cs="Arial" w:eastAsia="Arial" w:hAnsi="Arial"/>
          <w:sz w:val="14"/>
          <w:szCs w:val="14"/>
          <w:color w:val="auto"/>
        </w:rPr>
        <w:t>Our products require a wide variety of components, raw materials and external foundry services, most of which we purchase from third-party suppliers. We have multiple sources for many of the components and materials that we purchase and incorporate into our products. If any of our key suppliers are unable or unwilling to manufacture and deliver sufficient quantities of components to us on the time schedule and of the quality that we require, we may be forced to seek to engage additional or replacement suppliers, which could result in significant expenses and disruptions or delays in manufacturing, product development and shipment of product to our customers. Given the current demand environment in the semiconductor industry, we expect to face a constrained supply environment in the near term. We are working to balance these constraints as we shift our global resources and add capacity where appropriate.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Patents and Intellectual Property Rights</w:t>
      </w:r>
    </w:p>
    <w:p>
      <w:pPr>
        <w:spacing w:after="0" w:line="112" w:lineRule="exact"/>
        <w:rPr>
          <w:sz w:val="20"/>
          <w:szCs w:val="20"/>
          <w:color w:val="auto"/>
        </w:rPr>
      </w:pPr>
    </w:p>
    <w:p>
      <w:pPr>
        <w:ind w:right="20" w:firstLine="386"/>
        <w:spacing w:after="0" w:line="284" w:lineRule="auto"/>
        <w:rPr>
          <w:sz w:val="20"/>
          <w:szCs w:val="20"/>
          <w:color w:val="auto"/>
        </w:rPr>
      </w:pPr>
      <w:r>
        <w:rPr>
          <w:rFonts w:ascii="Arial" w:cs="Arial" w:eastAsia="Arial" w:hAnsi="Arial"/>
          <w:sz w:val="14"/>
          <w:szCs w:val="14"/>
          <w:color w:val="auto"/>
        </w:rPr>
        <w:t>We seek to establish and maintain our proprietary rights in our technology and products through the use of patents, copyrights, mask works, trademarks and trade secrets. We have a program to file applications for and obtain patents, copyrights, mask works and trademarks in the United States and in selected foreign countries where we believe filing for such protection is appropriate. We also seek to maintain our trade secrets and confidential information by nondisclosure policies and through the use of appropriate confidentiality agreements. We have obtained a substantial number of patents and trademarks in the United States and in other countries. As of October 30, 2021, we held approximately 4,700 U.S. patents and approximately 400 published pending U.S. patent applications with expiration dates ranging from 2021 through 2041. There can be no assurance, however, that the rights obtained can be successfully enforced against infringing products in every jurisdiction. While our patents, copyrights, mask works, trademarks and trade secrets provide some advantage and protection, we believe our competitive position and future success is largely determined by such factors as the system and application knowledge, innovative skills, technological expertise and management ability and experience of our personnel; the range and success of new products being developed by us; our market brand recognition and ongoing marketing efforts; and customer service and technical support. It is generally our policy to seek patent protection for significant inventions that may be patented, though we may elect, in certain cases, not to seek patent protection even for significant inventions, if we determine other protection, such as maintaining the invention as a trade secret, to be more advantageous. We also have trademarks that are used in the conduct of our business to distinguish genuine Analog Devices products, and we maintain cooperative advertising programs to promote our brands and identify products containing genuine Analog Devices components.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Health and Safety Compliance</w:t>
      </w:r>
    </w:p>
    <w:p>
      <w:pPr>
        <w:spacing w:after="0" w:line="124" w:lineRule="exact"/>
        <w:rPr>
          <w:sz w:val="20"/>
          <w:szCs w:val="20"/>
          <w:color w:val="auto"/>
        </w:rPr>
      </w:pPr>
    </w:p>
    <w:p>
      <w:pPr>
        <w:ind w:firstLine="386"/>
        <w:spacing w:after="0" w:line="307" w:lineRule="auto"/>
        <w:rPr>
          <w:sz w:val="20"/>
          <w:szCs w:val="20"/>
          <w:color w:val="auto"/>
        </w:rPr>
      </w:pPr>
      <w:r>
        <w:rPr>
          <w:rFonts w:ascii="Arial" w:cs="Arial" w:eastAsia="Arial" w:hAnsi="Arial"/>
          <w:sz w:val="14"/>
          <w:szCs w:val="14"/>
          <w:color w:val="auto"/>
        </w:rPr>
        <w:t>We are committed to protecting the environment and the health and safety of our employees, customers and the public. We endeavor to adhere to applicable environmental, health and safety (EHS) regulatory and industry standards across all of our facilities, and to encourage pollution prevention, reduce our water and energy consumption, reduce waste generation, and strive towards continual improvement. We strive to achieve excellence in EHS management practices as an integral part of our total quality management system.</w:t>
      </w:r>
    </w:p>
    <w:p>
      <w:pPr>
        <w:spacing w:after="0" w:line="49" w:lineRule="exact"/>
        <w:rPr>
          <w:sz w:val="20"/>
          <w:szCs w:val="20"/>
          <w:color w:val="auto"/>
        </w:rPr>
      </w:pPr>
    </w:p>
    <w:p>
      <w:pPr>
        <w:ind w:right="120" w:firstLine="386"/>
        <w:spacing w:after="0" w:line="293" w:lineRule="auto"/>
        <w:rPr>
          <w:sz w:val="20"/>
          <w:szCs w:val="20"/>
          <w:color w:val="auto"/>
        </w:rPr>
      </w:pPr>
      <w:r>
        <w:rPr>
          <w:rFonts w:ascii="Arial" w:cs="Arial" w:eastAsia="Arial" w:hAnsi="Arial"/>
          <w:sz w:val="14"/>
          <w:szCs w:val="14"/>
          <w:color w:val="auto"/>
        </w:rPr>
        <w:t>Our EHS management systems in all of our facilities are certified to ISO 14001:2015 for environmental management, and all of our facilities conform to ISO 45001 for occupational health and safety. Our industrial hygiene surveillance program minimizes and prevents exposures in the workplace and reduces the risk of specific diseases. We use two industry standard metrics to assess injury performance and trends worldwide. Legacy Analog Devices' sites have ISO 45001 health and safety certification, with the exception of one site from the acquisition of Linear Technology Corporation which is planned for certification to the same standard by the second quarter of fiscal 2022. As part of our integration efforts, management is assessing the path to certification for Maxim sites.</w:t>
      </w:r>
    </w:p>
    <w:p>
      <w:pPr>
        <w:spacing w:after="0" w:line="58" w:lineRule="exact"/>
        <w:rPr>
          <w:sz w:val="20"/>
          <w:szCs w:val="20"/>
          <w:color w:val="auto"/>
        </w:rPr>
      </w:pPr>
    </w:p>
    <w:p>
      <w:pPr>
        <w:ind w:right="20" w:firstLine="386"/>
        <w:spacing w:after="0" w:line="286" w:lineRule="auto"/>
        <w:rPr>
          <w:sz w:val="20"/>
          <w:szCs w:val="20"/>
          <w:color w:val="auto"/>
        </w:rPr>
      </w:pPr>
      <w:r>
        <w:rPr>
          <w:rFonts w:ascii="Arial" w:cs="Arial" w:eastAsia="Arial" w:hAnsi="Arial"/>
          <w:sz w:val="14"/>
          <w:szCs w:val="14"/>
          <w:color w:val="auto"/>
        </w:rPr>
        <w:t>Our manufacturing facilities are subject to numerous and increasingly strict federal, state, local and foreign EHS laws and regulations, particularly with respect to the transportation, storage, handling, use, emission, discharge and disposal of certain chemicals used or produced in the semiconductor manufacturing process. Our products are subject to increasingly stringent regulations regarding substance content in jurisdictions where we sell products, including the Restriction of Hazardous Substances (RoHS) directive in the European Union and China and the Registration, Evaluation, Authorization and Restriction of Chemicals (REACH) directive in the European Union. Contracts with many of our customers reflect these and additional EHS compliance standards. Compliance with these laws and regulations has not had a material impact on our capital expenditures, earnings, financial condition or competitive position. There can be no assurance, however, that current or future environmental laws and regulations will not impose costly requirements upon us. Any failure by us to comply with applicable environmental laws, regulations and contractual obligations could result in fines, suspension of production, the need to alter manufacturing processes and legal liability.</w:t>
      </w:r>
    </w:p>
    <w:p>
      <w:pPr>
        <w:spacing w:after="0" w:line="79" w:lineRule="exact"/>
        <w:rPr>
          <w:sz w:val="20"/>
          <w:szCs w:val="20"/>
          <w:color w:val="auto"/>
        </w:rPr>
      </w:pPr>
    </w:p>
    <w:p>
      <w:pPr>
        <w:ind w:right="20" w:firstLine="386"/>
        <w:spacing w:after="0" w:line="250" w:lineRule="auto"/>
        <w:rPr>
          <w:sz w:val="20"/>
          <w:szCs w:val="20"/>
          <w:color w:val="auto"/>
        </w:rPr>
      </w:pPr>
      <w:r>
        <w:rPr>
          <w:rFonts w:ascii="Arial" w:cs="Arial" w:eastAsia="Arial" w:hAnsi="Arial"/>
          <w:sz w:val="16"/>
          <w:szCs w:val="16"/>
          <w:color w:val="auto"/>
        </w:rPr>
        <w:t>We are a member of the Responsible Business Alliance, which was formerly known as the Electronic Industry Citizenship Coalition, as well as a participant of the United Nations Global Compact and the Business Ambition for 1.5°C campaign. Our Corporate Responsibility Report (CRR) states our commitment to be carbon neutral by calendar year 2030 and achieve net zero emissions by calendar year 2050, to conserve resources by consuming less energy and water, to comply with our code of business conduct and ethics, and to apply fair labor standards, among other things. We are neither including the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0" w:name="page11"/>
    <w:bookmarkEnd w:id="10"/>
    <w:p>
      <w:pPr>
        <w:ind w:right="1840"/>
        <w:spacing w:after="0" w:line="263" w:lineRule="auto"/>
        <w:rPr>
          <w:sz w:val="20"/>
          <w:szCs w:val="20"/>
          <w:color w:val="auto"/>
        </w:rPr>
      </w:pPr>
      <w:r>
        <w:rPr>
          <w:rFonts w:ascii="Arial" w:cs="Arial" w:eastAsia="Arial" w:hAnsi="Arial"/>
          <w:sz w:val="16"/>
          <w:szCs w:val="16"/>
          <w:color w:val="auto"/>
        </w:rPr>
        <w:t>information contained in our CRR in, nor incorporating it by reference into, this Annual Report on Form 10-K. The CRR is available on our website at www.analog.com/sustainability.</w:t>
      </w:r>
    </w:p>
    <w:p>
      <w:pPr>
        <w:spacing w:after="0" w:line="88" w:lineRule="exact"/>
        <w:rPr>
          <w:sz w:val="20"/>
          <w:szCs w:val="20"/>
          <w:color w:val="auto"/>
        </w:rPr>
      </w:pPr>
    </w:p>
    <w:p>
      <w:pPr>
        <w:ind w:firstLine="386"/>
        <w:spacing w:after="0" w:line="293" w:lineRule="auto"/>
        <w:rPr>
          <w:sz w:val="20"/>
          <w:szCs w:val="20"/>
          <w:color w:val="auto"/>
        </w:rPr>
      </w:pPr>
      <w:r>
        <w:rPr>
          <w:rFonts w:ascii="Arial" w:cs="Arial" w:eastAsia="Arial" w:hAnsi="Arial"/>
          <w:sz w:val="14"/>
          <w:szCs w:val="14"/>
          <w:color w:val="auto"/>
        </w:rPr>
        <w:t>To further strengthen these commitments to environmental, social and governance (ESG) initiatives, we recently deployed three sustainable finance instruments. In April 2020, we completed our inaugural green bond issuance of $400 million, marking our leadership as the first semiconductor company and one of the first U.S. technology companies to issue a green bond in the U.S. debt capital markets. In June 2021, we refinanced our revolving credit facility with a new $2.5 billion sustainability-linked revolving credit facility, becoming one of the first semiconductor companies to use this instrument. In October 2021, we issued our inaugural sustainability-linked $750 million bond offering. These transactions support our commitment to environmental sustainability by linking financing to the achievement of our ambitious ESG targets.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and Information Security Risk Oversight</w:t>
      </w:r>
    </w:p>
    <w:p>
      <w:pPr>
        <w:spacing w:after="0" w:line="112" w:lineRule="exact"/>
        <w:rPr>
          <w:sz w:val="20"/>
          <w:szCs w:val="20"/>
          <w:color w:val="auto"/>
        </w:rPr>
      </w:pPr>
    </w:p>
    <w:p>
      <w:pPr>
        <w:ind w:right="200" w:firstLine="386"/>
        <w:spacing w:after="0" w:line="331" w:lineRule="auto"/>
        <w:rPr>
          <w:sz w:val="20"/>
          <w:szCs w:val="20"/>
          <w:color w:val="auto"/>
        </w:rPr>
      </w:pPr>
      <w:r>
        <w:rPr>
          <w:rFonts w:ascii="Arial" w:cs="Arial" w:eastAsia="Arial" w:hAnsi="Arial"/>
          <w:sz w:val="14"/>
          <w:szCs w:val="14"/>
          <w:color w:val="auto"/>
        </w:rPr>
        <w:t>We regularly perform risk assessments relating to cybersecurity and technology risks. Our enterprise security program has been developed based on industry standards, including those published by the International Organization for Standardization (ISO) and the National Institute of Standards and Technology. Highlights of the program include:</w:t>
      </w:r>
    </w:p>
    <w:p>
      <w:pPr>
        <w:ind w:left="560" w:hanging="145"/>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comprehensive set of enterprise security policies and procedures that guide our protection strategy.</w:t>
      </w:r>
    </w:p>
    <w:p>
      <w:pPr>
        <w:spacing w:after="0" w:line="61" w:lineRule="exact"/>
        <w:rPr>
          <w:rFonts w:ascii="Arial" w:cs="Arial" w:eastAsia="Arial" w:hAnsi="Arial"/>
          <w:sz w:val="16"/>
          <w:szCs w:val="16"/>
          <w:color w:val="auto"/>
        </w:rPr>
      </w:pPr>
    </w:p>
    <w:p>
      <w:pPr>
        <w:ind w:left="560" w:right="140" w:hanging="145"/>
        <w:spacing w:after="0" w:line="253" w:lineRule="auto"/>
        <w:tabs>
          <w:tab w:leader="none" w:pos="556"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Protecting against threats through use of the following measures: identifying critical assets and high-risk threats; implementing cybersecurity detection, controls and remediation practices; implementing a third-party risk management program to evaluate our critical partners’ cyber posture; and evaluating our program effectiveness by performing internal and external audits.</w:t>
      </w:r>
    </w:p>
    <w:p>
      <w:pPr>
        <w:spacing w:after="0" w:line="85" w:lineRule="exact"/>
        <w:rPr>
          <w:sz w:val="20"/>
          <w:szCs w:val="20"/>
          <w:color w:val="auto"/>
        </w:rPr>
      </w:pPr>
    </w:p>
    <w:p>
      <w:pPr>
        <w:ind w:firstLine="386"/>
        <w:spacing w:after="0" w:line="263" w:lineRule="auto"/>
        <w:rPr>
          <w:sz w:val="20"/>
          <w:szCs w:val="20"/>
          <w:color w:val="auto"/>
        </w:rPr>
      </w:pPr>
      <w:r>
        <w:rPr>
          <w:rFonts w:ascii="Arial" w:cs="Arial" w:eastAsia="Arial" w:hAnsi="Arial"/>
          <w:sz w:val="16"/>
          <w:szCs w:val="16"/>
          <w:color w:val="auto"/>
        </w:rPr>
        <w:t>Risks identified by our cybersecurity program are analyzed to determine the potential impact on us and the likelihood of occurrence. Such risks are continuously monitored to ensure that the circumstances and severity of such risks have not changed.</w:t>
      </w:r>
    </w:p>
    <w:p>
      <w:pPr>
        <w:spacing w:after="0" w:line="88" w:lineRule="exact"/>
        <w:rPr>
          <w:sz w:val="20"/>
          <w:szCs w:val="20"/>
          <w:color w:val="auto"/>
        </w:rPr>
      </w:pPr>
    </w:p>
    <w:p>
      <w:pPr>
        <w:ind w:firstLine="386"/>
        <w:spacing w:after="0" w:line="250" w:lineRule="auto"/>
        <w:rPr>
          <w:sz w:val="20"/>
          <w:szCs w:val="20"/>
          <w:color w:val="auto"/>
        </w:rPr>
      </w:pPr>
      <w:r>
        <w:rPr>
          <w:rFonts w:ascii="Arial" w:cs="Arial" w:eastAsia="Arial" w:hAnsi="Arial"/>
          <w:sz w:val="16"/>
          <w:szCs w:val="16"/>
          <w:color w:val="auto"/>
        </w:rPr>
        <w:t>We conduct regular workforce training to instruct employees to identify cybersecurity concerns and take the appropriate action. We install and regularly update antivirus software on all company managed systems and workstations to detect and prevent malicious code from impacting our systems. In addition, we have a product security team focused on integrating risk and security best practices into our product development life cycle. Periodically, we are audited by an independent information systems expert to determine both the adequacy of, and compliance with, controls and standards.</w:t>
      </w:r>
    </w:p>
    <w:p>
      <w:pPr>
        <w:spacing w:after="0" w:line="87" w:lineRule="exact"/>
        <w:rPr>
          <w:sz w:val="20"/>
          <w:szCs w:val="20"/>
          <w:color w:val="auto"/>
        </w:rPr>
      </w:pPr>
    </w:p>
    <w:p>
      <w:pPr>
        <w:ind w:right="40" w:firstLine="386"/>
        <w:spacing w:after="0" w:line="297" w:lineRule="auto"/>
        <w:rPr>
          <w:sz w:val="20"/>
          <w:szCs w:val="20"/>
          <w:color w:val="auto"/>
        </w:rPr>
      </w:pPr>
      <w:r>
        <w:rPr>
          <w:rFonts w:ascii="Arial" w:cs="Arial" w:eastAsia="Arial" w:hAnsi="Arial"/>
          <w:sz w:val="14"/>
          <w:szCs w:val="14"/>
          <w:color w:val="auto"/>
        </w:rPr>
        <w:t>Senior leadership and Internal Audit present to our full Board of Directors on information security and cybersecurity matters and risks at least annually. We have conducted an analysis and determined that an information security risk insurance policy would not be effective, and that we should continue to self-insure for cybersecurity risks. We have not experienced a material security breach in the last three years, and as a result, we have not incurred any net expenses from such a breach. Furthermore, we have not been penalized or paid any amount under an information security breach settlement over the last three years.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and Empowerment</w:t>
      </w:r>
    </w:p>
    <w:p>
      <w:pPr>
        <w:spacing w:after="0" w:line="124" w:lineRule="exact"/>
        <w:rPr>
          <w:sz w:val="20"/>
          <w:szCs w:val="20"/>
          <w:color w:val="auto"/>
        </w:rPr>
      </w:pPr>
    </w:p>
    <w:p>
      <w:pPr>
        <w:ind w:firstLine="386"/>
        <w:spacing w:after="0" w:line="250" w:lineRule="auto"/>
        <w:rPr>
          <w:sz w:val="20"/>
          <w:szCs w:val="20"/>
          <w:color w:val="auto"/>
        </w:rPr>
      </w:pPr>
      <w:r>
        <w:rPr>
          <w:rFonts w:ascii="Arial" w:cs="Arial" w:eastAsia="Arial" w:hAnsi="Arial"/>
          <w:sz w:val="16"/>
          <w:szCs w:val="16"/>
          <w:color w:val="auto"/>
        </w:rPr>
        <w:t>Our company was founded on the principle that people are our greatest asset. Our future success depends in large part on the continued service of our key technical and senior management personnel, and on our ability to continue to attract, retain and motivate qualified employees, particularly highly-skilled engineers involved in the design, development, support and manufacture of new and existing products and processes. In order for us to attract the best talent, we aim to offer challenging work in an environment that enables our employees to learn, grow and reach their full potential.</w:t>
      </w:r>
    </w:p>
    <w:p>
      <w:pPr>
        <w:spacing w:after="0" w:line="87" w:lineRule="exact"/>
        <w:rPr>
          <w:sz w:val="20"/>
          <w:szCs w:val="20"/>
          <w:color w:val="auto"/>
        </w:rPr>
      </w:pPr>
    </w:p>
    <w:p>
      <w:pPr>
        <w:ind w:firstLine="386"/>
        <w:spacing w:after="0" w:line="288" w:lineRule="auto"/>
        <w:rPr>
          <w:sz w:val="20"/>
          <w:szCs w:val="20"/>
          <w:color w:val="auto"/>
        </w:rPr>
      </w:pPr>
      <w:r>
        <w:rPr>
          <w:rFonts w:ascii="Arial" w:cs="Arial" w:eastAsia="Arial" w:hAnsi="Arial"/>
          <w:sz w:val="14"/>
          <w:szCs w:val="14"/>
          <w:color w:val="auto"/>
        </w:rPr>
        <w:t>Core to our empowerment strategy is embracing diversity and building a culture of inclusion across the organization. We are working to achieve this by expanding the diversity of our workforce, creating growth and development opportunities for our employees, embracing different perspectives and fostering an inclusive work environment for all. We launched the People of Color and Allies Network (POCAN), a new employee resource group focused on elevating and prioritizing the needs of people of color and creating opportunities to support colleagues from underrepresented groups. POCAN broadens our network of existing employee groups, including the Women's Leadership Network, Young Professionals Network, and LGBTQ+ Network, which all contribute to our broader diversity and inclusion initiatives. As noted in "Environmental, Health and Safety Compliance" above, we published our annual CRR which details our sustainability efforts, operations efficiency, employee engagement, and governance, and also provides a look at the state of our organization and overview of some of the initiatives we have launched to drive continuous improvements across diversity and inclusion.</w:t>
      </w:r>
    </w:p>
    <w:p>
      <w:pPr>
        <w:spacing w:after="0" w:line="63" w:lineRule="exact"/>
        <w:rPr>
          <w:sz w:val="20"/>
          <w:szCs w:val="20"/>
          <w:color w:val="auto"/>
        </w:rPr>
      </w:pPr>
    </w:p>
    <w:p>
      <w:pPr>
        <w:ind w:right="20" w:firstLine="386"/>
        <w:spacing w:after="0" w:line="307" w:lineRule="auto"/>
        <w:rPr>
          <w:sz w:val="20"/>
          <w:szCs w:val="20"/>
          <w:color w:val="auto"/>
        </w:rPr>
      </w:pPr>
      <w:r>
        <w:rPr>
          <w:rFonts w:ascii="Arial" w:cs="Arial" w:eastAsia="Arial" w:hAnsi="Arial"/>
          <w:sz w:val="14"/>
          <w:szCs w:val="14"/>
          <w:color w:val="auto"/>
        </w:rPr>
        <w:t>As of October 30, 2021, we had approximately 24,700 employees, of whom approximately 11,000 are in engineering roles. Approximately 60% of our workforce is male and 40% female. Our senior leadership team is 70% male and 30% female, while manager roles are approximately 74% male and 26% female. 30% of the members of our Board of Directors are female. For the year ended October 30, 2021 (fiscal 2021) our voluntary employee turnover rate was approximately 6.7%.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ind w:right="40" w:firstLine="386"/>
        <w:spacing w:after="0" w:line="285" w:lineRule="auto"/>
        <w:rPr>
          <w:sz w:val="20"/>
          <w:szCs w:val="20"/>
          <w:color w:val="auto"/>
        </w:rPr>
      </w:pPr>
      <w:r>
        <w:rPr>
          <w:rFonts w:ascii="Arial" w:cs="Arial" w:eastAsia="Arial" w:hAnsi="Arial"/>
          <w:sz w:val="14"/>
          <w:szCs w:val="14"/>
          <w:color w:val="auto"/>
        </w:rPr>
        <w:t xml:space="preserve">Our human capital resource objectives include identifying, recruiting, retaining, incentivizing and integrating our existing and future employees. We strive to attract and retain the most talented employees in the industry and across the globe by offering competitive compensation and benefits that support their health, financial and emotional well-being. Our compensation philosophy is based on rewarding each employee’s individual contributions and striving to achieve equal pay for equal work regardless of gender, race or ethnicity. We use a combination of fixed and variable pay including base salary, bonuses, performance awards and equity compensation. The principal purposes of our equity incentive plans are to attract, retain and motivate selected employees and directors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education assistance; paid counseling assistance; backup child and adult care; adoption support; and family college planning. For further information concerning our equity incentive plans, see Note 3, </w:t>
      </w:r>
      <w:r>
        <w:rPr>
          <w:rFonts w:ascii="Arial" w:cs="Arial" w:eastAsia="Arial" w:hAnsi="Arial"/>
          <w:sz w:val="14"/>
          <w:szCs w:val="14"/>
          <w:i w:val="1"/>
          <w:iCs w:val="1"/>
          <w:color w:val="auto"/>
        </w:rPr>
        <w:t>Stock-based</w:t>
      </w:r>
      <w:r>
        <w:rPr>
          <w:rFonts w:ascii="Arial" w:cs="Arial" w:eastAsia="Arial" w:hAnsi="Arial"/>
          <w:sz w:val="14"/>
          <w:szCs w:val="14"/>
          <w:color w:val="auto"/>
        </w:rPr>
        <w:t xml:space="preserve"> </w:t>
      </w:r>
      <w:r>
        <w:rPr>
          <w:rFonts w:ascii="Arial" w:cs="Arial" w:eastAsia="Arial" w:hAnsi="Arial"/>
          <w:sz w:val="14"/>
          <w:szCs w:val="14"/>
          <w:i w:val="1"/>
          <w:iCs w:val="1"/>
          <w:color w:val="auto"/>
        </w:rPr>
        <w:t>Compensation and Shareholders' Equity</w:t>
      </w:r>
      <w:r>
        <w:rPr>
          <w:rFonts w:ascii="Arial" w:cs="Arial" w:eastAsia="Arial" w:hAnsi="Arial"/>
          <w:sz w:val="14"/>
          <w:szCs w:val="14"/>
          <w:color w:val="auto"/>
        </w:rPr>
        <w:t>, of the Notes to Consolidated Financial Statements contained in Part II, Item 8 of this Annual Report on Form 10-K.</w:t>
      </w:r>
    </w:p>
    <w:p>
      <w:pPr>
        <w:spacing w:after="0" w:line="80" w:lineRule="exact"/>
        <w:rPr>
          <w:sz w:val="20"/>
          <w:szCs w:val="20"/>
          <w:color w:val="auto"/>
        </w:rPr>
      </w:pPr>
    </w:p>
    <w:p>
      <w:pPr>
        <w:jc w:val="both"/>
        <w:ind w:firstLine="386"/>
        <w:spacing w:after="0" w:line="287" w:lineRule="auto"/>
        <w:rPr>
          <w:sz w:val="20"/>
          <w:szCs w:val="20"/>
          <w:color w:val="auto"/>
        </w:rPr>
      </w:pPr>
      <w:r>
        <w:rPr>
          <w:rFonts w:ascii="Arial" w:cs="Arial" w:eastAsia="Arial" w:hAnsi="Arial"/>
          <w:sz w:val="14"/>
          <w:szCs w:val="14"/>
          <w:color w:val="auto"/>
        </w:rPr>
        <w:t>We conduct annual assessments that review department goals to identify talent needs, assess how each division is positioned from a talent perspective, review the current state of talent vitality for each division, review key talent segments and prioritize actions to identify and develop talent. We encourage all employees to never stop learning through the</w:t>
      </w:r>
    </w:p>
    <w:p>
      <w:pPr>
        <w:spacing w:after="0" w:line="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70-20-10 philosophy. We believe that by employees growing through career experiences (70%), learning from others (20%) and education (10%), they can continue to further their own growth and development. We offer employees access to various internal and external formal training and development courses to support individual development. We regularly review succession plans and focus on promoting internal talent to help grow our employees' careers.</w:t>
      </w:r>
    </w:p>
    <w:p>
      <w:pPr>
        <w:spacing w:after="0" w:line="89" w:lineRule="exact"/>
        <w:rPr>
          <w:sz w:val="20"/>
          <w:szCs w:val="20"/>
          <w:color w:val="auto"/>
        </w:rPr>
      </w:pPr>
    </w:p>
    <w:p>
      <w:pPr>
        <w:ind w:right="80" w:firstLine="386"/>
        <w:spacing w:after="0" w:line="290" w:lineRule="auto"/>
        <w:rPr>
          <w:sz w:val="20"/>
          <w:szCs w:val="20"/>
          <w:color w:val="auto"/>
        </w:rPr>
      </w:pPr>
      <w:r>
        <w:rPr>
          <w:rFonts w:ascii="Arial" w:cs="Arial" w:eastAsia="Arial" w:hAnsi="Arial"/>
          <w:sz w:val="14"/>
          <w:szCs w:val="14"/>
          <w:color w:val="auto"/>
        </w:rPr>
        <w:t xml:space="preserve">In order to ensure that we are meeting our human capital objectives we frequently utilize employee surveys to understand the effectiveness of our employee and compensation programs and where we can improve across the company. Our latest survey, which was completed in fiscal 2021 prior to the Acquisition, had a participation rate of over 87% of legacy employees of Analog Devices. The survey results indicated that we excel in areas including purpose, goals sharing, employee collaboration and overall culture. Our dual focus of being a great place to work and providing industry-leading benefits and work culture has led to strong employee satisfaction and pride that has been recognized across the globe, as evidenced with the following awards: </w:t>
      </w:r>
      <w:r>
        <w:rPr>
          <w:rFonts w:ascii="Arial" w:cs="Arial" w:eastAsia="Arial" w:hAnsi="Arial"/>
          <w:sz w:val="14"/>
          <w:szCs w:val="14"/>
          <w:i w:val="1"/>
          <w:iCs w:val="1"/>
          <w:color w:val="auto"/>
        </w:rPr>
        <w:t>Forbes</w:t>
      </w:r>
      <w:r>
        <w:rPr>
          <w:rFonts w:ascii="Arial" w:cs="Arial" w:eastAsia="Arial" w:hAnsi="Arial"/>
          <w:sz w:val="14"/>
          <w:szCs w:val="14"/>
          <w:color w:val="auto"/>
        </w:rPr>
        <w:t xml:space="preserve"> America’s Best Employers List (2020, 2019, 2018), </w:t>
      </w:r>
      <w:r>
        <w:rPr>
          <w:rFonts w:ascii="Arial" w:cs="Arial" w:eastAsia="Arial" w:hAnsi="Arial"/>
          <w:sz w:val="14"/>
          <w:szCs w:val="14"/>
          <w:i w:val="1"/>
          <w:iCs w:val="1"/>
          <w:color w:val="auto"/>
        </w:rPr>
        <w:t>Forbes</w:t>
      </w:r>
      <w:r>
        <w:rPr>
          <w:rFonts w:ascii="Arial" w:cs="Arial" w:eastAsia="Arial" w:hAnsi="Arial"/>
          <w:sz w:val="14"/>
          <w:szCs w:val="14"/>
          <w:color w:val="auto"/>
        </w:rPr>
        <w:t xml:space="preserve"> Global 2000: World’s Best Employer List (2019, 2018) </w:t>
      </w:r>
      <w:r>
        <w:rPr>
          <w:rFonts w:ascii="Arial" w:cs="Arial" w:eastAsia="Arial" w:hAnsi="Arial"/>
          <w:sz w:val="14"/>
          <w:szCs w:val="14"/>
          <w:i w:val="1"/>
          <w:iCs w:val="1"/>
          <w:color w:val="auto"/>
        </w:rPr>
        <w:t>and The Boston Globe’s</w:t>
      </w:r>
      <w:r>
        <w:rPr>
          <w:rFonts w:ascii="Arial" w:cs="Arial" w:eastAsia="Arial" w:hAnsi="Arial"/>
          <w:sz w:val="14"/>
          <w:szCs w:val="14"/>
          <w:color w:val="auto"/>
        </w:rPr>
        <w:t xml:space="preserve"> Top Places to Work (2020, 2019, 2018,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2" w:name="page13"/>
    <w:bookmarkEnd w:id="12"/>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2" w:lineRule="exact"/>
        <w:rPr>
          <w:sz w:val="20"/>
          <w:szCs w:val="20"/>
          <w:color w:val="auto"/>
        </w:rPr>
      </w:pPr>
    </w:p>
    <w:p>
      <w:pPr>
        <w:ind w:right="540" w:firstLine="421"/>
        <w:spacing w:after="0" w:line="335" w:lineRule="auto"/>
        <w:rPr>
          <w:sz w:val="20"/>
          <w:szCs w:val="20"/>
          <w:color w:val="auto"/>
        </w:rPr>
      </w:pPr>
      <w:r>
        <w:rPr>
          <w:rFonts w:ascii="Arial" w:cs="Arial" w:eastAsia="Arial" w:hAnsi="Arial"/>
          <w:sz w:val="14"/>
          <w:szCs w:val="14"/>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Acquisition of Maxim Integrated Products, Inc. (Maxim)</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will incur substantial expenses related to the integration of Maxim.</w:t>
      </w:r>
    </w:p>
    <w:p>
      <w:pPr>
        <w:spacing w:after="0" w:line="108" w:lineRule="exact"/>
        <w:rPr>
          <w:sz w:val="20"/>
          <w:szCs w:val="20"/>
          <w:color w:val="auto"/>
        </w:rPr>
      </w:pPr>
    </w:p>
    <w:p>
      <w:pPr>
        <w:ind w:right="40" w:firstLine="386"/>
        <w:spacing w:after="0" w:line="250" w:lineRule="auto"/>
        <w:rPr>
          <w:sz w:val="20"/>
          <w:szCs w:val="20"/>
          <w:color w:val="auto"/>
        </w:rPr>
      </w:pPr>
      <w:r>
        <w:rPr>
          <w:rFonts w:ascii="Arial" w:cs="Arial" w:eastAsia="Arial" w:hAnsi="Arial"/>
          <w:sz w:val="16"/>
          <w:szCs w:val="16"/>
          <w:color w:val="auto"/>
        </w:rPr>
        <w:t>We completed our acquisition of Maxim, which we refer to as the acquisition or the merger, on August 26, 2021. We have incurred and expect to incur a number of non-recurring costs associated with combining the operations of the two companies. These costs and expenses include fees paid to financial, legal and accounting advisors, facilities and systems consolidation costs, severance and other potential employment-related costs, including severance payments that may be made to certain Maxim employees, filing fees, printing expenses and other related charges.</w:t>
      </w:r>
    </w:p>
    <w:p>
      <w:pPr>
        <w:spacing w:after="0" w:line="99" w:lineRule="exact"/>
        <w:rPr>
          <w:sz w:val="20"/>
          <w:szCs w:val="20"/>
          <w:color w:val="auto"/>
        </w:rPr>
      </w:pPr>
    </w:p>
    <w:p>
      <w:pPr>
        <w:ind w:right="60" w:firstLine="386"/>
        <w:spacing w:after="0" w:line="293" w:lineRule="auto"/>
        <w:rPr>
          <w:sz w:val="20"/>
          <w:szCs w:val="20"/>
          <w:color w:val="auto"/>
        </w:rPr>
      </w:pPr>
      <w:r>
        <w:rPr>
          <w:rFonts w:ascii="Arial" w:cs="Arial" w:eastAsia="Arial" w:hAnsi="Arial"/>
          <w:sz w:val="14"/>
          <w:szCs w:val="14"/>
          <w:color w:val="auto"/>
        </w:rPr>
        <w:t>The combined company has and will continue to incur restructuring and integration costs in connection with the merger. The costs related to restructuring are being expensed as a cost of the ongoing results of operations. There are a large number of processes, policies, procedures, operations, technologies and systems that must be integrated in connection with the merger and the integration of Maxim’s business. Although we expect that the elimination of duplicative costs, strategic benefits, and additional income, as well as the realization of other efficiencies related to the integration of the businesses, may offset incremental transaction, merger-related and restructuring costs over time, any net benefit may not be achieved in the near term or at all.</w:t>
      </w:r>
    </w:p>
    <w:p>
      <w:pPr>
        <w:spacing w:after="0" w:line="58" w:lineRule="exact"/>
        <w:rPr>
          <w:sz w:val="20"/>
          <w:szCs w:val="20"/>
          <w:color w:val="auto"/>
        </w:rPr>
      </w:pPr>
    </w:p>
    <w:p>
      <w:pPr>
        <w:ind w:right="160"/>
        <w:spacing w:after="0" w:line="335" w:lineRule="auto"/>
        <w:rPr>
          <w:sz w:val="20"/>
          <w:szCs w:val="20"/>
          <w:color w:val="auto"/>
        </w:rPr>
      </w:pPr>
      <w:r>
        <w:rPr>
          <w:rFonts w:ascii="Arial" w:cs="Arial" w:eastAsia="Arial" w:hAnsi="Arial"/>
          <w:sz w:val="14"/>
          <w:szCs w:val="14"/>
          <w:i w:val="1"/>
          <w:iCs w:val="1"/>
          <w:color w:val="auto"/>
        </w:rPr>
        <w:t>Combining our business with Maxim’s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30" w:lineRule="exact"/>
        <w:rPr>
          <w:sz w:val="20"/>
          <w:szCs w:val="20"/>
          <w:color w:val="auto"/>
        </w:rPr>
      </w:pPr>
    </w:p>
    <w:p>
      <w:pPr>
        <w:ind w:right="140" w:firstLine="386"/>
        <w:spacing w:after="0" w:line="248" w:lineRule="auto"/>
        <w:rPr>
          <w:sz w:val="20"/>
          <w:szCs w:val="20"/>
          <w:color w:val="auto"/>
        </w:rPr>
      </w:pPr>
      <w:r>
        <w:rPr>
          <w:rFonts w:ascii="Arial" w:cs="Arial" w:eastAsia="Arial" w:hAnsi="Arial"/>
          <w:sz w:val="16"/>
          <w:szCs w:val="16"/>
          <w:color w:val="auto"/>
        </w:rPr>
        <w:t>The success of the merger will depend on, among other things, the ability of the two companies to combine their businesses in a manner that facilitates growth opportunities and realizes expected cost savings. The combined company may encounter difficulties in integrating our and Maxim’s businesses and realizing the anticipated benefits of the merger.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102" w:lineRule="exact"/>
        <w:rPr>
          <w:sz w:val="20"/>
          <w:szCs w:val="20"/>
          <w:color w:val="auto"/>
        </w:rPr>
      </w:pPr>
    </w:p>
    <w:p>
      <w:pPr>
        <w:ind w:right="280" w:firstLine="386"/>
        <w:spacing w:after="0" w:line="292" w:lineRule="auto"/>
        <w:rPr>
          <w:sz w:val="20"/>
          <w:szCs w:val="20"/>
          <w:color w:val="auto"/>
        </w:rPr>
      </w:pPr>
      <w:r>
        <w:rPr>
          <w:rFonts w:ascii="Arial" w:cs="Arial" w:eastAsia="Arial" w:hAnsi="Arial"/>
          <w:sz w:val="14"/>
          <w:szCs w:val="14"/>
          <w:color w:val="auto"/>
        </w:rPr>
        <w:t>The merger involves the combination of two companies which operated, until the completion of the merger, as independent public companies. There can be no assurances that the two businesses can be integrated successfully. It is possible that the integration process could result in the loss of key employees from both companies, the loss of customers, the disruption of ongoing businesses, inconsistencies in standards, controls, procedures and policies, unexpected integration issues, higher than expected integration costs and an overall integration process that takes longer than originally anticipated. Management must devote attention and resources to integrating the combined company's business practices and operations. Potential difficulties the combined company may encounter as the integration process continues include the following:</w:t>
      </w:r>
    </w:p>
    <w:p>
      <w:pPr>
        <w:spacing w:after="0" w:line="3" w:lineRule="exact"/>
        <w:rPr>
          <w:sz w:val="20"/>
          <w:szCs w:val="20"/>
          <w:color w:val="auto"/>
        </w:rPr>
      </w:pPr>
    </w:p>
    <w:p>
      <w:pPr>
        <w:ind w:left="560" w:right="440" w:hanging="286"/>
        <w:spacing w:after="0" w:line="263"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lost sales and customers as a result of certain of our and/or Maxim's customers deciding not to do business with the combined company, or deciding to decrease their amount of business in order to reduce their reliance on a single company;</w:t>
      </w:r>
    </w:p>
    <w:p>
      <w:pPr>
        <w:spacing w:after="0" w:line="17" w:lineRule="exact"/>
        <w:rPr>
          <w:rFonts w:ascii="Arial" w:cs="Arial" w:eastAsia="Arial" w:hAnsi="Arial"/>
          <w:sz w:val="16"/>
          <w:szCs w:val="16"/>
          <w:color w:val="auto"/>
        </w:rPr>
      </w:pPr>
    </w:p>
    <w:p>
      <w:pPr>
        <w:ind w:left="560" w:right="520" w:hanging="286"/>
        <w:spacing w:after="0" w:line="263"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integrating personnel and operations from the two companies while maintaining focus on providing consistent, high-quality products and services, especially in the COVID-19 environment which has required employees to work remotely in some locations;</w:t>
      </w:r>
    </w:p>
    <w:p>
      <w:pPr>
        <w:spacing w:after="0" w:line="17" w:lineRule="exact"/>
        <w:rPr>
          <w:rFonts w:ascii="Arial" w:cs="Arial" w:eastAsia="Arial" w:hAnsi="Arial"/>
          <w:sz w:val="16"/>
          <w:szCs w:val="16"/>
          <w:color w:val="auto"/>
        </w:rPr>
      </w:pPr>
    </w:p>
    <w:p>
      <w:pPr>
        <w:ind w:left="560" w:hanging="286"/>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potential unknown liabilities and unforeseen or increased costs and expenses; and</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performance shortfalls as a result of the diversion of management’s attention caused by integrating the companies’ operations.</w:t>
      </w:r>
    </w:p>
    <w:p>
      <w:pPr>
        <w:spacing w:after="0" w:line="108" w:lineRule="exact"/>
        <w:rPr>
          <w:sz w:val="20"/>
          <w:szCs w:val="20"/>
          <w:color w:val="auto"/>
        </w:rPr>
      </w:pPr>
    </w:p>
    <w:p>
      <w:pPr>
        <w:ind w:right="60" w:firstLine="386"/>
        <w:spacing w:after="0" w:line="307" w:lineRule="auto"/>
        <w:rPr>
          <w:sz w:val="20"/>
          <w:szCs w:val="20"/>
          <w:color w:val="auto"/>
        </w:rPr>
      </w:pPr>
      <w:r>
        <w:rPr>
          <w:rFonts w:ascii="Arial" w:cs="Arial" w:eastAsia="Arial" w:hAnsi="Arial"/>
          <w:sz w:val="14"/>
          <w:szCs w:val="14"/>
          <w:color w:val="auto"/>
        </w:rPr>
        <w:t>Any of these factors could result in the combined company failing to realize the anticipated benefits of the acquisition, on the expected timeline or at all. An inability to realize the full extent of the anticipated benefits of the merger,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49" w:lineRule="exact"/>
        <w:rPr>
          <w:sz w:val="20"/>
          <w:szCs w:val="20"/>
          <w:color w:val="auto"/>
        </w:rPr>
      </w:pPr>
    </w:p>
    <w:p>
      <w:pPr>
        <w:ind w:firstLine="421"/>
        <w:spacing w:after="0" w:line="307" w:lineRule="auto"/>
        <w:rPr>
          <w:sz w:val="20"/>
          <w:szCs w:val="20"/>
          <w:color w:val="auto"/>
        </w:rPr>
      </w:pPr>
      <w:r>
        <w:rPr>
          <w:rFonts w:ascii="Arial" w:cs="Arial" w:eastAsia="Arial" w:hAnsi="Arial"/>
          <w:sz w:val="14"/>
          <w:szCs w:val="14"/>
          <w:color w:val="auto"/>
        </w:rPr>
        <w:t>In addition, the actual integration may result in additional and unforeseen expenses, and the anticipated benefits of the integration plan may not be realized. Actual growth and cost savings, if achieved, may be lower than what we expect and may take longer to achieve than anticipated. If we are not able to adequately address integration challenges, we may be unable to successfully integrate their operations or realize the anticipated benefits of the integration of the two companies.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Risks Related to our Global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extent to which the novel strain of the coronavirus (COVID-19) pandemic will adversely affect our business, financial condition and results of operations is uncertain.</w:t>
      </w:r>
    </w:p>
    <w:p>
      <w:pPr>
        <w:spacing w:after="0" w:line="131" w:lineRule="exact"/>
        <w:rPr>
          <w:sz w:val="20"/>
          <w:szCs w:val="20"/>
          <w:color w:val="auto"/>
        </w:rPr>
      </w:pPr>
    </w:p>
    <w:p>
      <w:pPr>
        <w:ind w:firstLine="421"/>
        <w:spacing w:after="0" w:line="288" w:lineRule="auto"/>
        <w:rPr>
          <w:sz w:val="20"/>
          <w:szCs w:val="20"/>
          <w:color w:val="auto"/>
        </w:rPr>
      </w:pPr>
      <w:r>
        <w:rPr>
          <w:rFonts w:ascii="Arial" w:cs="Arial" w:eastAsia="Arial" w:hAnsi="Arial"/>
          <w:sz w:val="14"/>
          <w:szCs w:val="14"/>
          <w:color w:val="auto"/>
        </w:rPr>
        <w:t>The COVID-19 pandemic, and the numerous measures implemented by government authorities in response, have adversely impacted and are expected to continue to adversely impact our workforce and operations, the operations of our customers, and those of our respective vendors and suppliers. We have significant operations worldwide, including in the United States, the Philippines, Ireland, Thailand, Malaysia, China, and India. Each of these countries has been affected by the pandemic and taken measures to try to contain it, resulting in disruptions at some of our manufacturing operations and facilities, including restrictions on our access to facilities. It is uncertain what the full extent of the impact, and duration, of such measures and potential future measures may be and how such measures will affect our vendors and suppliers. Increased restrictions on or disruptions of transportation, such as reduced availability of air transport, port closures, and increased border controls or closures, could limit our capacity to meet customer demand and have a material adverse effect on our business, financial condition and results of operations.</w:t>
      </w:r>
    </w:p>
    <w:p>
      <w:pPr>
        <w:spacing w:after="0" w:line="63" w:lineRule="exact"/>
        <w:rPr>
          <w:sz w:val="20"/>
          <w:szCs w:val="20"/>
          <w:color w:val="auto"/>
        </w:rPr>
      </w:pPr>
    </w:p>
    <w:p>
      <w:pPr>
        <w:ind w:firstLine="421"/>
        <w:spacing w:after="0" w:line="288" w:lineRule="auto"/>
        <w:rPr>
          <w:sz w:val="20"/>
          <w:szCs w:val="20"/>
          <w:color w:val="auto"/>
        </w:rPr>
      </w:pPr>
      <w:r>
        <w:rPr>
          <w:rFonts w:ascii="Arial" w:cs="Arial" w:eastAsia="Arial" w:hAnsi="Arial"/>
          <w:sz w:val="14"/>
          <w:szCs w:val="14"/>
          <w:color w:val="auto"/>
        </w:rPr>
        <w:t>The spread of COVID-19 has caused us to modify our business practices by, among other things, restricting employee travel, modifying employee work locations, and canceling physical participation in meetings, events and conferences. As a result of our changed workplace practices, many of our employees are temporarily working remotely. Any of these changes may adversely impact our business operations or customer relationships and result in further disruptions to our supply chain, manufacturing operations and facilities, and workplace. We may take further actions as may be required by government authorities or that we determine are in the best interests of our employees, customers, partners, and suppliers, which may cause even further disruption. Although these alterations to our business practices are intended to minimize the spread of COVID-19, we cannot provide assurance that such measures will be sufficient to mitigate the risks posed by COVID-19, and if a significant number of our employees or members of our board of directors become ill, our ability to perform critical functions could be harmed.</w:t>
      </w:r>
    </w:p>
    <w:p>
      <w:pPr>
        <w:spacing w:after="0" w:line="74" w:lineRule="exact"/>
        <w:rPr>
          <w:sz w:val="20"/>
          <w:szCs w:val="20"/>
          <w:color w:val="auto"/>
        </w:rPr>
      </w:pPr>
    </w:p>
    <w:p>
      <w:pPr>
        <w:ind w:right="280" w:firstLine="421"/>
        <w:spacing w:after="0" w:line="297" w:lineRule="auto"/>
        <w:rPr>
          <w:sz w:val="20"/>
          <w:szCs w:val="20"/>
          <w:color w:val="auto"/>
        </w:rPr>
      </w:pPr>
      <w:r>
        <w:rPr>
          <w:rFonts w:ascii="Arial" w:cs="Arial" w:eastAsia="Arial" w:hAnsi="Arial"/>
          <w:sz w:val="14"/>
          <w:szCs w:val="14"/>
          <w:color w:val="auto"/>
        </w:rPr>
        <w:t>The COVID-19 pandemic has significantly increased economic and demand uncertainty and could result in a global recession. The COVID-19 pandemic has led to disruption and volatility in the global capital markets, which may adversely affect our and our customers’ and suppliers’ liquidity, cost of capital and ability to access the capital markets. As a result, the continued spread of COVID-19 could cause further disruption in our supply chain and customer demand, and could adversely affect the ability of our customers to perform, including in making timely payments to us, which could further adversely impact our business, financial condition and results of operations.</w:t>
      </w:r>
    </w:p>
    <w:p>
      <w:pPr>
        <w:spacing w:after="0" w:line="57" w:lineRule="exact"/>
        <w:rPr>
          <w:sz w:val="20"/>
          <w:szCs w:val="20"/>
          <w:color w:val="auto"/>
        </w:rPr>
      </w:pPr>
    </w:p>
    <w:p>
      <w:pPr>
        <w:ind w:right="20" w:firstLine="421"/>
        <w:spacing w:after="0" w:line="250" w:lineRule="auto"/>
        <w:rPr>
          <w:sz w:val="20"/>
          <w:szCs w:val="20"/>
          <w:color w:val="auto"/>
        </w:rPr>
      </w:pPr>
      <w:r>
        <w:rPr>
          <w:rFonts w:ascii="Arial" w:cs="Arial" w:eastAsia="Arial" w:hAnsi="Arial"/>
          <w:sz w:val="16"/>
          <w:szCs w:val="16"/>
          <w:color w:val="auto"/>
        </w:rPr>
        <w:t>We cannot at this time fully quantify or forecast the impact of the COVID-19 pandemic on our business. The full extent of the impact of the pandemic on our business, financial condition and results of operations will depend on future developments, which are highly uncertain, including the continued duration and severity of the pandemic, the spread of more contagious variants of the virus, the adoption rate of vaccines, the actions to contain the virus or treat its impact, or how quickly and to what extent normal economic and operating conditions can resume.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Political and economic uncertainty as well as disruptions in global credit and financial markets could materially and adversely affect our business and results of operations.</w:t>
      </w:r>
    </w:p>
    <w:p>
      <w:pPr>
        <w:spacing w:after="0" w:line="143" w:lineRule="exact"/>
        <w:rPr>
          <w:sz w:val="20"/>
          <w:szCs w:val="20"/>
          <w:color w:val="auto"/>
        </w:rPr>
      </w:pPr>
    </w:p>
    <w:p>
      <w:pPr>
        <w:ind w:right="60" w:firstLine="421"/>
        <w:spacing w:after="0" w:line="285" w:lineRule="auto"/>
        <w:rPr>
          <w:sz w:val="20"/>
          <w:szCs w:val="20"/>
          <w:color w:val="auto"/>
        </w:rPr>
      </w:pPr>
      <w:r>
        <w:rPr>
          <w:rFonts w:ascii="Arial" w:cs="Arial" w:eastAsia="Arial" w:hAnsi="Arial"/>
          <w:sz w:val="14"/>
          <w:szCs w:val="14"/>
          <w:color w:val="auto"/>
        </w:rPr>
        <w:t>Continuing political and global macroeconomic uncertainty, including related to the COVID-19 pandemic, trade and political disputes between the United States and China, China-Taiwan relations, and the United Kingdom's withdrawal from the European Union,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4" w:name="page15"/>
    <w:bookmarkEnd w:id="14"/>
    <w:p>
      <w:pPr>
        <w:spacing w:after="0" w:line="263" w:lineRule="auto"/>
        <w:rPr>
          <w:sz w:val="20"/>
          <w:szCs w:val="20"/>
          <w:color w:val="auto"/>
        </w:rPr>
      </w:pPr>
      <w:r>
        <w:rPr>
          <w:rFonts w:ascii="Arial" w:cs="Arial" w:eastAsia="Arial" w:hAnsi="Arial"/>
          <w:sz w:val="16"/>
          <w:szCs w:val="16"/>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88" w:lineRule="exact"/>
        <w:rPr>
          <w:sz w:val="20"/>
          <w:szCs w:val="20"/>
          <w:color w:val="auto"/>
        </w:rPr>
      </w:pPr>
    </w:p>
    <w:p>
      <w:pPr>
        <w:jc w:val="both"/>
        <w:ind w:right="80" w:firstLine="421"/>
        <w:spacing w:after="0" w:line="253" w:lineRule="auto"/>
        <w:rPr>
          <w:sz w:val="20"/>
          <w:szCs w:val="20"/>
          <w:color w:val="auto"/>
        </w:rPr>
      </w:pPr>
      <w:r>
        <w:rPr>
          <w:rFonts w:ascii="Arial" w:cs="Arial" w:eastAsia="Arial" w:hAnsi="Arial"/>
          <w:sz w:val="16"/>
          <w:szCs w:val="16"/>
          <w:color w:val="auto"/>
        </w:rPr>
        <w:t>We have significant operations and manufacturing facilities outside the United States, including in Ireland, the Philippines, Thailand,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26" w:lineRule="exact"/>
        <w:rPr>
          <w:sz w:val="20"/>
          <w:szCs w:val="20"/>
          <w:color w:val="auto"/>
        </w:rPr>
      </w:pPr>
    </w:p>
    <w:p>
      <w:pPr>
        <w:ind w:left="560" w:hanging="286"/>
        <w:spacing w:after="0"/>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political, legal and economic changes, crises or instability and civil unrest in markets in which we do business, such as potential macroeconomic weakness related to trade</w:t>
      </w:r>
    </w:p>
    <w:p>
      <w:pPr>
        <w:spacing w:after="0" w:line="61" w:lineRule="exact"/>
        <w:rPr>
          <w:rFonts w:ascii="Arial" w:cs="Arial" w:eastAsia="Arial" w:hAnsi="Arial"/>
          <w:sz w:val="14"/>
          <w:szCs w:val="14"/>
          <w:color w:val="auto"/>
        </w:rPr>
      </w:pPr>
    </w:p>
    <w:p>
      <w:pPr>
        <w:ind w:left="560" w:right="100"/>
        <w:spacing w:after="0" w:line="313" w:lineRule="auto"/>
        <w:rPr>
          <w:rFonts w:ascii="Arial" w:cs="Arial" w:eastAsia="Arial" w:hAnsi="Arial"/>
          <w:sz w:val="14"/>
          <w:szCs w:val="14"/>
          <w:color w:val="auto"/>
        </w:rPr>
      </w:pPr>
      <w:r>
        <w:rPr>
          <w:rFonts w:ascii="Arial" w:cs="Arial" w:eastAsia="Arial" w:hAnsi="Arial"/>
          <w:sz w:val="14"/>
          <w:szCs w:val="14"/>
          <w:color w:val="auto"/>
        </w:rPr>
        <w:t>and political disputes between the United States and China, changes in China-Taiwan relations that may adversely affect our operations in Taiwan, our customers, and the technology industry supply chain, the United Kingdom's withdrawal from the European Union and the implementation of the United States-Mexico-Canada Agreement;</w:t>
      </w:r>
    </w:p>
    <w:p>
      <w:pPr>
        <w:spacing w:after="0" w:line="1" w:lineRule="exact"/>
        <w:rPr>
          <w:rFonts w:ascii="Arial" w:cs="Arial" w:eastAsia="Arial" w:hAnsi="Arial"/>
          <w:sz w:val="14"/>
          <w:szCs w:val="14"/>
          <w:color w:val="auto"/>
        </w:rPr>
      </w:pPr>
    </w:p>
    <w:p>
      <w:pPr>
        <w:ind w:left="560" w:hanging="286"/>
        <w:spacing w:after="0"/>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compliance requirements of U.S. customs and export regulations, including the Export Administration Regulations and the International Traffic and Arms Regulations;</w:t>
      </w:r>
    </w:p>
    <w:p>
      <w:pPr>
        <w:spacing w:after="0" w:line="72" w:lineRule="exact"/>
        <w:rPr>
          <w:rFonts w:ascii="Arial" w:cs="Arial" w:eastAsia="Arial" w:hAnsi="Arial"/>
          <w:sz w:val="14"/>
          <w:szCs w:val="14"/>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currency conversion risks and exchange rate and interest rate fluctuations, including the potential impact of the transition from LIBOR;</w:t>
      </w:r>
    </w:p>
    <w:p>
      <w:pPr>
        <w:spacing w:after="0" w:line="49" w:lineRule="exact"/>
        <w:rPr>
          <w:rFonts w:ascii="Arial" w:cs="Arial" w:eastAsia="Arial" w:hAnsi="Arial"/>
          <w:sz w:val="16"/>
          <w:szCs w:val="16"/>
          <w:color w:val="auto"/>
        </w:rPr>
      </w:pPr>
    </w:p>
    <w:p>
      <w:pPr>
        <w:ind w:left="560" w:right="500" w:hanging="286"/>
        <w:spacing w:after="0" w:line="313" w:lineRule="auto"/>
        <w:tabs>
          <w:tab w:leader="none" w:pos="5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trade policy, commercial,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spacing w:after="0" w:line="1" w:lineRule="exact"/>
        <w:rPr>
          <w:rFonts w:ascii="Arial" w:cs="Arial" w:eastAsia="Arial" w:hAnsi="Arial"/>
          <w:sz w:val="14"/>
          <w:szCs w:val="14"/>
          <w:color w:val="auto"/>
        </w:rPr>
      </w:pPr>
    </w:p>
    <w:p>
      <w:pPr>
        <w:ind w:left="560" w:right="260" w:hanging="286"/>
        <w:spacing w:after="0" w:line="253" w:lineRule="auto"/>
        <w:tabs>
          <w:tab w:leader="none" w:pos="5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intellectual property, anti-corruption and environmental compliance, including the Foreign Corrupt Practices Act;</w:t>
      </w:r>
    </w:p>
    <w:p>
      <w:pPr>
        <w:spacing w:after="0" w:line="26" w:lineRule="exact"/>
        <w:rPr>
          <w:rFonts w:ascii="Arial" w:cs="Arial" w:eastAsia="Arial" w:hAnsi="Arial"/>
          <w:sz w:val="16"/>
          <w:szCs w:val="16"/>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economic disruption from terrorism and threats of terrorism and the response to them by the U.S. and its allies;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managerial complexities, including different employment practices and labor issues;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immigration laws, regulations and procedures and enforcement practices of various government agencies;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greater difficulty enforcing intellectual property rights and weaker laws protecting such rights;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natural disasters or public health emergencies, such as the current COVID-19 pandemic;</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transportation disruptions and delays and increases in labor and transportation costs;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to foreign taxes, tariffs and freight rates;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fluctuations in raw material costs and energy costs;</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greater difficulty in accounts receivable collections and longer collection periods; and</w:t>
      </w:r>
    </w:p>
    <w:p>
      <w:pPr>
        <w:spacing w:after="0" w:line="49" w:lineRule="exact"/>
        <w:rPr>
          <w:rFonts w:ascii="Arial" w:cs="Arial" w:eastAsia="Arial" w:hAnsi="Arial"/>
          <w:sz w:val="16"/>
          <w:szCs w:val="16"/>
          <w:color w:val="auto"/>
        </w:rPr>
      </w:pPr>
    </w:p>
    <w:p>
      <w:pPr>
        <w:ind w:left="560" w:hanging="286"/>
        <w:spacing w:after="0"/>
        <w:tabs>
          <w:tab w:leader="none" w:pos="5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associated with our foreign defined benefit pension plans.</w:t>
      </w:r>
    </w:p>
    <w:p>
      <w:pPr>
        <w:spacing w:after="0" w:line="108" w:lineRule="exact"/>
        <w:rPr>
          <w:sz w:val="20"/>
          <w:szCs w:val="20"/>
          <w:color w:val="auto"/>
        </w:rPr>
      </w:pPr>
    </w:p>
    <w:p>
      <w:pPr>
        <w:ind w:left="380" w:right="60"/>
        <w:spacing w:after="0" w:line="366" w:lineRule="auto"/>
        <w:rPr>
          <w:sz w:val="20"/>
          <w:szCs w:val="20"/>
          <w:color w:val="auto"/>
        </w:rPr>
      </w:pPr>
      <w:r>
        <w:rPr>
          <w:rFonts w:ascii="Arial" w:cs="Arial" w:eastAsia="Arial" w:hAnsi="Arial"/>
          <w:sz w:val="14"/>
          <w:szCs w:val="14"/>
          <w:color w:val="auto"/>
        </w:rPr>
        <w:t>Any of these risks, or any other risks related to international business operations, could materially adversely affect our business, financial condition and results of operations. Many of these risks are present within our business operations in China. For example, changes in U.S.-China relations, the political environment or international trade</w:t>
      </w:r>
    </w:p>
    <w:p>
      <w:pPr>
        <w:ind w:right="20"/>
        <w:spacing w:after="0" w:line="283" w:lineRule="auto"/>
        <w:rPr>
          <w:sz w:val="20"/>
          <w:szCs w:val="20"/>
          <w:color w:val="auto"/>
        </w:rPr>
      </w:pPr>
      <w:r>
        <w:rPr>
          <w:rFonts w:ascii="Arial" w:cs="Arial" w:eastAsia="Arial" w:hAnsi="Arial"/>
          <w:sz w:val="14"/>
          <w:szCs w:val="14"/>
          <w:color w:val="auto"/>
        </w:rPr>
        <w:t>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In addition, expanded export restrictions may limit our ability to sell to certain Chinese companies and to third parties that do business with those companies. These restrictions have created and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adverse impacts on our revenues and results of operations in China and elsewhere.</w:t>
      </w:r>
    </w:p>
    <w:p>
      <w:pPr>
        <w:spacing w:after="0" w:line="80" w:lineRule="exact"/>
        <w:rPr>
          <w:sz w:val="20"/>
          <w:szCs w:val="20"/>
          <w:color w:val="auto"/>
        </w:rPr>
      </w:pPr>
    </w:p>
    <w:p>
      <w:pPr>
        <w:ind w:right="40" w:firstLine="386"/>
        <w:spacing w:after="0" w:line="253" w:lineRule="auto"/>
        <w:rPr>
          <w:sz w:val="20"/>
          <w:szCs w:val="20"/>
          <w:color w:val="auto"/>
        </w:rPr>
      </w:pPr>
      <w:r>
        <w:rPr>
          <w:rFonts w:ascii="Arial" w:cs="Arial" w:eastAsia="Arial" w:hAnsi="Arial"/>
          <w:sz w:val="16"/>
          <w:szCs w:val="16"/>
          <w:color w:val="auto"/>
        </w:rPr>
        <w:t>In addition, our success in the Chinese markets may be adversely affected by China's continuously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ind w:right="100"/>
        <w:spacing w:after="0" w:line="263" w:lineRule="auto"/>
        <w:rPr>
          <w:sz w:val="20"/>
          <w:szCs w:val="20"/>
          <w:color w:val="auto"/>
        </w:rPr>
      </w:pPr>
      <w:r>
        <w:rPr>
          <w:rFonts w:ascii="Arial" w:cs="Arial" w:eastAsia="Arial" w:hAnsi="Arial"/>
          <w:sz w:val="16"/>
          <w:szCs w:val="16"/>
          <w:i w:val="1"/>
          <w:iCs w:val="1"/>
          <w:color w:val="auto"/>
        </w:rPr>
        <w:t>If we are unable to address our U.S. cash requirements, it may be necessary for us to consider repatriation of foreign earnings, which could have a material adverse effect on our results of operations and financial condition.</w:t>
      </w:r>
    </w:p>
    <w:p>
      <w:pPr>
        <w:spacing w:after="0" w:line="88" w:lineRule="exact"/>
        <w:rPr>
          <w:sz w:val="20"/>
          <w:szCs w:val="20"/>
          <w:color w:val="auto"/>
        </w:rPr>
      </w:pPr>
    </w:p>
    <w:p>
      <w:pPr>
        <w:ind w:firstLine="421"/>
        <w:spacing w:after="0" w:line="290" w:lineRule="auto"/>
        <w:rPr>
          <w:sz w:val="20"/>
          <w:szCs w:val="20"/>
          <w:color w:val="auto"/>
        </w:rPr>
      </w:pPr>
      <w:r>
        <w:rPr>
          <w:rFonts w:ascii="Arial" w:cs="Arial" w:eastAsia="Arial" w:hAnsi="Arial"/>
          <w:sz w:val="14"/>
          <w:szCs w:val="14"/>
          <w:color w:val="auto"/>
        </w:rPr>
        <w:t>We carry outside basis differences in certain of our subsidiaries, primarily arising from acquisition accounting adjustments and certain undistributed earnings that are considered indefinitely reinvested. We intend to reinvest these funds in our international operations, and our current plans do not demonstrate a need to repatriate these earnings to fund our U.S. cash requirements.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Business, Industry and Partners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future revenue, gross margins, operating results, net income and earnings per share are difficult to predict and may materially fluctuate.</w:t>
      </w:r>
    </w:p>
    <w:p>
      <w:pPr>
        <w:spacing w:after="0" w:line="120" w:lineRule="exact"/>
        <w:rPr>
          <w:sz w:val="20"/>
          <w:szCs w:val="20"/>
          <w:color w:val="auto"/>
        </w:rPr>
      </w:pPr>
    </w:p>
    <w:p>
      <w:pPr>
        <w:ind w:right="460" w:firstLine="421"/>
        <w:spacing w:after="0" w:line="263" w:lineRule="auto"/>
        <w:rPr>
          <w:sz w:val="20"/>
          <w:szCs w:val="20"/>
          <w:color w:val="auto"/>
        </w:rPr>
      </w:pPr>
      <w:r>
        <w:rPr>
          <w:rFonts w:ascii="Arial" w:cs="Arial" w:eastAsia="Arial" w:hAnsi="Arial"/>
          <w:sz w:val="16"/>
          <w:szCs w:val="16"/>
          <w:color w:val="auto"/>
        </w:rPr>
        <w:t>Our future revenue, gross margins, operating results, net income and earnings per share are difficult to predict and may be materially affected by a number of factors, including:</w:t>
      </w:r>
    </w:p>
    <w:p>
      <w:pPr>
        <w:spacing w:after="0" w:line="29" w:lineRule="exact"/>
        <w:rPr>
          <w:sz w:val="20"/>
          <w:szCs w:val="20"/>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extent of the impact and the duration of the COVID-19 pandemic;</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effects of adverse economic conditions in the markets in which we sell our products, including inflationary pressures;</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customer demand or order patterns for our products and/or for end products that incorporate our products;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timing, delay, reduction or cancellation of significant customer orders and our ability to manage inventory;</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accurately forecast distributor demand for our products;</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accurately estimate future distributor pricing credits and/or stock rotation rights;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effectively manage our cost structure in both the short term and over a longer duration;</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geographic, product or customer mix;</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our effective tax rates or new or revised tax legislation in the United States, Ireland or worldwide;</w:t>
      </w:r>
    </w:p>
    <w:p>
      <w:pPr>
        <w:spacing w:after="0" w:line="61" w:lineRule="exact"/>
        <w:rPr>
          <w:rFonts w:ascii="Arial" w:cs="Arial" w:eastAsia="Arial" w:hAnsi="Arial"/>
          <w:sz w:val="16"/>
          <w:szCs w:val="16"/>
          <w:color w:val="auto"/>
        </w:rPr>
      </w:pPr>
    </w:p>
    <w:p>
      <w:pPr>
        <w:ind w:left="560" w:right="260" w:hanging="286"/>
        <w:spacing w:after="0" w:line="253" w:lineRule="auto"/>
        <w:tabs>
          <w:tab w:leader="none" w:pos="5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effects of issued, threatened or retaliatory government sanctions, trade barriers or economic restrictions; changes in law, regulations or other restrictions, including executive orders; and changes in import and export regulations, including restrictions on exports to certain companies or to third parties that do business with such companies, export classifications, or duties and tariffs, particularly with respect to China;</w:t>
      </w:r>
    </w:p>
    <w:p>
      <w:pPr>
        <w:spacing w:after="0" w:line="37"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pricing decisions and competitive pricing pressures;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fluctuations in manufacturing yields, adequate availability of wafers and other raw materials, and manufacturing, assembly and test capacity;</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third-party suppliers, subcontractors and manufacturers to supply us with sufficient quantities of raw materials, products and/or components;</w:t>
      </w:r>
    </w:p>
    <w:p>
      <w:pPr>
        <w:spacing w:after="0" w:line="96" w:lineRule="exact"/>
        <w:rPr>
          <w:rFonts w:ascii="Arial" w:cs="Arial" w:eastAsia="Arial" w:hAnsi="Arial"/>
          <w:sz w:val="14"/>
          <w:szCs w:val="14"/>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decline in infrastructure spending by foreign governments, including China;</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decline in the U.S. government defense budget, changes in spending or budgetary priorities, a prolonged U.S. government shutdown or delays in contract awards;</w:t>
      </w:r>
    </w:p>
    <w:p>
      <w:pPr>
        <w:spacing w:after="0" w:line="84" w:lineRule="exact"/>
        <w:rPr>
          <w:rFonts w:ascii="Arial" w:cs="Arial" w:eastAsia="Arial" w:hAnsi="Arial"/>
          <w:sz w:val="14"/>
          <w:szCs w:val="14"/>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significant decline in our backlog;</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recruit, hire, retain and motivate adequate numbers of engineers and other qualified employees to meet the demands of our customers;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generate new design opportunities and win competitive bid selection processes;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increasing costs of providing employee benefits worldwide, including health insurance, retirement plan and pension plan contributions and retirement benefits;</w:t>
      </w:r>
    </w:p>
    <w:p>
      <w:pPr>
        <w:spacing w:after="0" w:line="96" w:lineRule="exact"/>
        <w:rPr>
          <w:rFonts w:ascii="Arial" w:cs="Arial" w:eastAsia="Arial" w:hAnsi="Arial"/>
          <w:sz w:val="14"/>
          <w:szCs w:val="14"/>
          <w:color w:val="auto"/>
        </w:rPr>
      </w:pPr>
    </w:p>
    <w:p>
      <w:pPr>
        <w:ind w:left="560" w:hanging="286"/>
        <w:spacing w:after="0"/>
        <w:tabs>
          <w:tab w:leader="none" w:pos="5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utilize our manufacturing facilities at efficient levels;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potential significant litigation-related costs or product liability, warranty and/or indemnity claims, including those not covered by our suppliers or insurers;</w:t>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899" w:right="399" w:bottom="1440" w:gutter="0" w:footer="0" w:header="0"/>
        </w:sectPr>
      </w:pPr>
    </w:p>
    <w:bookmarkStart w:id="16" w:name="page17"/>
    <w:bookmarkEnd w:id="16"/>
    <w:p>
      <w:pPr>
        <w:ind w:left="560" w:hanging="286"/>
        <w:spacing w:after="0"/>
        <w:tabs>
          <w:tab w:leader="none" w:pos="5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difficulties inherent in forecasting future operating expense levels, including with respect to costs associated with labor, utilities, transportation and raw materials;</w:t>
      </w:r>
    </w:p>
    <w:p>
      <w:pPr>
        <w:spacing w:after="0" w:line="96" w:lineRule="exact"/>
        <w:rPr>
          <w:rFonts w:ascii="Arial" w:cs="Arial" w:eastAsia="Arial" w:hAnsi="Arial"/>
          <w:sz w:val="14"/>
          <w:szCs w:val="14"/>
          <w:color w:val="auto"/>
        </w:rPr>
      </w:pPr>
    </w:p>
    <w:p>
      <w:pPr>
        <w:ind w:left="560" w:hanging="286"/>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costs related to compliance with increasing worldwide government, environmental and social responsibility standards;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new accounting pronouncements or changes in existing accounting standards and practices; and</w:t>
      </w:r>
    </w:p>
    <w:p>
      <w:pPr>
        <w:spacing w:after="0" w:line="61" w:lineRule="exact"/>
        <w:rPr>
          <w:rFonts w:ascii="Arial" w:cs="Arial" w:eastAsia="Arial" w:hAnsi="Arial"/>
          <w:sz w:val="16"/>
          <w:szCs w:val="16"/>
          <w:color w:val="auto"/>
        </w:rPr>
      </w:pPr>
    </w:p>
    <w:p>
      <w:pPr>
        <w:ind w:left="560" w:right="320" w:hanging="286"/>
        <w:spacing w:after="0" w:line="263" w:lineRule="auto"/>
        <w:tabs>
          <w:tab w:leader="none" w:pos="55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effects of public health emergencies, civil unrest, natural disasters, widespread travel disruptions, security risks, terrorist activities, international conflicts and other events beyond our control.</w:t>
      </w:r>
    </w:p>
    <w:p>
      <w:pPr>
        <w:spacing w:after="0" w:line="88" w:lineRule="exact"/>
        <w:rPr>
          <w:sz w:val="20"/>
          <w:szCs w:val="20"/>
          <w:color w:val="auto"/>
        </w:rPr>
      </w:pPr>
    </w:p>
    <w:p>
      <w:pPr>
        <w:ind w:right="100" w:firstLine="421"/>
        <w:spacing w:after="0" w:line="288" w:lineRule="auto"/>
        <w:rPr>
          <w:sz w:val="20"/>
          <w:szCs w:val="20"/>
          <w:color w:val="auto"/>
        </w:rPr>
      </w:pPr>
      <w:r>
        <w:rPr>
          <w:rFonts w:ascii="Arial" w:cs="Arial" w:eastAsia="Arial" w:hAnsi="Arial"/>
          <w:sz w:val="14"/>
          <w:szCs w:val="14"/>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Increases in our effective tax rate and exposure to additional tax liabilities may adversely impact our results of operations.</w:t>
      </w:r>
    </w:p>
    <w:p>
      <w:pPr>
        <w:spacing w:after="0" w:line="120" w:lineRule="exact"/>
        <w:rPr>
          <w:sz w:val="20"/>
          <w:szCs w:val="20"/>
          <w:color w:val="auto"/>
        </w:rPr>
      </w:pPr>
    </w:p>
    <w:p>
      <w:pPr>
        <w:ind w:firstLine="386"/>
        <w:spacing w:after="0" w:line="284" w:lineRule="auto"/>
        <w:rPr>
          <w:sz w:val="20"/>
          <w:szCs w:val="20"/>
          <w:color w:val="auto"/>
        </w:rPr>
      </w:pPr>
      <w:r>
        <w:rPr>
          <w:rFonts w:ascii="Arial" w:cs="Arial" w:eastAsia="Arial" w:hAnsi="Arial"/>
          <w:sz w:val="14"/>
          <w:szCs w:val="14"/>
          <w:color w:val="auto"/>
        </w:rPr>
        <w:t>Our effective tax rate reflects the applicable tax rate in effect in the various tax jurisdictions around the world where our income is earned. Our effective tax rate for the fiscal year ended October 30, 2021 was below our U.S. federal statutory rate of 21%.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68" w:lineRule="exact"/>
        <w:rPr>
          <w:sz w:val="20"/>
          <w:szCs w:val="20"/>
          <w:color w:val="auto"/>
        </w:rPr>
      </w:pPr>
    </w:p>
    <w:p>
      <w:pPr>
        <w:ind w:right="100" w:firstLine="421"/>
        <w:spacing w:after="0" w:line="307" w:lineRule="auto"/>
        <w:rPr>
          <w:sz w:val="20"/>
          <w:szCs w:val="20"/>
          <w:color w:val="auto"/>
        </w:rPr>
      </w:pPr>
      <w:r>
        <w:rPr>
          <w:rFonts w:ascii="Arial" w:cs="Arial" w:eastAsia="Arial" w:hAnsi="Arial"/>
          <w:sz w:val="14"/>
          <w:szCs w:val="14"/>
          <w:color w:val="auto"/>
        </w:rPr>
        <w:t>Compliance with tax legislation may require the collection of information not regularly produced within the Company, and therefore necessitate the use of estimates in our Consolidated Financial Statements and the exercise of significant judgment in accounting for its provisions. As regulations and guidance evolve with respect to tax legislation, and as more information is gathered and analyzed, our results may differ from previous estimates and may materially affect our Consolidated Financial Statements.</w:t>
      </w:r>
    </w:p>
    <w:p>
      <w:pPr>
        <w:spacing w:after="0" w:line="49" w:lineRule="exact"/>
        <w:rPr>
          <w:sz w:val="20"/>
          <w:szCs w:val="20"/>
          <w:color w:val="auto"/>
        </w:rPr>
      </w:pPr>
    </w:p>
    <w:p>
      <w:pPr>
        <w:ind w:right="140" w:firstLine="421"/>
        <w:spacing w:after="0" w:line="307" w:lineRule="auto"/>
        <w:rPr>
          <w:sz w:val="20"/>
          <w:szCs w:val="20"/>
          <w:color w:val="auto"/>
        </w:rPr>
      </w:pPr>
      <w:r>
        <w:rPr>
          <w:rFonts w:ascii="Arial" w:cs="Arial" w:eastAsia="Arial" w:hAnsi="Arial"/>
          <w:sz w:val="14"/>
          <w:szCs w:val="14"/>
          <w:color w:val="auto"/>
        </w:rPr>
        <w:t>We are also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60" w:lineRule="exact"/>
        <w:rPr>
          <w:sz w:val="20"/>
          <w:szCs w:val="20"/>
          <w:color w:val="auto"/>
        </w:rPr>
      </w:pPr>
    </w:p>
    <w:p>
      <w:pPr>
        <w:ind w:right="420"/>
        <w:spacing w:after="0" w:line="263" w:lineRule="auto"/>
        <w:rPr>
          <w:sz w:val="20"/>
          <w:szCs w:val="20"/>
          <w:color w:val="auto"/>
        </w:rPr>
      </w:pPr>
      <w:r>
        <w:rPr>
          <w:rFonts w:ascii="Arial" w:cs="Arial" w:eastAsia="Arial" w:hAnsi="Arial"/>
          <w:sz w:val="16"/>
          <w:szCs w:val="16"/>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76" w:lineRule="exact"/>
        <w:rPr>
          <w:sz w:val="20"/>
          <w:szCs w:val="20"/>
          <w:color w:val="auto"/>
        </w:rPr>
      </w:pPr>
    </w:p>
    <w:p>
      <w:pPr>
        <w:ind w:right="220" w:firstLine="421"/>
        <w:spacing w:after="0" w:line="288" w:lineRule="auto"/>
        <w:rPr>
          <w:sz w:val="20"/>
          <w:szCs w:val="20"/>
          <w:color w:val="auto"/>
        </w:rPr>
      </w:pPr>
      <w:r>
        <w:rPr>
          <w:rFonts w:ascii="Arial" w:cs="Arial" w:eastAsia="Arial" w:hAnsi="Arial"/>
          <w:sz w:val="14"/>
          <w:szCs w:val="14"/>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52" w:right="319" w:bottom="1440" w:gutter="0" w:footer="0" w:header="0"/>
        </w:sectPr>
      </w:pPr>
    </w:p>
    <w:bookmarkStart w:id="17" w:name="page18"/>
    <w:bookmarkEnd w:id="17"/>
    <w:p>
      <w:pPr>
        <w:ind w:right="20"/>
        <w:spacing w:after="0" w:line="307" w:lineRule="auto"/>
        <w:rPr>
          <w:sz w:val="20"/>
          <w:szCs w:val="20"/>
          <w:color w:val="auto"/>
        </w:rPr>
      </w:pPr>
      <w:r>
        <w:rPr>
          <w:rFonts w:ascii="Arial" w:cs="Arial" w:eastAsia="Arial" w:hAnsi="Arial"/>
          <w:sz w:val="14"/>
          <w:szCs w:val="14"/>
          <w:color w:val="auto"/>
        </w:rPr>
        <w:t>meet a customer’s unique requirements are canceled or unrealized we may be left with an inventory of unsaleable products, 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60" w:lineRule="exact"/>
        <w:rPr>
          <w:sz w:val="20"/>
          <w:szCs w:val="20"/>
          <w:color w:val="auto"/>
        </w:rPr>
      </w:pPr>
    </w:p>
    <w:p>
      <w:pPr>
        <w:ind w:right="540"/>
        <w:spacing w:after="0" w:line="263" w:lineRule="auto"/>
        <w:rPr>
          <w:sz w:val="20"/>
          <w:szCs w:val="20"/>
          <w:color w:val="auto"/>
        </w:rPr>
      </w:pPr>
      <w:r>
        <w:rPr>
          <w:rFonts w:ascii="Arial" w:cs="Arial" w:eastAsia="Arial" w:hAnsi="Arial"/>
          <w:sz w:val="16"/>
          <w:szCs w:val="16"/>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76" w:lineRule="exact"/>
        <w:rPr>
          <w:sz w:val="20"/>
          <w:szCs w:val="20"/>
          <w:color w:val="auto"/>
        </w:rPr>
      </w:pPr>
    </w:p>
    <w:p>
      <w:pPr>
        <w:ind w:right="80" w:firstLine="421"/>
        <w:spacing w:after="0" w:line="286" w:lineRule="auto"/>
        <w:rPr>
          <w:sz w:val="20"/>
          <w:szCs w:val="20"/>
          <w:color w:val="auto"/>
        </w:rPr>
      </w:pPr>
      <w:r>
        <w:rPr>
          <w:rFonts w:ascii="Arial" w:cs="Arial" w:eastAsia="Arial" w:hAnsi="Arial"/>
          <w:sz w:val="14"/>
          <w:szCs w:val="14"/>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67" w:lineRule="exact"/>
        <w:rPr>
          <w:sz w:val="20"/>
          <w:szCs w:val="20"/>
          <w:color w:val="auto"/>
        </w:rPr>
      </w:pPr>
    </w:p>
    <w:p>
      <w:pPr>
        <w:ind w:firstLine="421"/>
        <w:spacing w:after="0" w:line="293" w:lineRule="auto"/>
        <w:rPr>
          <w:sz w:val="20"/>
          <w:szCs w:val="20"/>
          <w:color w:val="auto"/>
        </w:rPr>
      </w:pPr>
      <w:r>
        <w:rPr>
          <w:rFonts w:ascii="Arial" w:cs="Arial" w:eastAsia="Arial" w:hAnsi="Arial"/>
          <w:sz w:val="14"/>
          <w:szCs w:val="14"/>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not be able to compete successfully in markets within the semiconductor industry in the future.</w:t>
      </w:r>
    </w:p>
    <w:p>
      <w:pPr>
        <w:spacing w:after="0" w:line="108" w:lineRule="exact"/>
        <w:rPr>
          <w:sz w:val="20"/>
          <w:szCs w:val="20"/>
          <w:color w:val="auto"/>
        </w:rPr>
      </w:pPr>
    </w:p>
    <w:p>
      <w:pPr>
        <w:ind w:right="60" w:firstLine="421"/>
        <w:spacing w:after="0" w:line="283" w:lineRule="auto"/>
        <w:rPr>
          <w:sz w:val="20"/>
          <w:szCs w:val="20"/>
          <w:color w:val="auto"/>
        </w:rPr>
      </w:pPr>
      <w:r>
        <w:rPr>
          <w:rFonts w:ascii="Arial" w:cs="Arial" w:eastAsia="Arial" w:hAnsi="Arial"/>
          <w:sz w:val="14"/>
          <w:szCs w:val="14"/>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67"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i w:val="1"/>
          <w:iCs w:val="1"/>
          <w:color w:val="auto"/>
        </w:rPr>
        <w:t>We rely on third parties for supply of raw materials and parts, semiconductor wafer foundry services, assembly and test services, and transportation, among other things, and we generally cannot control their availability or conditions of supply or services.</w:t>
      </w:r>
    </w:p>
    <w:p>
      <w:pPr>
        <w:spacing w:after="0" w:line="88" w:lineRule="exact"/>
        <w:rPr>
          <w:sz w:val="20"/>
          <w:szCs w:val="20"/>
          <w:color w:val="auto"/>
        </w:rPr>
      </w:pPr>
    </w:p>
    <w:p>
      <w:pPr>
        <w:ind w:right="60" w:firstLine="421"/>
        <w:spacing w:after="0" w:line="288" w:lineRule="auto"/>
        <w:rPr>
          <w:sz w:val="20"/>
          <w:szCs w:val="20"/>
          <w:color w:val="auto"/>
        </w:rPr>
      </w:pPr>
      <w:r>
        <w:rPr>
          <w:rFonts w:ascii="Arial" w:cs="Arial" w:eastAsia="Arial" w:hAnsi="Arial"/>
          <w:sz w:val="14"/>
          <w:szCs w:val="14"/>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With respect to TSMC in particular, geopolitical changes in China-Taiwan relations could disrupt TSMC’s operations, which would adversely affect our ability to manufacture certain products. Recently, we have experienced increased demand leading to a constrained supply environment which we believe will continue in the near term. 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8" w:name="page19"/>
    <w:bookmarkEnd w:id="18"/>
    <w:p>
      <w:pPr>
        <w:ind w:right="340"/>
        <w:spacing w:after="0" w:line="293" w:lineRule="auto"/>
        <w:rPr>
          <w:sz w:val="20"/>
          <w:szCs w:val="20"/>
          <w:color w:val="auto"/>
        </w:rPr>
      </w:pPr>
      <w:r>
        <w:rPr>
          <w:rFonts w:ascii="Arial" w:cs="Arial" w:eastAsia="Arial" w:hAnsi="Arial"/>
          <w:sz w:val="14"/>
          <w:szCs w:val="14"/>
          <w:color w:val="auto"/>
        </w:rPr>
        <w:t>addition, our manufacturing processes require availability of certain raw materials and supplies. Limited or delayed access to these items could adversely affect our results of operations.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prolonged disruption of our internal manufacturing operations could have a material adverse effect on our business, financial condition and results of operations.</w:t>
      </w:r>
    </w:p>
    <w:p>
      <w:pPr>
        <w:spacing w:after="0" w:line="131" w:lineRule="exact"/>
        <w:rPr>
          <w:sz w:val="20"/>
          <w:szCs w:val="20"/>
          <w:color w:val="auto"/>
        </w:rPr>
      </w:pPr>
    </w:p>
    <w:p>
      <w:pPr>
        <w:ind w:firstLine="421"/>
        <w:spacing w:after="0" w:line="290" w:lineRule="auto"/>
        <w:rPr>
          <w:sz w:val="20"/>
          <w:szCs w:val="20"/>
          <w:color w:val="auto"/>
        </w:rPr>
      </w:pPr>
      <w:r>
        <w:rPr>
          <w:rFonts w:ascii="Arial" w:cs="Arial" w:eastAsia="Arial" w:hAnsi="Arial"/>
          <w:sz w:val="14"/>
          <w:szCs w:val="14"/>
          <w:color w:val="auto"/>
        </w:rPr>
        <w:t>In addition to leveraging an outsourcing model for manufacturing operations, we also rely on our internal manufacturing operations located in the United States, Ireland, the Philippines, Thailand and Malaysia. A prolonged disruption at, or inability to utilize, one or more of our manufacturing facilities, loss of raw materials or damage to our manufacturing equipment for any reason, including due to the COVID-19 pandemic,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61" w:lineRule="exact"/>
        <w:rPr>
          <w:sz w:val="20"/>
          <w:szCs w:val="20"/>
          <w:color w:val="auto"/>
        </w:rPr>
      </w:pPr>
    </w:p>
    <w:p>
      <w:pPr>
        <w:ind w:right="740"/>
        <w:spacing w:after="0" w:line="263" w:lineRule="auto"/>
        <w:rPr>
          <w:sz w:val="20"/>
          <w:szCs w:val="20"/>
          <w:color w:val="auto"/>
        </w:rPr>
      </w:pPr>
      <w:r>
        <w:rPr>
          <w:rFonts w:ascii="Arial" w:cs="Arial" w:eastAsia="Arial" w:hAnsi="Arial"/>
          <w:sz w:val="16"/>
          <w:szCs w:val="16"/>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88" w:lineRule="exact"/>
        <w:rPr>
          <w:sz w:val="20"/>
          <w:szCs w:val="20"/>
          <w:color w:val="auto"/>
        </w:rPr>
      </w:pPr>
    </w:p>
    <w:p>
      <w:pPr>
        <w:ind w:right="60" w:firstLine="421"/>
        <w:spacing w:after="0" w:line="285" w:lineRule="auto"/>
        <w:rPr>
          <w:sz w:val="20"/>
          <w:szCs w:val="20"/>
          <w:color w:val="auto"/>
        </w:rPr>
      </w:pPr>
      <w:r>
        <w:rPr>
          <w:rFonts w:ascii="Arial" w:cs="Arial" w:eastAsia="Arial" w:hAnsi="Arial"/>
          <w:sz w:val="14"/>
          <w:szCs w:val="14"/>
          <w:color w:val="auto"/>
        </w:rPr>
        <w:t>The cyclical nature of the semiconductor industry has resulted in periods when demand for our products has increased or decreased rapidly. The demand for our products is subject to the strength of our four major end markets of Industrial, Automotive, Communications,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68"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76" w:lineRule="exact"/>
        <w:rPr>
          <w:sz w:val="20"/>
          <w:szCs w:val="20"/>
          <w:color w:val="auto"/>
        </w:rPr>
      </w:pPr>
    </w:p>
    <w:p>
      <w:pPr>
        <w:ind w:right="20" w:firstLine="421"/>
        <w:spacing w:after="0" w:line="331" w:lineRule="auto"/>
        <w:rPr>
          <w:sz w:val="20"/>
          <w:szCs w:val="20"/>
          <w:color w:val="auto"/>
        </w:rPr>
      </w:pPr>
      <w:r>
        <w:rPr>
          <w:rFonts w:ascii="Arial" w:cs="Arial" w:eastAsia="Arial" w:hAnsi="Arial"/>
          <w:sz w:val="14"/>
          <w:szCs w:val="14"/>
          <w:color w:val="auto"/>
        </w:rPr>
        <w:t>Semiconductor products are highly complex and may contain defects that affect their quality or performance. Failures in our products and services or in the products of our customers could result in damage to our reputation for reliability and increase our legal or financial exposure to third parties. Certain of our products and services could also contain</w:t>
      </w:r>
    </w:p>
    <w:p>
      <w:pPr>
        <w:ind w:right="60"/>
        <w:spacing w:after="0" w:line="286" w:lineRule="auto"/>
        <w:rPr>
          <w:sz w:val="20"/>
          <w:szCs w:val="20"/>
          <w:color w:val="auto"/>
        </w:rPr>
      </w:pPr>
      <w:r>
        <w:rPr>
          <w:rFonts w:ascii="Arial" w:cs="Arial" w:eastAsia="Arial" w:hAnsi="Arial"/>
          <w:sz w:val="14"/>
          <w:szCs w:val="14"/>
          <w:color w:val="auto"/>
        </w:rPr>
        <w:t>security vulnerabilities, defects, bugs and errors, which could also result in significant data losses, security 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w:t>
      </w:r>
    </w:p>
    <w:p>
      <w:pPr>
        <w:spacing w:after="0" w:line="79" w:lineRule="exact"/>
        <w:rPr>
          <w:sz w:val="20"/>
          <w:szCs w:val="20"/>
          <w:color w:val="auto"/>
        </w:rPr>
      </w:pPr>
    </w:p>
    <w:p>
      <w:pPr>
        <w:ind w:right="40" w:firstLine="421"/>
        <w:spacing w:after="0" w:line="305" w:lineRule="auto"/>
        <w:rPr>
          <w:sz w:val="20"/>
          <w:szCs w:val="20"/>
          <w:color w:val="auto"/>
        </w:rPr>
      </w:pPr>
      <w:r>
        <w:rPr>
          <w:rFonts w:ascii="Arial" w:cs="Arial" w:eastAsia="Arial" w:hAnsi="Arial"/>
          <w:sz w:val="14"/>
          <w:szCs w:val="14"/>
          <w:color w:val="auto"/>
        </w:rPr>
        <w:t>Further, we sell to customers in industries such as automotive (including autonomous vehicles), aerospace, defense, and healthcare, where failure of the systems in which our products are integrated could cause damage to property or persons. We may be subject to product liability claims if our products, or the integration of our products, cause system</w:t>
      </w:r>
    </w:p>
    <w:p>
      <w:pPr>
        <w:ind w:right="140"/>
        <w:spacing w:after="0" w:line="263" w:lineRule="auto"/>
        <w:rPr>
          <w:sz w:val="20"/>
          <w:szCs w:val="20"/>
          <w:color w:val="auto"/>
        </w:rPr>
      </w:pPr>
      <w:r>
        <w:rPr>
          <w:rFonts w:ascii="Arial" w:cs="Arial" w:eastAsia="Arial" w:hAnsi="Arial"/>
          <w:sz w:val="16"/>
          <w:szCs w:val="16"/>
          <w:color w:val="auto"/>
        </w:rPr>
        <w:t>failures. Any product liability claim, whether or not determined in our favor, could result in significant expense, divert the efforts of our technical and management personnel, and harm our business. In addition, if any of our products contain defects, or have reliability, quality 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19" w:name="page20"/>
    <w:bookmarkEnd w:id="19"/>
    <w:p>
      <w:pPr>
        <w:ind w:right="80"/>
        <w:spacing w:after="0" w:line="293" w:lineRule="auto"/>
        <w:rPr>
          <w:sz w:val="20"/>
          <w:szCs w:val="20"/>
          <w:color w:val="auto"/>
        </w:rPr>
      </w:pPr>
      <w:r>
        <w:rPr>
          <w:rFonts w:ascii="Arial" w:cs="Arial" w:eastAsia="Arial" w:hAnsi="Arial"/>
          <w:sz w:val="14"/>
          <w:szCs w:val="14"/>
          <w:color w:val="auto"/>
        </w:rPr>
        <w:t>compatibility problems not capable of being resolved, our reputation may be damaged, which could make it more difficult for us to sell our products to customers and which could also adversely affect our operating results. Furthermore, we market and sell our products through authorized third-party distributors, and from time to time our products may be diverted from our authorized distribution channels and sold on the “gray market.” There is a risk that customers purchasing our products on the gray market may use our products for purposes for which they were not intended, or may purchase counterfeit or substandard products, including products that have been altered, mishandled or damaged, or used products presented as new, which could result in damage to property or persons and cause serious reputational harm.</w:t>
      </w:r>
    </w:p>
    <w:p>
      <w:pPr>
        <w:spacing w:after="0" w:line="70" w:lineRule="exact"/>
        <w:rPr>
          <w:sz w:val="20"/>
          <w:szCs w:val="20"/>
          <w:color w:val="auto"/>
        </w:rPr>
      </w:pPr>
    </w:p>
    <w:p>
      <w:pPr>
        <w:ind w:right="80" w:firstLine="421"/>
        <w:spacing w:after="0" w:line="248" w:lineRule="auto"/>
        <w:rPr>
          <w:sz w:val="20"/>
          <w:szCs w:val="20"/>
          <w:color w:val="auto"/>
        </w:rPr>
      </w:pPr>
      <w:r>
        <w:rPr>
          <w:rFonts w:ascii="Arial" w:cs="Arial" w:eastAsia="Arial" w:hAnsi="Arial"/>
          <w:sz w:val="16"/>
          <w:szCs w:val="16"/>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we are unable to recruit or retain our key personnel, our ability to execute our business strategy will be adversely affected.</w:t>
      </w:r>
    </w:p>
    <w:p>
      <w:pPr>
        <w:spacing w:after="0" w:line="108" w:lineRule="exact"/>
        <w:rPr>
          <w:sz w:val="20"/>
          <w:szCs w:val="20"/>
          <w:color w:val="auto"/>
        </w:rPr>
      </w:pPr>
    </w:p>
    <w:p>
      <w:pPr>
        <w:ind w:right="20" w:firstLine="421"/>
        <w:spacing w:after="0" w:line="297" w:lineRule="auto"/>
        <w:rPr>
          <w:sz w:val="20"/>
          <w:szCs w:val="20"/>
          <w:color w:val="auto"/>
        </w:rPr>
      </w:pPr>
      <w:r>
        <w:rPr>
          <w:rFonts w:ascii="Arial" w:cs="Arial" w:eastAsia="Arial" w:hAnsi="Arial"/>
          <w:sz w:val="14"/>
          <w:szCs w:val="14"/>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The loss of key personnel or the inability to attract, hire and retain key employees with critical technical skills to achieve our strategy, including as a result of changes to immigration policies, could also have a material adverse effect on our business. We do not maintain any key person life insurance policy on any of our officers or other employees.</w:t>
      </w:r>
    </w:p>
    <w:p>
      <w:pPr>
        <w:spacing w:after="0" w:line="68" w:lineRule="exact"/>
        <w:rPr>
          <w:sz w:val="20"/>
          <w:szCs w:val="20"/>
          <w:color w:val="auto"/>
        </w:rPr>
      </w:pPr>
    </w:p>
    <w:p>
      <w:pPr>
        <w:spacing w:after="0" w:line="263" w:lineRule="auto"/>
        <w:rPr>
          <w:sz w:val="20"/>
          <w:szCs w:val="20"/>
          <w:color w:val="auto"/>
        </w:rPr>
      </w:pPr>
      <w:r>
        <w:rPr>
          <w:rFonts w:ascii="Arial" w:cs="Arial" w:eastAsia="Arial" w:hAnsi="Arial"/>
          <w:sz w:val="16"/>
          <w:szCs w:val="16"/>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76" w:lineRule="exact"/>
        <w:rPr>
          <w:sz w:val="20"/>
          <w:szCs w:val="20"/>
          <w:color w:val="auto"/>
        </w:rPr>
      </w:pPr>
    </w:p>
    <w:p>
      <w:pPr>
        <w:ind w:right="40" w:firstLine="421"/>
        <w:spacing w:after="0" w:line="285" w:lineRule="auto"/>
        <w:rPr>
          <w:sz w:val="20"/>
          <w:szCs w:val="20"/>
          <w:color w:val="auto"/>
        </w:rPr>
      </w:pPr>
      <w:r>
        <w:rPr>
          <w:rFonts w:ascii="Arial" w:cs="Arial" w:eastAsia="Arial" w:hAnsi="Arial"/>
          <w:sz w:val="14"/>
          <w:szCs w:val="14"/>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Acquisitions also involve a number of challenges and risks, including:</w:t>
      </w:r>
    </w:p>
    <w:p>
      <w:pPr>
        <w:spacing w:after="0" w:line="73" w:lineRule="exact"/>
        <w:rPr>
          <w:sz w:val="20"/>
          <w:szCs w:val="20"/>
          <w:color w:val="auto"/>
        </w:rPr>
      </w:pPr>
    </w:p>
    <w:p>
      <w:pPr>
        <w:ind w:left="560" w:hanging="286"/>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diversion of management’s attention in connection with both negotiating the transaction and integrating the acquired assets and businesses;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difficulty or delay integrating acquired technologies, operations, systems and infrastructure, and personnel with our existing businesses;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strain on managerial and operational resources as management tries to oversee larger or more complex operations;</w:t>
      </w:r>
    </w:p>
    <w:p>
      <w:pPr>
        <w:spacing w:after="0" w:line="73" w:lineRule="exact"/>
        <w:rPr>
          <w:rFonts w:ascii="Arial" w:cs="Arial" w:eastAsia="Arial" w:hAnsi="Arial"/>
          <w:sz w:val="16"/>
          <w:szCs w:val="16"/>
          <w:color w:val="auto"/>
        </w:rPr>
      </w:pPr>
    </w:p>
    <w:p>
      <w:pPr>
        <w:ind w:left="560" w:right="140" w:hanging="286"/>
        <w:spacing w:after="0" w:line="263"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future funding requirements for acquired companies, including research and development costs, employee compensation and benefits, and operating expenses, which may be significant;</w:t>
      </w:r>
    </w:p>
    <w:p>
      <w:pPr>
        <w:spacing w:after="0" w:line="29" w:lineRule="exact"/>
        <w:rPr>
          <w:rFonts w:ascii="Arial" w:cs="Arial" w:eastAsia="Arial" w:hAnsi="Arial"/>
          <w:sz w:val="16"/>
          <w:szCs w:val="16"/>
          <w:color w:val="auto"/>
        </w:rPr>
      </w:pPr>
    </w:p>
    <w:p>
      <w:pPr>
        <w:ind w:left="560" w:hanging="286"/>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servicing significant debt that may be incurred in connection with acquisitions;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 loss of key employees;</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exposure to unforeseen liabilities or regulatory compliance issues of acquired companies;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higher than expected or unexpected costs relating to or associated with an acquisition and integration of assets and businesses;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difficulty realizing expected cost savings, operating synergies and growth prospects of an acquisition in a timely manner or at all; and</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20" w:name="page21"/>
    <w:bookmarkEnd w:id="20"/>
    <w:p>
      <w:pPr>
        <w:ind w:left="560" w:hanging="286"/>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increased risk of costly and time-consuming legal proceedings.</w:t>
      </w:r>
    </w:p>
    <w:p>
      <w:pPr>
        <w:spacing w:after="0" w:line="120" w:lineRule="exact"/>
        <w:rPr>
          <w:sz w:val="20"/>
          <w:szCs w:val="20"/>
          <w:color w:val="auto"/>
        </w:rPr>
      </w:pPr>
    </w:p>
    <w:p>
      <w:pPr>
        <w:ind w:right="280" w:firstLine="421"/>
        <w:spacing w:after="0" w:line="263" w:lineRule="auto"/>
        <w:rPr>
          <w:sz w:val="20"/>
          <w:szCs w:val="20"/>
          <w:color w:val="auto"/>
        </w:rPr>
      </w:pPr>
      <w:r>
        <w:rPr>
          <w:rFonts w:ascii="Arial" w:cs="Arial" w:eastAsia="Arial" w:hAnsi="Arial"/>
          <w:sz w:val="16"/>
          <w:szCs w:val="16"/>
          <w:color w:val="auto"/>
        </w:rPr>
        <w:t>If we are unable to successfully address these risks, we may not realize some or all of the expected benefits of our acquisitions, which may have an adverse effect on our business strategy, plans and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results of operations could be affected by natural disasters in the locations in which we operate.</w:t>
      </w:r>
    </w:p>
    <w:p>
      <w:pPr>
        <w:spacing w:after="0" w:line="108" w:lineRule="exact"/>
        <w:rPr>
          <w:sz w:val="20"/>
          <w:szCs w:val="20"/>
          <w:color w:val="auto"/>
        </w:rPr>
      </w:pPr>
    </w:p>
    <w:p>
      <w:pPr>
        <w:ind w:right="100" w:firstLine="421"/>
        <w:spacing w:after="0" w:line="287" w:lineRule="auto"/>
        <w:rPr>
          <w:sz w:val="20"/>
          <w:szCs w:val="20"/>
          <w:color w:val="auto"/>
        </w:rPr>
      </w:pPr>
      <w:r>
        <w:rPr>
          <w:rFonts w:ascii="Arial" w:cs="Arial" w:eastAsia="Arial" w:hAnsi="Arial"/>
          <w:sz w:val="14"/>
          <w:szCs w:val="14"/>
          <w:color w:val="auto"/>
        </w:rPr>
        <w:t>We, like many companies in the semiconductor industry, rely on supplies, services, internal manufacturing capacity, wafer fabrication foundries and other subcontractors in locations around the world that are susceptible to natural disasters and other significant disruptions. Earthquakes, fires,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w:t>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condition. In addition, global climate change can result in certain natural disasters occurring more frequently or with greater intensity, such as drought, wildfires, storms, sea-level rise, and flooding, and could disrupt the availability of water necessary for the operation of our fabrication facilities located in semi-arid regions. During 2021, the west coast of the U.S. experienced historic wildfires where we have operations and manufacturing facilities. The long-term effects of climate change on the global economy and the semiconductor industry in particular are unclear, but could be severe.</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operating results are dependent on the performance of independent distributors.</w:t>
      </w:r>
    </w:p>
    <w:p>
      <w:pPr>
        <w:spacing w:after="0" w:line="108" w:lineRule="exact"/>
        <w:rPr>
          <w:sz w:val="20"/>
          <w:szCs w:val="20"/>
          <w:color w:val="auto"/>
        </w:rPr>
      </w:pPr>
    </w:p>
    <w:p>
      <w:pPr>
        <w:ind w:right="60" w:firstLine="421"/>
        <w:spacing w:after="0" w:line="290" w:lineRule="auto"/>
        <w:rPr>
          <w:sz w:val="20"/>
          <w:szCs w:val="20"/>
          <w:color w:val="auto"/>
        </w:rPr>
      </w:pPr>
      <w:r>
        <w:rPr>
          <w:rFonts w:ascii="Arial" w:cs="Arial" w:eastAsia="Arial" w:hAnsi="Arial"/>
          <w:sz w:val="14"/>
          <w:szCs w:val="14"/>
          <w:color w:val="auto"/>
        </w:rPr>
        <w:t>A significant portion of our sales are through independent global and regional distributors that are not under our control.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61" w:lineRule="exact"/>
        <w:rPr>
          <w:sz w:val="20"/>
          <w:szCs w:val="20"/>
          <w:color w:val="auto"/>
        </w:rPr>
      </w:pPr>
    </w:p>
    <w:p>
      <w:pPr>
        <w:ind w:right="260" w:firstLine="421"/>
        <w:spacing w:after="0" w:line="335" w:lineRule="auto"/>
        <w:rPr>
          <w:sz w:val="20"/>
          <w:szCs w:val="20"/>
          <w:color w:val="auto"/>
        </w:rPr>
      </w:pPr>
      <w:r>
        <w:rPr>
          <w:rFonts w:ascii="Arial" w:cs="Arial" w:eastAsia="Arial" w:hAnsi="Arial"/>
          <w:sz w:val="14"/>
          <w:szCs w:val="14"/>
          <w:color w:val="auto"/>
        </w:rPr>
        <w:t>We are required to estimate the 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stock price may be volatile.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market price of our common stock has been volatile in the past and may be volatile in the future, as it may be significantly affected by factors including:</w:t>
      </w:r>
    </w:p>
    <w:p>
      <w:pPr>
        <w:spacing w:after="0" w:line="131" w:lineRule="exact"/>
        <w:rPr>
          <w:sz w:val="20"/>
          <w:szCs w:val="20"/>
          <w:color w:val="auto"/>
        </w:rPr>
      </w:pPr>
    </w:p>
    <w:p>
      <w:pPr>
        <w:ind w:left="560" w:hanging="28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extent of the impact and the duration of the COVID-19 pandemic;</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global economic conditions generally;</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crises in global credit, debt and financial markets;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operating results;</w:t>
      </w:r>
    </w:p>
    <w:p>
      <w:pPr>
        <w:spacing w:after="0" w:line="73" w:lineRule="exact"/>
        <w:rPr>
          <w:rFonts w:ascii="Arial" w:cs="Arial" w:eastAsia="Arial" w:hAnsi="Arial"/>
          <w:sz w:val="16"/>
          <w:szCs w:val="16"/>
          <w:color w:val="auto"/>
        </w:rPr>
      </w:pPr>
    </w:p>
    <w:p>
      <w:pPr>
        <w:ind w:left="560" w:right="80" w:hanging="286"/>
        <w:spacing w:after="0" w:line="263"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29" w:lineRule="exact"/>
        <w:rPr>
          <w:rFonts w:ascii="Arial" w:cs="Arial" w:eastAsia="Arial" w:hAnsi="Arial"/>
          <w:sz w:val="16"/>
          <w:szCs w:val="16"/>
          <w:color w:val="auto"/>
        </w:rPr>
      </w:pPr>
    </w:p>
    <w:p>
      <w:pPr>
        <w:ind w:left="560" w:hanging="28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financial results and prospects of our customers;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U.S. and foreign government actions, including with respect to trade, travel, export and taxation;</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market valuations of other semiconductor companies;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rumors and speculation in the press, investment community or on social media about us, our customers or other companies in our industry;</w:t>
      </w:r>
    </w:p>
    <w:p>
      <w:pPr>
        <w:spacing w:after="0" w:line="61" w:lineRule="exact"/>
        <w:rPr>
          <w:rFonts w:ascii="Arial" w:cs="Arial" w:eastAsia="Arial" w:hAnsi="Arial"/>
          <w:sz w:val="16"/>
          <w:szCs w:val="16"/>
          <w:color w:val="auto"/>
        </w:rPr>
      </w:pPr>
    </w:p>
    <w:p>
      <w:pPr>
        <w:ind w:left="560" w:right="180" w:hanging="286"/>
        <w:spacing w:after="0" w:line="263" w:lineRule="auto"/>
        <w:tabs>
          <w:tab w:leader="none" w:pos="5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spacing w:after="0" w:line="41" w:lineRule="exact"/>
        <w:rPr>
          <w:rFonts w:ascii="Arial" w:cs="Arial" w:eastAsia="Arial" w:hAnsi="Arial"/>
          <w:sz w:val="16"/>
          <w:szCs w:val="16"/>
          <w:color w:val="auto"/>
        </w:rPr>
      </w:pPr>
    </w:p>
    <w:p>
      <w:pPr>
        <w:ind w:left="560" w:hanging="286"/>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departures of key personnel;</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852" w:right="379" w:bottom="1440" w:gutter="0" w:footer="0" w:header="0"/>
        </w:sectPr>
      </w:pPr>
    </w:p>
    <w:bookmarkStart w:id="21" w:name="page22"/>
    <w:bookmarkEnd w:id="21"/>
    <w:p>
      <w:pPr>
        <w:ind w:left="560" w:hanging="286"/>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alleged noncompliance with laws, regulations or ethics standards by us or any of our employees, officers or directors; and</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negative media publicity targeting us or our suppliers, customers or competitors.</w:t>
      </w:r>
    </w:p>
    <w:p>
      <w:pPr>
        <w:spacing w:after="0" w:line="108" w:lineRule="exact"/>
        <w:rPr>
          <w:sz w:val="20"/>
          <w:szCs w:val="20"/>
          <w:color w:val="auto"/>
        </w:rPr>
      </w:pPr>
    </w:p>
    <w:p>
      <w:pPr>
        <w:ind w:right="640" w:firstLine="421"/>
        <w:spacing w:after="0" w:line="263" w:lineRule="auto"/>
        <w:rPr>
          <w:sz w:val="20"/>
          <w:szCs w:val="20"/>
          <w:color w:val="auto"/>
        </w:rPr>
      </w:pPr>
      <w:r>
        <w:rPr>
          <w:rFonts w:ascii="Arial" w:cs="Arial" w:eastAsia="Arial" w:hAnsi="Arial"/>
          <w:sz w:val="16"/>
          <w:szCs w:val="16"/>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76" w:lineRule="exact"/>
        <w:rPr>
          <w:sz w:val="20"/>
          <w:szCs w:val="20"/>
          <w:color w:val="auto"/>
        </w:rPr>
      </w:pPr>
    </w:p>
    <w:p>
      <w:pPr>
        <w:ind w:right="240" w:firstLine="421"/>
        <w:spacing w:after="0" w:line="253" w:lineRule="auto"/>
        <w:rPr>
          <w:sz w:val="20"/>
          <w:szCs w:val="20"/>
          <w:color w:val="auto"/>
        </w:rPr>
      </w:pPr>
      <w:r>
        <w:rPr>
          <w:rFonts w:ascii="Arial" w:cs="Arial" w:eastAsia="Arial" w:hAnsi="Arial"/>
          <w:sz w:val="16"/>
          <w:szCs w:val="16"/>
          <w:color w:val="auto"/>
        </w:rPr>
        <w:t>Our directors and executive officers periodically buy or sell shares of our common stock in the market, including pursuant to Rule 10b5-1 trading plans. Regardless of the individual's reasons for such purchases or sales, securities analysts and investors could view such transactions as positive or negative indicators and our stock price could be adversely affected as a result.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Indebtedness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If we are unable to generate sufficient cash flow, we may not be able to service our debt obligations, including making payments on our outstanding indebtedness.</w:t>
      </w:r>
    </w:p>
    <w:p>
      <w:pPr>
        <w:spacing w:after="0" w:line="131" w:lineRule="exact"/>
        <w:rPr>
          <w:sz w:val="20"/>
          <w:szCs w:val="20"/>
          <w:color w:val="auto"/>
        </w:rPr>
      </w:pPr>
    </w:p>
    <w:p>
      <w:pPr>
        <w:jc w:val="both"/>
        <w:ind w:right="200" w:firstLine="561"/>
        <w:spacing w:after="0" w:line="297" w:lineRule="auto"/>
        <w:rPr>
          <w:sz w:val="20"/>
          <w:szCs w:val="20"/>
          <w:color w:val="auto"/>
        </w:rPr>
      </w:pPr>
      <w:r>
        <w:rPr>
          <w:rFonts w:ascii="Arial" w:cs="Arial" w:eastAsia="Arial" w:hAnsi="Arial"/>
          <w:sz w:val="14"/>
          <w:szCs w:val="14"/>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For example, the disruption to economic activity resulting from the COVID-19 pandemic has had, and is likely to continue to have, adverse effects on our supply chain, manufacturing operations and facilities, and workforce. If we are unable to generate sufficient cash flow from operations in the future to service our outstanding debt, we may be required to, among other things:</w:t>
      </w:r>
    </w:p>
    <w:p>
      <w:pPr>
        <w:spacing w:after="0" w:line="22" w:lineRule="exact"/>
        <w:rPr>
          <w:sz w:val="20"/>
          <w:szCs w:val="20"/>
          <w:color w:val="auto"/>
        </w:rPr>
      </w:pPr>
    </w:p>
    <w:p>
      <w:pPr>
        <w:ind w:left="560" w:hanging="286"/>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seek additional financing in the debt or equity markets;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refinance or restructure all or a portion of our indebtedness;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borrow under our revolving credit facility;</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divert funds that would otherwise be invested in growing our business operations;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repatriate earnings as dividends from foreign locations with potential for negative tax consequences; or</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sell selected assets.</w:t>
      </w:r>
    </w:p>
    <w:p>
      <w:pPr>
        <w:spacing w:after="0" w:line="120" w:lineRule="exact"/>
        <w:rPr>
          <w:sz w:val="20"/>
          <w:szCs w:val="20"/>
          <w:color w:val="auto"/>
        </w:rPr>
      </w:pPr>
    </w:p>
    <w:p>
      <w:pPr>
        <w:ind w:right="180" w:firstLine="421"/>
        <w:spacing w:after="0" w:line="253" w:lineRule="auto"/>
        <w:rPr>
          <w:sz w:val="20"/>
          <w:szCs w:val="20"/>
          <w:color w:val="auto"/>
        </w:rPr>
      </w:pPr>
      <w:r>
        <w:rPr>
          <w:rFonts w:ascii="Arial" w:cs="Arial" w:eastAsia="Arial" w:hAnsi="Arial"/>
          <w:sz w:val="16"/>
          <w:szCs w:val="16"/>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Restrictions in our revolving credit facility and outstanding debt instruments may limit our activities.</w:t>
      </w:r>
    </w:p>
    <w:p>
      <w:pPr>
        <w:spacing w:after="0" w:line="108" w:lineRule="exact"/>
        <w:rPr>
          <w:sz w:val="20"/>
          <w:szCs w:val="20"/>
          <w:color w:val="auto"/>
        </w:rPr>
      </w:pPr>
    </w:p>
    <w:p>
      <w:pPr>
        <w:ind w:firstLine="421"/>
        <w:spacing w:after="0" w:line="246" w:lineRule="auto"/>
        <w:rPr>
          <w:sz w:val="20"/>
          <w:szCs w:val="20"/>
          <w:color w:val="auto"/>
        </w:rPr>
      </w:pPr>
      <w:r>
        <w:rPr>
          <w:rFonts w:ascii="Arial" w:cs="Arial" w:eastAsia="Arial" w:hAnsi="Arial"/>
          <w:sz w:val="16"/>
          <w:szCs w:val="16"/>
          <w:color w:val="auto"/>
        </w:rPr>
        <w:t>Our current revolving credit facility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require us to maintain compliance with specified financial ratios. If we breach any of the covenants under our revolving credit facility, the indentures governing our outstanding senior unsecured notes,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Legal, Regulatory and Compliance Matters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may be unable to adequately protect our proprietary intellectual property rights, which may limit our ability to compete effectively.</w:t>
      </w:r>
    </w:p>
    <w:p>
      <w:pPr>
        <w:spacing w:after="0" w:line="108" w:lineRule="exact"/>
        <w:rPr>
          <w:sz w:val="20"/>
          <w:szCs w:val="20"/>
          <w:color w:val="auto"/>
        </w:rPr>
      </w:pPr>
    </w:p>
    <w:p>
      <w:pPr>
        <w:ind w:right="80" w:firstLine="421"/>
        <w:spacing w:after="0" w:line="250" w:lineRule="auto"/>
        <w:rPr>
          <w:sz w:val="20"/>
          <w:szCs w:val="20"/>
          <w:color w:val="auto"/>
        </w:rPr>
      </w:pPr>
      <w:r>
        <w:rPr>
          <w:rFonts w:ascii="Arial" w:cs="Arial" w:eastAsia="Arial" w:hAnsi="Arial"/>
          <w:sz w:val="16"/>
          <w:szCs w:val="16"/>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52"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Moreover, the laws of foreign countries in which we design, manufacture, market and sell our products may afford little or no effective protection of our intellectual property.</w:t>
      </w:r>
    </w:p>
    <w:p>
      <w:pPr>
        <w:spacing w:after="0" w:line="143" w:lineRule="exact"/>
        <w:rPr>
          <w:sz w:val="20"/>
          <w:szCs w:val="20"/>
          <w:color w:val="auto"/>
        </w:rPr>
      </w:pPr>
    </w:p>
    <w:p>
      <w:pPr>
        <w:ind w:firstLine="421"/>
        <w:spacing w:after="0" w:line="293" w:lineRule="auto"/>
        <w:rPr>
          <w:sz w:val="20"/>
          <w:szCs w:val="20"/>
          <w:color w:val="auto"/>
        </w:rPr>
      </w:pPr>
      <w:r>
        <w:rPr>
          <w:rFonts w:ascii="Arial" w:cs="Arial" w:eastAsia="Arial" w:hAnsi="Arial"/>
          <w:sz w:val="14"/>
          <w:szCs w:val="14"/>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58" w:lineRule="exact"/>
        <w:rPr>
          <w:sz w:val="20"/>
          <w:szCs w:val="20"/>
          <w:color w:val="auto"/>
        </w:rPr>
      </w:pPr>
    </w:p>
    <w:p>
      <w:pPr>
        <w:ind w:right="140" w:firstLine="421"/>
        <w:spacing w:after="0" w:line="297" w:lineRule="auto"/>
        <w:rPr>
          <w:sz w:val="20"/>
          <w:szCs w:val="20"/>
          <w:color w:val="auto"/>
        </w:rPr>
      </w:pPr>
      <w:r>
        <w:rPr>
          <w:rFonts w:ascii="Arial" w:cs="Arial" w:eastAsia="Arial" w:hAnsi="Arial"/>
          <w:sz w:val="14"/>
          <w:szCs w:val="14"/>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significant disruption in, or breach in security of, our information technology systems or certain of our products could materially and adversely affect our business or reputation.</w:t>
      </w:r>
    </w:p>
    <w:p>
      <w:pPr>
        <w:spacing w:after="0" w:line="143" w:lineRule="exact"/>
        <w:rPr>
          <w:sz w:val="20"/>
          <w:szCs w:val="20"/>
          <w:color w:val="auto"/>
        </w:rPr>
      </w:pPr>
    </w:p>
    <w:p>
      <w:pPr>
        <w:ind w:firstLine="421"/>
        <w:spacing w:after="0" w:line="283" w:lineRule="auto"/>
        <w:rPr>
          <w:sz w:val="20"/>
          <w:szCs w:val="20"/>
          <w:color w:val="auto"/>
        </w:rPr>
      </w:pPr>
      <w:r>
        <w:rPr>
          <w:rFonts w:ascii="Arial" w:cs="Arial" w:eastAsia="Arial" w:hAnsi="Arial"/>
          <w:sz w:val="14"/>
          <w:szCs w:val="14"/>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Due to the COVID-19 pandemic, many of our employees and directors are temporarily working remotely, which may pose additional data security risks.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third-party service providers may not detect or prevent security breaches, defects, bugs or errors. In addition, we provide our confidential and proprietary information to our strategic partners in certain cases where doing so is necessary to conduct our business. Those third parties may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76" w:lineRule="exact"/>
        <w:rPr>
          <w:sz w:val="20"/>
          <w:szCs w:val="20"/>
          <w:color w:val="auto"/>
        </w:rPr>
      </w:pPr>
    </w:p>
    <w:p>
      <w:pPr>
        <w:ind w:right="120" w:firstLine="421"/>
        <w:spacing w:after="0" w:line="328" w:lineRule="auto"/>
        <w:rPr>
          <w:sz w:val="20"/>
          <w:szCs w:val="20"/>
          <w:color w:val="auto"/>
        </w:rPr>
      </w:pPr>
      <w:r>
        <w:rPr>
          <w:rFonts w:ascii="Arial" w:cs="Arial" w:eastAsia="Arial" w:hAnsi="Arial"/>
          <w:sz w:val="13"/>
          <w:szCs w:val="13"/>
          <w:color w:val="auto"/>
        </w:rPr>
        <w:t>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 these patents or be precluded from making</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i w:val="1"/>
          <w:iCs w:val="1"/>
          <w:color w:val="auto"/>
        </w:rPr>
        <w:t>We are subject to environmental, health and safety (EHS) regulations, which could increase our expenses and affect our operating results.</w:t>
      </w:r>
    </w:p>
    <w:p>
      <w:pPr>
        <w:spacing w:after="0" w:line="120" w:lineRule="exact"/>
        <w:rPr>
          <w:sz w:val="20"/>
          <w:szCs w:val="20"/>
          <w:color w:val="auto"/>
        </w:rPr>
      </w:pPr>
    </w:p>
    <w:p>
      <w:pPr>
        <w:ind w:right="20" w:firstLine="421"/>
        <w:spacing w:after="0" w:line="285" w:lineRule="auto"/>
        <w:rPr>
          <w:sz w:val="20"/>
          <w:szCs w:val="20"/>
          <w:color w:val="auto"/>
        </w:rPr>
      </w:pPr>
      <w:r>
        <w:rPr>
          <w:rFonts w:ascii="Arial" w:cs="Arial" w:eastAsia="Arial" w:hAnsi="Arial"/>
          <w:sz w:val="14"/>
          <w:szCs w:val="14"/>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particular, climate change concerns and the potential resulting environmental impact may result in new environmental, health, and safety laws and regulations that may affect us, our suppliers, and our customers. Such laws or regulations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18" w:lineRule="exact"/>
        <w:rPr>
          <w:sz w:val="20"/>
          <w:szCs w:val="20"/>
          <w:color w:val="auto"/>
        </w:rPr>
      </w:pPr>
    </w:p>
    <w:p>
      <w:pPr>
        <w:ind w:left="560" w:hanging="286"/>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liability for damages and remediation;</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imposition of regulatory penalties and civil and criminal fines;</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suspension or termination of the development, manufacture, sale or use of certain of our products;</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to our manufacturing processes or a need to substitute materials that may cost more or be less available;</w:t>
      </w:r>
    </w:p>
    <w:p>
      <w:pPr>
        <w:spacing w:after="0" w:line="61" w:lineRule="exact"/>
        <w:rPr>
          <w:rFonts w:ascii="Arial" w:cs="Arial" w:eastAsia="Arial" w:hAnsi="Arial"/>
          <w:sz w:val="16"/>
          <w:szCs w:val="16"/>
          <w:color w:val="auto"/>
        </w:rPr>
      </w:pPr>
    </w:p>
    <w:p>
      <w:pPr>
        <w:ind w:left="560" w:hanging="286"/>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damage to our reputation; and/or</w:t>
      </w:r>
    </w:p>
    <w:p>
      <w:pPr>
        <w:spacing w:after="0" w:line="73" w:lineRule="exact"/>
        <w:rPr>
          <w:rFonts w:ascii="Arial" w:cs="Arial" w:eastAsia="Arial" w:hAnsi="Arial"/>
          <w:sz w:val="16"/>
          <w:szCs w:val="16"/>
          <w:color w:val="auto"/>
        </w:rPr>
      </w:pPr>
    </w:p>
    <w:p>
      <w:pPr>
        <w:ind w:left="560" w:hanging="286"/>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expenses associated with compliance.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we fail to comply with government contracting regulations, we could suffer a loss of revenue or incur price adjustments or other penalties.</w:t>
      </w:r>
    </w:p>
    <w:p>
      <w:pPr>
        <w:spacing w:after="0" w:line="108" w:lineRule="exact"/>
        <w:rPr>
          <w:sz w:val="20"/>
          <w:szCs w:val="20"/>
          <w:color w:val="auto"/>
        </w:rPr>
      </w:pPr>
    </w:p>
    <w:p>
      <w:pPr>
        <w:ind w:firstLine="421"/>
        <w:spacing w:after="0" w:line="247" w:lineRule="auto"/>
        <w:rPr>
          <w:sz w:val="20"/>
          <w:szCs w:val="20"/>
          <w:color w:val="auto"/>
        </w:rPr>
      </w:pPr>
      <w:r>
        <w:rPr>
          <w:rFonts w:ascii="Arial" w:cs="Arial" w:eastAsia="Arial" w:hAnsi="Arial"/>
          <w:sz w:val="16"/>
          <w:szCs w:val="16"/>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103" w:lineRule="exact"/>
        <w:rPr>
          <w:sz w:val="20"/>
          <w:szCs w:val="20"/>
          <w:color w:val="auto"/>
        </w:rPr>
      </w:pPr>
    </w:p>
    <w:p>
      <w:pPr>
        <w:ind w:firstLine="421"/>
        <w:spacing w:after="0" w:line="248" w:lineRule="auto"/>
        <w:rPr>
          <w:sz w:val="20"/>
          <w:szCs w:val="20"/>
          <w:color w:val="auto"/>
        </w:rPr>
      </w:pPr>
      <w:r>
        <w:rPr>
          <w:rFonts w:ascii="Arial" w:cs="Arial" w:eastAsia="Arial" w:hAnsi="Arial"/>
          <w:sz w:val="16"/>
          <w:szCs w:val="16"/>
          <w:color w:val="auto"/>
        </w:rPr>
        <w:t>In connection with our United States government business, we are also subject to government audits and to review and approval of our policies, procedures, and internal controls for compliance with procurement regulations and applicable laws, such as the Cybersecurity Maturity Model Certification.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90" w:lineRule="exact"/>
        <w:rPr>
          <w:sz w:val="20"/>
          <w:szCs w:val="20"/>
          <w:color w:val="auto"/>
        </w:rPr>
      </w:pPr>
    </w:p>
    <w:p>
      <w:pPr>
        <w:ind w:right="160" w:firstLine="421"/>
        <w:spacing w:after="0" w:line="250" w:lineRule="auto"/>
        <w:rPr>
          <w:sz w:val="20"/>
          <w:szCs w:val="20"/>
          <w:color w:val="auto"/>
        </w:rPr>
      </w:pPr>
      <w:r>
        <w:rPr>
          <w:rFonts w:ascii="Arial" w:cs="Arial" w:eastAsia="Arial" w:hAnsi="Arial"/>
          <w:sz w:val="16"/>
          <w:szCs w:val="16"/>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270"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sectPr>
      </w:pPr>
    </w:p>
    <w:bookmarkStart w:id="24" w:name="page25"/>
    <w:bookmarkEnd w:id="24"/>
    <w:p>
      <w:pPr>
        <w:spacing w:after="0"/>
        <w:tabs>
          <w:tab w:leader="none" w:pos="70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47" w:lineRule="exact"/>
        <w:rPr>
          <w:sz w:val="20"/>
          <w:szCs w:val="20"/>
          <w:color w:val="auto"/>
        </w:rPr>
      </w:pPr>
    </w:p>
    <w:p>
      <w:pPr>
        <w:ind w:right="160" w:firstLine="351"/>
        <w:spacing w:after="0" w:line="262" w:lineRule="auto"/>
        <w:rPr>
          <w:sz w:val="20"/>
          <w:szCs w:val="20"/>
          <w:color w:val="auto"/>
        </w:rPr>
      </w:pPr>
      <w:r>
        <w:rPr>
          <w:rFonts w:ascii="Arial" w:cs="Arial" w:eastAsia="Arial" w:hAnsi="Arial"/>
          <w:sz w:val="16"/>
          <w:szCs w:val="16"/>
          <w:color w:val="auto"/>
        </w:rPr>
        <w:t>Manufacturing and other operations are conducted in several locations worldwide. The following tables provide certain information about our significant general offices and manufacturing facilities:</w:t>
      </w:r>
    </w:p>
    <w:tbl>
      <w:tblPr>
        <w:tblLayout w:type="fixed"/>
        <w:tblInd w:w="0" w:type="dxa"/>
        <w:tblCellMar>
          <w:top w:w="0" w:type="dxa"/>
          <w:left w:w="0" w:type="dxa"/>
          <w:bottom w:w="0" w:type="dxa"/>
          <w:right w:w="0" w:type="dxa"/>
        </w:tblCellMar>
      </w:tblPr>
      <w:tr>
        <w:trPr>
          <w:trHeight w:val="161"/>
        </w:trPr>
        <w:tc>
          <w:tcPr>
            <w:tcW w:w="2140" w:type="dxa"/>
            <w:vAlign w:val="bottom"/>
            <w:gridSpan w:val="2"/>
          </w:tcPr>
          <w:p>
            <w:pPr>
              <w:ind w:left="920"/>
              <w:spacing w:after="0"/>
              <w:rPr>
                <w:sz w:val="20"/>
                <w:szCs w:val="20"/>
                <w:color w:val="auto"/>
              </w:rPr>
            </w:pPr>
            <w:r>
              <w:rPr>
                <w:rFonts w:ascii="Arial" w:cs="Arial" w:eastAsia="Arial" w:hAnsi="Arial"/>
                <w:sz w:val="12"/>
                <w:szCs w:val="12"/>
                <w:b w:val="1"/>
                <w:bCs w:val="1"/>
                <w:color w:val="auto"/>
              </w:rPr>
              <w:t>Properties</w:t>
            </w:r>
          </w:p>
        </w:tc>
        <w:tc>
          <w:tcPr>
            <w:tcW w:w="7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05"/>
              <w:spacing w:after="0"/>
              <w:rPr>
                <w:sz w:val="20"/>
                <w:szCs w:val="20"/>
                <w:color w:val="auto"/>
              </w:rPr>
            </w:pPr>
            <w:r>
              <w:rPr>
                <w:rFonts w:ascii="Arial" w:cs="Arial" w:eastAsia="Arial" w:hAnsi="Arial"/>
                <w:sz w:val="12"/>
                <w:szCs w:val="12"/>
                <w:b w:val="1"/>
                <w:bCs w:val="1"/>
                <w:color w:val="auto"/>
              </w:rPr>
              <w:t>Approximate</w:t>
            </w:r>
          </w:p>
        </w:tc>
      </w:tr>
      <w:tr>
        <w:trPr>
          <w:trHeight w:val="169"/>
        </w:trPr>
        <w:tc>
          <w:tcPr>
            <w:tcW w:w="2140" w:type="dxa"/>
            <w:vAlign w:val="bottom"/>
            <w:gridSpan w:val="2"/>
          </w:tcPr>
          <w:p>
            <w:pPr>
              <w:ind w:left="980"/>
              <w:spacing w:after="0"/>
              <w:rPr>
                <w:sz w:val="20"/>
                <w:szCs w:val="20"/>
                <w:color w:val="auto"/>
              </w:rPr>
            </w:pPr>
            <w:r>
              <w:rPr>
                <w:rFonts w:ascii="Arial" w:cs="Arial" w:eastAsia="Arial" w:hAnsi="Arial"/>
                <w:sz w:val="12"/>
                <w:szCs w:val="12"/>
                <w:b w:val="1"/>
                <w:bCs w:val="1"/>
                <w:color w:val="auto"/>
              </w:rPr>
              <w:t>Owned:</w:t>
            </w:r>
          </w:p>
        </w:tc>
        <w:tc>
          <w:tcPr>
            <w:tcW w:w="7520" w:type="dxa"/>
            <w:vAlign w:val="bottom"/>
            <w:gridSpan w:val="2"/>
          </w:tcPr>
          <w:p>
            <w:pPr>
              <w:ind w:left="3780"/>
              <w:spacing w:after="0"/>
              <w:rPr>
                <w:sz w:val="20"/>
                <w:szCs w:val="20"/>
                <w:color w:val="auto"/>
              </w:rPr>
            </w:pPr>
            <w:r>
              <w:rPr>
                <w:rFonts w:ascii="Arial" w:cs="Arial" w:eastAsia="Arial" w:hAnsi="Arial"/>
                <w:sz w:val="12"/>
                <w:szCs w:val="12"/>
                <w:b w:val="1"/>
                <w:bCs w:val="1"/>
                <w:color w:val="auto"/>
              </w:rPr>
              <w:t>Use</w:t>
            </w:r>
          </w:p>
        </w:tc>
        <w:tc>
          <w:tcPr>
            <w:tcW w:w="1600" w:type="dxa"/>
            <w:vAlign w:val="bottom"/>
          </w:tcPr>
          <w:p>
            <w:pPr>
              <w:jc w:val="right"/>
              <w:ind w:right="225"/>
              <w:spacing w:after="0"/>
              <w:rPr>
                <w:sz w:val="20"/>
                <w:szCs w:val="20"/>
                <w:color w:val="auto"/>
              </w:rPr>
            </w:pPr>
            <w:r>
              <w:rPr>
                <w:rFonts w:ascii="Arial" w:cs="Arial" w:eastAsia="Arial" w:hAnsi="Arial"/>
                <w:sz w:val="12"/>
                <w:szCs w:val="12"/>
                <w:b w:val="1"/>
                <w:bCs w:val="1"/>
                <w:color w:val="auto"/>
              </w:rPr>
              <w:t>Total Sq. Ft.</w:t>
            </w:r>
          </w:p>
        </w:tc>
      </w:tr>
      <w:tr>
        <w:trPr>
          <w:trHeight w:val="32"/>
        </w:trPr>
        <w:tc>
          <w:tcPr>
            <w:tcW w:w="2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r>
      <w:tr>
        <w:trPr>
          <w:trHeight w:val="199"/>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Cavite, Philippines</w:t>
            </w:r>
          </w:p>
        </w:tc>
        <w:tc>
          <w:tcPr>
            <w:tcW w:w="75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Wafer probe and testing, warehouse, engineering and administrative offices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1,321,000 sq. ft.</w:t>
            </w:r>
          </w:p>
        </w:tc>
      </w:tr>
      <w:tr>
        <w:trPr>
          <w:trHeight w:val="199"/>
        </w:trPr>
        <w:tc>
          <w:tcPr>
            <w:tcW w:w="2140" w:type="dxa"/>
            <w:vAlign w:val="bottom"/>
            <w:gridSpan w:val="2"/>
          </w:tcPr>
          <w:p>
            <w:pPr>
              <w:ind w:left="360"/>
              <w:spacing w:after="0"/>
              <w:rPr>
                <w:sz w:val="20"/>
                <w:szCs w:val="20"/>
                <w:color w:val="auto"/>
              </w:rPr>
            </w:pPr>
            <w:r>
              <w:rPr>
                <w:rFonts w:ascii="Arial" w:cs="Arial" w:eastAsia="Arial" w:hAnsi="Arial"/>
                <w:sz w:val="16"/>
                <w:szCs w:val="16"/>
                <w:color w:val="auto"/>
              </w:rPr>
              <w:t>Wilmington, MA</w:t>
            </w:r>
          </w:p>
        </w:tc>
        <w:tc>
          <w:tcPr>
            <w:tcW w:w="7520" w:type="dxa"/>
            <w:vAlign w:val="bottom"/>
            <w:gridSpan w:val="2"/>
          </w:tcPr>
          <w:p>
            <w:pPr>
              <w:ind w:left="380"/>
              <w:spacing w:after="0"/>
              <w:rPr>
                <w:sz w:val="20"/>
                <w:szCs w:val="20"/>
                <w:color w:val="auto"/>
              </w:rPr>
            </w:pPr>
            <w:r>
              <w:rPr>
                <w:rFonts w:ascii="Arial" w:cs="Arial" w:eastAsia="Arial" w:hAnsi="Arial"/>
                <w:sz w:val="16"/>
                <w:szCs w:val="16"/>
                <w:color w:val="auto"/>
                <w:w w:val="94"/>
              </w:rPr>
              <w:t>Corporate headquarters, wafer fabrication, testing, engineering, sales, marketing and administrative offices</w:t>
            </w:r>
          </w:p>
        </w:tc>
        <w:tc>
          <w:tcPr>
            <w:tcW w:w="1600" w:type="dxa"/>
            <w:vAlign w:val="bottom"/>
          </w:tcPr>
          <w:p>
            <w:pPr>
              <w:jc w:val="right"/>
              <w:spacing w:after="0"/>
              <w:rPr>
                <w:sz w:val="20"/>
                <w:szCs w:val="20"/>
                <w:color w:val="auto"/>
              </w:rPr>
            </w:pPr>
            <w:r>
              <w:rPr>
                <w:rFonts w:ascii="Arial" w:cs="Arial" w:eastAsia="Arial" w:hAnsi="Arial"/>
                <w:sz w:val="16"/>
                <w:szCs w:val="16"/>
                <w:color w:val="auto"/>
              </w:rPr>
              <w:t>818,000 sq. ft.</w:t>
            </w:r>
          </w:p>
        </w:tc>
      </w:tr>
      <w:tr>
        <w:trPr>
          <w:trHeight w:val="199"/>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Limerick, Ireland</w:t>
            </w:r>
          </w:p>
        </w:tc>
        <w:tc>
          <w:tcPr>
            <w:tcW w:w="75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91"/>
              </w:rPr>
              <w:t>Wafer fabrication, wafer probe and testing, warehouse and distribution, engineering and administrative offices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632,000 sq. ft.</w:t>
            </w:r>
          </w:p>
        </w:tc>
      </w:tr>
      <w:tr>
        <w:trPr>
          <w:trHeight w:val="199"/>
        </w:trPr>
        <w:tc>
          <w:tcPr>
            <w:tcW w:w="2140" w:type="dxa"/>
            <w:vAlign w:val="bottom"/>
            <w:gridSpan w:val="2"/>
          </w:tcPr>
          <w:p>
            <w:pPr>
              <w:ind w:left="360"/>
              <w:spacing w:after="0"/>
              <w:rPr>
                <w:sz w:val="20"/>
                <w:szCs w:val="20"/>
                <w:color w:val="auto"/>
              </w:rPr>
            </w:pPr>
            <w:r>
              <w:rPr>
                <w:rFonts w:ascii="Arial" w:cs="Arial" w:eastAsia="Arial" w:hAnsi="Arial"/>
                <w:sz w:val="16"/>
                <w:szCs w:val="16"/>
                <w:color w:val="auto"/>
              </w:rPr>
              <w:t>San Jose, CA</w:t>
            </w:r>
          </w:p>
        </w:tc>
        <w:tc>
          <w:tcPr>
            <w:tcW w:w="7520" w:type="dxa"/>
            <w:vAlign w:val="bottom"/>
            <w:gridSpan w:val="2"/>
          </w:tcPr>
          <w:p>
            <w:pPr>
              <w:ind w:left="380"/>
              <w:spacing w:after="0"/>
              <w:rPr>
                <w:sz w:val="20"/>
                <w:szCs w:val="20"/>
                <w:color w:val="auto"/>
              </w:rPr>
            </w:pPr>
            <w:r>
              <w:rPr>
                <w:rFonts w:ascii="Arial" w:cs="Arial" w:eastAsia="Arial" w:hAnsi="Arial"/>
                <w:sz w:val="16"/>
                <w:szCs w:val="16"/>
                <w:color w:val="auto"/>
              </w:rPr>
              <w:t>Engineering, sales, marketing and administrative offices</w:t>
            </w:r>
          </w:p>
        </w:tc>
        <w:tc>
          <w:tcPr>
            <w:tcW w:w="1600" w:type="dxa"/>
            <w:vAlign w:val="bottom"/>
          </w:tcPr>
          <w:p>
            <w:pPr>
              <w:jc w:val="right"/>
              <w:spacing w:after="0"/>
              <w:rPr>
                <w:sz w:val="20"/>
                <w:szCs w:val="20"/>
                <w:color w:val="auto"/>
              </w:rPr>
            </w:pPr>
            <w:r>
              <w:rPr>
                <w:rFonts w:ascii="Arial" w:cs="Arial" w:eastAsia="Arial" w:hAnsi="Arial"/>
                <w:sz w:val="16"/>
                <w:szCs w:val="16"/>
                <w:color w:val="auto"/>
              </w:rPr>
              <w:t>435,000 sq. ft.</w:t>
            </w:r>
          </w:p>
        </w:tc>
      </w:tr>
      <w:tr>
        <w:trPr>
          <w:trHeight w:val="199"/>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Milpitas, CA (1)</w:t>
            </w:r>
          </w:p>
        </w:tc>
        <w:tc>
          <w:tcPr>
            <w:tcW w:w="75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92"/>
              </w:rPr>
              <w:t>Wafer probe and testing; warehouse and distribution; engineering, sales, marketing and administrative offices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427,000 sq. ft.</w:t>
            </w:r>
          </w:p>
        </w:tc>
      </w:tr>
      <w:tr>
        <w:trPr>
          <w:trHeight w:val="199"/>
        </w:trPr>
        <w:tc>
          <w:tcPr>
            <w:tcW w:w="2140" w:type="dxa"/>
            <w:vAlign w:val="bottom"/>
            <w:gridSpan w:val="2"/>
          </w:tcPr>
          <w:p>
            <w:pPr>
              <w:ind w:left="360"/>
              <w:spacing w:after="0"/>
              <w:rPr>
                <w:sz w:val="20"/>
                <w:szCs w:val="20"/>
                <w:color w:val="auto"/>
              </w:rPr>
            </w:pPr>
            <w:r>
              <w:rPr>
                <w:rFonts w:ascii="Arial" w:cs="Arial" w:eastAsia="Arial" w:hAnsi="Arial"/>
                <w:sz w:val="16"/>
                <w:szCs w:val="16"/>
                <w:color w:val="auto"/>
              </w:rPr>
              <w:t xml:space="preserve">Penang, Malaysia </w:t>
            </w:r>
            <w:r>
              <w:rPr>
                <w:rFonts w:ascii="Arial" w:cs="Arial" w:eastAsia="Arial" w:hAnsi="Arial"/>
                <w:sz w:val="14"/>
                <w:szCs w:val="14"/>
                <w:color w:val="auto"/>
              </w:rPr>
              <w:t>(2)</w:t>
            </w:r>
          </w:p>
        </w:tc>
        <w:tc>
          <w:tcPr>
            <w:tcW w:w="7520" w:type="dxa"/>
            <w:vAlign w:val="bottom"/>
            <w:gridSpan w:val="2"/>
          </w:tcPr>
          <w:p>
            <w:pPr>
              <w:ind w:left="380"/>
              <w:spacing w:after="0"/>
              <w:rPr>
                <w:sz w:val="20"/>
                <w:szCs w:val="20"/>
                <w:color w:val="auto"/>
              </w:rPr>
            </w:pPr>
            <w:r>
              <w:rPr>
                <w:rFonts w:ascii="Arial" w:cs="Arial" w:eastAsia="Arial" w:hAnsi="Arial"/>
                <w:sz w:val="16"/>
                <w:szCs w:val="16"/>
                <w:color w:val="auto"/>
              </w:rPr>
              <w:t>Wafer probe and testing, assembly and engineering offices</w:t>
            </w:r>
          </w:p>
        </w:tc>
        <w:tc>
          <w:tcPr>
            <w:tcW w:w="1600" w:type="dxa"/>
            <w:vAlign w:val="bottom"/>
          </w:tcPr>
          <w:p>
            <w:pPr>
              <w:jc w:val="right"/>
              <w:spacing w:after="0"/>
              <w:rPr>
                <w:sz w:val="20"/>
                <w:szCs w:val="20"/>
                <w:color w:val="auto"/>
              </w:rPr>
            </w:pPr>
            <w:r>
              <w:rPr>
                <w:rFonts w:ascii="Arial" w:cs="Arial" w:eastAsia="Arial" w:hAnsi="Arial"/>
                <w:sz w:val="16"/>
                <w:szCs w:val="16"/>
                <w:color w:val="auto"/>
              </w:rPr>
              <w:t>350,000 sq. ft.</w:t>
            </w:r>
          </w:p>
        </w:tc>
      </w:tr>
      <w:tr>
        <w:trPr>
          <w:trHeight w:val="199"/>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Beaverton, OR</w:t>
            </w:r>
          </w:p>
        </w:tc>
        <w:tc>
          <w:tcPr>
            <w:tcW w:w="75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Wafer fabrication, engineering and administrative offices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312,000 sq. ft.</w:t>
            </w:r>
          </w:p>
        </w:tc>
      </w:tr>
      <w:tr>
        <w:trPr>
          <w:trHeight w:val="152"/>
        </w:trPr>
        <w:tc>
          <w:tcPr>
            <w:tcW w:w="2140" w:type="dxa"/>
            <w:vAlign w:val="bottom"/>
            <w:gridSpan w:val="2"/>
          </w:tcPr>
          <w:p>
            <w:pPr>
              <w:ind w:left="360"/>
              <w:spacing w:after="0" w:line="152" w:lineRule="exact"/>
              <w:rPr>
                <w:sz w:val="20"/>
                <w:szCs w:val="20"/>
                <w:color w:val="auto"/>
              </w:rPr>
            </w:pPr>
            <w:r>
              <w:rPr>
                <w:rFonts w:ascii="Arial" w:cs="Arial" w:eastAsia="Arial" w:hAnsi="Arial"/>
                <w:sz w:val="16"/>
                <w:szCs w:val="16"/>
                <w:color w:val="auto"/>
              </w:rPr>
              <w:t>Chonburi Province,</w:t>
            </w:r>
          </w:p>
        </w:tc>
        <w:tc>
          <w:tcPr>
            <w:tcW w:w="7520" w:type="dxa"/>
            <w:vAlign w:val="bottom"/>
            <w:gridSpan w:val="2"/>
          </w:tcPr>
          <w:p>
            <w:pPr>
              <w:ind w:left="380"/>
              <w:spacing w:after="0" w:line="152" w:lineRule="exact"/>
              <w:rPr>
                <w:sz w:val="20"/>
                <w:szCs w:val="20"/>
                <w:color w:val="auto"/>
              </w:rPr>
            </w:pPr>
            <w:r>
              <w:rPr>
                <w:rFonts w:ascii="Arial" w:cs="Arial" w:eastAsia="Arial" w:hAnsi="Arial"/>
                <w:sz w:val="16"/>
                <w:szCs w:val="16"/>
                <w:color w:val="auto"/>
              </w:rPr>
              <w:t>Wafer probe and testing, warehouse, engineering and administrative offices</w:t>
            </w:r>
          </w:p>
        </w:tc>
        <w:tc>
          <w:tcPr>
            <w:tcW w:w="1600" w:type="dxa"/>
            <w:vAlign w:val="bottom"/>
          </w:tcPr>
          <w:p>
            <w:pPr>
              <w:jc w:val="right"/>
              <w:spacing w:after="0" w:line="152" w:lineRule="exact"/>
              <w:rPr>
                <w:sz w:val="20"/>
                <w:szCs w:val="20"/>
                <w:color w:val="auto"/>
              </w:rPr>
            </w:pPr>
            <w:r>
              <w:rPr>
                <w:rFonts w:ascii="Arial" w:cs="Arial" w:eastAsia="Arial" w:hAnsi="Arial"/>
                <w:sz w:val="16"/>
                <w:szCs w:val="16"/>
                <w:color w:val="auto"/>
              </w:rPr>
              <w:t>194,000 sq. ft.</w:t>
            </w:r>
          </w:p>
        </w:tc>
      </w:tr>
      <w:tr>
        <w:trPr>
          <w:trHeight w:val="199"/>
        </w:trPr>
        <w:tc>
          <w:tcPr>
            <w:tcW w:w="2140" w:type="dxa"/>
            <w:vAlign w:val="bottom"/>
            <w:gridSpan w:val="2"/>
          </w:tcPr>
          <w:p>
            <w:pPr>
              <w:spacing w:after="0"/>
              <w:rPr>
                <w:sz w:val="20"/>
                <w:szCs w:val="20"/>
                <w:color w:val="auto"/>
              </w:rPr>
            </w:pPr>
            <w:r>
              <w:rPr>
                <w:rFonts w:ascii="Arial" w:cs="Arial" w:eastAsia="Arial" w:hAnsi="Arial"/>
                <w:sz w:val="16"/>
                <w:szCs w:val="16"/>
                <w:color w:val="auto"/>
              </w:rPr>
              <w:t>Thailand</w:t>
            </w: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99"/>
        </w:trPr>
        <w:tc>
          <w:tcPr>
            <w:tcW w:w="21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Chelmsford, MA</w:t>
            </w:r>
          </w:p>
        </w:tc>
        <w:tc>
          <w:tcPr>
            <w:tcW w:w="75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90"/>
              </w:rPr>
              <w:t>Final assembly of certain module and subsystem-level products, testing, engineering and administrative offices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174,000 sq. ft.</w:t>
            </w:r>
          </w:p>
        </w:tc>
      </w:tr>
      <w:tr>
        <w:trPr>
          <w:trHeight w:val="199"/>
        </w:trPr>
        <w:tc>
          <w:tcPr>
            <w:tcW w:w="2140" w:type="dxa"/>
            <w:vAlign w:val="bottom"/>
            <w:gridSpan w:val="2"/>
          </w:tcPr>
          <w:p>
            <w:pPr>
              <w:ind w:left="360"/>
              <w:spacing w:after="0"/>
              <w:rPr>
                <w:sz w:val="20"/>
                <w:szCs w:val="20"/>
                <w:color w:val="auto"/>
              </w:rPr>
            </w:pPr>
            <w:r>
              <w:rPr>
                <w:rFonts w:ascii="Arial" w:cs="Arial" w:eastAsia="Arial" w:hAnsi="Arial"/>
                <w:sz w:val="16"/>
                <w:szCs w:val="16"/>
                <w:color w:val="auto"/>
              </w:rPr>
              <w:t>Camas, WA</w:t>
            </w:r>
          </w:p>
        </w:tc>
        <w:tc>
          <w:tcPr>
            <w:tcW w:w="7520" w:type="dxa"/>
            <w:vAlign w:val="bottom"/>
            <w:gridSpan w:val="2"/>
          </w:tcPr>
          <w:p>
            <w:pPr>
              <w:ind w:left="380"/>
              <w:spacing w:after="0"/>
              <w:rPr>
                <w:sz w:val="20"/>
                <w:szCs w:val="20"/>
                <w:color w:val="auto"/>
              </w:rPr>
            </w:pPr>
            <w:r>
              <w:rPr>
                <w:rFonts w:ascii="Arial" w:cs="Arial" w:eastAsia="Arial" w:hAnsi="Arial"/>
                <w:sz w:val="16"/>
                <w:szCs w:val="16"/>
                <w:color w:val="auto"/>
              </w:rPr>
              <w:t>Wafer fabrication</w:t>
            </w:r>
          </w:p>
        </w:tc>
        <w:tc>
          <w:tcPr>
            <w:tcW w:w="1600" w:type="dxa"/>
            <w:vAlign w:val="bottom"/>
          </w:tcPr>
          <w:p>
            <w:pPr>
              <w:jc w:val="right"/>
              <w:spacing w:after="0"/>
              <w:rPr>
                <w:sz w:val="20"/>
                <w:szCs w:val="20"/>
                <w:color w:val="auto"/>
              </w:rPr>
            </w:pPr>
            <w:r>
              <w:rPr>
                <w:rFonts w:ascii="Arial" w:cs="Arial" w:eastAsia="Arial" w:hAnsi="Arial"/>
                <w:sz w:val="16"/>
                <w:szCs w:val="16"/>
                <w:color w:val="auto"/>
              </w:rPr>
              <w:t>105,000 sq. ft.</w:t>
            </w:r>
          </w:p>
        </w:tc>
      </w:tr>
    </w:tbl>
    <w:p>
      <w:pPr>
        <w:spacing w:after="0" w:line="73" w:lineRule="exact"/>
        <w:rPr>
          <w:sz w:val="20"/>
          <w:szCs w:val="20"/>
          <w:color w:val="auto"/>
        </w:rPr>
      </w:pPr>
    </w:p>
    <w:p>
      <w:pPr>
        <w:ind w:left="560" w:right="760" w:hanging="286"/>
        <w:spacing w:after="0" w:line="252" w:lineRule="auto"/>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For further information concerning our held for sale assets at the Hillview wafer fabrication facility in Milpitas, CA, see Note 2e, </w:t>
      </w:r>
      <w:r>
        <w:rPr>
          <w:rFonts w:ascii="Arial" w:cs="Arial" w:eastAsia="Arial" w:hAnsi="Arial"/>
          <w:sz w:val="14"/>
          <w:szCs w:val="14"/>
          <w:i w:val="1"/>
          <w:iCs w:val="1"/>
          <w:color w:val="auto"/>
        </w:rPr>
        <w:t>Property, Plant and Equipment</w:t>
      </w:r>
      <w:r>
        <w:rPr>
          <w:rFonts w:ascii="Arial" w:cs="Arial" w:eastAsia="Arial" w:hAnsi="Arial"/>
          <w:sz w:val="14"/>
          <w:szCs w:val="14"/>
          <w:color w:val="auto"/>
        </w:rPr>
        <w:t>, of the Notes to Consolidated Financial Statements contained in Part II, Item 8 of this Annual Report on Form 10-K.</w:t>
      </w:r>
    </w:p>
    <w:p>
      <w:pPr>
        <w:spacing w:after="0" w:line="1" w:lineRule="exact"/>
        <w:rPr>
          <w:rFonts w:ascii="Arial" w:cs="Arial" w:eastAsia="Arial" w:hAnsi="Arial"/>
          <w:sz w:val="14"/>
          <w:szCs w:val="14"/>
          <w:color w:val="auto"/>
        </w:rPr>
      </w:pPr>
    </w:p>
    <w:p>
      <w:pPr>
        <w:ind w:left="560" w:hanging="286"/>
        <w:spacing w:after="0"/>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Leases on the land used for this facility expire in 2054 through 2057.</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Lease</w:t>
            </w:r>
          </w:p>
        </w:tc>
        <w:tc>
          <w:tcPr>
            <w:tcW w:w="1300" w:type="dxa"/>
            <w:vAlign w:val="bottom"/>
          </w:tcPr>
          <w:p>
            <w:pPr>
              <w:spacing w:after="0"/>
              <w:rPr>
                <w:sz w:val="14"/>
                <w:szCs w:val="14"/>
                <w:color w:val="auto"/>
              </w:rPr>
            </w:pPr>
          </w:p>
        </w:tc>
      </w:tr>
      <w:tr>
        <w:trPr>
          <w:trHeight w:val="164"/>
        </w:trPr>
        <w:tc>
          <w:tcPr>
            <w:tcW w:w="23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Properties</w:t>
            </w:r>
          </w:p>
        </w:tc>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Approximate</w:t>
            </w: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Termination</w:t>
            </w:r>
          </w:p>
        </w:tc>
        <w:tc>
          <w:tcPr>
            <w:tcW w:w="1300" w:type="dxa"/>
            <w:vAlign w:val="bottom"/>
          </w:tcPr>
          <w:p>
            <w:pPr>
              <w:spacing w:after="0"/>
              <w:rPr>
                <w:sz w:val="14"/>
                <w:szCs w:val="14"/>
                <w:color w:val="auto"/>
              </w:rPr>
            </w:pPr>
          </w:p>
        </w:tc>
      </w:tr>
      <w:tr>
        <w:trPr>
          <w:trHeight w:val="169"/>
        </w:trPr>
        <w:tc>
          <w:tcPr>
            <w:tcW w:w="23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Leased:</w:t>
            </w:r>
          </w:p>
        </w:tc>
        <w:tc>
          <w:tcPr>
            <w:tcW w:w="4600" w:type="dxa"/>
            <w:vAlign w:val="bottom"/>
            <w:gridSpan w:val="2"/>
          </w:tcPr>
          <w:p>
            <w:pPr>
              <w:ind w:left="2160"/>
              <w:spacing w:after="0"/>
              <w:rPr>
                <w:sz w:val="20"/>
                <w:szCs w:val="20"/>
                <w:color w:val="auto"/>
              </w:rPr>
            </w:pPr>
            <w:r>
              <w:rPr>
                <w:rFonts w:ascii="Arial" w:cs="Arial" w:eastAsia="Arial" w:hAnsi="Arial"/>
                <w:sz w:val="12"/>
                <w:szCs w:val="12"/>
                <w:b w:val="1"/>
                <w:bCs w:val="1"/>
                <w:color w:val="auto"/>
              </w:rPr>
              <w:t>Use</w:t>
            </w:r>
          </w:p>
        </w:tc>
        <w:tc>
          <w:tcPr>
            <w:tcW w:w="1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Total Sq. Ft.</w:t>
            </w:r>
          </w:p>
        </w:tc>
        <w:tc>
          <w:tcPr>
            <w:tcW w:w="14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(fiscal year)</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0"/>
              </w:rPr>
              <w:t>Renewals</w:t>
            </w:r>
          </w:p>
        </w:tc>
      </w:tr>
      <w:tr>
        <w:trPr>
          <w:trHeight w:val="161"/>
        </w:trPr>
        <w:tc>
          <w:tcPr>
            <w:tcW w:w="2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r>
      <w:tr>
        <w:trPr>
          <w:trHeight w:val="152"/>
        </w:trPr>
        <w:tc>
          <w:tcPr>
            <w:tcW w:w="2320" w:type="dxa"/>
            <w:vAlign w:val="bottom"/>
            <w:gridSpan w:val="2"/>
            <w:shd w:val="clear" w:color="auto" w:fill="CCEEFF"/>
          </w:tcPr>
          <w:p>
            <w:pPr>
              <w:spacing w:after="0" w:line="152" w:lineRule="exact"/>
              <w:rPr>
                <w:sz w:val="20"/>
                <w:szCs w:val="20"/>
                <w:color w:val="auto"/>
              </w:rPr>
            </w:pPr>
            <w:r>
              <w:rPr>
                <w:rFonts w:ascii="Arial" w:cs="Arial" w:eastAsia="Arial" w:hAnsi="Arial"/>
                <w:sz w:val="16"/>
                <w:szCs w:val="16"/>
                <w:color w:val="auto"/>
              </w:rPr>
              <w:t>Santa Clara, CA</w:t>
            </w:r>
          </w:p>
        </w:tc>
        <w:tc>
          <w:tcPr>
            <w:tcW w:w="460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6"/>
                <w:szCs w:val="16"/>
                <w:color w:val="auto"/>
              </w:rPr>
              <w:t>Engineering, sales, marketing and administrative offices</w:t>
            </w:r>
          </w:p>
        </w:tc>
        <w:tc>
          <w:tcPr>
            <w:tcW w:w="1580" w:type="dxa"/>
            <w:vAlign w:val="bottom"/>
            <w:gridSpan w:val="2"/>
            <w:shd w:val="clear" w:color="auto" w:fill="CCEEFF"/>
          </w:tcPr>
          <w:p>
            <w:pPr>
              <w:ind w:left="560"/>
              <w:spacing w:after="0" w:line="152" w:lineRule="exact"/>
              <w:rPr>
                <w:sz w:val="20"/>
                <w:szCs w:val="20"/>
                <w:color w:val="auto"/>
              </w:rPr>
            </w:pPr>
            <w:r>
              <w:rPr>
                <w:rFonts w:ascii="Arial" w:cs="Arial" w:eastAsia="Arial" w:hAnsi="Arial"/>
                <w:sz w:val="16"/>
                <w:szCs w:val="16"/>
                <w:color w:val="auto"/>
                <w:w w:val="98"/>
              </w:rPr>
              <w:t>445,000 sq. ft.</w:t>
            </w:r>
          </w:p>
        </w:tc>
        <w:tc>
          <w:tcPr>
            <w:tcW w:w="130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89"/>
              </w:rPr>
              <w:t>2030</w:t>
            </w: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2" w:lineRule="exact"/>
              <w:rPr>
                <w:sz w:val="20"/>
                <w:szCs w:val="20"/>
                <w:color w:val="auto"/>
              </w:rPr>
            </w:pPr>
            <w:r>
              <w:rPr>
                <w:rFonts w:ascii="Arial" w:cs="Arial" w:eastAsia="Arial" w:hAnsi="Arial"/>
                <w:sz w:val="16"/>
                <w:szCs w:val="16"/>
                <w:color w:val="auto"/>
                <w:w w:val="94"/>
              </w:rPr>
              <w:t>2, five-yr.</w:t>
            </w:r>
          </w:p>
        </w:tc>
      </w:tr>
      <w:tr>
        <w:trPr>
          <w:trHeight w:val="199"/>
        </w:trPr>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periods</w:t>
            </w:r>
          </w:p>
        </w:tc>
      </w:tr>
      <w:tr>
        <w:trPr>
          <w:trHeight w:val="152"/>
        </w:trPr>
        <w:tc>
          <w:tcPr>
            <w:tcW w:w="2320" w:type="dxa"/>
            <w:vAlign w:val="bottom"/>
            <w:gridSpan w:val="2"/>
          </w:tcPr>
          <w:p>
            <w:pPr>
              <w:spacing w:after="0" w:line="152" w:lineRule="exact"/>
              <w:rPr>
                <w:sz w:val="20"/>
                <w:szCs w:val="20"/>
                <w:color w:val="auto"/>
              </w:rPr>
            </w:pPr>
            <w:r>
              <w:rPr>
                <w:rFonts w:ascii="Arial" w:cs="Arial" w:eastAsia="Arial" w:hAnsi="Arial"/>
                <w:sz w:val="16"/>
                <w:szCs w:val="16"/>
                <w:color w:val="auto"/>
              </w:rPr>
              <w:t>Bangalore, India</w:t>
            </w:r>
          </w:p>
        </w:tc>
        <w:tc>
          <w:tcPr>
            <w:tcW w:w="460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Engineering and administrative offices</w:t>
            </w:r>
          </w:p>
        </w:tc>
        <w:tc>
          <w:tcPr>
            <w:tcW w:w="1580" w:type="dxa"/>
            <w:vAlign w:val="bottom"/>
            <w:gridSpan w:val="2"/>
          </w:tcPr>
          <w:p>
            <w:pPr>
              <w:ind w:left="560"/>
              <w:spacing w:after="0" w:line="152" w:lineRule="exact"/>
              <w:rPr>
                <w:sz w:val="20"/>
                <w:szCs w:val="20"/>
                <w:color w:val="auto"/>
              </w:rPr>
            </w:pPr>
            <w:r>
              <w:rPr>
                <w:rFonts w:ascii="Arial" w:cs="Arial" w:eastAsia="Arial" w:hAnsi="Arial"/>
                <w:sz w:val="16"/>
                <w:szCs w:val="16"/>
                <w:color w:val="auto"/>
                <w:w w:val="98"/>
              </w:rPr>
              <w:t>175,000 sq. ft.</w:t>
            </w:r>
          </w:p>
        </w:tc>
        <w:tc>
          <w:tcPr>
            <w:tcW w:w="1300" w:type="dxa"/>
            <w:vAlign w:val="bottom"/>
          </w:tcPr>
          <w:p>
            <w:pPr>
              <w:jc w:val="center"/>
              <w:spacing w:after="0" w:line="152" w:lineRule="exact"/>
              <w:rPr>
                <w:sz w:val="20"/>
                <w:szCs w:val="20"/>
                <w:color w:val="auto"/>
              </w:rPr>
            </w:pPr>
            <w:r>
              <w:rPr>
                <w:rFonts w:ascii="Arial" w:cs="Arial" w:eastAsia="Arial" w:hAnsi="Arial"/>
                <w:sz w:val="16"/>
                <w:szCs w:val="16"/>
                <w:color w:val="auto"/>
                <w:w w:val="89"/>
              </w:rPr>
              <w:t>2027</w:t>
            </w:r>
          </w:p>
        </w:tc>
        <w:tc>
          <w:tcPr>
            <w:tcW w:w="100" w:type="dxa"/>
            <w:vAlign w:val="bottom"/>
          </w:tcPr>
          <w:p>
            <w:pPr>
              <w:spacing w:after="0"/>
              <w:rPr>
                <w:sz w:val="13"/>
                <w:szCs w:val="13"/>
                <w:color w:val="auto"/>
              </w:rPr>
            </w:pPr>
          </w:p>
        </w:tc>
        <w:tc>
          <w:tcPr>
            <w:tcW w:w="1300" w:type="dxa"/>
            <w:vAlign w:val="bottom"/>
          </w:tcPr>
          <w:p>
            <w:pPr>
              <w:jc w:val="center"/>
              <w:spacing w:after="0" w:line="152" w:lineRule="exact"/>
              <w:rPr>
                <w:sz w:val="20"/>
                <w:szCs w:val="20"/>
                <w:color w:val="auto"/>
              </w:rPr>
            </w:pPr>
            <w:r>
              <w:rPr>
                <w:rFonts w:ascii="Arial" w:cs="Arial" w:eastAsia="Arial" w:hAnsi="Arial"/>
                <w:sz w:val="16"/>
                <w:szCs w:val="16"/>
                <w:color w:val="auto"/>
                <w:w w:val="94"/>
              </w:rPr>
              <w:t>1, five-yr.</w:t>
            </w:r>
          </w:p>
        </w:tc>
      </w:tr>
      <w:tr>
        <w:trPr>
          <w:trHeight w:val="199"/>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period</w:t>
            </w:r>
          </w:p>
        </w:tc>
      </w:tr>
    </w:tbl>
    <w:p>
      <w:pPr>
        <w:spacing w:after="0" w:line="174" w:lineRule="exact"/>
        <w:rPr>
          <w:sz w:val="20"/>
          <w:szCs w:val="20"/>
          <w:color w:val="auto"/>
        </w:rPr>
      </w:pPr>
    </w:p>
    <w:p>
      <w:pPr>
        <w:ind w:right="160" w:firstLine="386"/>
        <w:spacing w:after="0" w:line="293" w:lineRule="auto"/>
        <w:rPr>
          <w:sz w:val="20"/>
          <w:szCs w:val="20"/>
          <w:color w:val="auto"/>
        </w:rPr>
      </w:pPr>
      <w:r>
        <w:rPr>
          <w:rFonts w:ascii="Arial" w:cs="Arial" w:eastAsia="Arial" w:hAnsi="Arial"/>
          <w:sz w:val="14"/>
          <w:szCs w:val="14"/>
          <w:color w:val="auto"/>
        </w:rPr>
        <w:t xml:space="preserve">In addition to the properties listed in the above tables, we also own or lease a number of other facilities in various locations in the United States and internationally that are used for manufacturing, engineering, sales and marketing and administration activities. Leases for these leased facilities expire at various dates through the year 2030. We do not anticipate experiencing significant difficulty in retaining occupancy of any of our facilities through lease renewals prior to expiration or through month-to-month occupancy, or in replacing them with equivalent facilities. For information concerning our obligations under all operating leases, see Note 9, </w:t>
      </w:r>
      <w:r>
        <w:rPr>
          <w:rFonts w:ascii="Arial" w:cs="Arial" w:eastAsia="Arial" w:hAnsi="Arial"/>
          <w:sz w:val="14"/>
          <w:szCs w:val="14"/>
          <w:i w:val="1"/>
          <w:iCs w:val="1"/>
          <w:color w:val="auto"/>
        </w:rPr>
        <w:t>Leases</w:t>
      </w:r>
      <w:r>
        <w:rPr>
          <w:rFonts w:ascii="Arial" w:cs="Arial" w:eastAsia="Arial" w:hAnsi="Arial"/>
          <w:sz w:val="14"/>
          <w:szCs w:val="14"/>
          <w:color w:val="auto"/>
        </w:rPr>
        <w:t>, of the Notes to Consolidated Financial Statements contained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5" w:name="page26"/>
    <w:bookmarkEnd w:id="25"/>
    <w:p>
      <w:pPr>
        <w:spacing w:after="0"/>
        <w:tabs>
          <w:tab w:leader="none" w:pos="7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12" w:lineRule="exact"/>
        <w:rPr>
          <w:sz w:val="20"/>
          <w:szCs w:val="20"/>
          <w:color w:val="auto"/>
        </w:rPr>
      </w:pPr>
    </w:p>
    <w:p>
      <w:pPr>
        <w:jc w:val="both"/>
        <w:ind w:firstLine="386"/>
        <w:spacing w:after="0" w:line="250" w:lineRule="auto"/>
        <w:rPr>
          <w:sz w:val="20"/>
          <w:szCs w:val="20"/>
          <w:color w:val="auto"/>
        </w:rPr>
      </w:pPr>
      <w:r>
        <w:rPr>
          <w:rFonts w:ascii="Arial" w:cs="Arial" w:eastAsia="Arial" w:hAnsi="Arial"/>
          <w:sz w:val="16"/>
          <w:szCs w:val="16"/>
          <w:color w:val="auto"/>
        </w:rPr>
        <w:t>From time to time in the ordinary course of our business, various claims, charges and litigation are asserted or commenced against us arising from, or related to, among other things, contractual matters, patents, trademarks, personal injury, environmental matters, product liability, insurance coverage, employment or employee benefits. As to such claims and litigation, we can give no assurance that we will prevail. We do not believe that any current legal matters will have a material adverse effect on our financial position, results of operations or cash flows.</w:t>
      </w:r>
    </w:p>
    <w:p>
      <w:pPr>
        <w:spacing w:after="0" w:line="30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20" w:top="789" w:right="39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12" w:lineRule="exact"/>
        <w:rPr>
          <w:sz w:val="20"/>
          <w:szCs w:val="20"/>
          <w:color w:val="auto"/>
        </w:rPr>
      </w:pPr>
    </w:p>
    <w:p>
      <w:pPr>
        <w:ind w:right="160" w:firstLine="386"/>
        <w:spacing w:after="0" w:line="262" w:lineRule="auto"/>
        <w:rPr>
          <w:sz w:val="20"/>
          <w:szCs w:val="20"/>
          <w:color w:val="auto"/>
        </w:rPr>
      </w:pPr>
      <w:r>
        <w:rPr>
          <w:rFonts w:ascii="Arial" w:cs="Arial" w:eastAsia="Arial" w:hAnsi="Arial"/>
          <w:sz w:val="16"/>
          <w:szCs w:val="16"/>
          <w:color w:val="auto"/>
        </w:rPr>
        <w:t>The following table sets forth (i) the name, age and position of each of our executive officers as of December 3, 2021 and (ii) the business experience of each person named in the table during at least the past five years. There is no family relationship among any of our executive officers.</w:t>
      </w:r>
    </w:p>
    <w:tbl>
      <w:tblPr>
        <w:tblLayout w:type="fixed"/>
        <w:tblInd w:w="0" w:type="dxa"/>
        <w:tblCellMar>
          <w:top w:w="0" w:type="dxa"/>
          <w:left w:w="0" w:type="dxa"/>
          <w:bottom w:w="0" w:type="dxa"/>
          <w:right w:w="0" w:type="dxa"/>
        </w:tblCellMar>
      </w:tblPr>
      <w:tr>
        <w:trPr>
          <w:trHeight w:val="166"/>
        </w:trPr>
        <w:tc>
          <w:tcPr>
            <w:tcW w:w="2680" w:type="dxa"/>
            <w:vAlign w:val="bottom"/>
            <w:gridSpan w:val="2"/>
          </w:tcPr>
          <w:p>
            <w:pPr>
              <w:ind w:left="400"/>
              <w:spacing w:after="0"/>
              <w:rPr>
                <w:sz w:val="20"/>
                <w:szCs w:val="20"/>
                <w:color w:val="auto"/>
              </w:rPr>
            </w:pPr>
            <w:r>
              <w:rPr>
                <w:rFonts w:ascii="Arial" w:cs="Arial" w:eastAsia="Arial" w:hAnsi="Arial"/>
                <w:sz w:val="12"/>
                <w:szCs w:val="12"/>
                <w:b w:val="1"/>
                <w:bCs w:val="1"/>
                <w:color w:val="auto"/>
              </w:rPr>
              <w:t>Executive Officer</w:t>
            </w:r>
          </w:p>
        </w:tc>
        <w:tc>
          <w:tcPr>
            <w:tcW w:w="740" w:type="dxa"/>
            <w:vAlign w:val="bottom"/>
            <w:gridSpan w:val="2"/>
          </w:tcPr>
          <w:p>
            <w:pPr>
              <w:ind w:left="400"/>
              <w:spacing w:after="0"/>
              <w:rPr>
                <w:sz w:val="20"/>
                <w:szCs w:val="20"/>
                <w:color w:val="auto"/>
              </w:rPr>
            </w:pPr>
            <w:r>
              <w:rPr>
                <w:rFonts w:ascii="Arial" w:cs="Arial" w:eastAsia="Arial" w:hAnsi="Arial"/>
                <w:sz w:val="12"/>
                <w:szCs w:val="12"/>
                <w:b w:val="1"/>
                <w:bCs w:val="1"/>
                <w:color w:val="auto"/>
              </w:rPr>
              <w:t>Age</w:t>
            </w:r>
          </w:p>
        </w:tc>
        <w:tc>
          <w:tcPr>
            <w:tcW w:w="2440" w:type="dxa"/>
            <w:vAlign w:val="bottom"/>
            <w:gridSpan w:val="2"/>
          </w:tcPr>
          <w:p>
            <w:pPr>
              <w:ind w:left="1080"/>
              <w:spacing w:after="0"/>
              <w:rPr>
                <w:sz w:val="20"/>
                <w:szCs w:val="20"/>
                <w:color w:val="auto"/>
              </w:rPr>
            </w:pPr>
            <w:r>
              <w:rPr>
                <w:rFonts w:ascii="Arial" w:cs="Arial" w:eastAsia="Arial" w:hAnsi="Arial"/>
                <w:sz w:val="12"/>
                <w:szCs w:val="12"/>
                <w:b w:val="1"/>
                <w:bCs w:val="1"/>
                <w:color w:val="auto"/>
              </w:rPr>
              <w:t>Position(s)</w:t>
            </w:r>
          </w:p>
        </w:tc>
        <w:tc>
          <w:tcPr>
            <w:tcW w:w="5400" w:type="dxa"/>
            <w:vAlign w:val="bottom"/>
          </w:tcPr>
          <w:p>
            <w:pPr>
              <w:ind w:left="2340"/>
              <w:spacing w:after="0"/>
              <w:rPr>
                <w:sz w:val="20"/>
                <w:szCs w:val="20"/>
                <w:color w:val="auto"/>
              </w:rPr>
            </w:pPr>
            <w:r>
              <w:rPr>
                <w:rFonts w:ascii="Arial" w:cs="Arial" w:eastAsia="Arial" w:hAnsi="Arial"/>
                <w:sz w:val="12"/>
                <w:szCs w:val="12"/>
                <w:b w:val="1"/>
                <w:bCs w:val="1"/>
                <w:color w:val="auto"/>
              </w:rPr>
              <w:t>Business Experience</w:t>
            </w:r>
          </w:p>
        </w:tc>
      </w:tr>
      <w:tr>
        <w:trPr>
          <w:trHeight w:val="149"/>
        </w:trPr>
        <w:tc>
          <w:tcPr>
            <w:tcW w:w="2580" w:type="dxa"/>
            <w:vAlign w:val="bottom"/>
            <w:tcBorders>
              <w:top w:val="single" w:sz="8" w:color="auto"/>
            </w:tcBorders>
            <w:shd w:val="clear" w:color="auto" w:fill="CCEEFF"/>
          </w:tcPr>
          <w:p>
            <w:pPr>
              <w:ind w:left="400"/>
              <w:spacing w:after="0" w:line="149" w:lineRule="exact"/>
              <w:rPr>
                <w:sz w:val="20"/>
                <w:szCs w:val="20"/>
                <w:color w:val="auto"/>
              </w:rPr>
            </w:pPr>
            <w:r>
              <w:rPr>
                <w:rFonts w:ascii="Arial" w:cs="Arial" w:eastAsia="Arial" w:hAnsi="Arial"/>
                <w:sz w:val="16"/>
                <w:szCs w:val="16"/>
                <w:color w:val="auto"/>
              </w:rPr>
              <w:t>Vincent Roche</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420"/>
              <w:spacing w:after="0" w:line="149" w:lineRule="exact"/>
              <w:rPr>
                <w:sz w:val="20"/>
                <w:szCs w:val="20"/>
                <w:color w:val="auto"/>
              </w:rPr>
            </w:pPr>
            <w:r>
              <w:rPr>
                <w:rFonts w:ascii="Arial" w:cs="Arial" w:eastAsia="Arial" w:hAnsi="Arial"/>
                <w:sz w:val="16"/>
                <w:szCs w:val="16"/>
                <w:color w:val="auto"/>
              </w:rPr>
              <w:t>61</w:t>
            </w:r>
          </w:p>
        </w:tc>
        <w:tc>
          <w:tcPr>
            <w:tcW w:w="100" w:type="dxa"/>
            <w:vAlign w:val="bottom"/>
            <w:tcBorders>
              <w:top w:val="single" w:sz="8" w:color="CCEEFF"/>
            </w:tcBorders>
            <w:shd w:val="clear" w:color="auto" w:fill="CCEEFF"/>
          </w:tcPr>
          <w:p>
            <w:pPr>
              <w:spacing w:after="0"/>
              <w:rPr>
                <w:sz w:val="12"/>
                <w:szCs w:val="12"/>
                <w:color w:val="auto"/>
              </w:rPr>
            </w:pPr>
          </w:p>
        </w:tc>
        <w:tc>
          <w:tcPr>
            <w:tcW w:w="2320" w:type="dxa"/>
            <w:vAlign w:val="bottom"/>
            <w:tcBorders>
              <w:top w:val="single" w:sz="8" w:color="auto"/>
            </w:tcBorders>
            <w:shd w:val="clear" w:color="auto" w:fill="CCEEFF"/>
          </w:tcPr>
          <w:p>
            <w:pPr>
              <w:ind w:left="400"/>
              <w:spacing w:after="0" w:line="149" w:lineRule="exact"/>
              <w:rPr>
                <w:sz w:val="20"/>
                <w:szCs w:val="20"/>
                <w:color w:val="auto"/>
              </w:rPr>
            </w:pPr>
            <w:r>
              <w:rPr>
                <w:rFonts w:ascii="Arial" w:cs="Arial" w:eastAsia="Arial" w:hAnsi="Arial"/>
                <w:sz w:val="16"/>
                <w:szCs w:val="16"/>
                <w:color w:val="auto"/>
                <w:w w:val="88"/>
              </w:rPr>
              <w:t>President and Chief Executive</w:t>
            </w:r>
          </w:p>
        </w:tc>
        <w:tc>
          <w:tcPr>
            <w:tcW w:w="120" w:type="dxa"/>
            <w:vAlign w:val="bottom"/>
            <w:tcBorders>
              <w:top w:val="single" w:sz="8" w:color="CCEEFF"/>
            </w:tcBorders>
            <w:shd w:val="clear" w:color="auto" w:fill="CCEEFF"/>
          </w:tcPr>
          <w:p>
            <w:pPr>
              <w:spacing w:after="0"/>
              <w:rPr>
                <w:sz w:val="12"/>
                <w:szCs w:val="12"/>
                <w:color w:val="auto"/>
              </w:rPr>
            </w:pPr>
          </w:p>
        </w:tc>
        <w:tc>
          <w:tcPr>
            <w:tcW w:w="5400" w:type="dxa"/>
            <w:vAlign w:val="bottom"/>
            <w:tcBorders>
              <w:top w:val="single" w:sz="8" w:color="auto"/>
            </w:tcBorders>
            <w:shd w:val="clear" w:color="auto" w:fill="CCEEFF"/>
          </w:tcPr>
          <w:p>
            <w:pPr>
              <w:ind w:left="400"/>
              <w:spacing w:after="0" w:line="149" w:lineRule="exact"/>
              <w:rPr>
                <w:sz w:val="20"/>
                <w:szCs w:val="20"/>
                <w:color w:val="auto"/>
              </w:rPr>
            </w:pPr>
            <w:r>
              <w:rPr>
                <w:rFonts w:ascii="Arial" w:cs="Arial" w:eastAsia="Arial" w:hAnsi="Arial"/>
                <w:sz w:val="16"/>
                <w:szCs w:val="16"/>
                <w:color w:val="auto"/>
                <w:w w:val="99"/>
              </w:rPr>
              <w:t>President and Chief Executive Officer since May 2013; President since</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6"/>
                <w:szCs w:val="16"/>
                <w:color w:val="auto"/>
              </w:rPr>
              <w:t>Officer</w:t>
            </w: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1"/>
              </w:rPr>
              <w:t>November 2012; Vice President, Strategic Segments Group and Global Sales from</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89"/>
              </w:rPr>
              <w:t>October 2009 to November 2012; Vice President, Worldwide Sales from March 2001</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89"/>
              </w:rPr>
              <w:t>to October 2009; Vice President and General Manager, Silicon Valley Business Units</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2"/>
              </w:rPr>
              <w:t>and Computer &amp; Networking from 1999 to March 2001; Product Line Director from</w:t>
            </w:r>
          </w:p>
        </w:tc>
      </w:tr>
      <w:tr>
        <w:trPr>
          <w:trHeight w:val="199"/>
        </w:trPr>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1995 to 1999; and Product Marketing Manager from 1988 to 1995.</w:t>
            </w:r>
          </w:p>
        </w:tc>
      </w:tr>
      <w:tr>
        <w:trPr>
          <w:trHeight w:val="152"/>
        </w:trPr>
        <w:tc>
          <w:tcPr>
            <w:tcW w:w="2680" w:type="dxa"/>
            <w:vAlign w:val="bottom"/>
            <w:gridSpan w:val="2"/>
          </w:tcPr>
          <w:p>
            <w:pPr>
              <w:ind w:left="400"/>
              <w:spacing w:after="0" w:line="152" w:lineRule="exact"/>
              <w:rPr>
                <w:sz w:val="20"/>
                <w:szCs w:val="20"/>
                <w:color w:val="auto"/>
              </w:rPr>
            </w:pPr>
            <w:r>
              <w:rPr>
                <w:rFonts w:ascii="Arial" w:cs="Arial" w:eastAsia="Arial" w:hAnsi="Arial"/>
                <w:sz w:val="16"/>
                <w:szCs w:val="16"/>
                <w:color w:val="auto"/>
              </w:rPr>
              <w:t>Prashanth Mahendra-Rajah</w:t>
            </w:r>
          </w:p>
        </w:tc>
        <w:tc>
          <w:tcPr>
            <w:tcW w:w="640" w:type="dxa"/>
            <w:vAlign w:val="bottom"/>
          </w:tcPr>
          <w:p>
            <w:pPr>
              <w:ind w:left="420"/>
              <w:spacing w:after="0" w:line="152" w:lineRule="exact"/>
              <w:rPr>
                <w:sz w:val="20"/>
                <w:szCs w:val="20"/>
                <w:color w:val="auto"/>
              </w:rPr>
            </w:pPr>
            <w:r>
              <w:rPr>
                <w:rFonts w:ascii="Arial" w:cs="Arial" w:eastAsia="Arial" w:hAnsi="Arial"/>
                <w:sz w:val="16"/>
                <w:szCs w:val="16"/>
                <w:color w:val="auto"/>
              </w:rPr>
              <w:t>51</w:t>
            </w:r>
          </w:p>
        </w:tc>
        <w:tc>
          <w:tcPr>
            <w:tcW w:w="100" w:type="dxa"/>
            <w:vAlign w:val="bottom"/>
          </w:tcPr>
          <w:p>
            <w:pPr>
              <w:spacing w:after="0"/>
              <w:rPr>
                <w:sz w:val="13"/>
                <w:szCs w:val="13"/>
                <w:color w:val="auto"/>
              </w:rPr>
            </w:pPr>
          </w:p>
        </w:tc>
        <w:tc>
          <w:tcPr>
            <w:tcW w:w="2440" w:type="dxa"/>
            <w:vAlign w:val="bottom"/>
            <w:gridSpan w:val="2"/>
          </w:tcPr>
          <w:p>
            <w:pPr>
              <w:ind w:left="400"/>
              <w:spacing w:after="0" w:line="152" w:lineRule="exact"/>
              <w:rPr>
                <w:sz w:val="20"/>
                <w:szCs w:val="20"/>
                <w:color w:val="auto"/>
              </w:rPr>
            </w:pPr>
            <w:r>
              <w:rPr>
                <w:rFonts w:ascii="Arial" w:cs="Arial" w:eastAsia="Arial" w:hAnsi="Arial"/>
                <w:sz w:val="16"/>
                <w:szCs w:val="16"/>
                <w:color w:val="auto"/>
              </w:rPr>
              <w:t>Senior Vice President,</w:t>
            </w:r>
          </w:p>
        </w:tc>
        <w:tc>
          <w:tcPr>
            <w:tcW w:w="5400" w:type="dxa"/>
            <w:vAlign w:val="bottom"/>
          </w:tcPr>
          <w:p>
            <w:pPr>
              <w:ind w:left="400"/>
              <w:spacing w:after="0" w:line="152" w:lineRule="exact"/>
              <w:rPr>
                <w:sz w:val="20"/>
                <w:szCs w:val="20"/>
                <w:color w:val="auto"/>
              </w:rPr>
            </w:pPr>
            <w:r>
              <w:rPr>
                <w:rFonts w:ascii="Arial" w:cs="Arial" w:eastAsia="Arial" w:hAnsi="Arial"/>
                <w:sz w:val="16"/>
                <w:szCs w:val="16"/>
                <w:color w:val="auto"/>
                <w:w w:val="92"/>
              </w:rPr>
              <w:t>Senior Vice President, Finance and Chief Financial Officer since September</w:t>
            </w:r>
          </w:p>
        </w:tc>
      </w:tr>
      <w:tr>
        <w:trPr>
          <w:trHeight w:val="152"/>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2"/>
          </w:tcPr>
          <w:p>
            <w:pPr>
              <w:ind w:left="20"/>
              <w:spacing w:after="0" w:line="152" w:lineRule="exact"/>
              <w:rPr>
                <w:sz w:val="20"/>
                <w:szCs w:val="20"/>
                <w:color w:val="auto"/>
              </w:rPr>
            </w:pPr>
            <w:r>
              <w:rPr>
                <w:rFonts w:ascii="Arial" w:cs="Arial" w:eastAsia="Arial" w:hAnsi="Arial"/>
                <w:sz w:val="16"/>
                <w:szCs w:val="16"/>
                <w:color w:val="auto"/>
                <w:w w:val="96"/>
              </w:rPr>
              <w:t>Finance and Chief Financial Officer</w:t>
            </w:r>
          </w:p>
        </w:tc>
        <w:tc>
          <w:tcPr>
            <w:tcW w:w="5400" w:type="dxa"/>
            <w:vAlign w:val="bottom"/>
          </w:tcPr>
          <w:p>
            <w:pPr>
              <w:spacing w:after="0" w:line="152" w:lineRule="exact"/>
              <w:rPr>
                <w:sz w:val="20"/>
                <w:szCs w:val="20"/>
                <w:color w:val="auto"/>
              </w:rPr>
            </w:pPr>
            <w:r>
              <w:rPr>
                <w:rFonts w:ascii="Arial" w:cs="Arial" w:eastAsia="Arial" w:hAnsi="Arial"/>
                <w:sz w:val="16"/>
                <w:szCs w:val="16"/>
                <w:color w:val="auto"/>
                <w:w w:val="95"/>
              </w:rPr>
              <w:t>2017; Chief Financial Officer of WABCO Holdings Inc., a supplier of commercial</w:t>
            </w:r>
          </w:p>
        </w:tc>
      </w:tr>
      <w:tr>
        <w:trPr>
          <w:trHeight w:val="152"/>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Pr>
          <w:p>
            <w:pPr>
              <w:spacing w:after="0" w:line="152" w:lineRule="exact"/>
              <w:rPr>
                <w:sz w:val="20"/>
                <w:szCs w:val="20"/>
                <w:color w:val="auto"/>
              </w:rPr>
            </w:pPr>
            <w:r>
              <w:rPr>
                <w:rFonts w:ascii="Arial" w:cs="Arial" w:eastAsia="Arial" w:hAnsi="Arial"/>
                <w:sz w:val="16"/>
                <w:szCs w:val="16"/>
                <w:color w:val="auto"/>
                <w:w w:val="90"/>
              </w:rPr>
              <w:t>vehicle technologies, from June 2014 to September 2017; Corporate Vice President</w:t>
            </w:r>
          </w:p>
        </w:tc>
      </w:tr>
      <w:tr>
        <w:trPr>
          <w:trHeight w:val="152"/>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Pr>
          <w:p>
            <w:pPr>
              <w:spacing w:after="0" w:line="152" w:lineRule="exact"/>
              <w:rPr>
                <w:sz w:val="20"/>
                <w:szCs w:val="20"/>
                <w:color w:val="auto"/>
              </w:rPr>
            </w:pPr>
            <w:r>
              <w:rPr>
                <w:rFonts w:ascii="Arial" w:cs="Arial" w:eastAsia="Arial" w:hAnsi="Arial"/>
                <w:sz w:val="16"/>
                <w:szCs w:val="16"/>
                <w:color w:val="auto"/>
                <w:w w:val="89"/>
              </w:rPr>
              <w:t>and Segment CFO of the Silicon Systems Group of Applied Materials Inc., a provider</w:t>
            </w:r>
          </w:p>
        </w:tc>
      </w:tr>
      <w:tr>
        <w:trPr>
          <w:trHeight w:val="152"/>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Pr>
          <w:p>
            <w:pPr>
              <w:spacing w:after="0" w:line="152" w:lineRule="exact"/>
              <w:rPr>
                <w:sz w:val="20"/>
                <w:szCs w:val="20"/>
                <w:color w:val="auto"/>
              </w:rPr>
            </w:pPr>
            <w:r>
              <w:rPr>
                <w:rFonts w:ascii="Arial" w:cs="Arial" w:eastAsia="Arial" w:hAnsi="Arial"/>
                <w:sz w:val="16"/>
                <w:szCs w:val="16"/>
                <w:color w:val="auto"/>
                <w:w w:val="95"/>
              </w:rPr>
              <w:t>of manufacturing equipment, services and software to the global semiconductor</w:t>
            </w:r>
          </w:p>
        </w:tc>
      </w:tr>
      <w:tr>
        <w:trPr>
          <w:trHeight w:val="199"/>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industry, from April 2012 to June 2014.</w:t>
            </w:r>
          </w:p>
        </w:tc>
      </w:tr>
      <w:tr>
        <w:trPr>
          <w:trHeight w:val="152"/>
        </w:trPr>
        <w:tc>
          <w:tcPr>
            <w:tcW w:w="2680" w:type="dxa"/>
            <w:vAlign w:val="bottom"/>
            <w:gridSpan w:val="2"/>
            <w:shd w:val="clear" w:color="auto" w:fill="CCEEFF"/>
          </w:tcPr>
          <w:p>
            <w:pPr>
              <w:ind w:left="400"/>
              <w:spacing w:after="0" w:line="152" w:lineRule="exact"/>
              <w:rPr>
                <w:sz w:val="20"/>
                <w:szCs w:val="20"/>
                <w:color w:val="auto"/>
              </w:rPr>
            </w:pPr>
            <w:r>
              <w:rPr>
                <w:rFonts w:ascii="Arial" w:cs="Arial" w:eastAsia="Arial" w:hAnsi="Arial"/>
                <w:sz w:val="16"/>
                <w:szCs w:val="16"/>
                <w:color w:val="auto"/>
              </w:rPr>
              <w:t>Martin Cotter</w:t>
            </w:r>
          </w:p>
        </w:tc>
        <w:tc>
          <w:tcPr>
            <w:tcW w:w="640" w:type="dxa"/>
            <w:vAlign w:val="bottom"/>
            <w:shd w:val="clear" w:color="auto" w:fill="CCEEFF"/>
          </w:tcPr>
          <w:p>
            <w:pPr>
              <w:ind w:left="420"/>
              <w:spacing w:after="0" w:line="152" w:lineRule="exact"/>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ind w:left="400"/>
              <w:spacing w:after="0" w:line="152" w:lineRule="exact"/>
              <w:rPr>
                <w:sz w:val="20"/>
                <w:szCs w:val="20"/>
                <w:color w:val="auto"/>
              </w:rPr>
            </w:pPr>
            <w:r>
              <w:rPr>
                <w:rFonts w:ascii="Arial" w:cs="Arial" w:eastAsia="Arial" w:hAnsi="Arial"/>
                <w:sz w:val="16"/>
                <w:szCs w:val="16"/>
                <w:color w:val="auto"/>
              </w:rPr>
              <w:t>Senior Vice President,</w:t>
            </w:r>
          </w:p>
        </w:tc>
        <w:tc>
          <w:tcPr>
            <w:tcW w:w="5400" w:type="dxa"/>
            <w:vAlign w:val="bottom"/>
            <w:shd w:val="clear" w:color="auto" w:fill="CCEEFF"/>
          </w:tcPr>
          <w:p>
            <w:pPr>
              <w:ind w:left="400"/>
              <w:spacing w:after="0" w:line="152" w:lineRule="exact"/>
              <w:rPr>
                <w:sz w:val="20"/>
                <w:szCs w:val="20"/>
                <w:color w:val="auto"/>
              </w:rPr>
            </w:pPr>
            <w:r>
              <w:rPr>
                <w:rFonts w:ascii="Arial" w:cs="Arial" w:eastAsia="Arial" w:hAnsi="Arial"/>
                <w:sz w:val="16"/>
                <w:szCs w:val="16"/>
                <w:color w:val="auto"/>
                <w:w w:val="97"/>
              </w:rPr>
              <w:t>Senior Vice President, Industrial &amp; Multi-Markets since September 2021;</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6"/>
                <w:szCs w:val="16"/>
                <w:color w:val="auto"/>
              </w:rPr>
              <w:t>Industrial &amp; Multi-Markets</w:t>
            </w: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2"/>
              </w:rPr>
              <w:t>Senior Vice President, Industrial, Consumer &amp; Multi-Markets from January 2021 to</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89"/>
              </w:rPr>
              <w:t>September 2021; Senior Vice President, Worldwide Sales and Digital Marketing from</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88"/>
              </w:rPr>
              <w:t>September 2016 to January 2021; Vice President Internet of Things (IoT), Healthcare,</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6"/>
              </w:rPr>
              <w:t>and Consumer Business Units, from November 2015 to September 2016; Vice</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5"/>
              </w:rPr>
              <w:t>President, Healthcare and Consumer Business Groups from November 2014 to</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89"/>
              </w:rPr>
              <w:t>November 2015; and VP, Communications Infrastructure Business Unit from October</w:t>
            </w:r>
          </w:p>
        </w:tc>
      </w:tr>
      <w:tr>
        <w:trPr>
          <w:trHeight w:val="199"/>
        </w:trPr>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2012 to November 2014.</w:t>
            </w:r>
          </w:p>
        </w:tc>
      </w:tr>
      <w:tr>
        <w:trPr>
          <w:trHeight w:val="152"/>
        </w:trPr>
        <w:tc>
          <w:tcPr>
            <w:tcW w:w="2680" w:type="dxa"/>
            <w:vAlign w:val="bottom"/>
            <w:gridSpan w:val="2"/>
          </w:tcPr>
          <w:p>
            <w:pPr>
              <w:ind w:left="400"/>
              <w:spacing w:after="0" w:line="152" w:lineRule="exact"/>
              <w:rPr>
                <w:sz w:val="20"/>
                <w:szCs w:val="20"/>
                <w:color w:val="auto"/>
              </w:rPr>
            </w:pPr>
            <w:r>
              <w:rPr>
                <w:rFonts w:ascii="Arial" w:cs="Arial" w:eastAsia="Arial" w:hAnsi="Arial"/>
                <w:sz w:val="16"/>
                <w:szCs w:val="16"/>
                <w:color w:val="auto"/>
              </w:rPr>
              <w:t>Gregory Henderson</w:t>
            </w:r>
          </w:p>
        </w:tc>
        <w:tc>
          <w:tcPr>
            <w:tcW w:w="640" w:type="dxa"/>
            <w:vAlign w:val="bottom"/>
          </w:tcPr>
          <w:p>
            <w:pPr>
              <w:ind w:left="420"/>
              <w:spacing w:after="0" w:line="152" w:lineRule="exact"/>
              <w:rPr>
                <w:sz w:val="20"/>
                <w:szCs w:val="20"/>
                <w:color w:val="auto"/>
              </w:rPr>
            </w:pPr>
            <w:r>
              <w:rPr>
                <w:rFonts w:ascii="Arial" w:cs="Arial" w:eastAsia="Arial" w:hAnsi="Arial"/>
                <w:sz w:val="16"/>
                <w:szCs w:val="16"/>
                <w:color w:val="auto"/>
              </w:rPr>
              <w:t>53</w:t>
            </w:r>
          </w:p>
        </w:tc>
        <w:tc>
          <w:tcPr>
            <w:tcW w:w="100" w:type="dxa"/>
            <w:vAlign w:val="bottom"/>
          </w:tcPr>
          <w:p>
            <w:pPr>
              <w:spacing w:after="0"/>
              <w:rPr>
                <w:sz w:val="13"/>
                <w:szCs w:val="13"/>
                <w:color w:val="auto"/>
              </w:rPr>
            </w:pPr>
          </w:p>
        </w:tc>
        <w:tc>
          <w:tcPr>
            <w:tcW w:w="2440" w:type="dxa"/>
            <w:vAlign w:val="bottom"/>
            <w:gridSpan w:val="2"/>
          </w:tcPr>
          <w:p>
            <w:pPr>
              <w:ind w:left="400"/>
              <w:spacing w:after="0" w:line="152" w:lineRule="exact"/>
              <w:rPr>
                <w:sz w:val="20"/>
                <w:szCs w:val="20"/>
                <w:color w:val="auto"/>
              </w:rPr>
            </w:pPr>
            <w:r>
              <w:rPr>
                <w:rFonts w:ascii="Arial" w:cs="Arial" w:eastAsia="Arial" w:hAnsi="Arial"/>
                <w:sz w:val="16"/>
                <w:szCs w:val="16"/>
                <w:color w:val="auto"/>
              </w:rPr>
              <w:t>Senior Vice President,</w:t>
            </w:r>
          </w:p>
        </w:tc>
        <w:tc>
          <w:tcPr>
            <w:tcW w:w="5400" w:type="dxa"/>
            <w:vAlign w:val="bottom"/>
          </w:tcPr>
          <w:p>
            <w:pPr>
              <w:ind w:left="400"/>
              <w:spacing w:after="0" w:line="152" w:lineRule="exact"/>
              <w:rPr>
                <w:sz w:val="20"/>
                <w:szCs w:val="20"/>
                <w:color w:val="auto"/>
              </w:rPr>
            </w:pPr>
            <w:r>
              <w:rPr>
                <w:rFonts w:ascii="Arial" w:cs="Arial" w:eastAsia="Arial" w:hAnsi="Arial"/>
                <w:sz w:val="16"/>
                <w:szCs w:val="16"/>
                <w:color w:val="auto"/>
                <w:w w:val="88"/>
              </w:rPr>
              <w:t>Senior Vice President, Automotive, Communications and Aerospace since June</w:t>
            </w:r>
          </w:p>
        </w:tc>
      </w:tr>
      <w:tr>
        <w:trPr>
          <w:trHeight w:val="152"/>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Automotive, Communications and</w:t>
            </w:r>
          </w:p>
        </w:tc>
        <w:tc>
          <w:tcPr>
            <w:tcW w:w="5400" w:type="dxa"/>
            <w:vAlign w:val="bottom"/>
          </w:tcPr>
          <w:p>
            <w:pPr>
              <w:spacing w:after="0" w:line="152" w:lineRule="exact"/>
              <w:rPr>
                <w:sz w:val="20"/>
                <w:szCs w:val="20"/>
                <w:color w:val="auto"/>
              </w:rPr>
            </w:pPr>
            <w:r>
              <w:rPr>
                <w:rFonts w:ascii="Arial" w:cs="Arial" w:eastAsia="Arial" w:hAnsi="Arial"/>
                <w:sz w:val="16"/>
                <w:szCs w:val="16"/>
                <w:color w:val="auto"/>
                <w:w w:val="89"/>
              </w:rPr>
              <w:t>2017; Vice President, RF and Microwave Business Unit from July 2014 to June 2017;</w:t>
            </w:r>
          </w:p>
        </w:tc>
      </w:tr>
      <w:tr>
        <w:trPr>
          <w:trHeight w:val="152"/>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2"/>
          </w:tcPr>
          <w:p>
            <w:pPr>
              <w:ind w:left="20"/>
              <w:spacing w:after="0" w:line="152" w:lineRule="exact"/>
              <w:rPr>
                <w:sz w:val="20"/>
                <w:szCs w:val="20"/>
                <w:color w:val="auto"/>
              </w:rPr>
            </w:pPr>
            <w:r>
              <w:rPr>
                <w:rFonts w:ascii="Arial" w:cs="Arial" w:eastAsia="Arial" w:hAnsi="Arial"/>
                <w:sz w:val="16"/>
                <w:szCs w:val="16"/>
                <w:color w:val="auto"/>
              </w:rPr>
              <w:t>Aerospace</w:t>
            </w:r>
          </w:p>
        </w:tc>
        <w:tc>
          <w:tcPr>
            <w:tcW w:w="5400" w:type="dxa"/>
            <w:vAlign w:val="bottom"/>
          </w:tcPr>
          <w:p>
            <w:pPr>
              <w:spacing w:after="0" w:line="152" w:lineRule="exact"/>
              <w:rPr>
                <w:sz w:val="20"/>
                <w:szCs w:val="20"/>
                <w:color w:val="auto"/>
              </w:rPr>
            </w:pPr>
            <w:r>
              <w:rPr>
                <w:rFonts w:ascii="Arial" w:cs="Arial" w:eastAsia="Arial" w:hAnsi="Arial"/>
                <w:sz w:val="16"/>
                <w:szCs w:val="16"/>
                <w:color w:val="auto"/>
              </w:rPr>
              <w:t>Vice President of the RF and Microwave Business Unit of Hittite Microwave</w:t>
            </w:r>
          </w:p>
        </w:tc>
      </w:tr>
      <w:tr>
        <w:trPr>
          <w:trHeight w:val="152"/>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Pr>
          <w:p>
            <w:pPr>
              <w:spacing w:after="0" w:line="152" w:lineRule="exact"/>
              <w:rPr>
                <w:sz w:val="20"/>
                <w:szCs w:val="20"/>
                <w:color w:val="auto"/>
              </w:rPr>
            </w:pPr>
            <w:r>
              <w:rPr>
                <w:rFonts w:ascii="Arial" w:cs="Arial" w:eastAsia="Arial" w:hAnsi="Arial"/>
                <w:sz w:val="16"/>
                <w:szCs w:val="16"/>
                <w:color w:val="auto"/>
                <w:w w:val="92"/>
              </w:rPr>
              <w:t>Corporation, a maker of chips and related components, from October 2013 to July</w:t>
            </w:r>
          </w:p>
        </w:tc>
      </w:tr>
      <w:tr>
        <w:trPr>
          <w:trHeight w:val="152"/>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Pr>
          <w:p>
            <w:pPr>
              <w:spacing w:after="0" w:line="152" w:lineRule="exact"/>
              <w:rPr>
                <w:sz w:val="20"/>
                <w:szCs w:val="20"/>
                <w:color w:val="auto"/>
              </w:rPr>
            </w:pPr>
            <w:r>
              <w:rPr>
                <w:rFonts w:ascii="Arial" w:cs="Arial" w:eastAsia="Arial" w:hAnsi="Arial"/>
                <w:sz w:val="16"/>
                <w:szCs w:val="16"/>
                <w:color w:val="auto"/>
                <w:w w:val="90"/>
              </w:rPr>
              <w:t>2014; and Director Product Management of Harris Corporation, a defense contractor</w:t>
            </w:r>
          </w:p>
        </w:tc>
      </w:tr>
      <w:tr>
        <w:trPr>
          <w:trHeight w:val="152"/>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0" w:type="dxa"/>
            <w:vAlign w:val="bottom"/>
          </w:tcPr>
          <w:p>
            <w:pPr>
              <w:spacing w:after="0" w:line="152" w:lineRule="exact"/>
              <w:rPr>
                <w:sz w:val="20"/>
                <w:szCs w:val="20"/>
                <w:color w:val="auto"/>
              </w:rPr>
            </w:pPr>
            <w:r>
              <w:rPr>
                <w:rFonts w:ascii="Arial" w:cs="Arial" w:eastAsia="Arial" w:hAnsi="Arial"/>
                <w:sz w:val="16"/>
                <w:szCs w:val="16"/>
                <w:color w:val="auto"/>
                <w:w w:val="92"/>
              </w:rPr>
              <w:t>and technology provider of communications, electronic, and space and intelligence</w:t>
            </w:r>
          </w:p>
        </w:tc>
      </w:tr>
      <w:tr>
        <w:trPr>
          <w:trHeight w:val="199"/>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systems, from 2011 to October 2013.</w:t>
            </w:r>
          </w:p>
        </w:tc>
      </w:tr>
      <w:tr>
        <w:trPr>
          <w:trHeight w:val="152"/>
        </w:trPr>
        <w:tc>
          <w:tcPr>
            <w:tcW w:w="2680" w:type="dxa"/>
            <w:vAlign w:val="bottom"/>
            <w:gridSpan w:val="2"/>
            <w:shd w:val="clear" w:color="auto" w:fill="CCEEFF"/>
          </w:tcPr>
          <w:p>
            <w:pPr>
              <w:ind w:left="400"/>
              <w:spacing w:after="0" w:line="152" w:lineRule="exact"/>
              <w:rPr>
                <w:sz w:val="20"/>
                <w:szCs w:val="20"/>
                <w:color w:val="auto"/>
              </w:rPr>
            </w:pPr>
            <w:r>
              <w:rPr>
                <w:rFonts w:ascii="Arial" w:cs="Arial" w:eastAsia="Arial" w:hAnsi="Arial"/>
                <w:sz w:val="16"/>
                <w:szCs w:val="16"/>
                <w:color w:val="auto"/>
              </w:rPr>
              <w:t>Anelise Sacks</w:t>
            </w:r>
          </w:p>
        </w:tc>
        <w:tc>
          <w:tcPr>
            <w:tcW w:w="640" w:type="dxa"/>
            <w:vAlign w:val="bottom"/>
            <w:shd w:val="clear" w:color="auto" w:fill="CCEEFF"/>
          </w:tcPr>
          <w:p>
            <w:pPr>
              <w:ind w:left="420"/>
              <w:spacing w:after="0" w:line="152" w:lineRule="exact"/>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ind w:left="400"/>
              <w:spacing w:after="0" w:line="152" w:lineRule="exact"/>
              <w:rPr>
                <w:sz w:val="20"/>
                <w:szCs w:val="20"/>
                <w:color w:val="auto"/>
              </w:rPr>
            </w:pPr>
            <w:r>
              <w:rPr>
                <w:rFonts w:ascii="Arial" w:cs="Arial" w:eastAsia="Arial" w:hAnsi="Arial"/>
                <w:sz w:val="16"/>
                <w:szCs w:val="16"/>
                <w:color w:val="auto"/>
              </w:rPr>
              <w:t>Senior Vice President and</w:t>
            </w:r>
          </w:p>
        </w:tc>
        <w:tc>
          <w:tcPr>
            <w:tcW w:w="5400" w:type="dxa"/>
            <w:vAlign w:val="bottom"/>
            <w:shd w:val="clear" w:color="auto" w:fill="CCEEFF"/>
          </w:tcPr>
          <w:p>
            <w:pPr>
              <w:ind w:left="400"/>
              <w:spacing w:after="0" w:line="152" w:lineRule="exact"/>
              <w:rPr>
                <w:sz w:val="20"/>
                <w:szCs w:val="20"/>
                <w:color w:val="auto"/>
              </w:rPr>
            </w:pPr>
            <w:r>
              <w:rPr>
                <w:rFonts w:ascii="Arial" w:cs="Arial" w:eastAsia="Arial" w:hAnsi="Arial"/>
                <w:sz w:val="16"/>
                <w:szCs w:val="16"/>
                <w:color w:val="auto"/>
                <w:w w:val="95"/>
              </w:rPr>
              <w:t>Senior Vice President and Chief Customer Officer since March 2021; Vice</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40" w:type="dxa"/>
            <w:vAlign w:val="bottom"/>
            <w:gridSpan w:val="2"/>
            <w:shd w:val="clear" w:color="auto" w:fill="CCEEFF"/>
          </w:tcPr>
          <w:p>
            <w:pPr>
              <w:ind w:left="20"/>
              <w:spacing w:after="0" w:line="152" w:lineRule="exact"/>
              <w:rPr>
                <w:sz w:val="20"/>
                <w:szCs w:val="20"/>
                <w:color w:val="auto"/>
              </w:rPr>
            </w:pPr>
            <w:r>
              <w:rPr>
                <w:rFonts w:ascii="Arial" w:cs="Arial" w:eastAsia="Arial" w:hAnsi="Arial"/>
                <w:sz w:val="16"/>
                <w:szCs w:val="16"/>
                <w:color w:val="auto"/>
              </w:rPr>
              <w:t>Chief Customer Officer</w:t>
            </w: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1"/>
              </w:rPr>
              <w:t>President and General Manager, DLP Products from December 2017 to December</w:t>
            </w:r>
          </w:p>
        </w:tc>
      </w:tr>
      <w:tr>
        <w:trPr>
          <w:trHeight w:val="152"/>
        </w:trPr>
        <w:tc>
          <w:tcPr>
            <w:tcW w:w="2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88"/>
              </w:rPr>
              <w:t>2020 and General Manager, Power Interface from December 2016 to December 2017</w:t>
            </w:r>
          </w:p>
        </w:tc>
      </w:tr>
      <w:tr>
        <w:trPr>
          <w:trHeight w:val="199"/>
        </w:trPr>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at Texas Instruments, Inc., a global semiconductor company.</w:t>
            </w: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MARKET FOR REGISTRANT’S COMMON EQUITY, RELATED STOCKHOLDER MATTERS AND ISSUER PURCHASES OF EQUITY SECURITIES</w:t>
      </w:r>
    </w:p>
    <w:p>
      <w:pPr>
        <w:spacing w:after="0" w:line="112" w:lineRule="exact"/>
        <w:rPr>
          <w:sz w:val="20"/>
          <w:szCs w:val="20"/>
          <w:color w:val="auto"/>
        </w:rPr>
      </w:pPr>
    </w:p>
    <w:p>
      <w:pPr>
        <w:ind w:right="160" w:firstLine="386"/>
        <w:spacing w:after="0" w:line="253" w:lineRule="auto"/>
        <w:rPr>
          <w:sz w:val="20"/>
          <w:szCs w:val="20"/>
          <w:color w:val="auto"/>
        </w:rPr>
      </w:pPr>
      <w:r>
        <w:rPr>
          <w:rFonts w:ascii="Arial" w:cs="Arial" w:eastAsia="Arial" w:hAnsi="Arial"/>
          <w:sz w:val="16"/>
          <w:szCs w:val="16"/>
          <w:color w:val="auto"/>
        </w:rPr>
        <w:t>Our common stock is listed on The Nasdaq Global Select Market under the symbol ADI. The number of holders of record of our common stock at November 26, 2021 was 2,492. This number does not include shareholders for whom shares are held in a “nominee” or “street” name. On October 29, 2021, the last reported sales price of our common stock on The Nasdaq Global Select Market was $173.49 per share.</w:t>
      </w:r>
    </w:p>
    <w:p>
      <w:pPr>
        <w:spacing w:after="0" w:line="61" w:lineRule="exact"/>
        <w:rPr>
          <w:sz w:val="20"/>
          <w:szCs w:val="20"/>
          <w:color w:val="auto"/>
        </w:rPr>
      </w:pPr>
    </w:p>
    <w:p>
      <w:pPr>
        <w:ind w:right="140" w:firstLine="386"/>
        <w:spacing w:after="0" w:line="250" w:lineRule="auto"/>
        <w:rPr>
          <w:sz w:val="20"/>
          <w:szCs w:val="20"/>
          <w:color w:val="auto"/>
        </w:rPr>
      </w:pPr>
      <w:r>
        <w:rPr>
          <w:rFonts w:ascii="Arial" w:cs="Arial" w:eastAsia="Arial" w:hAnsi="Arial"/>
          <w:sz w:val="16"/>
          <w:szCs w:val="16"/>
          <w:color w:val="auto"/>
        </w:rPr>
        <w:t>On November 22, 2021, our Board of Directors declared a cash dividend of $0.69 per outstanding share of common stock. The dividend will be paid on December 14, 2021 to all shareholders of record at the close of business on December 3, 2021 and is expected to total approximately $362.5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Information regarding our equity compensation plans and the securities authorized for issuance thereunder is set forth in Item 12 of this Annual Report on Form 10-K.</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12"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The table below summarizes the activity related to stock repurchases for the three months ended October 30, 2021. We have an ongoing authorization, originally approved by our Board of Directors in 2004, and subsequently amended, to repurchase shares of our common stock in open market or negotiated transactions. In March 2020, we temporarily suspended our share repurchase program as a result of the global macroeconomic environment. That suspension continued through the fourth quarter of fiscal 2020 given the planned acquisition of Maxim Integrated Products, Inc. We reinstated the common stock repurchase program effective November 2020. In September 2021, we entered into Accelerated Share Repurchase agreements to repurchase $2.5 billion of our common stock. These agreements were partially settled in September 2021 and we expect the remaining 20% of shares, or $500.0 million, to settle in the first half of the fiscal year ending October 29, 2022 (fiscal 2022). As of October 30, 2021, the Company had repurchased a total of approximately 171.6 million shares of its common stock for approximately $8.8 billion under our share repurchase program, excluding the $500.0 million noted above. An additional $7.4 billion remains available for repurchase of shares under the current authorized program. Future repurchases of common stock will be dependent upon our financial position, results of operations, outlook, liquidity, and other factors we deem relevant.</w:t>
      </w:r>
    </w:p>
    <w:tbl>
      <w:tblPr>
        <w:tblLayout w:type="fixed"/>
        <w:tblInd w:w="0" w:type="dxa"/>
        <w:tblCellMar>
          <w:top w:w="0" w:type="dxa"/>
          <w:left w:w="0" w:type="dxa"/>
          <w:bottom w:w="0" w:type="dxa"/>
          <w:right w:w="0" w:type="dxa"/>
        </w:tblCellMar>
      </w:tblPr>
      <w:tr>
        <w:trPr>
          <w:trHeight w:val="128"/>
        </w:trPr>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Total Number of 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tcPr>
          <w:p>
            <w:pPr>
              <w:jc w:val="center"/>
              <w:ind w:right="149"/>
              <w:spacing w:after="0" w:line="128" w:lineRule="exact"/>
              <w:rPr>
                <w:sz w:val="20"/>
                <w:szCs w:val="20"/>
                <w:color w:val="auto"/>
              </w:rPr>
            </w:pPr>
            <w:r>
              <w:rPr>
                <w:rFonts w:ascii="Arial" w:cs="Arial" w:eastAsia="Arial" w:hAnsi="Arial"/>
                <w:sz w:val="12"/>
                <w:szCs w:val="12"/>
                <w:b w:val="1"/>
                <w:bCs w:val="1"/>
                <w:color w:val="auto"/>
                <w:w w:val="95"/>
              </w:rPr>
              <w:t>Approximate Dollar</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Total Number of</w:t>
            </w:r>
          </w:p>
        </w:tc>
        <w:tc>
          <w:tcPr>
            <w:tcW w:w="100" w:type="dxa"/>
            <w:vAlign w:val="bottom"/>
          </w:tcPr>
          <w:p>
            <w:pPr>
              <w:spacing w:after="0"/>
              <w:rPr>
                <w:sz w:val="10"/>
                <w:szCs w:val="10"/>
                <w:color w:val="auto"/>
              </w:rPr>
            </w:pP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2"/>
                <w:szCs w:val="12"/>
                <w:b w:val="1"/>
                <w:bCs w:val="1"/>
                <w:color w:val="auto"/>
                <w:w w:val="93"/>
              </w:rPr>
              <w:t>Average Price Paid</w:t>
            </w:r>
          </w:p>
        </w:tc>
        <w:tc>
          <w:tcPr>
            <w:tcW w:w="19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2"/>
              </w:rPr>
              <w:t>Purchased as Part of</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tcPr>
          <w:p>
            <w:pPr>
              <w:jc w:val="center"/>
              <w:ind w:right="149"/>
              <w:spacing w:after="0" w:line="117" w:lineRule="exact"/>
              <w:rPr>
                <w:sz w:val="20"/>
                <w:szCs w:val="20"/>
                <w:color w:val="auto"/>
              </w:rPr>
            </w:pPr>
            <w:r>
              <w:rPr>
                <w:rFonts w:ascii="Arial" w:cs="Arial" w:eastAsia="Arial" w:hAnsi="Arial"/>
                <w:sz w:val="12"/>
                <w:szCs w:val="12"/>
                <w:b w:val="1"/>
                <w:bCs w:val="1"/>
                <w:color w:val="auto"/>
                <w:w w:val="91"/>
              </w:rPr>
              <w:t>Value of Shares that</w:t>
            </w:r>
          </w:p>
        </w:tc>
        <w:tc>
          <w:tcPr>
            <w:tcW w:w="0" w:type="dxa"/>
            <w:vAlign w:val="bottom"/>
          </w:tcPr>
          <w:p>
            <w:pPr>
              <w:spacing w:after="0"/>
              <w:rPr>
                <w:sz w:val="1"/>
                <w:szCs w:val="1"/>
                <w:color w:val="auto"/>
              </w:rPr>
            </w:pPr>
          </w:p>
        </w:tc>
      </w:tr>
      <w:tr>
        <w:trPr>
          <w:trHeight w:val="117"/>
        </w:trPr>
        <w:tc>
          <w:tcPr>
            <w:tcW w:w="4540" w:type="dxa"/>
            <w:vAlign w:val="bottom"/>
            <w:gridSpan w:val="2"/>
            <w:vMerge w:val="restart"/>
          </w:tcPr>
          <w:p>
            <w:pPr>
              <w:ind w:left="2040"/>
              <w:spacing w:after="0"/>
              <w:rPr>
                <w:sz w:val="20"/>
                <w:szCs w:val="20"/>
                <w:color w:val="auto"/>
              </w:rPr>
            </w:pPr>
            <w:r>
              <w:rPr>
                <w:rFonts w:ascii="Arial" w:cs="Arial" w:eastAsia="Arial" w:hAnsi="Arial"/>
                <w:sz w:val="12"/>
                <w:szCs w:val="12"/>
                <w:b w:val="1"/>
                <w:bCs w:val="1"/>
                <w:color w:val="auto"/>
              </w:rPr>
              <w:t>Period</w:t>
            </w: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98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3"/>
              </w:rPr>
              <w:t>Publicly Announced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80" w:type="dxa"/>
            <w:vAlign w:val="bottom"/>
          </w:tcPr>
          <w:p>
            <w:pPr>
              <w:jc w:val="center"/>
              <w:ind w:right="149"/>
              <w:spacing w:after="0" w:line="117" w:lineRule="exact"/>
              <w:rPr>
                <w:sz w:val="20"/>
                <w:szCs w:val="20"/>
                <w:color w:val="auto"/>
              </w:rPr>
            </w:pPr>
            <w:r>
              <w:rPr>
                <w:rFonts w:ascii="Arial" w:cs="Arial" w:eastAsia="Arial" w:hAnsi="Arial"/>
                <w:sz w:val="12"/>
                <w:szCs w:val="12"/>
                <w:b w:val="1"/>
                <w:bCs w:val="1"/>
                <w:color w:val="auto"/>
                <w:w w:val="94"/>
              </w:rPr>
              <w:t>May Yet Be Purchased</w:t>
            </w:r>
          </w:p>
        </w:tc>
        <w:tc>
          <w:tcPr>
            <w:tcW w:w="0" w:type="dxa"/>
            <w:vAlign w:val="bottom"/>
          </w:tcPr>
          <w:p>
            <w:pPr>
              <w:spacing w:after="0"/>
              <w:rPr>
                <w:sz w:val="1"/>
                <w:szCs w:val="1"/>
                <w:color w:val="auto"/>
              </w:rPr>
            </w:pPr>
          </w:p>
        </w:tc>
      </w:tr>
      <w:tr>
        <w:trPr>
          <w:trHeight w:val="162"/>
        </w:trPr>
        <w:tc>
          <w:tcPr>
            <w:tcW w:w="4540" w:type="dxa"/>
            <w:vAlign w:val="bottom"/>
            <w:gridSpan w:val="2"/>
            <w:vMerge w:val="continue"/>
          </w:tcPr>
          <w:p>
            <w:pPr>
              <w:spacing w:after="0"/>
              <w:rPr>
                <w:sz w:val="14"/>
                <w:szCs w:val="14"/>
                <w:color w:val="auto"/>
              </w:rPr>
            </w:pPr>
          </w:p>
        </w:tc>
        <w:tc>
          <w:tcPr>
            <w:tcW w:w="1380" w:type="dxa"/>
            <w:vAlign w:val="bottom"/>
          </w:tcPr>
          <w:p>
            <w:pPr>
              <w:jc w:val="right"/>
              <w:ind w:right="67"/>
              <w:spacing w:after="0"/>
              <w:rPr>
                <w:sz w:val="20"/>
                <w:szCs w:val="20"/>
                <w:color w:val="auto"/>
              </w:rPr>
            </w:pPr>
            <w:r>
              <w:rPr>
                <w:rFonts w:ascii="Arial" w:cs="Arial" w:eastAsia="Arial" w:hAnsi="Arial"/>
                <w:sz w:val="12"/>
                <w:szCs w:val="12"/>
                <w:b w:val="1"/>
                <w:bCs w:val="1"/>
                <w:color w:val="auto"/>
                <w:w w:val="99"/>
              </w:rPr>
              <w:t>Shares Purchased (1)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Per Share (2)</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w w:val="94"/>
              </w:rPr>
              <w:t>Plans or Programs (3)</w:t>
            </w:r>
          </w:p>
        </w:tc>
        <w:tc>
          <w:tcPr>
            <w:tcW w:w="10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Under the Plans or Programs (4)</w:t>
            </w:r>
          </w:p>
        </w:tc>
        <w:tc>
          <w:tcPr>
            <w:tcW w:w="0" w:type="dxa"/>
            <w:vAlign w:val="bottom"/>
          </w:tcPr>
          <w:p>
            <w:pPr>
              <w:spacing w:after="0"/>
              <w:rPr>
                <w:sz w:val="1"/>
                <w:szCs w:val="1"/>
                <w:color w:val="auto"/>
              </w:rPr>
            </w:pPr>
          </w:p>
        </w:tc>
      </w:tr>
      <w:tr>
        <w:trPr>
          <w:trHeight w:val="192"/>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August 1, 2021 through August 28, 2021</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285,504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168.68</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1,395,596,501</w:t>
            </w:r>
          </w:p>
        </w:tc>
        <w:tc>
          <w:tcPr>
            <w:tcW w:w="0" w:type="dxa"/>
            <w:vAlign w:val="bottom"/>
          </w:tcPr>
          <w:p>
            <w:pPr>
              <w:spacing w:after="0"/>
              <w:rPr>
                <w:sz w:val="1"/>
                <w:szCs w:val="1"/>
                <w:color w:val="auto"/>
              </w:rPr>
            </w:pPr>
          </w:p>
        </w:tc>
      </w:tr>
      <w:tr>
        <w:trPr>
          <w:trHeight w:val="199"/>
        </w:trPr>
        <w:tc>
          <w:tcPr>
            <w:tcW w:w="4540" w:type="dxa"/>
            <w:vAlign w:val="bottom"/>
            <w:gridSpan w:val="2"/>
          </w:tcPr>
          <w:p>
            <w:pPr>
              <w:spacing w:after="0"/>
              <w:rPr>
                <w:sz w:val="20"/>
                <w:szCs w:val="20"/>
                <w:color w:val="auto"/>
              </w:rPr>
            </w:pPr>
            <w:r>
              <w:rPr>
                <w:rFonts w:ascii="Arial" w:cs="Arial" w:eastAsia="Arial" w:hAnsi="Arial"/>
                <w:sz w:val="16"/>
                <w:szCs w:val="16"/>
                <w:color w:val="auto"/>
              </w:rPr>
              <w:t>August 29, 2021 through September 25, 2021</w:t>
            </w:r>
          </w:p>
        </w:tc>
        <w:tc>
          <w:tcPr>
            <w:tcW w:w="1380" w:type="dxa"/>
            <w:vAlign w:val="bottom"/>
          </w:tcPr>
          <w:p>
            <w:pPr>
              <w:jc w:val="right"/>
              <w:ind w:right="7"/>
              <w:spacing w:after="0"/>
              <w:rPr>
                <w:sz w:val="20"/>
                <w:szCs w:val="20"/>
                <w:color w:val="auto"/>
              </w:rPr>
            </w:pPr>
            <w:r>
              <w:rPr>
                <w:rFonts w:ascii="Arial" w:cs="Arial" w:eastAsia="Arial" w:hAnsi="Arial"/>
                <w:sz w:val="16"/>
                <w:szCs w:val="16"/>
                <w:color w:val="auto"/>
              </w:rPr>
              <w:t>12,484,097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163.35</w:t>
            </w:r>
          </w:p>
        </w:tc>
        <w:tc>
          <w:tcPr>
            <w:tcW w:w="1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12,307,715</w:t>
            </w:r>
          </w:p>
        </w:tc>
        <w:tc>
          <w:tcPr>
            <w:tcW w:w="320" w:type="dxa"/>
            <w:vAlign w:val="bottom"/>
            <w:gridSpan w:val="2"/>
          </w:tcPr>
          <w:p>
            <w:pPr>
              <w:jc w:val="right"/>
              <w:ind w:right="5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7,386,077,264</w:t>
            </w:r>
          </w:p>
        </w:tc>
        <w:tc>
          <w:tcPr>
            <w:tcW w:w="0" w:type="dxa"/>
            <w:vAlign w:val="bottom"/>
          </w:tcPr>
          <w:p>
            <w:pPr>
              <w:spacing w:after="0"/>
              <w:rPr>
                <w:sz w:val="1"/>
                <w:szCs w:val="1"/>
                <w:color w:val="auto"/>
              </w:rPr>
            </w:pPr>
          </w:p>
        </w:tc>
      </w:tr>
      <w:tr>
        <w:trPr>
          <w:trHeight w:val="199"/>
        </w:trPr>
        <w:tc>
          <w:tcPr>
            <w:tcW w:w="4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September 26, 2021 through October 30, 2021</w:t>
            </w:r>
          </w:p>
        </w:tc>
        <w:tc>
          <w:tcPr>
            <w:tcW w:w="13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48,223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176.12</w:t>
            </w:r>
          </w:p>
        </w:tc>
        <w:tc>
          <w:tcPr>
            <w:tcW w:w="100" w:type="dxa"/>
            <w:vAlign w:val="bottom"/>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7,386,077,264</w:t>
            </w:r>
          </w:p>
        </w:tc>
        <w:tc>
          <w:tcPr>
            <w:tcW w:w="0" w:type="dxa"/>
            <w:vAlign w:val="bottom"/>
          </w:tcPr>
          <w:p>
            <w:pPr>
              <w:spacing w:after="0"/>
              <w:rPr>
                <w:sz w:val="1"/>
                <w:szCs w:val="1"/>
                <w:color w:val="auto"/>
              </w:rPr>
            </w:pPr>
          </w:p>
        </w:tc>
      </w:tr>
      <w:tr>
        <w:trPr>
          <w:trHeight w:val="190"/>
        </w:trPr>
        <w:tc>
          <w:tcPr>
            <w:tcW w:w="4540" w:type="dxa"/>
            <w:vAlign w:val="bottom"/>
            <w:gridSpan w:val="2"/>
          </w:tcPr>
          <w:p>
            <w:pPr>
              <w:ind w:left="206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12,817,824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163.52</w:t>
            </w: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12,589,887</w:t>
            </w:r>
          </w:p>
        </w:tc>
        <w:tc>
          <w:tcPr>
            <w:tcW w:w="320" w:type="dxa"/>
            <w:vAlign w:val="bottom"/>
            <w:gridSpan w:val="2"/>
          </w:tcPr>
          <w:p>
            <w:pPr>
              <w:jc w:val="right"/>
              <w:ind w:right="50"/>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7,386,077,264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9" w:lineRule="exact"/>
        <w:rPr>
          <w:sz w:val="20"/>
          <w:szCs w:val="20"/>
          <w:color w:val="auto"/>
        </w:rPr>
      </w:pPr>
    </w:p>
    <w:p>
      <w:pPr>
        <w:ind w:left="380" w:right="760" w:hanging="351"/>
        <w:spacing w:after="0" w:line="270"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227,937 shares withheld by us from employees to satisfy employee tax obligations upon vesting of restricted stock units/awards granted to our employees under our equity compensation plans.</w:t>
      </w:r>
    </w:p>
    <w:p>
      <w:pPr>
        <w:spacing w:after="0" w:line="11" w:lineRule="exact"/>
        <w:rPr>
          <w:rFonts w:ascii="Arial" w:cs="Arial" w:eastAsia="Arial" w:hAnsi="Arial"/>
          <w:sz w:val="14"/>
          <w:szCs w:val="14"/>
          <w:color w:val="auto"/>
        </w:rPr>
      </w:pPr>
    </w:p>
    <w:p>
      <w:pPr>
        <w:ind w:left="380" w:right="160" w:hanging="351"/>
        <w:spacing w:after="0" w:line="270"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average price paid for shares in connection with vesting of restricted stock units/awards are averages of the closing stock price at the vesting date which is used to calculate the number of shares to be withheld.</w:t>
      </w:r>
    </w:p>
    <w:p>
      <w:pPr>
        <w:spacing w:after="0" w:line="11" w:lineRule="exact"/>
        <w:rPr>
          <w:rFonts w:ascii="Arial" w:cs="Arial" w:eastAsia="Arial" w:hAnsi="Arial"/>
          <w:sz w:val="14"/>
          <w:szCs w:val="14"/>
          <w:color w:val="auto"/>
        </w:rPr>
      </w:pPr>
    </w:p>
    <w:p>
      <w:pPr>
        <w:ind w:left="380" w:hanging="351"/>
        <w:spacing w:after="0" w:line="253"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Shares repurchased pursuant to the stock repurchase program publicly announced on August 12, 2004. On August 25, 2021, the Board of Directors approved an increase to the current authorization for the stock repurchase program by an additional $8.5 billion to $16.7 billion in the aggregate.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22" w:lineRule="exact"/>
        <w:rPr>
          <w:rFonts w:ascii="Arial" w:cs="Arial" w:eastAsia="Arial" w:hAnsi="Arial"/>
          <w:sz w:val="14"/>
          <w:szCs w:val="14"/>
          <w:color w:val="auto"/>
        </w:rPr>
      </w:pPr>
    </w:p>
    <w:p>
      <w:pPr>
        <w:ind w:left="380" w:hanging="351"/>
        <w:spacing w:after="0"/>
        <w:tabs>
          <w:tab w:leader="none" w:pos="3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a $500.0 million advance payment for the remaining 20% of shares to be delivered in the first half of 2022 under our Accelerated Share Repurchase agreement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Comparative Stock Performance Graph</w:t>
      </w:r>
    </w:p>
    <w:p>
      <w:pPr>
        <w:spacing w:after="0" w:line="124" w:lineRule="exact"/>
        <w:rPr>
          <w:sz w:val="20"/>
          <w:szCs w:val="20"/>
          <w:color w:val="auto"/>
        </w:rPr>
      </w:pPr>
    </w:p>
    <w:p>
      <w:pPr>
        <w:ind w:firstLine="386"/>
        <w:spacing w:after="0" w:line="307" w:lineRule="auto"/>
        <w:rPr>
          <w:sz w:val="20"/>
          <w:szCs w:val="20"/>
          <w:color w:val="auto"/>
        </w:rPr>
      </w:pPr>
      <w:r>
        <w:rPr>
          <w:rFonts w:ascii="Arial" w:cs="Arial" w:eastAsia="Arial" w:hAnsi="Arial"/>
          <w:sz w:val="14"/>
          <w:szCs w:val="14"/>
          <w:color w:val="auto"/>
        </w:rPr>
        <w:t>The following graph compares cumulative total shareholder return on our common stock since October 29, 2016 with the cumulative total return of the Standard &amp; Poor’s (S&amp;P) 500 Index and the S&amp;P Semiconductors Index. This graph assumes the investment of $100 on October 29, 2016 in our common stock, the S&amp;P 500 Index and the S&amp;P Semiconductors Index and assumes all dividends are reinvested. Measurement points are the last trading day for each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5078730" cy="4217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7873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RESERVED</w:t>
      </w: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000"/>
          </w:cols>
          <w:pgMar w:left="320" w:top="988" w:right="579" w:bottom="1440" w:gutter="0" w:footer="0" w:header="0"/>
        </w:sectPr>
      </w:pPr>
    </w:p>
    <w:bookmarkStart w:id="29" w:name="page30"/>
    <w:bookmarkEnd w:id="29"/>
    <w:p>
      <w:pPr>
        <w:ind w:left="760" w:right="160" w:hanging="981"/>
        <w:spacing w:after="0" w:line="268" w:lineRule="auto"/>
        <w:tabs>
          <w:tab w:leader="none" w:pos="74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(all tabular amounts in thousands except per share amounts)</w:t>
      </w:r>
    </w:p>
    <w:p>
      <w:pPr>
        <w:spacing w:after="0" w:line="84" w:lineRule="exact"/>
        <w:rPr>
          <w:sz w:val="20"/>
          <w:szCs w:val="20"/>
          <w:color w:val="auto"/>
        </w:rPr>
      </w:pPr>
    </w:p>
    <w:p>
      <w:pPr>
        <w:ind w:right="180" w:firstLine="351"/>
        <w:spacing w:after="0" w:line="253" w:lineRule="auto"/>
        <w:rPr>
          <w:sz w:val="20"/>
          <w:szCs w:val="20"/>
          <w:color w:val="auto"/>
        </w:rPr>
      </w:pPr>
      <w:r>
        <w:rPr>
          <w:rFonts w:ascii="Arial" w:cs="Arial" w:eastAsia="Arial" w:hAnsi="Arial"/>
          <w:sz w:val="16"/>
          <w:szCs w:val="16"/>
          <w:color w:val="auto"/>
        </w:rPr>
        <w:t>The following discussion includes a comparison of our Results of Operations and Liquidity and Capital Resources for the fiscal years ended October 30, 2021 (fiscal 2021), the fiscal year ended October 31, 2020 (fiscal 2020) and the fiscal year ended November 2, 2019 (fiscal 2019). Our fiscal year is the 52-week or 53-week period ending on the Saturday closest to the last day in October. Fiscal 2021, fiscal 2020 and fiscal 2019 were 52-week fiscal periods.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 on our Business</w:t>
      </w:r>
    </w:p>
    <w:p>
      <w:pPr>
        <w:spacing w:after="0" w:line="112" w:lineRule="exact"/>
        <w:rPr>
          <w:sz w:val="20"/>
          <w:szCs w:val="20"/>
          <w:color w:val="auto"/>
        </w:rPr>
      </w:pPr>
    </w:p>
    <w:p>
      <w:pPr>
        <w:ind w:right="40" w:firstLine="386"/>
        <w:spacing w:after="0" w:line="297" w:lineRule="auto"/>
        <w:rPr>
          <w:sz w:val="20"/>
          <w:szCs w:val="20"/>
          <w:color w:val="auto"/>
        </w:rPr>
      </w:pPr>
      <w:r>
        <w:rPr>
          <w:rFonts w:ascii="Arial" w:cs="Arial" w:eastAsia="Arial" w:hAnsi="Arial"/>
          <w:sz w:val="14"/>
          <w:szCs w:val="14"/>
          <w:color w:val="auto"/>
        </w:rPr>
        <w:t>The pandemic caused by the novel strain of the coronavirus (COVID-19) and the numerous measures implemented by government authorities in response, have impacted and likely will continue to impact our workforce and operations, the operations of our customers and those of our respective vendors and suppliers. We have significant operations worldwide, including in the United States, the Philippines, Ireland, Malaysia, Thailand, China and India. Each of these countries has been affected by the pandemic and taken measures to try to contain it, resulting in disruptions at some of our manufacturing operations and facilities.</w:t>
      </w:r>
    </w:p>
    <w:p>
      <w:pPr>
        <w:spacing w:after="0" w:line="57" w:lineRule="exact"/>
        <w:rPr>
          <w:sz w:val="20"/>
          <w:szCs w:val="20"/>
          <w:color w:val="auto"/>
        </w:rPr>
      </w:pPr>
    </w:p>
    <w:p>
      <w:pPr>
        <w:ind w:firstLine="386"/>
        <w:spacing w:after="0" w:line="253" w:lineRule="auto"/>
        <w:rPr>
          <w:sz w:val="20"/>
          <w:szCs w:val="20"/>
          <w:color w:val="auto"/>
        </w:rPr>
      </w:pPr>
      <w:r>
        <w:rPr>
          <w:rFonts w:ascii="Arial" w:cs="Arial" w:eastAsia="Arial" w:hAnsi="Arial"/>
          <w:sz w:val="16"/>
          <w:szCs w:val="16"/>
          <w:color w:val="auto"/>
        </w:rPr>
        <w:t>The spread of COVID-19 has caused us to modify our business practices (including restricting employee travel, modifying employee work locations and cancelling physical participation in meetings, events and conferences) and we may take further actions as may be required by government authorities or that we determine are in the best interests of our employees, customers, partners, suppliers and shareholders.</w:t>
      </w:r>
    </w:p>
    <w:p>
      <w:pPr>
        <w:spacing w:after="0" w:line="96" w:lineRule="exact"/>
        <w:rPr>
          <w:sz w:val="20"/>
          <w:szCs w:val="20"/>
          <w:color w:val="auto"/>
        </w:rPr>
      </w:pPr>
    </w:p>
    <w:p>
      <w:pPr>
        <w:ind w:right="100" w:firstLine="386"/>
        <w:spacing w:after="0" w:line="297" w:lineRule="auto"/>
        <w:rPr>
          <w:sz w:val="20"/>
          <w:szCs w:val="20"/>
          <w:color w:val="auto"/>
        </w:rPr>
      </w:pPr>
      <w:r>
        <w:rPr>
          <w:rFonts w:ascii="Arial" w:cs="Arial" w:eastAsia="Arial" w:hAnsi="Arial"/>
          <w:sz w:val="14"/>
          <w:szCs w:val="14"/>
          <w:color w:val="auto"/>
        </w:rPr>
        <w:t>While we are confident that our strategy and long-term contingency planning have positioned us well to weather the current uncertainty, we cannot at this time fully quantify or forecast the impact of COVID-19 on our business. The full extent of the impact of the COVID-19 pandemic on our business, financial condition and results of operations will depend on future developments, which are highly uncertain such as the continued duration and severity of the pandemic, the spread of more contagious variants of the virus, the adoption rate of vaccines, the actions to contain the virus or treat its impact, or how quickly and to what extent normal economic and operating conditions can resume.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Maxim Integrated Products, Inc.</w:t>
      </w:r>
    </w:p>
    <w:p>
      <w:pPr>
        <w:spacing w:after="0" w:line="112" w:lineRule="exact"/>
        <w:rPr>
          <w:sz w:val="20"/>
          <w:szCs w:val="20"/>
          <w:color w:val="auto"/>
        </w:rPr>
      </w:pPr>
    </w:p>
    <w:p>
      <w:pPr>
        <w:ind w:right="80" w:firstLine="386"/>
        <w:spacing w:after="0" w:line="290" w:lineRule="auto"/>
        <w:rPr>
          <w:sz w:val="20"/>
          <w:szCs w:val="20"/>
          <w:color w:val="auto"/>
        </w:rPr>
      </w:pPr>
      <w:r>
        <w:rPr>
          <w:rFonts w:ascii="Arial" w:cs="Arial" w:eastAsia="Arial" w:hAnsi="Arial"/>
          <w:sz w:val="14"/>
          <w:szCs w:val="14"/>
          <w:color w:val="auto"/>
        </w:rPr>
        <w:t xml:space="preserve">On August 26, 2021 (Acquisition Date), we completed the acquisition of Maxim Integrated Products, Inc. (Maxim), an independent manufacturer of innovative analog and mixed-signal products and technologies. Pursuant to the Agreement and Plan of Merger, dated as of July 12, 2020 (the Merger Agreement), Maxim stockholders received, for each outstanding share of Maxim common stock, 0.6300 of a share of the Company’s common stock as of the Acquisition Date, for total consideration of approximately $28.0 billion of our common stock. The acquisition of Maxim is referred to as the Acquisition. The consolidated financial statements included in this Annual Report on Form 10-K include the financial results of Maxim prospectively from the Acquisition Date. See Note 6, </w:t>
      </w:r>
      <w:r>
        <w:rPr>
          <w:rFonts w:ascii="Arial" w:cs="Arial" w:eastAsia="Arial" w:hAnsi="Arial"/>
          <w:sz w:val="14"/>
          <w:szCs w:val="14"/>
          <w:i w:val="1"/>
          <w:iCs w:val="1"/>
          <w:color w:val="auto"/>
        </w:rPr>
        <w:t>Acquisitions</w:t>
      </w:r>
      <w:r>
        <w:rPr>
          <w:rFonts w:ascii="Arial" w:cs="Arial" w:eastAsia="Arial" w:hAnsi="Arial"/>
          <w:sz w:val="14"/>
          <w:szCs w:val="14"/>
          <w:color w:val="auto"/>
        </w:rPr>
        <w:t>, of the Notes to the Consolidated Financial Statements contained in Item 8 of this Annual Report on Form 10-K for further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24" w:lineRule="exact"/>
        <w:rPr>
          <w:sz w:val="20"/>
          <w:szCs w:val="20"/>
          <w:color w:val="auto"/>
        </w:rPr>
      </w:pPr>
    </w:p>
    <w:p>
      <w:pPr>
        <w:ind w:right="60" w:firstLine="351"/>
        <w:spacing w:after="0" w:line="253" w:lineRule="auto"/>
        <w:rPr>
          <w:sz w:val="20"/>
          <w:szCs w:val="20"/>
          <w:color w:val="auto"/>
        </w:rPr>
      </w:pPr>
      <w:r>
        <w:rPr>
          <w:rFonts w:ascii="Arial" w:cs="Arial" w:eastAsia="Arial" w:hAnsi="Arial"/>
          <w:sz w:val="16"/>
          <w:szCs w:val="16"/>
          <w:color w:val="auto"/>
        </w:rPr>
        <w:t>A discussion of changes in our results of operations from fiscal 2019 to fiscal 2020 has been omitted from this Form 10-K, but may be found in “Item 7. Management’s Discussion and Analysis of Financial Condition and Results of Operations” of our Form 10-K for fiscal 2020 filed with the Securities and Exchange Commission on November 24, 2020.</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95" w:right="319" w:bottom="1440" w:gutter="0" w:footer="0" w:header="0"/>
        </w:sectPr>
      </w:pPr>
    </w:p>
    <w:bookmarkStart w:id="30" w:name="page31"/>
    <w:bookmarkEnd w:id="30"/>
    <w:p>
      <w:pPr>
        <w:spacing w:after="0"/>
        <w:rPr>
          <w:sz w:val="20"/>
          <w:szCs w:val="20"/>
          <w:color w:val="auto"/>
        </w:rPr>
      </w:pPr>
      <w:r>
        <w:rPr>
          <w:rFonts w:ascii="Arial" w:cs="Arial" w:eastAsia="Arial" w:hAnsi="Arial"/>
          <w:sz w:val="16"/>
          <w:szCs w:val="16"/>
          <w:i w:val="1"/>
          <w:iCs w:val="1"/>
          <w:color w:val="auto"/>
        </w:rPr>
        <w:t>Overview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Fiscal Year</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ind w:left="440"/>
              <w:spacing w:after="0"/>
              <w:rPr>
                <w:sz w:val="20"/>
                <w:szCs w:val="20"/>
                <w:color w:val="auto"/>
              </w:rPr>
            </w:pPr>
            <w:r>
              <w:rPr>
                <w:rFonts w:ascii="Arial" w:cs="Arial" w:eastAsia="Arial" w:hAnsi="Arial"/>
                <w:sz w:val="12"/>
                <w:szCs w:val="12"/>
                <w:b w:val="1"/>
                <w:bCs w:val="1"/>
                <w:color w:val="auto"/>
              </w:rPr>
              <w:t>2021 over 2020</w:t>
            </w:r>
          </w:p>
        </w:tc>
        <w:tc>
          <w:tcPr>
            <w:tcW w:w="240" w:type="dxa"/>
            <w:vAlign w:val="bottom"/>
          </w:tcPr>
          <w:p>
            <w:pPr>
              <w:spacing w:after="0"/>
              <w:rPr>
                <w:sz w:val="14"/>
                <w:szCs w:val="14"/>
                <w:color w:val="auto"/>
              </w:rPr>
            </w:pPr>
          </w:p>
        </w:tc>
        <w:tc>
          <w:tcPr>
            <w:tcW w:w="1880" w:type="dxa"/>
            <w:vAlign w:val="bottom"/>
            <w:gridSpan w:val="3"/>
          </w:tcPr>
          <w:p>
            <w:pPr>
              <w:jc w:val="right"/>
              <w:ind w:right="586"/>
              <w:spacing w:after="0"/>
              <w:rPr>
                <w:sz w:val="20"/>
                <w:szCs w:val="20"/>
                <w:color w:val="auto"/>
              </w:rPr>
            </w:pPr>
            <w:r>
              <w:rPr>
                <w:rFonts w:ascii="Arial" w:cs="Arial" w:eastAsia="Arial" w:hAnsi="Arial"/>
                <w:sz w:val="12"/>
                <w:szCs w:val="12"/>
                <w:b w:val="1"/>
                <w:bCs w:val="1"/>
                <w:color w:val="auto"/>
              </w:rPr>
              <w:t>2020 over 2019</w:t>
            </w:r>
          </w:p>
        </w:tc>
      </w:tr>
      <w:tr>
        <w:trPr>
          <w:trHeight w:val="159"/>
        </w:trPr>
        <w:tc>
          <w:tcPr>
            <w:tcW w:w="27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45"/>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 Change</w:t>
            </w:r>
          </w:p>
        </w:tc>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 Change</w:t>
            </w:r>
          </w:p>
        </w:tc>
        <w:tc>
          <w:tcPr>
            <w:tcW w:w="840" w:type="dxa"/>
            <w:vAlign w:val="bottom"/>
            <w:tcBorders>
              <w:top w:val="single" w:sz="8" w:color="auto"/>
            </w:tcBorders>
          </w:tcPr>
          <w:p>
            <w:pPr>
              <w:jc w:val="right"/>
              <w:ind w:right="66"/>
              <w:spacing w:after="0"/>
              <w:rPr>
                <w:sz w:val="20"/>
                <w:szCs w:val="20"/>
                <w:color w:val="auto"/>
              </w:rPr>
            </w:pPr>
            <w:r>
              <w:rPr>
                <w:rFonts w:ascii="Arial" w:cs="Arial" w:eastAsia="Arial" w:hAnsi="Arial"/>
                <w:sz w:val="12"/>
                <w:szCs w:val="12"/>
                <w:b w:val="1"/>
                <w:bCs w:val="1"/>
                <w:color w:val="auto"/>
              </w:rPr>
              <w:t>% Change</w:t>
            </w:r>
          </w:p>
        </w:tc>
      </w:tr>
      <w:tr>
        <w:trPr>
          <w:trHeight w:val="192"/>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rPr>
              <w:t>7,318,286</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5,603,056</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5,991,065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1,715,230</w:t>
            </w: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(388,009)</w:t>
            </w: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199"/>
        </w:trPr>
        <w:tc>
          <w:tcPr>
            <w:tcW w:w="2720" w:type="dxa"/>
            <w:vAlign w:val="bottom"/>
          </w:tcPr>
          <w:p>
            <w:pPr>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61.8 %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1,390,422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1,220,761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1,363,011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169,661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(142,250)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9"/>
        </w:trPr>
        <w:tc>
          <w:tcPr>
            <w:tcW w:w="2720" w:type="dxa"/>
            <w:vAlign w:val="bottom"/>
          </w:tcPr>
          <w:p>
            <w:pPr>
              <w:spacing w:after="0"/>
              <w:rPr>
                <w:sz w:val="20"/>
                <w:szCs w:val="20"/>
                <w:color w:val="auto"/>
              </w:rPr>
            </w:pPr>
            <w:r>
              <w:rPr>
                <w:rFonts w:ascii="Arial" w:cs="Arial" w:eastAsia="Arial" w:hAnsi="Arial"/>
                <w:sz w:val="16"/>
                <w:szCs w:val="16"/>
                <w:color w:val="auto"/>
              </w:rPr>
              <w:t>Net income as a % of revenue</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Diluted EPS</w:t>
            </w: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Trends by End Market</w:t>
      </w:r>
    </w:p>
    <w:p>
      <w:pPr>
        <w:spacing w:after="0" w:line="85" w:lineRule="exact"/>
        <w:rPr>
          <w:sz w:val="20"/>
          <w:szCs w:val="20"/>
          <w:color w:val="auto"/>
        </w:rPr>
      </w:pPr>
    </w:p>
    <w:p>
      <w:pPr>
        <w:ind w:right="160" w:firstLine="386"/>
        <w:spacing w:after="0" w:line="248"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w w:val="90"/>
              </w:rPr>
              <w:t>Fiscal 2021</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2"/>
                <w:szCs w:val="12"/>
                <w:b w:val="1"/>
                <w:bCs w:val="1"/>
                <w:color w:val="auto"/>
              </w:rPr>
              <w:t>Fiscal 2020</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640"/>
              <w:spacing w:after="0"/>
              <w:rPr>
                <w:sz w:val="20"/>
                <w:szCs w:val="20"/>
                <w:color w:val="auto"/>
              </w:rPr>
            </w:pPr>
            <w:r>
              <w:rPr>
                <w:rFonts w:ascii="Arial" w:cs="Arial" w:eastAsia="Arial" w:hAnsi="Arial"/>
                <w:sz w:val="12"/>
                <w:szCs w:val="12"/>
                <w:b w:val="1"/>
                <w:bCs w:val="1"/>
                <w:color w:val="auto"/>
                <w:w w:val="93"/>
              </w:rPr>
              <w:t>Fiscal 2019</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 of</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center"/>
              <w:ind w:right="109"/>
              <w:spacing w:after="0" w:line="114" w:lineRule="exact"/>
              <w:rPr>
                <w:sz w:val="20"/>
                <w:szCs w:val="20"/>
                <w:color w:val="auto"/>
              </w:rPr>
            </w:pPr>
            <w:r>
              <w:rPr>
                <w:rFonts w:ascii="Arial" w:cs="Arial" w:eastAsia="Arial" w:hAnsi="Arial"/>
                <w:sz w:val="12"/>
                <w:szCs w:val="12"/>
                <w:b w:val="1"/>
                <w:bCs w:val="1"/>
                <w:color w:val="auto"/>
              </w:rPr>
              <w:t>% of</w:t>
            </w: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ind w:right="129"/>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Revenue</w:t>
            </w:r>
          </w:p>
        </w:tc>
        <w:tc>
          <w:tcPr>
            <w:tcW w:w="100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6"/>
              </w:rPr>
              <w:t>Product</w:t>
            </w:r>
          </w:p>
        </w:tc>
        <w:tc>
          <w:tcPr>
            <w:tcW w:w="120" w:type="dxa"/>
            <w:vAlign w:val="bottom"/>
          </w:tcPr>
          <w:p>
            <w:pPr>
              <w:spacing w:after="0"/>
              <w:rPr>
                <w:sz w:val="10"/>
                <w:szCs w:val="10"/>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Y/Y%</w:t>
            </w:r>
          </w:p>
        </w:tc>
        <w:tc>
          <w:tcPr>
            <w:tcW w:w="240" w:type="dxa"/>
            <w:vAlign w:val="bottom"/>
          </w:tcPr>
          <w:p>
            <w:pPr>
              <w:spacing w:after="0"/>
              <w:rPr>
                <w:sz w:val="10"/>
                <w:szCs w:val="10"/>
                <w:color w:val="auto"/>
              </w:rPr>
            </w:pPr>
          </w:p>
        </w:tc>
        <w:tc>
          <w:tcPr>
            <w:tcW w:w="960" w:type="dxa"/>
            <w:vAlign w:val="bottom"/>
            <w:vMerge w:val="restart"/>
          </w:tcPr>
          <w:p>
            <w:pPr>
              <w:jc w:val="right"/>
              <w:ind w:right="285"/>
              <w:spacing w:after="0"/>
              <w:rPr>
                <w:sz w:val="20"/>
                <w:szCs w:val="20"/>
                <w:color w:val="auto"/>
              </w:rPr>
            </w:pPr>
            <w:r>
              <w:rPr>
                <w:rFonts w:ascii="Arial" w:cs="Arial" w:eastAsia="Arial" w:hAnsi="Arial"/>
                <w:sz w:val="12"/>
                <w:szCs w:val="12"/>
                <w:b w:val="1"/>
                <w:bCs w:val="1"/>
                <w:color w:val="auto"/>
              </w:rPr>
              <w:t>Revenue</w:t>
            </w:r>
          </w:p>
        </w:tc>
        <w:tc>
          <w:tcPr>
            <w:tcW w:w="100" w:type="dxa"/>
            <w:vAlign w:val="bottom"/>
          </w:tcPr>
          <w:p>
            <w:pPr>
              <w:spacing w:after="0"/>
              <w:rPr>
                <w:sz w:val="10"/>
                <w:szCs w:val="10"/>
                <w:color w:val="auto"/>
              </w:rPr>
            </w:pPr>
          </w:p>
        </w:tc>
        <w:tc>
          <w:tcPr>
            <w:tcW w:w="10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2"/>
              </w:rPr>
              <w:t>Product</w:t>
            </w:r>
          </w:p>
        </w:tc>
        <w:tc>
          <w:tcPr>
            <w:tcW w:w="100" w:type="dxa"/>
            <w:vAlign w:val="bottom"/>
          </w:tcPr>
          <w:p>
            <w:pPr>
              <w:spacing w:after="0"/>
              <w:rPr>
                <w:sz w:val="10"/>
                <w:szCs w:val="10"/>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Y/Y%</w:t>
            </w:r>
          </w:p>
        </w:tc>
        <w:tc>
          <w:tcPr>
            <w:tcW w:w="220" w:type="dxa"/>
            <w:vAlign w:val="bottom"/>
          </w:tcPr>
          <w:p>
            <w:pPr>
              <w:spacing w:after="0"/>
              <w:rPr>
                <w:sz w:val="10"/>
                <w:szCs w:val="10"/>
                <w:color w:val="auto"/>
              </w:rPr>
            </w:pPr>
          </w:p>
        </w:tc>
        <w:tc>
          <w:tcPr>
            <w:tcW w:w="12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Revenue</w:t>
            </w:r>
          </w:p>
        </w:tc>
        <w:tc>
          <w:tcPr>
            <w:tcW w:w="840" w:type="dxa"/>
            <w:vAlign w:val="bottom"/>
          </w:tcPr>
          <w:p>
            <w:pPr>
              <w:jc w:val="center"/>
              <w:ind w:right="109"/>
              <w:spacing w:after="0" w:line="117" w:lineRule="exact"/>
              <w:rPr>
                <w:sz w:val="20"/>
                <w:szCs w:val="20"/>
                <w:color w:val="auto"/>
              </w:rPr>
            </w:pPr>
            <w:r>
              <w:rPr>
                <w:rFonts w:ascii="Arial" w:cs="Arial" w:eastAsia="Arial" w:hAnsi="Arial"/>
                <w:sz w:val="12"/>
                <w:szCs w:val="12"/>
                <w:b w:val="1"/>
                <w:bCs w:val="1"/>
                <w:color w:val="auto"/>
                <w:w w:val="92"/>
              </w:rPr>
              <w:t>Product</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4"/>
              </w:rPr>
              <w:t>Revenue (1)</w:t>
            </w: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1"/>
              </w:rPr>
              <w:t>Revenue (1)</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40" w:type="dxa"/>
            <w:vAlign w:val="bottom"/>
          </w:tcPr>
          <w:p>
            <w:pPr>
              <w:jc w:val="center"/>
              <w:ind w:right="129"/>
              <w:spacing w:after="0"/>
              <w:rPr>
                <w:sz w:val="20"/>
                <w:szCs w:val="20"/>
                <w:color w:val="auto"/>
              </w:rPr>
            </w:pPr>
            <w:r>
              <w:rPr>
                <w:rFonts w:ascii="Arial" w:cs="Arial" w:eastAsia="Arial" w:hAnsi="Arial"/>
                <w:sz w:val="12"/>
                <w:szCs w:val="12"/>
                <w:b w:val="1"/>
                <w:bCs w:val="1"/>
                <w:color w:val="auto"/>
                <w:w w:val="94"/>
              </w:rPr>
              <w:t>Revenue (1)</w:t>
            </w:r>
          </w:p>
        </w:tc>
        <w:tc>
          <w:tcPr>
            <w:tcW w:w="0" w:type="dxa"/>
            <w:vAlign w:val="bottom"/>
          </w:tcPr>
          <w:p>
            <w:pPr>
              <w:spacing w:after="0"/>
              <w:rPr>
                <w:sz w:val="1"/>
                <w:szCs w:val="1"/>
                <w:color w:val="auto"/>
              </w:rPr>
            </w:pPr>
          </w:p>
        </w:tc>
      </w:tr>
      <w:tr>
        <w:trPr>
          <w:trHeight w:val="192"/>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Industrial</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4,011,485</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2,998,259</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3,014,890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199"/>
        </w:trPr>
        <w:tc>
          <w:tcPr>
            <w:tcW w:w="2420" w:type="dxa"/>
            <w:vAlign w:val="bottom"/>
          </w:tcPr>
          <w:p>
            <w:pPr>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1,248,635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17 %</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778,297</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929,671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spacing w:after="0"/>
              <w:rPr>
                <w:sz w:val="20"/>
                <w:szCs w:val="20"/>
                <w:color w:val="auto"/>
              </w:rPr>
            </w:pPr>
            <w:r>
              <w:rPr>
                <w:rFonts w:ascii="Arial" w:cs="Arial" w:eastAsia="Arial" w:hAnsi="Arial"/>
                <w:sz w:val="16"/>
                <w:szCs w:val="16"/>
                <w:color w:val="auto"/>
              </w:rPr>
              <w:t>Communications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1,198,461</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1,191,169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1,294,233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199"/>
        </w:trPr>
        <w:tc>
          <w:tcPr>
            <w:tcW w:w="2420" w:type="dxa"/>
            <w:vAlign w:val="bottom"/>
          </w:tcPr>
          <w:p>
            <w:pPr>
              <w:spacing w:after="0"/>
              <w:rPr>
                <w:sz w:val="20"/>
                <w:szCs w:val="20"/>
                <w:color w:val="auto"/>
              </w:rPr>
            </w:pPr>
            <w:r>
              <w:rPr>
                <w:rFonts w:ascii="Arial" w:cs="Arial" w:eastAsia="Arial" w:hAnsi="Arial"/>
                <w:sz w:val="16"/>
                <w:szCs w:val="16"/>
                <w:color w:val="auto"/>
              </w:rPr>
              <w:t>Consumer</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859,705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12 %</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635,331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7"/>
              <w:spacing w:after="0"/>
              <w:rPr>
                <w:sz w:val="20"/>
                <w:szCs w:val="20"/>
                <w:color w:val="auto"/>
              </w:rPr>
            </w:pPr>
            <w:r>
              <w:rPr>
                <w:rFonts w:ascii="Arial" w:cs="Arial" w:eastAsia="Arial" w:hAnsi="Arial"/>
                <w:sz w:val="16"/>
                <w:szCs w:val="16"/>
                <w:color w:val="auto"/>
              </w:rPr>
              <w:t>752,271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5"/>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7,318,286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5,603,056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5,991,065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19" w:lineRule="exact"/>
        <w:rPr>
          <w:sz w:val="20"/>
          <w:szCs w:val="20"/>
          <w:color w:val="auto"/>
        </w:rPr>
      </w:pPr>
    </w:p>
    <w:p>
      <w:pPr>
        <w:ind w:left="300" w:hanging="271"/>
        <w:spacing w:after="0"/>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su</w:t>
      </w:r>
      <w:r>
        <w:rPr>
          <w:rFonts w:ascii="Arial" w:cs="Arial" w:eastAsia="Arial" w:hAnsi="Arial"/>
          <w:sz w:val="15"/>
          <w:szCs w:val="15"/>
          <w:color w:val="auto"/>
        </w:rPr>
        <w:t>m of the individual percentages may not equal the total due to rounding.</w:t>
      </w:r>
    </w:p>
    <w:p>
      <w:pPr>
        <w:spacing w:after="0" w:line="106" w:lineRule="exact"/>
        <w:rPr>
          <w:sz w:val="20"/>
          <w:szCs w:val="20"/>
          <w:color w:val="auto"/>
        </w:rPr>
      </w:pPr>
    </w:p>
    <w:p>
      <w:pPr>
        <w:ind w:right="20" w:firstLine="386"/>
        <w:spacing w:after="0" w:line="250" w:lineRule="auto"/>
        <w:rPr>
          <w:sz w:val="20"/>
          <w:szCs w:val="20"/>
          <w:color w:val="auto"/>
        </w:rPr>
      </w:pPr>
      <w:r>
        <w:rPr>
          <w:rFonts w:ascii="Arial" w:cs="Arial" w:eastAsia="Arial" w:hAnsi="Arial"/>
          <w:sz w:val="16"/>
          <w:szCs w:val="16"/>
          <w:color w:val="auto"/>
        </w:rPr>
        <w:t>Revenue increased across all end markets in fiscal 2021 as compared to fiscal 2020 primarily as a result of higher broad-based demand for our products sold into the Automotive, Consumer and Industrial end markets. Revenue in the Communications end market was also slightly higher in fiscal 2021 compared to fiscal 2020 as the timing of infrastructure deployment cycles in certain regions offset higher demand. Incremental revenue as a result of the Acquisition also contributed to higher revenue in each end market in fiscal 2021, as compared to fiscal 2020.</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by Sales Channel</w:t>
      </w:r>
    </w:p>
    <w:p>
      <w:pPr>
        <w:spacing w:after="0" w:line="73" w:lineRule="exact"/>
        <w:rPr>
          <w:sz w:val="20"/>
          <w:szCs w:val="20"/>
          <w:color w:val="auto"/>
        </w:rPr>
      </w:pPr>
    </w:p>
    <w:p>
      <w:pPr>
        <w:ind w:right="40" w:firstLine="351"/>
        <w:spacing w:after="0" w:line="250" w:lineRule="auto"/>
        <w:rPr>
          <w:sz w:val="20"/>
          <w:szCs w:val="20"/>
          <w:color w:val="auto"/>
        </w:rPr>
      </w:pPr>
      <w:r>
        <w:rPr>
          <w:rFonts w:ascii="Arial" w:cs="Arial" w:eastAsia="Arial" w:hAnsi="Arial"/>
          <w:sz w:val="16"/>
          <w:szCs w:val="16"/>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992"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6"/>
        </w:trPr>
        <w:tc>
          <w:tcPr>
            <w:tcW w:w="3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w w:val="96"/>
              </w:rPr>
              <w:t>Fiscal 2021</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w w:val="96"/>
              </w:rPr>
              <w:t>Fiscal 2020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700"/>
              <w:spacing w:after="0"/>
              <w:rPr>
                <w:sz w:val="20"/>
                <w:szCs w:val="20"/>
                <w:color w:val="auto"/>
              </w:rPr>
            </w:pPr>
            <w:r>
              <w:rPr>
                <w:rFonts w:ascii="Arial" w:cs="Arial" w:eastAsia="Arial" w:hAnsi="Arial"/>
                <w:sz w:val="12"/>
                <w:szCs w:val="12"/>
                <w:b w:val="1"/>
                <w:bCs w:val="1"/>
                <w:color w:val="auto"/>
                <w:w w:val="96"/>
              </w:rPr>
              <w:t>Fiscal 2019</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center"/>
              <w:ind w:right="110"/>
              <w:spacing w:after="0" w:line="114" w:lineRule="exact"/>
              <w:rPr>
                <w:sz w:val="20"/>
                <w:szCs w:val="20"/>
                <w:color w:val="auto"/>
              </w:rPr>
            </w:pPr>
            <w:r>
              <w:rPr>
                <w:rFonts w:ascii="Arial" w:cs="Arial" w:eastAsia="Arial" w:hAnsi="Arial"/>
                <w:sz w:val="12"/>
                <w:szCs w:val="12"/>
                <w:b w:val="1"/>
                <w:bCs w:val="1"/>
                <w:color w:val="auto"/>
              </w:rPr>
              <w:t>% of</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center"/>
              <w:ind w:right="110"/>
              <w:spacing w:after="0" w:line="114" w:lineRule="exact"/>
              <w:rPr>
                <w:sz w:val="20"/>
                <w:szCs w:val="20"/>
                <w:color w:val="auto"/>
              </w:rPr>
            </w:pPr>
            <w:r>
              <w:rPr>
                <w:rFonts w:ascii="Arial" w:cs="Arial" w:eastAsia="Arial" w:hAnsi="Arial"/>
                <w:sz w:val="12"/>
                <w:szCs w:val="12"/>
                <w:b w:val="1"/>
                <w:bCs w:val="1"/>
                <w:color w:val="auto"/>
              </w:rPr>
              <w:t>% of</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jc w:val="center"/>
              <w:ind w:right="110"/>
              <w:spacing w:after="0" w:line="114" w:lineRule="exact"/>
              <w:rPr>
                <w:sz w:val="20"/>
                <w:szCs w:val="20"/>
                <w:color w:val="auto"/>
              </w:rPr>
            </w:pPr>
            <w:r>
              <w:rPr>
                <w:rFonts w:ascii="Arial" w:cs="Arial" w:eastAsia="Arial" w:hAnsi="Arial"/>
                <w:sz w:val="12"/>
                <w:szCs w:val="12"/>
                <w:b w:val="1"/>
                <w:bCs w:val="1"/>
                <w:color w:val="auto"/>
              </w:rPr>
              <w:t>% of</w:t>
            </w: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340"/>
              <w:spacing w:after="0" w:line="117" w:lineRule="exact"/>
              <w:rPr>
                <w:sz w:val="20"/>
                <w:szCs w:val="20"/>
                <w:color w:val="auto"/>
              </w:rPr>
            </w:pPr>
            <w:r>
              <w:rPr>
                <w:rFonts w:ascii="Arial" w:cs="Arial" w:eastAsia="Arial" w:hAnsi="Arial"/>
                <w:sz w:val="12"/>
                <w:szCs w:val="12"/>
                <w:b w:val="1"/>
                <w:bCs w:val="1"/>
                <w:color w:val="auto"/>
                <w:w w:val="90"/>
              </w:rPr>
              <w:t>Total</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0"/>
              </w:rPr>
              <w:t>Total</w:t>
            </w: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center"/>
              <w:ind w:right="130"/>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7"/>
        </w:trPr>
        <w:tc>
          <w:tcPr>
            <w:tcW w:w="3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Revenue</w:t>
            </w:r>
          </w:p>
        </w:tc>
        <w:tc>
          <w:tcPr>
            <w:tcW w:w="1080" w:type="dxa"/>
            <w:vAlign w:val="bottom"/>
            <w:gridSpan w:val="2"/>
          </w:tcPr>
          <w:p>
            <w:pPr>
              <w:jc w:val="center"/>
              <w:ind w:right="340"/>
              <w:spacing w:after="0" w:line="117" w:lineRule="exact"/>
              <w:rPr>
                <w:sz w:val="20"/>
                <w:szCs w:val="20"/>
                <w:color w:val="auto"/>
              </w:rPr>
            </w:pPr>
            <w:r>
              <w:rPr>
                <w:rFonts w:ascii="Arial" w:cs="Arial" w:eastAsia="Arial" w:hAnsi="Arial"/>
                <w:sz w:val="12"/>
                <w:szCs w:val="12"/>
                <w:b w:val="1"/>
                <w:bCs w:val="1"/>
                <w:color w:val="auto"/>
                <w:w w:val="92"/>
              </w:rPr>
              <w:t>Product</w:t>
            </w:r>
          </w:p>
        </w:tc>
        <w:tc>
          <w:tcPr>
            <w:tcW w:w="280" w:type="dxa"/>
            <w:vAlign w:val="bottom"/>
          </w:tcPr>
          <w:p>
            <w:pPr>
              <w:spacing w:after="0"/>
              <w:rPr>
                <w:sz w:val="10"/>
                <w:szCs w:val="10"/>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Revenue</w:t>
            </w:r>
          </w:p>
        </w:tc>
        <w:tc>
          <w:tcPr>
            <w:tcW w:w="10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2"/>
              </w:rPr>
              <w:t>Product</w:t>
            </w:r>
          </w:p>
        </w:tc>
        <w:tc>
          <w:tcPr>
            <w:tcW w:w="280" w:type="dxa"/>
            <w:vAlign w:val="bottom"/>
          </w:tcPr>
          <w:p>
            <w:pPr>
              <w:spacing w:after="0"/>
              <w:rPr>
                <w:sz w:val="10"/>
                <w:szCs w:val="10"/>
                <w:color w:val="auto"/>
              </w:rPr>
            </w:pPr>
          </w:p>
        </w:tc>
        <w:tc>
          <w:tcPr>
            <w:tcW w:w="134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Revenue</w:t>
            </w:r>
          </w:p>
        </w:tc>
        <w:tc>
          <w:tcPr>
            <w:tcW w:w="920" w:type="dxa"/>
            <w:vAlign w:val="bottom"/>
          </w:tcPr>
          <w:p>
            <w:pPr>
              <w:jc w:val="center"/>
              <w:ind w:right="110"/>
              <w:spacing w:after="0" w:line="117" w:lineRule="exact"/>
              <w:rPr>
                <w:sz w:val="20"/>
                <w:szCs w:val="20"/>
                <w:color w:val="auto"/>
              </w:rPr>
            </w:pPr>
            <w:r>
              <w:rPr>
                <w:rFonts w:ascii="Arial" w:cs="Arial" w:eastAsia="Arial" w:hAnsi="Arial"/>
                <w:sz w:val="12"/>
                <w:szCs w:val="12"/>
                <w:b w:val="1"/>
                <w:bCs w:val="1"/>
                <w:color w:val="auto"/>
                <w:w w:val="92"/>
              </w:rPr>
              <w:t>Product</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1"/>
              </w:rPr>
              <w:t>Revenue (1)</w:t>
            </w:r>
          </w:p>
        </w:tc>
        <w:tc>
          <w:tcPr>
            <w:tcW w:w="2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Revenue (1)</w:t>
            </w:r>
          </w:p>
        </w:tc>
        <w:tc>
          <w:tcPr>
            <w:tcW w:w="28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920" w:type="dxa"/>
            <w:vAlign w:val="bottom"/>
          </w:tcPr>
          <w:p>
            <w:pPr>
              <w:jc w:val="center"/>
              <w:ind w:right="130"/>
              <w:spacing w:after="0"/>
              <w:rPr>
                <w:sz w:val="20"/>
                <w:szCs w:val="20"/>
                <w:color w:val="auto"/>
              </w:rPr>
            </w:pPr>
            <w:r>
              <w:rPr>
                <w:rFonts w:ascii="Arial" w:cs="Arial" w:eastAsia="Arial" w:hAnsi="Arial"/>
                <w:sz w:val="12"/>
                <w:szCs w:val="12"/>
                <w:b w:val="1"/>
                <w:bCs w:val="1"/>
                <w:color w:val="auto"/>
                <w:w w:val="94"/>
              </w:rPr>
              <w:t>Revenue (1)</w:t>
            </w:r>
          </w:p>
        </w:tc>
        <w:tc>
          <w:tcPr>
            <w:tcW w:w="0" w:type="dxa"/>
            <w:vAlign w:val="bottom"/>
          </w:tcPr>
          <w:p>
            <w:pPr>
              <w:spacing w:after="0"/>
              <w:rPr>
                <w:sz w:val="1"/>
                <w:szCs w:val="1"/>
                <w:color w:val="auto"/>
              </w:rPr>
            </w:pPr>
          </w:p>
        </w:tc>
      </w:tr>
      <w:tr>
        <w:trPr>
          <w:trHeight w:val="192"/>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Distributors</w:t>
            </w: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4,589,944</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3,216,302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3,409,161</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199"/>
        </w:trPr>
        <w:tc>
          <w:tcPr>
            <w:tcW w:w="3400" w:type="dxa"/>
            <w:vAlign w:val="bottom"/>
          </w:tcPr>
          <w:p>
            <w:pPr>
              <w:spacing w:after="0"/>
              <w:rPr>
                <w:sz w:val="20"/>
                <w:szCs w:val="20"/>
                <w:color w:val="auto"/>
              </w:rPr>
            </w:pPr>
            <w:r>
              <w:rPr>
                <w:rFonts w:ascii="Arial" w:cs="Arial" w:eastAsia="Arial" w:hAnsi="Arial"/>
                <w:sz w:val="16"/>
                <w:szCs w:val="16"/>
                <w:color w:val="auto"/>
              </w:rPr>
              <w:t>Direct customers</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2,600,353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2,300,493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2,506,065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199"/>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127,989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86,261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75,839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7,318,286</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60" w:type="dxa"/>
            <w:vAlign w:val="bottom"/>
          </w:tcPr>
          <w:p>
            <w:pPr>
              <w:spacing w:after="0"/>
              <w:rPr>
                <w:sz w:val="16"/>
                <w:szCs w:val="16"/>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5,603,056</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5,991,065</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19"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sum of the individual percentages may not equal the total due to rounding.</w:t>
      </w:r>
    </w:p>
    <w:p>
      <w:pPr>
        <w:spacing w:after="0" w:line="106" w:lineRule="exact"/>
        <w:rPr>
          <w:sz w:val="20"/>
          <w:szCs w:val="20"/>
          <w:color w:val="auto"/>
        </w:rPr>
      </w:pPr>
    </w:p>
    <w:p>
      <w:pPr>
        <w:ind w:right="260" w:firstLine="351"/>
        <w:spacing w:after="0" w:line="263" w:lineRule="auto"/>
        <w:rPr>
          <w:sz w:val="20"/>
          <w:szCs w:val="20"/>
          <w:color w:val="auto"/>
        </w:rPr>
      </w:pPr>
      <w:r>
        <w:rPr>
          <w:rFonts w:ascii="Arial" w:cs="Arial" w:eastAsia="Arial" w:hAnsi="Arial"/>
          <w:sz w:val="16"/>
          <w:szCs w:val="16"/>
          <w:color w:val="auto"/>
        </w:rPr>
        <w:t>The percentage of total revenue sold via each channel can fluctuate from time to time based on end customer demand. In fiscal 2021, higher demand within our Automotive and Industrial end markets resulted in increased revenue through our distributor channel.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Trends by Geographic Region</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Revenue by geographic region, based upon the geographic location of the distributors or OEMs who purchased the Company's products, for fiscal 2021, fiscal 2020 and fiscal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2019 was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58"/>
              <w:spacing w:after="0"/>
              <w:rPr>
                <w:sz w:val="20"/>
                <w:szCs w:val="20"/>
                <w:color w:val="auto"/>
              </w:rPr>
            </w:pPr>
            <w:r>
              <w:rPr>
                <w:rFonts w:ascii="Arial" w:cs="Arial" w:eastAsia="Arial" w:hAnsi="Arial"/>
                <w:sz w:val="12"/>
                <w:szCs w:val="12"/>
                <w:b w:val="1"/>
                <w:bCs w:val="1"/>
                <w:color w:val="auto"/>
                <w:w w:val="99"/>
              </w:rPr>
              <w:t>Change</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Fiscal Year</w:t>
            </w: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340"/>
              <w:spacing w:after="0"/>
              <w:rPr>
                <w:sz w:val="20"/>
                <w:szCs w:val="20"/>
                <w:color w:val="auto"/>
              </w:rPr>
            </w:pPr>
            <w:r>
              <w:rPr>
                <w:rFonts w:ascii="Arial" w:cs="Arial" w:eastAsia="Arial" w:hAnsi="Arial"/>
                <w:sz w:val="12"/>
                <w:szCs w:val="12"/>
                <w:b w:val="1"/>
                <w:bCs w:val="1"/>
                <w:color w:val="auto"/>
                <w:w w:val="95"/>
              </w:rPr>
              <w:t>2021 over 2020</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b w:val="1"/>
                <w:bCs w:val="1"/>
                <w:color w:val="auto"/>
                <w:w w:val="91"/>
              </w:rPr>
              <w:t>2020 over 2019</w:t>
            </w: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vMerge w:val="restart"/>
          </w:tcPr>
          <w:p>
            <w:pPr>
              <w:jc w:val="right"/>
              <w:ind w:right="386"/>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vMerge w:val="restart"/>
          </w:tcPr>
          <w:p>
            <w:pPr>
              <w:jc w:val="right"/>
              <w:ind w:right="384"/>
              <w:spacing w:after="0"/>
              <w:rPr>
                <w:sz w:val="20"/>
                <w:szCs w:val="20"/>
                <w:color w:val="auto"/>
              </w:rPr>
            </w:pPr>
            <w:r>
              <w:rPr>
                <w:rFonts w:ascii="Arial" w:cs="Arial" w:eastAsia="Arial" w:hAnsi="Arial"/>
                <w:sz w:val="12"/>
                <w:szCs w:val="12"/>
                <w:b w:val="1"/>
                <w:bCs w:val="1"/>
                <w:color w:val="auto"/>
              </w:rPr>
              <w:t>2019</w:t>
            </w: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74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w w:val="95"/>
              </w:rPr>
              <w:t>Change</w:t>
            </w:r>
          </w:p>
        </w:tc>
        <w:tc>
          <w:tcPr>
            <w:tcW w:w="60" w:type="dxa"/>
            <w:vAlign w:val="bottom"/>
            <w:vMerge w:val="restart"/>
          </w:tcPr>
          <w:p>
            <w:pPr>
              <w:spacing w:after="0"/>
              <w:rPr>
                <w:sz w:val="9"/>
                <w:szCs w:val="9"/>
                <w:color w:val="auto"/>
              </w:rPr>
            </w:pPr>
          </w:p>
        </w:tc>
        <w:tc>
          <w:tcPr>
            <w:tcW w:w="380" w:type="dxa"/>
            <w:vAlign w:val="bottom"/>
            <w:vMerge w:val="restart"/>
          </w:tcPr>
          <w:p>
            <w:pPr>
              <w:spacing w:after="0"/>
              <w:rPr>
                <w:sz w:val="9"/>
                <w:szCs w:val="9"/>
                <w:color w:val="auto"/>
              </w:rPr>
            </w:pPr>
          </w:p>
        </w:tc>
        <w:tc>
          <w:tcPr>
            <w:tcW w:w="740" w:type="dxa"/>
            <w:vAlign w:val="bottom"/>
            <w:gridSpan w:val="2"/>
          </w:tcPr>
          <w:p>
            <w:pPr>
              <w:jc w:val="right"/>
              <w:ind w:right="2"/>
              <w:spacing w:after="0" w:line="110" w:lineRule="exact"/>
              <w:rPr>
                <w:sz w:val="20"/>
                <w:szCs w:val="20"/>
                <w:color w:val="auto"/>
              </w:rPr>
            </w:pPr>
            <w:r>
              <w:rPr>
                <w:rFonts w:ascii="Arial" w:cs="Arial" w:eastAsia="Arial" w:hAnsi="Arial"/>
                <w:sz w:val="12"/>
                <w:szCs w:val="12"/>
                <w:b w:val="1"/>
                <w:bCs w:val="1"/>
                <w:color w:val="auto"/>
              </w:rPr>
              <w:t>% Change</w:t>
            </w:r>
          </w:p>
        </w:tc>
        <w:tc>
          <w:tcPr>
            <w:tcW w:w="80" w:type="dxa"/>
            <w:vAlign w:val="bottom"/>
            <w:vMerge w:val="restart"/>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vMerge w:val="restart"/>
          </w:tcPr>
          <w:p>
            <w:pPr>
              <w:jc w:val="right"/>
              <w:ind w:right="206"/>
              <w:spacing w:after="0"/>
              <w:rPr>
                <w:sz w:val="20"/>
                <w:szCs w:val="20"/>
                <w:color w:val="auto"/>
              </w:rPr>
            </w:pPr>
            <w:r>
              <w:rPr>
                <w:rFonts w:ascii="Arial" w:cs="Arial" w:eastAsia="Arial" w:hAnsi="Arial"/>
                <w:sz w:val="12"/>
                <w:szCs w:val="12"/>
                <w:b w:val="1"/>
                <w:bCs w:val="1"/>
                <w:color w:val="auto"/>
                <w:w w:val="90"/>
              </w:rPr>
              <w:t>Change</w:t>
            </w:r>
          </w:p>
        </w:tc>
        <w:tc>
          <w:tcPr>
            <w:tcW w:w="80" w:type="dxa"/>
            <w:vAlign w:val="bottom"/>
            <w:vMerge w:val="restart"/>
          </w:tcPr>
          <w:p>
            <w:pPr>
              <w:spacing w:after="0"/>
              <w:rPr>
                <w:sz w:val="9"/>
                <w:szCs w:val="9"/>
                <w:color w:val="auto"/>
              </w:rPr>
            </w:pPr>
          </w:p>
        </w:tc>
        <w:tc>
          <w:tcPr>
            <w:tcW w:w="400" w:type="dxa"/>
            <w:vAlign w:val="bottom"/>
            <w:vMerge w:val="restart"/>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 Change (1)</w:t>
            </w:r>
          </w:p>
        </w:tc>
        <w:tc>
          <w:tcPr>
            <w:tcW w:w="0" w:type="dxa"/>
            <w:vAlign w:val="bottom"/>
          </w:tcPr>
          <w:p>
            <w:pPr>
              <w:spacing w:after="0"/>
              <w:rPr>
                <w:sz w:val="1"/>
                <w:szCs w:val="1"/>
                <w:color w:val="auto"/>
              </w:rPr>
            </w:pPr>
          </w:p>
        </w:tc>
      </w:tr>
      <w:tr>
        <w:trPr>
          <w:trHeight w:val="162"/>
        </w:trPr>
        <w:tc>
          <w:tcPr>
            <w:tcW w:w="8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(1)</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80" w:type="dxa"/>
            <w:vAlign w:val="bottom"/>
            <w:shd w:val="clear" w:color="auto" w:fill="CCEEFF"/>
          </w:tcPr>
          <w:p>
            <w:pPr>
              <w:ind w:left="400"/>
              <w:spacing w:after="0" w:line="133" w:lineRule="exact"/>
              <w:rPr>
                <w:sz w:val="20"/>
                <w:szCs w:val="20"/>
                <w:color w:val="auto"/>
              </w:rPr>
            </w:pPr>
            <w:r>
              <w:rPr>
                <w:rFonts w:ascii="Arial" w:cs="Arial" w:eastAsia="Arial" w:hAnsi="Arial"/>
                <w:sz w:val="14"/>
                <w:szCs w:val="14"/>
                <w:color w:val="auto"/>
              </w:rPr>
              <w:t>United</w:t>
            </w:r>
          </w:p>
        </w:tc>
        <w:tc>
          <w:tcPr>
            <w:tcW w:w="66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2,389,439</w:t>
            </w: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1,887,443</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2,020,886</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67"/>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501,996</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166"/>
              <w:spacing w:after="0"/>
              <w:rPr>
                <w:sz w:val="20"/>
                <w:szCs w:val="20"/>
                <w:color w:val="auto"/>
              </w:rPr>
            </w:pPr>
            <w:r>
              <w:rPr>
                <w:rFonts w:ascii="Arial" w:cs="Arial" w:eastAsia="Arial" w:hAnsi="Arial"/>
                <w:sz w:val="16"/>
                <w:szCs w:val="16"/>
                <w:color w:val="auto"/>
                <w:w w:val="89"/>
              </w:rPr>
              <w:t>27</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(133,443)</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(7)</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80" w:type="dxa"/>
            <w:vAlign w:val="bottom"/>
            <w:shd w:val="clear" w:color="auto" w:fill="CCEEFF"/>
          </w:tcPr>
          <w:p>
            <w:pPr>
              <w:spacing w:after="0"/>
              <w:rPr>
                <w:sz w:val="20"/>
                <w:szCs w:val="20"/>
                <w:color w:val="auto"/>
              </w:rPr>
            </w:pPr>
            <w:r>
              <w:rPr>
                <w:rFonts w:ascii="Arial" w:cs="Arial" w:eastAsia="Arial" w:hAnsi="Arial"/>
                <w:sz w:val="16"/>
                <w:szCs w:val="16"/>
                <w:color w:val="auto"/>
              </w:rPr>
              <w:t>States</w:t>
            </w:r>
          </w:p>
        </w:tc>
        <w:tc>
          <w:tcPr>
            <w:tcW w:w="66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Pr>
          <w:p>
            <w:pPr>
              <w:ind w:left="400"/>
              <w:spacing w:after="0" w:line="152" w:lineRule="exact"/>
              <w:rPr>
                <w:sz w:val="20"/>
                <w:szCs w:val="20"/>
                <w:color w:val="auto"/>
              </w:rPr>
            </w:pPr>
            <w:r>
              <w:rPr>
                <w:rFonts w:ascii="Arial" w:cs="Arial" w:eastAsia="Arial" w:hAnsi="Arial"/>
                <w:sz w:val="16"/>
                <w:szCs w:val="16"/>
                <w:color w:val="auto"/>
                <w:w w:val="90"/>
              </w:rPr>
              <w:t>Rest of</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Arial" w:cs="Arial" w:eastAsia="Arial" w:hAnsi="Arial"/>
                <w:sz w:val="16"/>
                <w:szCs w:val="16"/>
                <w:color w:val="auto"/>
              </w:rPr>
              <w:t>North and</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Pr>
          <w:p>
            <w:pPr>
              <w:spacing w:after="0" w:line="152" w:lineRule="exact"/>
              <w:rPr>
                <w:sz w:val="20"/>
                <w:szCs w:val="20"/>
                <w:color w:val="auto"/>
              </w:rPr>
            </w:pPr>
            <w:r>
              <w:rPr>
                <w:rFonts w:ascii="Arial" w:cs="Arial" w:eastAsia="Arial" w:hAnsi="Arial"/>
                <w:sz w:val="16"/>
                <w:szCs w:val="16"/>
                <w:color w:val="auto"/>
              </w:rPr>
              <w:t>South</w:t>
            </w:r>
          </w:p>
        </w:tc>
        <w:tc>
          <w:tcPr>
            <w:tcW w:w="6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42,830</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41,250</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55,059</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1,580</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vMerge w:val="restart"/>
          </w:tcPr>
          <w:p>
            <w:pPr>
              <w:jc w:val="right"/>
              <w:ind w:right="186"/>
              <w:spacing w:after="0"/>
              <w:rPr>
                <w:sz w:val="20"/>
                <w:szCs w:val="20"/>
                <w:color w:val="auto"/>
              </w:rPr>
            </w:pPr>
            <w:r>
              <w:rPr>
                <w:rFonts w:ascii="Arial" w:cs="Arial" w:eastAsia="Arial" w:hAnsi="Arial"/>
                <w:sz w:val="16"/>
                <w:szCs w:val="16"/>
                <w:color w:val="auto"/>
              </w:rPr>
              <w:t>4</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(13,809)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vMerge w:val="restart"/>
          </w:tcPr>
          <w:p>
            <w:pPr>
              <w:jc w:val="right"/>
              <w:ind w:right="104"/>
              <w:spacing w:after="0"/>
              <w:rPr>
                <w:sz w:val="20"/>
                <w:szCs w:val="20"/>
                <w:color w:val="auto"/>
              </w:rPr>
            </w:pPr>
            <w:r>
              <w:rPr>
                <w:rFonts w:ascii="Arial" w:cs="Arial" w:eastAsia="Arial" w:hAnsi="Arial"/>
                <w:sz w:val="16"/>
                <w:szCs w:val="16"/>
                <w:color w:val="auto"/>
                <w:w w:val="84"/>
              </w:rPr>
              <w:t>(25)</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80" w:type="dxa"/>
            <w:vAlign w:val="bottom"/>
          </w:tcPr>
          <w:p>
            <w:pPr>
              <w:spacing w:after="0"/>
              <w:rPr>
                <w:sz w:val="20"/>
                <w:szCs w:val="20"/>
                <w:color w:val="auto"/>
              </w:rPr>
            </w:pPr>
            <w:r>
              <w:rPr>
                <w:rFonts w:ascii="Arial" w:cs="Arial" w:eastAsia="Arial" w:hAnsi="Arial"/>
                <w:sz w:val="16"/>
                <w:szCs w:val="16"/>
                <w:color w:val="auto"/>
              </w:rPr>
              <w:t>America</w:t>
            </w:r>
          </w:p>
        </w:tc>
        <w:tc>
          <w:tcPr>
            <w:tcW w:w="6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89"/>
              </w:rPr>
              <w:t>Europe</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1,592,989</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1,245,695</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1,374,673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347,294</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w w:val="89"/>
              </w:rPr>
              <w:t>28</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(128,978)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(9)</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80" w:type="dxa"/>
            <w:vAlign w:val="bottom"/>
          </w:tcPr>
          <w:p>
            <w:pPr>
              <w:ind w:left="400"/>
              <w:spacing w:after="0"/>
              <w:rPr>
                <w:sz w:val="20"/>
                <w:szCs w:val="20"/>
                <w:color w:val="auto"/>
              </w:rPr>
            </w:pPr>
            <w:r>
              <w:rPr>
                <w:rFonts w:ascii="Arial" w:cs="Arial" w:eastAsia="Arial" w:hAnsi="Arial"/>
                <w:sz w:val="16"/>
                <w:szCs w:val="16"/>
                <w:color w:val="auto"/>
              </w:rPr>
              <w:t>Japan</w:t>
            </w: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787,966</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521,720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657,632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266,246</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jc w:val="right"/>
              <w:ind w:right="166"/>
              <w:spacing w:after="0"/>
              <w:rPr>
                <w:sz w:val="20"/>
                <w:szCs w:val="20"/>
                <w:color w:val="auto"/>
              </w:rPr>
            </w:pPr>
            <w:r>
              <w:rPr>
                <w:rFonts w:ascii="Arial" w:cs="Arial" w:eastAsia="Arial" w:hAnsi="Arial"/>
                <w:sz w:val="16"/>
                <w:szCs w:val="16"/>
                <w:color w:val="auto"/>
                <w:w w:val="89"/>
              </w:rPr>
              <w:t>51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(135,912)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jc w:val="right"/>
              <w:ind w:right="104"/>
              <w:spacing w:after="0"/>
              <w:rPr>
                <w:sz w:val="20"/>
                <w:szCs w:val="20"/>
                <w:color w:val="auto"/>
              </w:rPr>
            </w:pPr>
            <w:r>
              <w:rPr>
                <w:rFonts w:ascii="Arial" w:cs="Arial" w:eastAsia="Arial" w:hAnsi="Arial"/>
                <w:sz w:val="16"/>
                <w:szCs w:val="16"/>
                <w:color w:val="auto"/>
                <w:w w:val="84"/>
              </w:rPr>
              <w:t>(21)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China</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1,614,396</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1,348,011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1,316,275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266,385</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w w:val="89"/>
              </w:rPr>
              <w:t>20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2</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880" w:type="dxa"/>
            <w:vAlign w:val="bottom"/>
          </w:tcPr>
          <w:p>
            <w:pPr>
              <w:ind w:left="400"/>
              <w:spacing w:after="0" w:line="152" w:lineRule="exact"/>
              <w:rPr>
                <w:sz w:val="20"/>
                <w:szCs w:val="20"/>
                <w:color w:val="auto"/>
              </w:rPr>
            </w:pPr>
            <w:r>
              <w:rPr>
                <w:rFonts w:ascii="Arial" w:cs="Arial" w:eastAsia="Arial" w:hAnsi="Arial"/>
                <w:sz w:val="16"/>
                <w:szCs w:val="16"/>
                <w:color w:val="auto"/>
                <w:w w:val="90"/>
              </w:rPr>
              <w:t>Rest of</w:t>
            </w:r>
          </w:p>
        </w:tc>
        <w:tc>
          <w:tcPr>
            <w:tcW w:w="6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890,666</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558,937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566,540</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331,729</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vMerge w:val="restart"/>
          </w:tcPr>
          <w:p>
            <w:pPr>
              <w:jc w:val="right"/>
              <w:ind w:right="166"/>
              <w:spacing w:after="0"/>
              <w:rPr>
                <w:sz w:val="20"/>
                <w:szCs w:val="20"/>
                <w:color w:val="auto"/>
              </w:rPr>
            </w:pPr>
            <w:r>
              <w:rPr>
                <w:rFonts w:ascii="Arial" w:cs="Arial" w:eastAsia="Arial" w:hAnsi="Arial"/>
                <w:sz w:val="16"/>
                <w:szCs w:val="16"/>
                <w:color w:val="auto"/>
                <w:w w:val="89"/>
              </w:rPr>
              <w:t>59</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(7,603)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vMerge w:val="restart"/>
          </w:tcPr>
          <w:p>
            <w:pPr>
              <w:jc w:val="right"/>
              <w:ind w:right="104"/>
              <w:spacing w:after="0"/>
              <w:rPr>
                <w:sz w:val="20"/>
                <w:szCs w:val="20"/>
                <w:color w:val="auto"/>
              </w:rPr>
            </w:pPr>
            <w:r>
              <w:rPr>
                <w:rFonts w:ascii="Arial" w:cs="Arial" w:eastAsia="Arial" w:hAnsi="Arial"/>
                <w:sz w:val="16"/>
                <w:szCs w:val="16"/>
                <w:color w:val="auto"/>
              </w:rPr>
              <w:t>(1)</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Asia</w:t>
            </w: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880" w:type="dxa"/>
            <w:vAlign w:val="bottom"/>
            <w:shd w:val="clear" w:color="auto" w:fill="CCEEFF"/>
          </w:tcPr>
          <w:p>
            <w:pPr>
              <w:ind w:left="500"/>
              <w:spacing w:after="0" w:line="132" w:lineRule="exact"/>
              <w:rPr>
                <w:sz w:val="20"/>
                <w:szCs w:val="20"/>
                <w:color w:val="auto"/>
              </w:rPr>
            </w:pPr>
            <w:r>
              <w:rPr>
                <w:rFonts w:ascii="Arial" w:cs="Arial" w:eastAsia="Arial" w:hAnsi="Arial"/>
                <w:sz w:val="14"/>
                <w:szCs w:val="14"/>
                <w:color w:val="auto"/>
              </w:rPr>
              <w:t>Total</w:t>
            </w:r>
          </w:p>
        </w:tc>
        <w:tc>
          <w:tcPr>
            <w:tcW w:w="66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7,318,286</w:t>
            </w:r>
          </w:p>
        </w:tc>
        <w:tc>
          <w:tcPr>
            <w:tcW w:w="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5,603,056</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5,991,065</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67"/>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1,715,230</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ind w:right="166"/>
              <w:spacing w:after="0"/>
              <w:rPr>
                <w:sz w:val="20"/>
                <w:szCs w:val="20"/>
                <w:color w:val="auto"/>
              </w:rPr>
            </w:pPr>
            <w:r>
              <w:rPr>
                <w:rFonts w:ascii="Arial" w:cs="Arial" w:eastAsia="Arial" w:hAnsi="Arial"/>
                <w:sz w:val="16"/>
                <w:szCs w:val="16"/>
                <w:color w:val="auto"/>
                <w:w w:val="89"/>
              </w:rPr>
              <w:t>31</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(388,009)</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104"/>
              <w:spacing w:after="0"/>
              <w:rPr>
                <w:sz w:val="20"/>
                <w:szCs w:val="20"/>
                <w:color w:val="auto"/>
              </w:rPr>
            </w:pPr>
            <w:r>
              <w:rPr>
                <w:rFonts w:ascii="Arial" w:cs="Arial" w:eastAsia="Arial" w:hAnsi="Arial"/>
                <w:sz w:val="16"/>
                <w:szCs w:val="16"/>
                <w:color w:val="auto"/>
              </w:rPr>
              <w:t>(6)</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8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Revenue</w:t>
            </w:r>
          </w:p>
        </w:tc>
        <w:tc>
          <w:tcPr>
            <w:tcW w:w="6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19"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sum of the individual percentages may not equal the total due to rounding.</w:t>
      </w:r>
    </w:p>
    <w:p>
      <w:pPr>
        <w:spacing w:after="0" w:line="106" w:lineRule="exact"/>
        <w:rPr>
          <w:sz w:val="20"/>
          <w:szCs w:val="20"/>
          <w:color w:val="auto"/>
        </w:rPr>
      </w:pPr>
    </w:p>
    <w:p>
      <w:pPr>
        <w:ind w:right="240" w:firstLine="351"/>
        <w:spacing w:after="0" w:line="335" w:lineRule="auto"/>
        <w:rPr>
          <w:sz w:val="20"/>
          <w:szCs w:val="20"/>
          <w:color w:val="auto"/>
        </w:rPr>
      </w:pPr>
      <w:r>
        <w:rPr>
          <w:rFonts w:ascii="Arial" w:cs="Arial" w:eastAsia="Arial" w:hAnsi="Arial"/>
          <w:sz w:val="14"/>
          <w:szCs w:val="14"/>
          <w:color w:val="auto"/>
        </w:rPr>
        <w:t>In all periods presented, the predominant countries comprising “Rest of North and South America” are Canada and Mexico; the predominant countries comprising “Europe” are Germany, Sweden, and the Netherlands; and the predominant countries comprising “Rest of Asia” are Taiwan, Malaysia, South Korea and Singapore.</w:t>
      </w:r>
    </w:p>
    <w:p>
      <w:pPr>
        <w:spacing w:after="0" w:line="30" w:lineRule="exact"/>
        <w:rPr>
          <w:sz w:val="20"/>
          <w:szCs w:val="20"/>
          <w:color w:val="auto"/>
        </w:rPr>
      </w:pPr>
    </w:p>
    <w:p>
      <w:pPr>
        <w:ind w:right="160" w:firstLine="386"/>
        <w:spacing w:after="0" w:line="253" w:lineRule="auto"/>
        <w:rPr>
          <w:sz w:val="20"/>
          <w:szCs w:val="20"/>
          <w:color w:val="auto"/>
        </w:rPr>
      </w:pPr>
      <w:r>
        <w:rPr>
          <w:rFonts w:ascii="Arial" w:cs="Arial" w:eastAsia="Arial" w:hAnsi="Arial"/>
          <w:sz w:val="16"/>
          <w:szCs w:val="16"/>
          <w:color w:val="auto"/>
        </w:rPr>
        <w:t>Total revenue increased in fiscal 2021 as compared to fiscal 2020 due to broad-based, global demand in the semiconductor industry as well as the incremental impact of revenue from the Acquisition. We saw increases across all end markets in territories, with the exception of sales into the Communication end market in China, which was impacted by infrastructure deployment cycles as noted above.</w:t>
      </w: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340"/>
          </w:cols>
          <w:pgMar w:left="320" w:top="903"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color w:val="auto"/>
        </w:rPr>
        <w:t>Gross Margin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Change</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9"/>
        </w:trPr>
        <w:tc>
          <w:tcPr>
            <w:tcW w:w="2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Fiscal Year</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5"/>
          </w:tcPr>
          <w:p>
            <w:pPr>
              <w:jc w:val="right"/>
              <w:ind w:right="982"/>
              <w:spacing w:after="0"/>
              <w:rPr>
                <w:sz w:val="20"/>
                <w:szCs w:val="20"/>
                <w:color w:val="auto"/>
              </w:rPr>
            </w:pPr>
            <w:r>
              <w:rPr>
                <w:rFonts w:ascii="Arial" w:cs="Arial" w:eastAsia="Arial" w:hAnsi="Arial"/>
                <w:sz w:val="12"/>
                <w:szCs w:val="12"/>
                <w:b w:val="1"/>
                <w:bCs w:val="1"/>
                <w:color w:val="auto"/>
              </w:rPr>
              <w:t>2021 over 2020</w:t>
            </w:r>
          </w:p>
        </w:tc>
        <w:tc>
          <w:tcPr>
            <w:tcW w:w="2000" w:type="dxa"/>
            <w:vAlign w:val="bottom"/>
            <w:gridSpan w:val="3"/>
          </w:tcPr>
          <w:p>
            <w:pPr>
              <w:jc w:val="right"/>
              <w:ind w:right="650"/>
              <w:spacing w:after="0"/>
              <w:rPr>
                <w:sz w:val="20"/>
                <w:szCs w:val="20"/>
                <w:color w:val="auto"/>
              </w:rPr>
            </w:pPr>
            <w:r>
              <w:rPr>
                <w:rFonts w:ascii="Arial" w:cs="Arial" w:eastAsia="Arial" w:hAnsi="Arial"/>
                <w:sz w:val="12"/>
                <w:szCs w:val="12"/>
                <w:b w:val="1"/>
                <w:bCs w:val="1"/>
                <w:color w:val="auto"/>
              </w:rPr>
              <w:t>2020 over 2019</w:t>
            </w:r>
          </w:p>
        </w:tc>
      </w:tr>
      <w:tr>
        <w:trPr>
          <w:trHeight w:val="155"/>
        </w:trPr>
        <w:tc>
          <w:tcPr>
            <w:tcW w:w="2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 Change</w:t>
            </w: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 Change</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 Change</w:t>
            </w:r>
          </w:p>
        </w:tc>
      </w:tr>
      <w:tr>
        <w:trPr>
          <w:trHeight w:val="192"/>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margin</w:t>
            </w: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6"/>
                <w:szCs w:val="16"/>
                <w:color w:val="auto"/>
              </w:rPr>
              <w:t>4,525,012</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6"/>
                <w:szCs w:val="16"/>
                <w:color w:val="auto"/>
              </w:rPr>
              <w:t>3,690,478</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4,013,750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834,534</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(323,272)</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99"/>
        </w:trPr>
        <w:tc>
          <w:tcPr>
            <w:tcW w:w="2380" w:type="dxa"/>
            <w:vAlign w:val="bottom"/>
          </w:tcPr>
          <w:p>
            <w:pPr>
              <w:spacing w:after="0"/>
              <w:rPr>
                <w:sz w:val="20"/>
                <w:szCs w:val="20"/>
                <w:color w:val="auto"/>
              </w:rPr>
            </w:pPr>
            <w:r>
              <w:rPr>
                <w:rFonts w:ascii="Arial" w:cs="Arial" w:eastAsia="Arial" w:hAnsi="Arial"/>
                <w:sz w:val="16"/>
                <w:szCs w:val="16"/>
                <w:color w:val="auto"/>
              </w:rPr>
              <w:t>Gross margin %</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61.8 %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65.9 %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174" w:lineRule="exact"/>
        <w:rPr>
          <w:sz w:val="20"/>
          <w:szCs w:val="20"/>
          <w:color w:val="auto"/>
        </w:rPr>
      </w:pPr>
    </w:p>
    <w:p>
      <w:pPr>
        <w:ind w:right="240" w:firstLine="351"/>
        <w:spacing w:after="0" w:line="250" w:lineRule="auto"/>
        <w:rPr>
          <w:sz w:val="20"/>
          <w:szCs w:val="20"/>
          <w:color w:val="auto"/>
        </w:rPr>
      </w:pPr>
      <w:r>
        <w:rPr>
          <w:rFonts w:ascii="Arial" w:cs="Arial" w:eastAsia="Arial" w:hAnsi="Arial"/>
          <w:sz w:val="16"/>
          <w:szCs w:val="16"/>
          <w:color w:val="auto"/>
        </w:rPr>
        <w:t>Gross margin percentage in fiscal 2021 decreased by 410 basis points compared to fiscal 2020, primarily as a result of recording additional costs related to the Acquisition, including $331.1 million and $155.4 million of cost of goods sold related to the fair value adjustments recorded to inventory and amortization expense of intangible assets, respectively. These increases in cost of sales as a result of the Acquisition were partially offset by the favorable impact of higher utilization of our factories due to increased customer demand.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(R&amp;D)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Change</w:t>
            </w: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9"/>
        </w:trPr>
        <w:tc>
          <w:tcPr>
            <w:tcW w:w="2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Fiscal Year</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5"/>
          </w:tcPr>
          <w:p>
            <w:pPr>
              <w:jc w:val="right"/>
              <w:ind w:right="982"/>
              <w:spacing w:after="0"/>
              <w:rPr>
                <w:sz w:val="20"/>
                <w:szCs w:val="20"/>
                <w:color w:val="auto"/>
              </w:rPr>
            </w:pPr>
            <w:r>
              <w:rPr>
                <w:rFonts w:ascii="Arial" w:cs="Arial" w:eastAsia="Arial" w:hAnsi="Arial"/>
                <w:sz w:val="12"/>
                <w:szCs w:val="12"/>
                <w:b w:val="1"/>
                <w:bCs w:val="1"/>
                <w:color w:val="auto"/>
              </w:rPr>
              <w:t>2021 over 2020</w:t>
            </w:r>
          </w:p>
        </w:tc>
        <w:tc>
          <w:tcPr>
            <w:tcW w:w="1980" w:type="dxa"/>
            <w:vAlign w:val="bottom"/>
            <w:gridSpan w:val="3"/>
          </w:tcPr>
          <w:p>
            <w:pPr>
              <w:jc w:val="right"/>
              <w:ind w:right="650"/>
              <w:spacing w:after="0"/>
              <w:rPr>
                <w:sz w:val="20"/>
                <w:szCs w:val="20"/>
                <w:color w:val="auto"/>
              </w:rPr>
            </w:pPr>
            <w:r>
              <w:rPr>
                <w:rFonts w:ascii="Arial" w:cs="Arial" w:eastAsia="Arial" w:hAnsi="Arial"/>
                <w:sz w:val="12"/>
                <w:szCs w:val="12"/>
                <w:b w:val="1"/>
                <w:bCs w:val="1"/>
                <w:color w:val="auto"/>
              </w:rPr>
              <w:t>2020 over 2019</w:t>
            </w:r>
          </w:p>
        </w:tc>
      </w:tr>
      <w:tr>
        <w:trPr>
          <w:trHeight w:val="155"/>
        </w:trPr>
        <w:tc>
          <w:tcPr>
            <w:tcW w:w="24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 Change</w:t>
            </w: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 Change</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 Change</w:t>
            </w:r>
          </w:p>
        </w:tc>
      </w:tr>
      <w:tr>
        <w:trPr>
          <w:trHeight w:val="192"/>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R&amp;D expenses</w:t>
            </w: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1,296,126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6"/>
                <w:szCs w:val="16"/>
                <w:color w:val="auto"/>
              </w:rPr>
              <w:t>1,050,519</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1,130,348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245,607</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(79,829)</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199"/>
        </w:trPr>
        <w:tc>
          <w:tcPr>
            <w:tcW w:w="2480" w:type="dxa"/>
            <w:vAlign w:val="bottom"/>
          </w:tcPr>
          <w:p>
            <w:pPr>
              <w:spacing w:after="0"/>
              <w:rPr>
                <w:sz w:val="20"/>
                <w:szCs w:val="20"/>
                <w:color w:val="auto"/>
              </w:rPr>
            </w:pPr>
            <w:r>
              <w:rPr>
                <w:rFonts w:ascii="Arial" w:cs="Arial" w:eastAsia="Arial" w:hAnsi="Arial"/>
                <w:sz w:val="16"/>
                <w:szCs w:val="16"/>
                <w:color w:val="auto"/>
              </w:rPr>
              <w:t>R&amp;D expenses as a % of revenue</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10" w:lineRule="exact"/>
        <w:rPr>
          <w:sz w:val="20"/>
          <w:szCs w:val="20"/>
          <w:color w:val="auto"/>
        </w:rPr>
      </w:pPr>
    </w:p>
    <w:p>
      <w:pPr>
        <w:ind w:right="200" w:firstLine="351"/>
        <w:spacing w:after="0" w:line="263" w:lineRule="auto"/>
        <w:rPr>
          <w:sz w:val="20"/>
          <w:szCs w:val="20"/>
          <w:color w:val="auto"/>
        </w:rPr>
      </w:pPr>
      <w:r>
        <w:rPr>
          <w:rFonts w:ascii="Arial" w:cs="Arial" w:eastAsia="Arial" w:hAnsi="Arial"/>
          <w:sz w:val="16"/>
          <w:szCs w:val="16"/>
          <w:color w:val="auto"/>
        </w:rPr>
        <w:t>R&amp;D expenses increased in fiscal 2021 as compared to fiscal 2020 primarily as a result of higher R&amp;D employee-related variable compensation expense, incremental R&amp;D expenses incurred as a result of the Acquisition and higher salary and benefit expenses.</w:t>
      </w:r>
    </w:p>
    <w:p>
      <w:pPr>
        <w:spacing w:after="0" w:line="111" w:lineRule="exact"/>
        <w:rPr>
          <w:sz w:val="20"/>
          <w:szCs w:val="20"/>
          <w:color w:val="auto"/>
        </w:rPr>
      </w:pPr>
    </w:p>
    <w:p>
      <w:pPr>
        <w:ind w:right="60" w:firstLine="386"/>
        <w:spacing w:after="0" w:line="250" w:lineRule="auto"/>
        <w:rPr>
          <w:sz w:val="20"/>
          <w:szCs w:val="20"/>
          <w:color w:val="auto"/>
        </w:rPr>
      </w:pPr>
      <w:r>
        <w:rPr>
          <w:rFonts w:ascii="Arial" w:cs="Arial" w:eastAsia="Arial" w:hAnsi="Arial"/>
          <w:sz w:val="16"/>
          <w:szCs w:val="16"/>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Marketing, General and Administrative (SMG&amp;A)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Change</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9"/>
        </w:trPr>
        <w:tc>
          <w:tcPr>
            <w:tcW w:w="2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Fiscal Year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right"/>
              <w:ind w:right="962"/>
              <w:spacing w:after="0"/>
              <w:rPr>
                <w:sz w:val="20"/>
                <w:szCs w:val="20"/>
                <w:color w:val="auto"/>
              </w:rPr>
            </w:pPr>
            <w:r>
              <w:rPr>
                <w:rFonts w:ascii="Arial" w:cs="Arial" w:eastAsia="Arial" w:hAnsi="Arial"/>
                <w:sz w:val="12"/>
                <w:szCs w:val="12"/>
                <w:b w:val="1"/>
                <w:bCs w:val="1"/>
                <w:color w:val="auto"/>
              </w:rPr>
              <w:t>2021 over 2020</w:t>
            </w:r>
          </w:p>
        </w:tc>
        <w:tc>
          <w:tcPr>
            <w:tcW w:w="2000" w:type="dxa"/>
            <w:vAlign w:val="bottom"/>
            <w:gridSpan w:val="3"/>
          </w:tcPr>
          <w:p>
            <w:pPr>
              <w:jc w:val="right"/>
              <w:ind w:right="650"/>
              <w:spacing w:after="0"/>
              <w:rPr>
                <w:sz w:val="20"/>
                <w:szCs w:val="20"/>
                <w:color w:val="auto"/>
              </w:rPr>
            </w:pPr>
            <w:r>
              <w:rPr>
                <w:rFonts w:ascii="Arial" w:cs="Arial" w:eastAsia="Arial" w:hAnsi="Arial"/>
                <w:sz w:val="12"/>
                <w:szCs w:val="12"/>
                <w:b w:val="1"/>
                <w:bCs w:val="1"/>
                <w:color w:val="auto"/>
              </w:rPr>
              <w:t>2020 over 2019</w:t>
            </w:r>
          </w:p>
        </w:tc>
      </w:tr>
      <w:tr>
        <w:trPr>
          <w:trHeight w:val="155"/>
        </w:trPr>
        <w:tc>
          <w:tcPr>
            <w:tcW w:w="25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 Change</w:t>
            </w: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 Change</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 Change</w:t>
            </w:r>
          </w:p>
        </w:tc>
      </w:tr>
      <w:tr>
        <w:trPr>
          <w:trHeight w:val="192"/>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SMG&amp;A expenses</w:t>
            </w: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6"/>
                <w:szCs w:val="16"/>
                <w:color w:val="auto"/>
              </w:rPr>
              <w:t>915,418</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6"/>
                <w:szCs w:val="16"/>
                <w:color w:val="auto"/>
              </w:rPr>
              <w:t>659,923</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648,094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255,495</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6"/>
                <w:szCs w:val="16"/>
                <w:color w:val="auto"/>
              </w:rPr>
              <w:t>11,829</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199"/>
        </w:trPr>
        <w:tc>
          <w:tcPr>
            <w:tcW w:w="2520" w:type="dxa"/>
            <w:vAlign w:val="bottom"/>
          </w:tcPr>
          <w:p>
            <w:pPr>
              <w:spacing w:after="0"/>
              <w:rPr>
                <w:sz w:val="20"/>
                <w:szCs w:val="20"/>
                <w:color w:val="auto"/>
              </w:rPr>
            </w:pPr>
            <w:r>
              <w:rPr>
                <w:rFonts w:ascii="Arial" w:cs="Arial" w:eastAsia="Arial" w:hAnsi="Arial"/>
                <w:sz w:val="16"/>
                <w:szCs w:val="16"/>
                <w:color w:val="auto"/>
                <w:w w:val="94"/>
              </w:rPr>
              <w:t>SMG&amp;A expenses as a % of revenue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10" w:lineRule="exact"/>
        <w:rPr>
          <w:sz w:val="20"/>
          <w:szCs w:val="20"/>
          <w:color w:val="auto"/>
        </w:rPr>
      </w:pPr>
    </w:p>
    <w:p>
      <w:pPr>
        <w:jc w:val="both"/>
        <w:ind w:right="120" w:firstLine="351"/>
        <w:spacing w:after="0" w:line="263" w:lineRule="auto"/>
        <w:rPr>
          <w:sz w:val="20"/>
          <w:szCs w:val="20"/>
          <w:color w:val="auto"/>
        </w:rPr>
      </w:pPr>
      <w:r>
        <w:rPr>
          <w:rFonts w:ascii="Arial" w:cs="Arial" w:eastAsia="Arial" w:hAnsi="Arial"/>
          <w:sz w:val="16"/>
          <w:szCs w:val="16"/>
          <w:color w:val="auto"/>
        </w:rPr>
        <w:t>SMG&amp;A expenses increased in fiscal 2021 as compared to fiscal 2020, primarily as a result of higher costs due to acquisition-related transaction costs, incremental SMG&amp;A expenses incurred as a result of the Acquisition and higher variable compensation expense and salary and benefit 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Amortization of Intangibles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Change</w:t>
            </w: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Fiscal Year</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right"/>
              <w:ind w:right="962"/>
              <w:spacing w:after="0"/>
              <w:rPr>
                <w:sz w:val="20"/>
                <w:szCs w:val="20"/>
                <w:color w:val="auto"/>
              </w:rPr>
            </w:pPr>
            <w:r>
              <w:rPr>
                <w:rFonts w:ascii="Arial" w:cs="Arial" w:eastAsia="Arial" w:hAnsi="Arial"/>
                <w:sz w:val="12"/>
                <w:szCs w:val="12"/>
                <w:b w:val="1"/>
                <w:bCs w:val="1"/>
                <w:color w:val="auto"/>
              </w:rPr>
              <w:t>2021 over 2020</w:t>
            </w:r>
          </w:p>
        </w:tc>
        <w:tc>
          <w:tcPr>
            <w:tcW w:w="1980" w:type="dxa"/>
            <w:vAlign w:val="bottom"/>
            <w:gridSpan w:val="3"/>
          </w:tcPr>
          <w:p>
            <w:pPr>
              <w:ind w:left="480"/>
              <w:spacing w:after="0"/>
              <w:rPr>
                <w:sz w:val="20"/>
                <w:szCs w:val="20"/>
                <w:color w:val="auto"/>
              </w:rPr>
            </w:pPr>
            <w:r>
              <w:rPr>
                <w:rFonts w:ascii="Arial" w:cs="Arial" w:eastAsia="Arial" w:hAnsi="Arial"/>
                <w:sz w:val="12"/>
                <w:szCs w:val="12"/>
                <w:b w:val="1"/>
                <w:bCs w:val="1"/>
                <w:color w:val="auto"/>
              </w:rPr>
              <w:t>2020 over 2019</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3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 Change</w:t>
            </w: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 Change</w:t>
            </w:r>
          </w:p>
        </w:tc>
        <w:tc>
          <w:tcPr>
            <w:tcW w:w="1000" w:type="dxa"/>
            <w:vAlign w:val="bottom"/>
            <w:tcBorders>
              <w:top w:val="single" w:sz="8" w:color="auto"/>
            </w:tcBorders>
          </w:tcPr>
          <w:p>
            <w:pPr>
              <w:ind w:left="22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92"/>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Amortization expenses</w:t>
            </w: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536,811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6"/>
                <w:szCs w:val="16"/>
                <w:color w:val="auto"/>
              </w:rPr>
              <w:t>429,455</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429,041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107,356</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6"/>
                <w:szCs w:val="16"/>
                <w:color w:val="auto"/>
              </w:rPr>
              <w:t>414</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w w:val="92"/>
              </w:rPr>
              <w:t>— %</w:t>
            </w:r>
          </w:p>
        </w:tc>
        <w:tc>
          <w:tcPr>
            <w:tcW w:w="0" w:type="dxa"/>
            <w:vAlign w:val="bottom"/>
          </w:tcPr>
          <w:p>
            <w:pPr>
              <w:spacing w:after="0"/>
              <w:rPr>
                <w:sz w:val="1"/>
                <w:szCs w:val="1"/>
                <w:color w:val="auto"/>
              </w:rPr>
            </w:pPr>
          </w:p>
        </w:tc>
      </w:tr>
      <w:tr>
        <w:trPr>
          <w:trHeight w:val="152"/>
        </w:trPr>
        <w:tc>
          <w:tcPr>
            <w:tcW w:w="2540" w:type="dxa"/>
            <w:vAlign w:val="bottom"/>
          </w:tcPr>
          <w:p>
            <w:pPr>
              <w:spacing w:after="0" w:line="152" w:lineRule="exact"/>
              <w:rPr>
                <w:sz w:val="20"/>
                <w:szCs w:val="20"/>
                <w:color w:val="auto"/>
              </w:rPr>
            </w:pPr>
            <w:r>
              <w:rPr>
                <w:rFonts w:ascii="Arial" w:cs="Arial" w:eastAsia="Arial" w:hAnsi="Arial"/>
                <w:sz w:val="16"/>
                <w:szCs w:val="16"/>
                <w:color w:val="auto"/>
              </w:rPr>
              <w:t>Amortization expenses as a % of</w:t>
            </w: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540" w:type="dxa"/>
            <w:vAlign w:val="bottom"/>
          </w:tcPr>
          <w:p>
            <w:pPr>
              <w:spacing w:after="0"/>
              <w:rPr>
                <w:sz w:val="20"/>
                <w:szCs w:val="20"/>
                <w:color w:val="auto"/>
              </w:rPr>
            </w:pPr>
            <w:r>
              <w:rPr>
                <w:rFonts w:ascii="Arial" w:cs="Arial" w:eastAsia="Arial" w:hAnsi="Arial"/>
                <w:sz w:val="16"/>
                <w:szCs w:val="16"/>
                <w:color w:val="auto"/>
              </w:rPr>
              <w:t>revenue</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51"/>
        <w:spacing w:after="0" w:line="263" w:lineRule="auto"/>
        <w:rPr>
          <w:sz w:val="20"/>
          <w:szCs w:val="20"/>
          <w:color w:val="auto"/>
        </w:rPr>
      </w:pPr>
      <w:r>
        <w:rPr>
          <w:rFonts w:ascii="Arial" w:cs="Arial" w:eastAsia="Arial" w:hAnsi="Arial"/>
          <w:sz w:val="16"/>
          <w:szCs w:val="16"/>
          <w:color w:val="auto"/>
        </w:rPr>
        <w:t>Amortization expenses increased in fiscal 2021 as compared to fiscal 2020, primarily as a result of $105.8 million of amortization expense of intangible assets recorded as part of the Acquisition.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934" w:right="319" w:bottom="1440" w:gutter="0" w:footer="0" w:header="0"/>
        </w:sectPr>
      </w:pPr>
    </w:p>
    <w:bookmarkStart w:id="33" w:name="page34"/>
    <w:bookmarkEnd w:id="33"/>
    <w:p>
      <w:pPr>
        <w:spacing w:after="0"/>
        <w:rPr>
          <w:sz w:val="20"/>
          <w:szCs w:val="20"/>
          <w:color w:val="auto"/>
        </w:rPr>
      </w:pPr>
      <w:r>
        <w:rPr>
          <w:rFonts w:ascii="Arial" w:cs="Arial" w:eastAsia="Arial" w:hAnsi="Arial"/>
          <w:sz w:val="16"/>
          <w:szCs w:val="16"/>
          <w:i w:val="1"/>
          <w:iCs w:val="1"/>
          <w:color w:val="auto"/>
        </w:rPr>
        <w:t>Special Charges, Net</w:t>
      </w:r>
    </w:p>
    <w:p>
      <w:pPr>
        <w:spacing w:after="0" w:line="120" w:lineRule="exact"/>
        <w:rPr>
          <w:sz w:val="20"/>
          <w:szCs w:val="20"/>
          <w:color w:val="auto"/>
        </w:rPr>
      </w:pPr>
    </w:p>
    <w:p>
      <w:pPr>
        <w:ind w:right="220" w:firstLine="386"/>
        <w:spacing w:after="0" w:line="331" w:lineRule="auto"/>
        <w:rPr>
          <w:sz w:val="20"/>
          <w:szCs w:val="20"/>
          <w:color w:val="auto"/>
        </w:rPr>
      </w:pPr>
      <w:r>
        <w:rPr>
          <w:rFonts w:ascii="Arial" w:cs="Arial" w:eastAsia="Arial" w:hAnsi="Arial"/>
          <w:sz w:val="14"/>
          <w:szCs w:val="14"/>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w:t>
      </w:r>
    </w:p>
    <w:p>
      <w:pPr>
        <w:ind w:right="180" w:firstLine="210"/>
        <w:spacing w:after="0" w:line="247" w:lineRule="auto"/>
        <w:rPr>
          <w:sz w:val="20"/>
          <w:szCs w:val="20"/>
          <w:color w:val="auto"/>
        </w:rPr>
      </w:pPr>
      <w:r>
        <w:rPr>
          <w:rFonts w:ascii="Arial" w:cs="Arial" w:eastAsia="Arial" w:hAnsi="Arial"/>
          <w:sz w:val="16"/>
          <w:szCs w:val="16"/>
          <w:i w:val="1"/>
          <w:iCs w:val="1"/>
          <w:color w:val="auto"/>
        </w:rPr>
        <w:t xml:space="preserve">Closure of Manufacturing Facilities: </w:t>
      </w:r>
      <w:r>
        <w:rPr>
          <w:rFonts w:ascii="Arial" w:cs="Arial" w:eastAsia="Arial" w:hAnsi="Arial"/>
          <w:sz w:val="16"/>
          <w:szCs w:val="16"/>
          <w:color w:val="auto"/>
        </w:rPr>
        <w:t>We recorded special charges as a result of our decision to consolidate certain wafer and test facility operations acquired as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of Linear. The special charges include severance and fringe benefit costs, in accordance with the Company's ongoing benefit plan or statutory requirements at foreign locations and one-time termination benefits for the impacted employees and other exit costs. These one-time termination benefits are being recognized over the future service period required for employees to earn these benefits. In addition, as a result of management's plan to close certain wafer and test facility operations acquired as part of the acquisition of Linear Technology Corporation (Linear), the Company sold its facility in Singapore and ceased production at its Hillview manufacturing facility in Milpitas, California during fiscal 2021.</w:t>
      </w:r>
    </w:p>
    <w:p>
      <w:pPr>
        <w:spacing w:after="0" w:line="68" w:lineRule="exact"/>
        <w:rPr>
          <w:sz w:val="20"/>
          <w:szCs w:val="20"/>
          <w:color w:val="auto"/>
        </w:rPr>
      </w:pPr>
    </w:p>
    <w:p>
      <w:pPr>
        <w:jc w:val="both"/>
        <w:ind w:right="20" w:firstLine="210"/>
        <w:spacing w:after="0" w:line="307" w:lineRule="auto"/>
        <w:rPr>
          <w:sz w:val="20"/>
          <w:szCs w:val="20"/>
          <w:color w:val="auto"/>
        </w:rPr>
      </w:pPr>
      <w:r>
        <w:rPr>
          <w:rFonts w:ascii="Arial" w:cs="Arial" w:eastAsia="Arial" w:hAnsi="Arial"/>
          <w:sz w:val="14"/>
          <w:szCs w:val="14"/>
          <w:i w:val="1"/>
          <w:iCs w:val="1"/>
          <w:color w:val="auto"/>
        </w:rPr>
        <w:t xml:space="preserve">Repositioning Actions: </w:t>
      </w:r>
      <w:r>
        <w:rPr>
          <w:rFonts w:ascii="Arial" w:cs="Arial" w:eastAsia="Arial" w:hAnsi="Arial"/>
          <w:sz w:val="14"/>
          <w:szCs w:val="14"/>
          <w:color w:val="auto"/>
        </w:rPr>
        <w:t>In fiscal 2020, we recorded special charges of $49.4 million as a result of organizational initiatives to better align its global workforce with its long-term</w:t>
      </w:r>
      <w:r>
        <w:rPr>
          <w:rFonts w:ascii="Arial" w:cs="Arial" w:eastAsia="Arial" w:hAnsi="Arial"/>
          <w:sz w:val="14"/>
          <w:szCs w:val="14"/>
          <w:i w:val="1"/>
          <w:iCs w:val="1"/>
          <w:color w:val="auto"/>
        </w:rPr>
        <w:t xml:space="preserve"> </w:t>
      </w:r>
      <w:r>
        <w:rPr>
          <w:rFonts w:ascii="Arial" w:cs="Arial" w:eastAsia="Arial" w:hAnsi="Arial"/>
          <w:sz w:val="14"/>
          <w:szCs w:val="14"/>
          <w:color w:val="auto"/>
        </w:rPr>
        <w:t>strategic plan. The special charges include severance and fringe benefit costs, in accordance with the Company's ongoing benefit plan or statutory requirements at foreign locations and the write-off of acquired intellectual property due to the Company's decision to discontinue certain product development strategies.</w:t>
      </w:r>
    </w:p>
    <w:p>
      <w:pPr>
        <w:spacing w:after="0" w:line="25" w:lineRule="exact"/>
        <w:rPr>
          <w:sz w:val="20"/>
          <w:szCs w:val="20"/>
          <w:color w:val="auto"/>
        </w:rPr>
      </w:pPr>
    </w:p>
    <w:p>
      <w:pPr>
        <w:ind w:right="300" w:firstLine="210"/>
        <w:spacing w:after="0" w:line="263"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other special charges of $83.4 million recognized during fiscal 2021 include severance and benefit costs as well as charges recorded from acceleration of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in connection with the termination of a limited number of employees as part of the integration of the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Income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Change</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9"/>
        </w:trPr>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Fiscal Year</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right"/>
              <w:ind w:right="968"/>
              <w:spacing w:after="0"/>
              <w:rPr>
                <w:sz w:val="20"/>
                <w:szCs w:val="20"/>
                <w:color w:val="auto"/>
              </w:rPr>
            </w:pPr>
            <w:r>
              <w:rPr>
                <w:rFonts w:ascii="Arial" w:cs="Arial" w:eastAsia="Arial" w:hAnsi="Arial"/>
                <w:sz w:val="12"/>
                <w:szCs w:val="12"/>
                <w:b w:val="1"/>
                <w:bCs w:val="1"/>
                <w:color w:val="auto"/>
              </w:rPr>
              <w:t>2021 over 2020</w:t>
            </w:r>
          </w:p>
        </w:tc>
        <w:tc>
          <w:tcPr>
            <w:tcW w:w="2000" w:type="dxa"/>
            <w:vAlign w:val="bottom"/>
            <w:gridSpan w:val="3"/>
          </w:tcPr>
          <w:p>
            <w:pPr>
              <w:jc w:val="right"/>
              <w:ind w:right="650"/>
              <w:spacing w:after="0"/>
              <w:rPr>
                <w:sz w:val="20"/>
                <w:szCs w:val="20"/>
                <w:color w:val="auto"/>
              </w:rPr>
            </w:pPr>
            <w:r>
              <w:rPr>
                <w:rFonts w:ascii="Arial" w:cs="Arial" w:eastAsia="Arial" w:hAnsi="Arial"/>
                <w:sz w:val="12"/>
                <w:szCs w:val="12"/>
                <w:b w:val="1"/>
                <w:bCs w:val="1"/>
                <w:color w:val="auto"/>
              </w:rPr>
              <w:t>2020 over 2019</w:t>
            </w:r>
          </w:p>
        </w:tc>
      </w:tr>
      <w:tr>
        <w:trPr>
          <w:trHeight w:val="155"/>
        </w:trPr>
        <w:tc>
          <w:tcPr>
            <w:tcW w:w="24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 Change</w:t>
            </w: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 Change</w:t>
            </w: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 Change</w:t>
            </w:r>
          </w:p>
        </w:tc>
      </w:tr>
      <w:tr>
        <w:trPr>
          <w:trHeight w:val="192"/>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1,692,201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6"/>
                <w:szCs w:val="16"/>
                <w:color w:val="auto"/>
              </w:rPr>
              <w:t>1,498,244</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6"/>
                <w:szCs w:val="16"/>
                <w:color w:val="auto"/>
              </w:rPr>
              <w:t>1,710,608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193,957</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(212,364)</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199"/>
        </w:trPr>
        <w:tc>
          <w:tcPr>
            <w:tcW w:w="2440" w:type="dxa"/>
            <w:vAlign w:val="bottom"/>
          </w:tcPr>
          <w:p>
            <w:pPr>
              <w:spacing w:after="0"/>
              <w:rPr>
                <w:sz w:val="20"/>
                <w:szCs w:val="20"/>
                <w:color w:val="auto"/>
              </w:rPr>
            </w:pPr>
            <w:r>
              <w:rPr>
                <w:rFonts w:ascii="Arial" w:cs="Arial" w:eastAsia="Arial" w:hAnsi="Arial"/>
                <w:sz w:val="16"/>
                <w:szCs w:val="16"/>
                <w:color w:val="auto"/>
                <w:w w:val="93"/>
              </w:rPr>
              <w:t>Operating income as a % of revenue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23.1 %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10" w:lineRule="exact"/>
        <w:rPr>
          <w:sz w:val="20"/>
          <w:szCs w:val="20"/>
          <w:color w:val="auto"/>
        </w:rPr>
      </w:pPr>
    </w:p>
    <w:p>
      <w:pPr>
        <w:ind w:right="80" w:firstLine="386"/>
        <w:spacing w:after="0" w:line="250" w:lineRule="auto"/>
        <w:rPr>
          <w:sz w:val="20"/>
          <w:szCs w:val="20"/>
          <w:color w:val="auto"/>
        </w:rPr>
      </w:pPr>
      <w:r>
        <w:rPr>
          <w:rFonts w:ascii="Arial" w:cs="Arial" w:eastAsia="Arial" w:hAnsi="Arial"/>
          <w:sz w:val="16"/>
          <w:szCs w:val="16"/>
          <w:color w:val="auto"/>
        </w:rPr>
        <w:t xml:space="preserve">The increase in operating income in fiscal 2021 as compared to fiscal 2020 was primarily the result of a $834.5 million increase in gross margin, partially offset by a $255.5 million increase in SMG&amp;A expenses, a $245.6 million increase in R&amp;D expenses, a $107.4 million increase in amortization expenses and a $32.1 million increase in special charges, net as more fully described above under the headings </w:t>
      </w:r>
      <w:r>
        <w:rPr>
          <w:rFonts w:ascii="Arial" w:cs="Arial" w:eastAsia="Arial" w:hAnsi="Arial"/>
          <w:sz w:val="16"/>
          <w:szCs w:val="16"/>
          <w:i w:val="1"/>
          <w:iCs w:val="1"/>
          <w:color w:val="auto"/>
        </w:rPr>
        <w:t>Gross Margin, Selling, Marketing, General and Administrative (SMG&amp;A), Research and Development (R&amp;D),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Amortization of Intangibles </w:t>
      </w:r>
      <w:r>
        <w:rPr>
          <w:rFonts w:ascii="Arial" w:cs="Arial" w:eastAsia="Arial" w:hAnsi="Arial"/>
          <w:sz w:val="16"/>
          <w:szCs w:val="16"/>
          <w:color w:val="auto"/>
        </w:rPr>
        <w:t>and</w:t>
      </w:r>
      <w:r>
        <w:rPr>
          <w:rFonts w:ascii="Arial" w:cs="Arial" w:eastAsia="Arial" w:hAnsi="Arial"/>
          <w:sz w:val="16"/>
          <w:szCs w:val="16"/>
          <w:i w:val="1"/>
          <w:iCs w:val="1"/>
          <w:color w:val="auto"/>
        </w:rPr>
        <w:t xml:space="preserve"> Special Charges, Net</w:t>
      </w:r>
      <w:r>
        <w:rPr>
          <w:rFonts w:ascii="Arial" w:cs="Arial" w:eastAsia="Arial" w:hAnsi="Arial"/>
          <w:sz w:val="16"/>
          <w:szCs w:val="16"/>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Nonoperating (Income) Expense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Change</w:t>
            </w:r>
          </w:p>
        </w:tc>
        <w:tc>
          <w:tcPr>
            <w:tcW w:w="1100" w:type="dxa"/>
            <w:vAlign w:val="bottom"/>
            <w:tcBorders>
              <w:bottom w:val="single" w:sz="8" w:color="auto"/>
            </w:tcBorders>
          </w:tcPr>
          <w:p>
            <w:pPr>
              <w:spacing w:after="0"/>
              <w:rPr>
                <w:sz w:val="14"/>
                <w:szCs w:val="14"/>
                <w:color w:val="auto"/>
              </w:rPr>
            </w:pPr>
          </w:p>
        </w:tc>
      </w:tr>
      <w:tr>
        <w:trPr>
          <w:trHeight w:val="159"/>
        </w:trPr>
        <w:tc>
          <w:tcPr>
            <w:tcW w:w="4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Fiscal Year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2021 over 2020</w:t>
            </w:r>
          </w:p>
        </w:tc>
        <w:tc>
          <w:tcPr>
            <w:tcW w:w="220" w:type="dxa"/>
            <w:vAlign w:val="bottom"/>
          </w:tcPr>
          <w:p>
            <w:pPr>
              <w:spacing w:after="0"/>
              <w:rPr>
                <w:sz w:val="13"/>
                <w:szCs w:val="13"/>
                <w:color w:val="auto"/>
              </w:rPr>
            </w:pPr>
          </w:p>
        </w:tc>
        <w:tc>
          <w:tcPr>
            <w:tcW w:w="1100" w:type="dxa"/>
            <w:vAlign w:val="bottom"/>
          </w:tcPr>
          <w:p>
            <w:pPr>
              <w:jc w:val="center"/>
              <w:ind w:right="152"/>
              <w:spacing w:after="0"/>
              <w:rPr>
                <w:sz w:val="20"/>
                <w:szCs w:val="20"/>
                <w:color w:val="auto"/>
              </w:rPr>
            </w:pPr>
            <w:r>
              <w:rPr>
                <w:rFonts w:ascii="Arial" w:cs="Arial" w:eastAsia="Arial" w:hAnsi="Arial"/>
                <w:sz w:val="12"/>
                <w:szCs w:val="12"/>
                <w:b w:val="1"/>
                <w:bCs w:val="1"/>
                <w:color w:val="auto"/>
                <w:w w:val="93"/>
              </w:rPr>
              <w:t>2020 over 2019</w:t>
            </w:r>
          </w:p>
        </w:tc>
      </w:tr>
      <w:tr>
        <w:trPr>
          <w:trHeight w:val="155"/>
        </w:trPr>
        <w:tc>
          <w:tcPr>
            <w:tcW w:w="44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w w:val="92"/>
              </w:rPr>
              <w:t>$ Change</w:t>
            </w: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w w:val="92"/>
              </w:rPr>
              <w:t>$ Change</w:t>
            </w:r>
          </w:p>
        </w:tc>
      </w:tr>
      <w:tr>
        <w:trPr>
          <w:trHeight w:val="192"/>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Total Nonoperating expense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363,487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(38,253)</w:t>
            </w:r>
          </w:p>
        </w:tc>
      </w:tr>
    </w:tbl>
    <w:p>
      <w:pPr>
        <w:spacing w:after="0" w:line="175" w:lineRule="exact"/>
        <w:rPr>
          <w:sz w:val="20"/>
          <w:szCs w:val="20"/>
          <w:color w:val="auto"/>
        </w:rPr>
      </w:pPr>
    </w:p>
    <w:p>
      <w:pPr>
        <w:ind w:right="60" w:firstLine="351"/>
        <w:spacing w:after="0" w:line="253" w:lineRule="auto"/>
        <w:rPr>
          <w:sz w:val="20"/>
          <w:szCs w:val="20"/>
          <w:color w:val="auto"/>
        </w:rPr>
      </w:pPr>
      <w:r>
        <w:rPr>
          <w:rFonts w:ascii="Arial" w:cs="Arial" w:eastAsia="Arial" w:hAnsi="Arial"/>
          <w:sz w:val="16"/>
          <w:szCs w:val="16"/>
          <w:color w:val="auto"/>
        </w:rPr>
        <w:t>The year-over-year increase in nonoperating expense in fiscal 2021 as compared to fiscal 2020 was primarily the result of a loss on the extinguishment of debt related to debt transactions in the fourth quarter of fiscal 2021, partially offset by gains recorded on other investments and a decrease in interest expense related to our debt obligations in the period.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(Benefit From) Provision for Income Taxes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Change</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Fiscal Year</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5"/>
          </w:tcPr>
          <w:p>
            <w:pPr>
              <w:jc w:val="right"/>
              <w:ind w:right="1060"/>
              <w:spacing w:after="0"/>
              <w:rPr>
                <w:sz w:val="20"/>
                <w:szCs w:val="20"/>
                <w:color w:val="auto"/>
              </w:rPr>
            </w:pPr>
            <w:r>
              <w:rPr>
                <w:rFonts w:ascii="Arial" w:cs="Arial" w:eastAsia="Arial" w:hAnsi="Arial"/>
                <w:sz w:val="12"/>
                <w:szCs w:val="12"/>
                <w:b w:val="1"/>
                <w:bCs w:val="1"/>
                <w:color w:val="auto"/>
              </w:rPr>
              <w:t>2021 over 2020</w:t>
            </w:r>
          </w:p>
        </w:tc>
        <w:tc>
          <w:tcPr>
            <w:tcW w:w="2000" w:type="dxa"/>
            <w:vAlign w:val="bottom"/>
            <w:gridSpan w:val="3"/>
          </w:tcPr>
          <w:p>
            <w:pPr>
              <w:jc w:val="right"/>
              <w:ind w:right="650"/>
              <w:spacing w:after="0"/>
              <w:rPr>
                <w:sz w:val="20"/>
                <w:szCs w:val="20"/>
                <w:color w:val="auto"/>
              </w:rPr>
            </w:pPr>
            <w:r>
              <w:rPr>
                <w:rFonts w:ascii="Arial" w:cs="Arial" w:eastAsia="Arial" w:hAnsi="Arial"/>
                <w:sz w:val="12"/>
                <w:szCs w:val="12"/>
                <w:b w:val="1"/>
                <w:bCs w:val="1"/>
                <w:color w:val="auto"/>
              </w:rPr>
              <w:t>2020 over 2019</w:t>
            </w:r>
          </w:p>
        </w:tc>
        <w:tc>
          <w:tcPr>
            <w:tcW w:w="0" w:type="dxa"/>
            <w:vAlign w:val="bottom"/>
          </w:tcPr>
          <w:p>
            <w:pPr>
              <w:spacing w:after="0"/>
              <w:rPr>
                <w:sz w:val="1"/>
                <w:szCs w:val="1"/>
                <w:color w:val="auto"/>
              </w:rPr>
            </w:pPr>
          </w:p>
        </w:tc>
      </w:tr>
      <w:tr>
        <w:trPr>
          <w:trHeight w:val="155"/>
        </w:trPr>
        <w:tc>
          <w:tcPr>
            <w:tcW w:w="25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 Change</w:t>
            </w:r>
          </w:p>
        </w:tc>
        <w:tc>
          <w:tcPr>
            <w:tcW w:w="1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2"/>
                <w:szCs w:val="12"/>
                <w:b w:val="1"/>
                <w:bCs w:val="1"/>
                <w:color w:val="auto"/>
              </w:rPr>
              <w:t>$ Change</w:t>
            </w:r>
          </w:p>
        </w:tc>
        <w:tc>
          <w:tcPr>
            <w:tcW w:w="10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33"/>
        </w:trPr>
        <w:tc>
          <w:tcPr>
            <w:tcW w:w="252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(Benefit from) provision for income</w:t>
            </w:r>
          </w:p>
        </w:tc>
        <w:tc>
          <w:tcPr>
            <w:tcW w:w="3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67"/>
              <w:spacing w:after="0"/>
              <w:rPr>
                <w:sz w:val="20"/>
                <w:szCs w:val="20"/>
                <w:color w:val="auto"/>
              </w:rPr>
            </w:pPr>
            <w:r>
              <w:rPr>
                <w:rFonts w:ascii="Arial" w:cs="Arial" w:eastAsia="Arial" w:hAnsi="Arial"/>
                <w:sz w:val="16"/>
                <w:szCs w:val="16"/>
                <w:color w:val="auto"/>
              </w:rPr>
              <w:t>(61,708)</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6"/>
                <w:szCs w:val="16"/>
                <w:color w:val="auto"/>
              </w:rPr>
              <w:t>90,856</w:t>
            </w:r>
          </w:p>
        </w:tc>
        <w:tc>
          <w:tcPr>
            <w:tcW w:w="1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122,717</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(152,564)</w:t>
            </w:r>
          </w:p>
        </w:tc>
        <w:tc>
          <w:tcPr>
            <w:tcW w:w="100" w:type="dxa"/>
            <w:vAlign w:val="bottom"/>
            <w:shd w:val="clear" w:color="auto" w:fill="CCEEFF"/>
          </w:tcPr>
          <w:p>
            <w:pPr>
              <w:spacing w:after="0"/>
              <w:rPr>
                <w:sz w:val="11"/>
                <w:szCs w:val="11"/>
                <w:color w:val="auto"/>
              </w:rPr>
            </w:pPr>
          </w:p>
        </w:tc>
        <w:tc>
          <w:tcPr>
            <w:tcW w:w="13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(168)%  $</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(31,861)</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taxes</w:t>
            </w:r>
          </w:p>
        </w:tc>
        <w:tc>
          <w:tcPr>
            <w:tcW w:w="3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520" w:type="dxa"/>
            <w:vAlign w:val="bottom"/>
          </w:tcPr>
          <w:p>
            <w:pPr>
              <w:spacing w:after="0"/>
              <w:rPr>
                <w:sz w:val="20"/>
                <w:szCs w:val="20"/>
                <w:color w:val="auto"/>
              </w:rPr>
            </w:pPr>
            <w:r>
              <w:rPr>
                <w:rFonts w:ascii="Arial" w:cs="Arial" w:eastAsia="Arial" w:hAnsi="Arial"/>
                <w:sz w:val="16"/>
                <w:szCs w:val="16"/>
                <w:color w:val="auto"/>
              </w:rPr>
              <w:t>Effective income tax rate</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260" w:firstLine="351"/>
        <w:spacing w:after="0" w:line="263" w:lineRule="auto"/>
        <w:rPr>
          <w:sz w:val="20"/>
          <w:szCs w:val="20"/>
          <w:color w:val="auto"/>
        </w:rPr>
      </w:pPr>
      <w:r>
        <w:rPr>
          <w:rFonts w:ascii="Arial" w:cs="Arial" w:eastAsia="Arial" w:hAnsi="Arial"/>
          <w:sz w:val="16"/>
          <w:szCs w:val="16"/>
          <w:color w:val="auto"/>
        </w:rPr>
        <w:t>Our effective tax rates for fiscal 2021 and fiscal 2020 were below the U.S. statutory rate of 21% due to lower statutory tax rates applicable to our operations in the foreign jurisdictions in which we earn income. Our provision for income taxes was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899" w:right="379" w:bottom="1440" w:gutter="0" w:footer="0" w:header="0"/>
        </w:sectPr>
      </w:pPr>
    </w:p>
    <w:bookmarkStart w:id="34" w:name="page35"/>
    <w:bookmarkEnd w:id="34"/>
    <w:p>
      <w:pPr>
        <w:ind w:right="40"/>
        <w:spacing w:after="0" w:line="331" w:lineRule="auto"/>
        <w:rPr>
          <w:sz w:val="20"/>
          <w:szCs w:val="20"/>
          <w:color w:val="auto"/>
        </w:rPr>
      </w:pPr>
      <w:r>
        <w:rPr>
          <w:rFonts w:ascii="Arial" w:cs="Arial" w:eastAsia="Arial" w:hAnsi="Arial"/>
          <w:sz w:val="14"/>
          <w:szCs w:val="14"/>
          <w:color w:val="auto"/>
        </w:rPr>
        <w:t>impacted by incremental profit related to the Acquisition. Additionally, in fiscal 2021, we recorded a net deferred tax benefit of $188.8 million from deferred tax assets related to an intra-entity transfer of intangible assets. For fiscal 2021 and fiscal 2020, our pretax income was primarily generated in Ireland at a tax rate of 12.5%.</w:t>
      </w:r>
    </w:p>
    <w:p>
      <w:pPr>
        <w:ind w:right="40" w:firstLine="351"/>
        <w:spacing w:after="0" w:line="307" w:lineRule="auto"/>
        <w:rPr>
          <w:sz w:val="20"/>
          <w:szCs w:val="20"/>
          <w:color w:val="auto"/>
        </w:rPr>
      </w:pPr>
      <w:r>
        <w:rPr>
          <w:rFonts w:ascii="Arial" w:cs="Arial" w:eastAsia="Arial" w:hAnsi="Arial"/>
          <w:sz w:val="14"/>
          <w:szCs w:val="14"/>
          <w:color w:val="auto"/>
        </w:rPr>
        <w:t>Our tax rate for fiscal 2020 was also impacted by discrete items, primarily related to $25.9 million of income tax benefits resulting from the resolution of the Internal Revenue Service audit of Linear’s pre-acquisition federal income tax returns for fiscal 2015 through fiscal 2017, as well as other income tax benefits recorded upon the filing of our fiscal 2019 federal income tax return and excess tax benefits from stock-based compensation payments of $16.2 million.</w:t>
      </w:r>
    </w:p>
    <w:p>
      <w:pPr>
        <w:spacing w:after="0" w:line="60" w:lineRule="exact"/>
        <w:rPr>
          <w:sz w:val="20"/>
          <w:szCs w:val="20"/>
          <w:color w:val="auto"/>
        </w:rPr>
      </w:pPr>
    </w:p>
    <w:p>
      <w:pPr>
        <w:ind w:right="1040" w:firstLine="351"/>
        <w:spacing w:after="0" w:line="353" w:lineRule="auto"/>
        <w:rPr>
          <w:sz w:val="20"/>
          <w:szCs w:val="20"/>
          <w:color w:val="auto"/>
        </w:rPr>
      </w:pPr>
      <w:r>
        <w:rPr>
          <w:rFonts w:ascii="Arial" w:cs="Arial" w:eastAsia="Arial" w:hAnsi="Arial"/>
          <w:sz w:val="16"/>
          <w:szCs w:val="16"/>
          <w:color w:val="auto"/>
        </w:rPr>
        <w:t xml:space="preserve">See Note 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of the Notes to Consolidated Financial Statements contained in Item 8 of this Annual Report on Form 10-K for further discussion. </w:t>
      </w:r>
      <w:r>
        <w:rPr>
          <w:rFonts w:ascii="Arial" w:cs="Arial" w:eastAsia="Arial" w:hAnsi="Arial"/>
          <w:sz w:val="16"/>
          <w:szCs w:val="16"/>
          <w:i w:val="1"/>
          <w:iCs w:val="1"/>
          <w:color w:val="auto"/>
        </w:rPr>
        <w:t>Net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Change</w:t>
            </w: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9"/>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Fiscal Year</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4"/>
          </w:tcPr>
          <w:p>
            <w:pPr>
              <w:ind w:left="500"/>
              <w:spacing w:after="0"/>
              <w:rPr>
                <w:sz w:val="20"/>
                <w:szCs w:val="20"/>
                <w:color w:val="auto"/>
              </w:rPr>
            </w:pPr>
            <w:r>
              <w:rPr>
                <w:rFonts w:ascii="Arial" w:cs="Arial" w:eastAsia="Arial" w:hAnsi="Arial"/>
                <w:sz w:val="12"/>
                <w:szCs w:val="12"/>
                <w:b w:val="1"/>
                <w:bCs w:val="1"/>
                <w:color w:val="auto"/>
              </w:rPr>
              <w:t>2021 over 2020</w:t>
            </w:r>
          </w:p>
        </w:tc>
        <w:tc>
          <w:tcPr>
            <w:tcW w:w="240" w:type="dxa"/>
            <w:vAlign w:val="bottom"/>
          </w:tcPr>
          <w:p>
            <w:pPr>
              <w:spacing w:after="0"/>
              <w:rPr>
                <w:sz w:val="13"/>
                <w:szCs w:val="13"/>
                <w:color w:val="auto"/>
              </w:rPr>
            </w:pPr>
          </w:p>
        </w:tc>
        <w:tc>
          <w:tcPr>
            <w:tcW w:w="2000" w:type="dxa"/>
            <w:vAlign w:val="bottom"/>
            <w:gridSpan w:val="3"/>
          </w:tcPr>
          <w:p>
            <w:pPr>
              <w:jc w:val="right"/>
              <w:ind w:right="647"/>
              <w:spacing w:after="0"/>
              <w:rPr>
                <w:sz w:val="20"/>
                <w:szCs w:val="20"/>
                <w:color w:val="auto"/>
              </w:rPr>
            </w:pPr>
            <w:r>
              <w:rPr>
                <w:rFonts w:ascii="Arial" w:cs="Arial" w:eastAsia="Arial" w:hAnsi="Arial"/>
                <w:sz w:val="12"/>
                <w:szCs w:val="12"/>
                <w:b w:val="1"/>
                <w:bCs w:val="1"/>
                <w:color w:val="auto"/>
              </w:rPr>
              <w:t>2020 over 2019</w:t>
            </w:r>
          </w:p>
        </w:tc>
      </w:tr>
      <w:tr>
        <w:trPr>
          <w:trHeight w:val="155"/>
        </w:trPr>
        <w:tc>
          <w:tcPr>
            <w:tcW w:w="24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428"/>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 Change</w:t>
            </w: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2"/>
                <w:szCs w:val="12"/>
                <w:b w:val="1"/>
                <w:bCs w:val="1"/>
                <w:color w:val="auto"/>
              </w:rPr>
              <w:t>% Change</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 Change</w:t>
            </w:r>
          </w:p>
        </w:tc>
        <w:tc>
          <w:tcPr>
            <w:tcW w:w="1000" w:type="dxa"/>
            <w:vAlign w:val="bottom"/>
            <w:tcBorders>
              <w:top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 Change</w:t>
            </w:r>
          </w:p>
        </w:tc>
      </w:tr>
      <w:tr>
        <w:trPr>
          <w:trHeight w:val="192"/>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1,390,422</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6"/>
                <w:szCs w:val="16"/>
                <w:color w:val="auto"/>
              </w:rPr>
              <w:t>1,220,761</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1,363,011</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169,661</w:t>
            </w: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(142,250)</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9"/>
        </w:trPr>
        <w:tc>
          <w:tcPr>
            <w:tcW w:w="2480" w:type="dxa"/>
            <w:vAlign w:val="bottom"/>
          </w:tcPr>
          <w:p>
            <w:pPr>
              <w:spacing w:after="0"/>
              <w:rPr>
                <w:sz w:val="20"/>
                <w:szCs w:val="20"/>
                <w:color w:val="auto"/>
              </w:rPr>
            </w:pPr>
            <w:r>
              <w:rPr>
                <w:rFonts w:ascii="Arial" w:cs="Arial" w:eastAsia="Arial" w:hAnsi="Arial"/>
                <w:sz w:val="16"/>
                <w:szCs w:val="16"/>
                <w:color w:val="auto"/>
              </w:rPr>
              <w:t>Net income, as a % of revenue</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22.8 %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9"/>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Diluted EPS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bl>
    <w:p>
      <w:pPr>
        <w:spacing w:after="0" w:line="175" w:lineRule="exact"/>
        <w:rPr>
          <w:sz w:val="20"/>
          <w:szCs w:val="20"/>
          <w:color w:val="auto"/>
        </w:rPr>
      </w:pPr>
    </w:p>
    <w:p>
      <w:pPr>
        <w:ind w:right="60" w:firstLine="386"/>
        <w:spacing w:after="0" w:line="253" w:lineRule="auto"/>
        <w:rPr>
          <w:sz w:val="20"/>
          <w:szCs w:val="20"/>
          <w:color w:val="auto"/>
        </w:rPr>
      </w:pPr>
      <w:r>
        <w:rPr>
          <w:rFonts w:ascii="Arial" w:cs="Arial" w:eastAsia="Arial" w:hAnsi="Arial"/>
          <w:sz w:val="16"/>
          <w:szCs w:val="16"/>
          <w:color w:val="auto"/>
        </w:rPr>
        <w:t xml:space="preserve">The increase in net income in fiscal 2021 as compared to fiscal 2020 was a result of a $194.0 million increase in operating income and a $152.6 million decrease in provision for income taxes resulting in a net income tax benefit, partially offset by a $176.9 million increase in nonoperating expense, as more fully described above under the headings </w:t>
      </w:r>
      <w:r>
        <w:rPr>
          <w:rFonts w:ascii="Arial" w:cs="Arial" w:eastAsia="Arial" w:hAnsi="Arial"/>
          <w:sz w:val="16"/>
          <w:szCs w:val="16"/>
          <w:i w:val="1"/>
          <w:iCs w:val="1"/>
          <w:color w:val="auto"/>
        </w:rPr>
        <w:t>Operating Income</w:t>
      </w:r>
      <w:r>
        <w:rPr>
          <w:rFonts w:ascii="Arial" w:cs="Arial" w:eastAsia="Arial" w:hAnsi="Arial"/>
          <w:sz w:val="16"/>
          <w:szCs w:val="16"/>
          <w:color w:val="auto"/>
        </w:rPr>
        <w:t>,</w:t>
      </w:r>
      <w:r>
        <w:rPr>
          <w:rFonts w:ascii="Arial" w:cs="Arial" w:eastAsia="Arial" w:hAnsi="Arial"/>
          <w:sz w:val="16"/>
          <w:szCs w:val="16"/>
          <w:i w:val="1"/>
          <w:iCs w:val="1"/>
          <w:color w:val="auto"/>
        </w:rPr>
        <w:t xml:space="preserve"> (Benefit From) Provision for Income Taxes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Nonoperating (Income) Expense</w:t>
      </w:r>
      <w:r>
        <w:rPr>
          <w:rFonts w:ascii="Arial" w:cs="Arial" w:eastAsia="Arial" w:hAnsi="Arial"/>
          <w:sz w:val="16"/>
          <w:szCs w:val="16"/>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77" w:lineRule="exact"/>
        <w:rPr>
          <w:sz w:val="20"/>
          <w:szCs w:val="20"/>
          <w:color w:val="auto"/>
        </w:rPr>
      </w:pPr>
    </w:p>
    <w:p>
      <w:pPr>
        <w:ind w:right="100" w:firstLine="386"/>
        <w:spacing w:after="0" w:line="290" w:lineRule="auto"/>
        <w:rPr>
          <w:sz w:val="20"/>
          <w:szCs w:val="20"/>
          <w:color w:val="auto"/>
        </w:rPr>
      </w:pPr>
      <w:r>
        <w:rPr>
          <w:rFonts w:ascii="Arial" w:cs="Arial" w:eastAsia="Arial" w:hAnsi="Arial"/>
          <w:sz w:val="14"/>
          <w:szCs w:val="14"/>
          <w:color w:val="auto"/>
        </w:rPr>
        <w:t>At October 30, 2021, our principal source of liquidity was $1,978.0 million of cash and cash equivalents, of which approximately $876.6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37" w:lineRule="exact"/>
        <w:rPr>
          <w:sz w:val="20"/>
          <w:szCs w:val="20"/>
          <w:color w:val="auto"/>
        </w:rPr>
      </w:pPr>
    </w:p>
    <w:p>
      <w:pPr>
        <w:ind w:right="120" w:firstLine="386"/>
        <w:spacing w:after="0" w:line="253"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tbl>
      <w:tblPr>
        <w:tblLayout w:type="fixed"/>
        <w:tblInd w:w="0" w:type="dxa"/>
        <w:tblCellMar>
          <w:top w:w="0" w:type="dxa"/>
          <w:left w:w="0" w:type="dxa"/>
          <w:bottom w:w="0" w:type="dxa"/>
          <w:right w:w="0" w:type="dxa"/>
        </w:tblCellMar>
      </w:tblPr>
      <w:tr>
        <w:trPr>
          <w:trHeight w:val="169"/>
        </w:trPr>
        <w:tc>
          <w:tcPr>
            <w:tcW w:w="4300" w:type="dxa"/>
            <w:vAlign w:val="bottom"/>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Fiscal Year</w:t>
            </w:r>
          </w:p>
        </w:tc>
        <w:tc>
          <w:tcPr>
            <w:tcW w:w="3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r>
      <w:tr>
        <w:trPr>
          <w:trHeight w:val="155"/>
        </w:trPr>
        <w:tc>
          <w:tcPr>
            <w:tcW w:w="43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5"/>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07"/>
              <w:spacing w:after="0"/>
              <w:rPr>
                <w:sz w:val="20"/>
                <w:szCs w:val="20"/>
                <w:color w:val="auto"/>
              </w:rPr>
            </w:pPr>
            <w:r>
              <w:rPr>
                <w:rFonts w:ascii="Arial" w:cs="Arial" w:eastAsia="Arial" w:hAnsi="Arial"/>
                <w:sz w:val="12"/>
                <w:szCs w:val="12"/>
                <w:b w:val="1"/>
                <w:bCs w:val="1"/>
                <w:color w:val="auto"/>
              </w:rPr>
              <w:t>2020</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85"/>
              <w:spacing w:after="0"/>
              <w:rPr>
                <w:sz w:val="20"/>
                <w:szCs w:val="20"/>
                <w:color w:val="auto"/>
              </w:rPr>
            </w:pPr>
            <w:r>
              <w:rPr>
                <w:rFonts w:ascii="Arial" w:cs="Arial" w:eastAsia="Arial" w:hAnsi="Arial"/>
                <w:sz w:val="12"/>
                <w:szCs w:val="12"/>
                <w:b w:val="1"/>
                <w:bCs w:val="1"/>
                <w:color w:val="auto"/>
              </w:rPr>
              <w:t>2019</w:t>
            </w:r>
          </w:p>
        </w:tc>
        <w:tc>
          <w:tcPr>
            <w:tcW w:w="360" w:type="dxa"/>
            <w:vAlign w:val="bottom"/>
            <w:tcBorders>
              <w:bottom w:val="single" w:sz="8" w:color="auto"/>
            </w:tcBorders>
          </w:tcPr>
          <w:p>
            <w:pPr>
              <w:spacing w:after="0"/>
              <w:rPr>
                <w:sz w:val="13"/>
                <w:szCs w:val="13"/>
                <w:color w:val="auto"/>
              </w:rPr>
            </w:pPr>
          </w:p>
        </w:tc>
      </w:tr>
      <w:tr>
        <w:trPr>
          <w:trHeight w:val="192"/>
        </w:trPr>
        <w:tc>
          <w:tcPr>
            <w:tcW w:w="4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cash provided by operating activities</w:t>
            </w: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2,735,069</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67"/>
              <w:spacing w:after="0"/>
              <w:rPr>
                <w:sz w:val="20"/>
                <w:szCs w:val="20"/>
                <w:color w:val="auto"/>
              </w:rPr>
            </w:pPr>
            <w:r>
              <w:rPr>
                <w:rFonts w:ascii="Arial" w:cs="Arial" w:eastAsia="Arial" w:hAnsi="Arial"/>
                <w:sz w:val="16"/>
                <w:szCs w:val="16"/>
                <w:color w:val="auto"/>
              </w:rPr>
              <w:t>2,008,487</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2,253,100</w:t>
            </w:r>
          </w:p>
        </w:tc>
        <w:tc>
          <w:tcPr>
            <w:tcW w:w="360" w:type="dxa"/>
            <w:vAlign w:val="bottom"/>
            <w:shd w:val="clear" w:color="auto" w:fill="CCEEFF"/>
          </w:tcPr>
          <w:p>
            <w:pPr>
              <w:spacing w:after="0"/>
              <w:rPr>
                <w:sz w:val="16"/>
                <w:szCs w:val="16"/>
                <w:color w:val="auto"/>
              </w:rPr>
            </w:pPr>
          </w:p>
        </w:tc>
      </w:tr>
      <w:tr>
        <w:trPr>
          <w:trHeight w:val="199"/>
        </w:trPr>
        <w:tc>
          <w:tcPr>
            <w:tcW w:w="4300" w:type="dxa"/>
            <w:vAlign w:val="bottom"/>
          </w:tcPr>
          <w:p>
            <w:pPr>
              <w:ind w:left="400"/>
              <w:spacing w:after="0"/>
              <w:rPr>
                <w:sz w:val="20"/>
                <w:szCs w:val="20"/>
                <w:color w:val="auto"/>
              </w:rPr>
            </w:pPr>
            <w:r>
              <w:rPr>
                <w:rFonts w:ascii="Arial" w:cs="Arial" w:eastAsia="Arial" w:hAnsi="Arial"/>
                <w:sz w:val="16"/>
                <w:szCs w:val="16"/>
                <w:color w:val="auto"/>
                <w:w w:val="92"/>
              </w:rPr>
              <w:t>Net cash provided by operating activities as a % of revenue</w:t>
            </w:r>
          </w:p>
        </w:tc>
        <w:tc>
          <w:tcPr>
            <w:tcW w:w="740" w:type="dxa"/>
            <w:vAlign w:val="bottom"/>
          </w:tcPr>
          <w:p>
            <w:pPr>
              <w:spacing w:after="0"/>
              <w:rPr>
                <w:sz w:val="17"/>
                <w:szCs w:val="17"/>
                <w:color w:val="auto"/>
              </w:rPr>
            </w:pPr>
          </w:p>
        </w:tc>
        <w:tc>
          <w:tcPr>
            <w:tcW w:w="1180" w:type="dxa"/>
            <w:vAlign w:val="bottom"/>
          </w:tcPr>
          <w:p>
            <w:pPr>
              <w:jc w:val="right"/>
              <w:ind w:right="165"/>
              <w:spacing w:after="0"/>
              <w:rPr>
                <w:sz w:val="20"/>
                <w:szCs w:val="20"/>
                <w:color w:val="auto"/>
              </w:rPr>
            </w:pPr>
            <w:r>
              <w:rPr>
                <w:rFonts w:ascii="Arial" w:cs="Arial" w:eastAsia="Arial" w:hAnsi="Arial"/>
                <w:sz w:val="16"/>
                <w:szCs w:val="16"/>
                <w:color w:val="auto"/>
              </w:rPr>
              <w:t>37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jc w:val="right"/>
              <w:ind w:right="167"/>
              <w:spacing w:after="0"/>
              <w:rPr>
                <w:sz w:val="20"/>
                <w:szCs w:val="20"/>
                <w:color w:val="auto"/>
              </w:rPr>
            </w:pPr>
            <w:r>
              <w:rPr>
                <w:rFonts w:ascii="Arial" w:cs="Arial" w:eastAsia="Arial" w:hAnsi="Arial"/>
                <w:sz w:val="16"/>
                <w:szCs w:val="16"/>
                <w:color w:val="auto"/>
              </w:rPr>
              <w:t>36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145"/>
              <w:spacing w:after="0"/>
              <w:rPr>
                <w:sz w:val="20"/>
                <w:szCs w:val="20"/>
                <w:color w:val="auto"/>
              </w:rPr>
            </w:pPr>
            <w:r>
              <w:rPr>
                <w:rFonts w:ascii="Arial" w:cs="Arial" w:eastAsia="Arial" w:hAnsi="Arial"/>
                <w:sz w:val="16"/>
                <w:szCs w:val="16"/>
                <w:color w:val="auto"/>
              </w:rPr>
              <w:t>38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3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cash provided by (used for) investing activities</w:t>
            </w: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65"/>
              <w:spacing w:after="0"/>
              <w:rPr>
                <w:sz w:val="20"/>
                <w:szCs w:val="20"/>
                <w:color w:val="auto"/>
              </w:rPr>
            </w:pPr>
            <w:r>
              <w:rPr>
                <w:rFonts w:ascii="Arial" w:cs="Arial" w:eastAsia="Arial" w:hAnsi="Arial"/>
                <w:sz w:val="16"/>
                <w:szCs w:val="16"/>
                <w:color w:val="auto"/>
              </w:rPr>
              <w:t>2,143,525</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(180,523)</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(293,186)</w:t>
            </w:r>
          </w:p>
        </w:tc>
        <w:tc>
          <w:tcPr>
            <w:tcW w:w="360" w:type="dxa"/>
            <w:vAlign w:val="bottom"/>
            <w:shd w:val="clear" w:color="auto" w:fill="CCEEFF"/>
          </w:tcPr>
          <w:p>
            <w:pPr>
              <w:spacing w:after="0"/>
              <w:rPr>
                <w:sz w:val="17"/>
                <w:szCs w:val="17"/>
                <w:color w:val="auto"/>
              </w:rPr>
            </w:pPr>
          </w:p>
        </w:tc>
      </w:tr>
      <w:tr>
        <w:trPr>
          <w:trHeight w:val="199"/>
        </w:trPr>
        <w:tc>
          <w:tcPr>
            <w:tcW w:w="4300" w:type="dxa"/>
            <w:vAlign w:val="bottom"/>
          </w:tcPr>
          <w:p>
            <w:pPr>
              <w:ind w:left="400"/>
              <w:spacing w:after="0"/>
              <w:rPr>
                <w:sz w:val="20"/>
                <w:szCs w:val="20"/>
                <w:color w:val="auto"/>
              </w:rPr>
            </w:pPr>
            <w:r>
              <w:rPr>
                <w:rFonts w:ascii="Arial" w:cs="Arial" w:eastAsia="Arial" w:hAnsi="Arial"/>
                <w:sz w:val="16"/>
                <w:szCs w:val="16"/>
                <w:color w:val="auto"/>
              </w:rPr>
              <w:t>Net cash used for financing activities</w:t>
            </w:r>
          </w:p>
        </w:tc>
        <w:tc>
          <w:tcPr>
            <w:tcW w:w="7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5"/>
              <w:spacing w:after="0"/>
              <w:rPr>
                <w:sz w:val="20"/>
                <w:szCs w:val="20"/>
                <w:color w:val="auto"/>
              </w:rPr>
            </w:pPr>
            <w:r>
              <w:rPr>
                <w:rFonts w:ascii="Arial" w:cs="Arial" w:eastAsia="Arial" w:hAnsi="Arial"/>
                <w:sz w:val="16"/>
                <w:szCs w:val="16"/>
                <w:color w:val="auto"/>
              </w:rPr>
              <w:t>(3,959,664)</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7"/>
              <w:spacing w:after="0"/>
              <w:rPr>
                <w:sz w:val="20"/>
                <w:szCs w:val="20"/>
                <w:color w:val="auto"/>
              </w:rPr>
            </w:pPr>
            <w:r>
              <w:rPr>
                <w:rFonts w:ascii="Arial" w:cs="Arial" w:eastAsia="Arial" w:hAnsi="Arial"/>
                <w:sz w:val="16"/>
                <w:szCs w:val="16"/>
                <w:color w:val="auto"/>
              </w:rPr>
              <w:t>(1,420,608)</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5"/>
              <w:spacing w:after="0"/>
              <w:rPr>
                <w:sz w:val="20"/>
                <w:szCs w:val="20"/>
                <w:color w:val="auto"/>
              </w:rPr>
            </w:pPr>
            <w:r>
              <w:rPr>
                <w:rFonts w:ascii="Arial" w:cs="Arial" w:eastAsia="Arial" w:hAnsi="Arial"/>
                <w:sz w:val="16"/>
                <w:szCs w:val="16"/>
                <w:color w:val="auto"/>
              </w:rPr>
              <w:t>(2,126,794)</w:t>
            </w:r>
          </w:p>
        </w:tc>
        <w:tc>
          <w:tcPr>
            <w:tcW w:w="360" w:type="dxa"/>
            <w:vAlign w:val="bottom"/>
          </w:tcPr>
          <w:p>
            <w:pPr>
              <w:spacing w:after="0"/>
              <w:rPr>
                <w:sz w:val="17"/>
                <w:szCs w:val="17"/>
                <w:color w:val="auto"/>
              </w:rPr>
            </w:pPr>
          </w:p>
        </w:tc>
      </w:tr>
    </w:tbl>
    <w:p>
      <w:pPr>
        <w:spacing w:after="0" w:line="139" w:lineRule="exact"/>
        <w:rPr>
          <w:sz w:val="20"/>
          <w:szCs w:val="20"/>
          <w:color w:val="auto"/>
        </w:rPr>
      </w:pPr>
    </w:p>
    <w:p>
      <w:pPr>
        <w:jc w:val="both"/>
        <w:ind w:firstLine="386"/>
        <w:spacing w:after="0" w:line="307" w:lineRule="auto"/>
        <w:rPr>
          <w:sz w:val="20"/>
          <w:szCs w:val="20"/>
          <w:color w:val="auto"/>
        </w:rPr>
      </w:pPr>
      <w:r>
        <w:rPr>
          <w:rFonts w:ascii="Arial" w:cs="Arial" w:eastAsia="Arial" w:hAnsi="Arial"/>
          <w:sz w:val="14"/>
          <w:szCs w:val="14"/>
          <w:color w:val="auto"/>
        </w:rPr>
        <w:t>A discussion of changes in our liquidity and capital resources from fiscal 2019 to fiscal 2020 has been omitted from this Form 10-K, but may be found in “Item 7. Management’s Discussion and Analysis of Financial Condition and Results of Operations” of our Form 10-K for fiscal 2020 filed with the Securities and Exchange Commission on November 24, 2020. The following changes contributed to the net change in cash and cash equivalents from fiscal 2020 to fiscal 2021.</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0" w:lineRule="exact"/>
        <w:rPr>
          <w:sz w:val="20"/>
          <w:szCs w:val="20"/>
          <w:color w:val="auto"/>
        </w:rPr>
      </w:pPr>
    </w:p>
    <w:p>
      <w:pPr>
        <w:ind w:right="60" w:firstLine="351"/>
        <w:spacing w:after="0" w:line="253" w:lineRule="auto"/>
        <w:rPr>
          <w:sz w:val="20"/>
          <w:szCs w:val="20"/>
          <w:color w:val="auto"/>
        </w:rPr>
      </w:pPr>
      <w:r>
        <w:rPr>
          <w:rFonts w:ascii="Arial" w:cs="Arial" w:eastAsia="Arial" w:hAnsi="Arial"/>
          <w:sz w:val="16"/>
          <w:szCs w:val="16"/>
          <w:color w:val="auto"/>
        </w:rPr>
        <w:t>Cash provided by operating activities is net income adjusted for certain non-cash items and changes in assets and liabilities. The increase in cash provided by operating activities during fiscal 2021 as compared to fiscal 2020 was primarily a result of higher net income and an increase from changes in working capital. Net income in fiscal 2021 also included larger non-cash expenses from the Acquisition that were not included in fiscal 2020.</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875" w:right="319" w:bottom="1440" w:gutter="0" w:footer="0" w:header="0"/>
        </w:sectPr>
      </w:pPr>
    </w:p>
    <w:bookmarkStart w:id="35" w:name="page36"/>
    <w:bookmarkEnd w:id="35"/>
    <w:p>
      <w:pPr>
        <w:spacing w:after="0"/>
        <w:rPr>
          <w:sz w:val="20"/>
          <w:szCs w:val="20"/>
          <w:color w:val="auto"/>
        </w:rPr>
      </w:pPr>
      <w:r>
        <w:rPr>
          <w:rFonts w:ascii="Arial" w:cs="Arial" w:eastAsia="Arial" w:hAnsi="Arial"/>
          <w:sz w:val="16"/>
          <w:szCs w:val="16"/>
          <w:i w:val="1"/>
          <w:iCs w:val="1"/>
          <w:color w:val="auto"/>
        </w:rPr>
        <w:t>Investing Activities</w:t>
      </w:r>
    </w:p>
    <w:p>
      <w:pPr>
        <w:spacing w:after="0" w:line="108" w:lineRule="exact"/>
        <w:rPr>
          <w:sz w:val="20"/>
          <w:szCs w:val="20"/>
          <w:color w:val="auto"/>
        </w:rPr>
      </w:pPr>
    </w:p>
    <w:p>
      <w:pPr>
        <w:jc w:val="both"/>
        <w:ind w:right="240" w:firstLine="351"/>
        <w:spacing w:after="0" w:line="253" w:lineRule="auto"/>
        <w:rPr>
          <w:sz w:val="20"/>
          <w:szCs w:val="20"/>
          <w:color w:val="auto"/>
        </w:rPr>
      </w:pPr>
      <w:r>
        <w:rPr>
          <w:rFonts w:ascii="Arial" w:cs="Arial" w:eastAsia="Arial" w:hAnsi="Arial"/>
          <w:sz w:val="16"/>
          <w:szCs w:val="16"/>
          <w:color w:val="auto"/>
        </w:rPr>
        <w:t>Investing cash flows generally consist of capital expenditures, cash used for acquisitions and proceeds from or purchases of investments. The increase in cash provided by (used for) investing activities during fiscal 2021 as compared to fiscal 2020 was primarily the result of cash received from the Acquisition, partially offset by an increase in cash used for capital expenditures.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Financing cash flows consist primarily of payments of dividends to stockholders, repurchases of common stock, issuance and repayment of debt, and proceeds from the sale</w:t>
      </w:r>
    </w:p>
    <w:p>
      <w:pPr>
        <w:spacing w:after="0" w:line="61" w:lineRule="exact"/>
        <w:rPr>
          <w:sz w:val="20"/>
          <w:szCs w:val="20"/>
          <w:color w:val="auto"/>
        </w:rPr>
      </w:pPr>
    </w:p>
    <w:p>
      <w:pPr>
        <w:ind w:right="220"/>
        <w:spacing w:after="0" w:line="307" w:lineRule="auto"/>
        <w:rPr>
          <w:sz w:val="20"/>
          <w:szCs w:val="20"/>
          <w:color w:val="auto"/>
        </w:rPr>
      </w:pPr>
      <w:r>
        <w:rPr>
          <w:rFonts w:ascii="Arial" w:cs="Arial" w:eastAsia="Arial" w:hAnsi="Arial"/>
          <w:sz w:val="14"/>
          <w:szCs w:val="14"/>
          <w:color w:val="auto"/>
        </w:rPr>
        <w:t>of shares of common stock pursuant to employee equity incentive plans. The increase in cash used for financing activities during fiscal 2021 as compared to fiscal 2020 was primarily the result of an increase in common stock repurchases in connection with our accelerated share repurchase program and higher dividend payments, partially offset by a net increase in debt in fiscal 2021 as we terminated some debt and raised additional proceeds from debt compared to the net decrease in debt in 2020.</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Working Capital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2"/>
                <w:szCs w:val="12"/>
                <w:b w:val="1"/>
                <w:bCs w:val="1"/>
                <w:color w:val="auto"/>
              </w:rPr>
              <w:t>Fiscal Year</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59"/>
        </w:trPr>
        <w:tc>
          <w:tcPr>
            <w:tcW w:w="65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 Change</w:t>
            </w:r>
          </w:p>
        </w:tc>
        <w:tc>
          <w:tcPr>
            <w:tcW w:w="1100" w:type="dxa"/>
            <w:vAlign w:val="bottom"/>
            <w:tcBorders>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 Change</w:t>
            </w:r>
          </w:p>
        </w:tc>
      </w:tr>
      <w:tr>
        <w:trPr>
          <w:trHeight w:val="192"/>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1,459,056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737,536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7"/>
              <w:spacing w:after="0"/>
              <w:rPr>
                <w:sz w:val="20"/>
                <w:szCs w:val="20"/>
                <w:color w:val="auto"/>
              </w:rPr>
            </w:pPr>
            <w:r>
              <w:rPr>
                <w:rFonts w:ascii="Arial" w:cs="Arial" w:eastAsia="Arial" w:hAnsi="Arial"/>
                <w:sz w:val="16"/>
                <w:szCs w:val="16"/>
                <w:color w:val="auto"/>
              </w:rPr>
              <w:t>721,520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199"/>
        </w:trPr>
        <w:tc>
          <w:tcPr>
            <w:tcW w:w="6500" w:type="dxa"/>
            <w:vAlign w:val="bottom"/>
          </w:tcPr>
          <w:p>
            <w:pPr>
              <w:spacing w:after="0"/>
              <w:rPr>
                <w:sz w:val="20"/>
                <w:szCs w:val="20"/>
                <w:color w:val="auto"/>
              </w:rPr>
            </w:pPr>
            <w:r>
              <w:rPr>
                <w:rFonts w:ascii="Arial" w:cs="Arial" w:eastAsia="Arial" w:hAnsi="Arial"/>
                <w:sz w:val="16"/>
                <w:szCs w:val="16"/>
                <w:color w:val="auto"/>
              </w:rPr>
              <w:t xml:space="preserve">Days sales outstanding </w:t>
            </w:r>
            <w:r>
              <w:rPr>
                <w:rFonts w:ascii="Arial" w:cs="Arial" w:eastAsia="Arial" w:hAnsi="Arial"/>
                <w:sz w:val="14"/>
                <w:szCs w:val="14"/>
                <w:color w:val="auto"/>
              </w:rPr>
              <w:t>(1)</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9"/>
        </w:trPr>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1,200,610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608,260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7"/>
              <w:spacing w:after="0"/>
              <w:rPr>
                <w:sz w:val="20"/>
                <w:szCs w:val="20"/>
                <w:color w:val="auto"/>
              </w:rPr>
            </w:pPr>
            <w:r>
              <w:rPr>
                <w:rFonts w:ascii="Arial" w:cs="Arial" w:eastAsia="Arial" w:hAnsi="Arial"/>
                <w:sz w:val="16"/>
                <w:szCs w:val="16"/>
                <w:color w:val="auto"/>
              </w:rPr>
              <w:t>592,350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199"/>
        </w:trPr>
        <w:tc>
          <w:tcPr>
            <w:tcW w:w="6500" w:type="dxa"/>
            <w:vAlign w:val="bottom"/>
          </w:tcPr>
          <w:p>
            <w:pPr>
              <w:spacing w:after="0"/>
              <w:rPr>
                <w:sz w:val="20"/>
                <w:szCs w:val="20"/>
                <w:color w:val="auto"/>
              </w:rPr>
            </w:pPr>
            <w:r>
              <w:rPr>
                <w:rFonts w:ascii="Arial" w:cs="Arial" w:eastAsia="Arial" w:hAnsi="Arial"/>
                <w:sz w:val="16"/>
                <w:szCs w:val="16"/>
                <w:color w:val="auto"/>
              </w:rPr>
              <w:t xml:space="preserve">Days cost of sales in inventory </w:t>
            </w:r>
            <w:r>
              <w:rPr>
                <w:rFonts w:ascii="Arial" w:cs="Arial" w:eastAsia="Arial" w:hAnsi="Arial"/>
                <w:sz w:val="14"/>
                <w:szCs w:val="14"/>
                <w:color w:val="auto"/>
              </w:rPr>
              <w:t>(1)</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19" w:lineRule="exact"/>
        <w:rPr>
          <w:sz w:val="20"/>
          <w:szCs w:val="20"/>
          <w:color w:val="auto"/>
        </w:rPr>
      </w:pPr>
    </w:p>
    <w:p>
      <w:pPr>
        <w:ind w:left="300" w:right="60" w:hanging="271"/>
        <w:spacing w:after="0" w:line="248" w:lineRule="auto"/>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use the average of the current year and prior year ending net accounts receivable and ending inventory balance in our calculation of days sales outstanding and days cost of sales in inventory, respectively. Cost of sales amounts used in the calculation of days cost of sales in inventory for fiscal 2021 include Acquisition accounting adjustments related to the sale of acquired inventory written up to fair value, amortization of developed technology intangible assets acquired and depreciation related to the write-up of fixed assets to fair value. The calculations above include the financial results of Maxim prospectively from the Acquisition Date.</w:t>
      </w:r>
    </w:p>
    <w:p>
      <w:pPr>
        <w:spacing w:after="0" w:line="93" w:lineRule="exact"/>
        <w:rPr>
          <w:sz w:val="20"/>
          <w:szCs w:val="20"/>
          <w:color w:val="auto"/>
        </w:rPr>
      </w:pPr>
    </w:p>
    <w:p>
      <w:pPr>
        <w:ind w:right="700" w:firstLine="386"/>
        <w:spacing w:after="0" w:line="263" w:lineRule="auto"/>
        <w:rPr>
          <w:sz w:val="20"/>
          <w:szCs w:val="20"/>
          <w:color w:val="auto"/>
        </w:rPr>
      </w:pPr>
      <w:r>
        <w:rPr>
          <w:rFonts w:ascii="Arial" w:cs="Arial" w:eastAsia="Arial" w:hAnsi="Arial"/>
          <w:sz w:val="16"/>
          <w:szCs w:val="16"/>
          <w:color w:val="auto"/>
        </w:rPr>
        <w:t>The increase in accounts receivable for fiscal 2021 compared to fiscal 2020 was primarily the result of the Acquisition as well as normal variations in the timing of collections and billings.</w:t>
      </w:r>
    </w:p>
    <w:p>
      <w:pPr>
        <w:spacing w:after="0" w:line="76" w:lineRule="exact"/>
        <w:rPr>
          <w:sz w:val="20"/>
          <w:szCs w:val="20"/>
          <w:color w:val="auto"/>
        </w:rPr>
      </w:pPr>
    </w:p>
    <w:p>
      <w:pPr>
        <w:ind w:right="100" w:firstLine="386"/>
        <w:spacing w:after="0" w:line="250" w:lineRule="auto"/>
        <w:rPr>
          <w:sz w:val="20"/>
          <w:szCs w:val="20"/>
          <w:color w:val="auto"/>
        </w:rPr>
      </w:pPr>
      <w:r>
        <w:rPr>
          <w:rFonts w:ascii="Arial" w:cs="Arial" w:eastAsia="Arial" w:hAnsi="Arial"/>
          <w:sz w:val="16"/>
          <w:szCs w:val="16"/>
          <w:color w:val="auto"/>
        </w:rPr>
        <w:t>Inventory in dollars increased in fiscal 2021 as compared to fiscal 2020, primarily as a result of the Acquisition as well as our efforts to balance manufacturing production, demand and inventory levels. Our inventory levels are impacted by our need to support forecasted sales demand and variations between those forecasts and actual demand. During the fourth quarter of fiscal 2021, the inventory values on the Consolidated Balance Sheet were also impacted by additional costs related to the Acquisition and the requirement to account for acquired inventory at fair-value.</w:t>
      </w:r>
    </w:p>
    <w:p>
      <w:pPr>
        <w:spacing w:after="0" w:line="87" w:lineRule="exact"/>
        <w:rPr>
          <w:sz w:val="20"/>
          <w:szCs w:val="20"/>
          <w:color w:val="auto"/>
        </w:rPr>
      </w:pPr>
    </w:p>
    <w:p>
      <w:pPr>
        <w:ind w:right="660" w:firstLine="386"/>
        <w:spacing w:after="0" w:line="263" w:lineRule="auto"/>
        <w:rPr>
          <w:sz w:val="20"/>
          <w:szCs w:val="20"/>
          <w:color w:val="auto"/>
        </w:rPr>
      </w:pPr>
      <w:r>
        <w:rPr>
          <w:rFonts w:ascii="Arial" w:cs="Arial" w:eastAsia="Arial" w:hAnsi="Arial"/>
          <w:sz w:val="16"/>
          <w:szCs w:val="16"/>
          <w:color w:val="auto"/>
        </w:rPr>
        <w:t>Current liabilities increased to $2,770.3 million at October 30, 2021 from $1,365.0 million recorded at the end of fiscal 2020. The increase was primarily due to the Acquisition, including $516.7 million of Maxim debt obligations classified as current and $584.9 million of accrued liabilities.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Revolving Credit Facility</w:t>
      </w:r>
    </w:p>
    <w:p>
      <w:pPr>
        <w:spacing w:after="0" w:line="97" w:lineRule="exact"/>
        <w:rPr>
          <w:sz w:val="20"/>
          <w:szCs w:val="20"/>
          <w:color w:val="auto"/>
        </w:rPr>
      </w:pPr>
    </w:p>
    <w:p>
      <w:pPr>
        <w:ind w:right="20" w:firstLine="386"/>
        <w:spacing w:after="0" w:line="290" w:lineRule="auto"/>
        <w:rPr>
          <w:sz w:val="20"/>
          <w:szCs w:val="20"/>
          <w:color w:val="auto"/>
        </w:rPr>
      </w:pPr>
      <w:r>
        <w:rPr>
          <w:rFonts w:ascii="Arial" w:cs="Arial" w:eastAsia="Arial" w:hAnsi="Arial"/>
          <w:sz w:val="14"/>
          <w:szCs w:val="14"/>
          <w:color w:val="auto"/>
        </w:rPr>
        <w:t>Our Third Amended and Restated Revolving Credit Agreement, dated as of June 23, 2021, with Bank of America N.A. as administrative agent and the other banks identified therein as lenders (Revolving Credit Agreement) amended and restated our Second Amended and Restated Credit Agreement dated as of June 28, 2019 and provides for a five year unsecured revolving credit facility in an aggregate principal amount not to exceed $2.5 billion (subject to certain terms and conditions). In March 2020, we borrowed $350.0 million under this revolving credit facility and utilized the proceeds for the repayment of existing indebtedness and working capital requirements. We repaid the $350.0 million plus interest in April 2020. In September 2021, we borrowed $400.0 million under this revolving credit facility and utilized the proceeds for the repayment of existing indebtedness and working capital requirements. We repaid the $400.0 million plus interest in October 2021.</w:t>
      </w:r>
    </w:p>
    <w:p>
      <w:pPr>
        <w:spacing w:after="0" w:line="49" w:lineRule="exact"/>
        <w:rPr>
          <w:sz w:val="20"/>
          <w:szCs w:val="20"/>
          <w:color w:val="auto"/>
        </w:rPr>
      </w:pPr>
    </w:p>
    <w:p>
      <w:pPr>
        <w:ind w:firstLine="386"/>
        <w:spacing w:after="0" w:line="290" w:lineRule="auto"/>
        <w:rPr>
          <w:sz w:val="20"/>
          <w:szCs w:val="20"/>
          <w:color w:val="auto"/>
        </w:rPr>
      </w:pPr>
      <w:r>
        <w:rPr>
          <w:rFonts w:ascii="Arial" w:cs="Arial" w:eastAsia="Arial" w:hAnsi="Arial"/>
          <w:sz w:val="14"/>
          <w:szCs w:val="14"/>
          <w:color w:val="auto"/>
        </w:rPr>
        <w:t xml:space="preserve">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October 30, 2021, we were in compliance with these covenants. See Note 13, </w:t>
      </w:r>
      <w:r>
        <w:rPr>
          <w:rFonts w:ascii="Arial" w:cs="Arial" w:eastAsia="Arial" w:hAnsi="Arial"/>
          <w:sz w:val="14"/>
          <w:szCs w:val="14"/>
          <w:i w:val="1"/>
          <w:iCs w:val="1"/>
          <w:color w:val="auto"/>
        </w:rPr>
        <w:t>Revolving Credit Facility</w:t>
      </w:r>
      <w:r>
        <w:rPr>
          <w:rFonts w:ascii="Arial" w:cs="Arial" w:eastAsia="Arial" w:hAnsi="Arial"/>
          <w:sz w:val="14"/>
          <w:szCs w:val="14"/>
          <w:color w:val="auto"/>
        </w:rPr>
        <w:t>, of the Notes to Consolidated Financial Statements contained in Item 8 of this Annual Report on Form 10-K for further information on our revolving credit facility.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i w:val="1"/>
          <w:iCs w:val="1"/>
          <w:color w:val="auto"/>
        </w:rPr>
        <w:t>Debt</w:t>
      </w:r>
    </w:p>
    <w:p>
      <w:pPr>
        <w:spacing w:after="0" w:line="120" w:lineRule="exact"/>
        <w:rPr>
          <w:sz w:val="20"/>
          <w:szCs w:val="20"/>
          <w:color w:val="auto"/>
        </w:rPr>
      </w:pPr>
    </w:p>
    <w:p>
      <w:pPr>
        <w:ind w:right="80" w:firstLine="386"/>
        <w:spacing w:after="0" w:line="290" w:lineRule="auto"/>
        <w:rPr>
          <w:sz w:val="20"/>
          <w:szCs w:val="20"/>
          <w:color w:val="auto"/>
        </w:rPr>
      </w:pPr>
      <w:r>
        <w:rPr>
          <w:rFonts w:ascii="Arial" w:cs="Arial" w:eastAsia="Arial" w:hAnsi="Arial"/>
          <w:sz w:val="14"/>
          <w:szCs w:val="14"/>
          <w:color w:val="auto"/>
        </w:rPr>
        <w:t xml:space="preserve">As of October 30, 2021, we had $6.8 billion of carrying value outstanding on our debt. On November 4, 2021, we redeemed Maxim's 3.375% Senior Notes due 2023 in the aggregate principal amount of $500.0 million. The difference in the carrying value of the debt and the principal is due to the unamortized discount and issuance fees and other adjustments on these instruments. The indentures governing certain of our debt instruments contain covenants that may limit our ability to: incur, create, assume or guarantee any debt or borrowed money secured by a lien upon a principal property; enter into sale and lease-back transactions with respect to a principal property; and consolidate with or merge into, or transfer or lease all or substantially all of our assets to, any other party. As of October 30, 2021, we were compliant with these covenants. See Note 14, </w:t>
      </w:r>
      <w:r>
        <w:rPr>
          <w:rFonts w:ascii="Arial" w:cs="Arial" w:eastAsia="Arial" w:hAnsi="Arial"/>
          <w:sz w:val="14"/>
          <w:szCs w:val="14"/>
          <w:i w:val="1"/>
          <w:iCs w:val="1"/>
          <w:color w:val="auto"/>
        </w:rPr>
        <w:t>Debt</w:t>
      </w:r>
      <w:r>
        <w:rPr>
          <w:rFonts w:ascii="Arial" w:cs="Arial" w:eastAsia="Arial" w:hAnsi="Arial"/>
          <w:sz w:val="14"/>
          <w:szCs w:val="14"/>
          <w:color w:val="auto"/>
        </w:rPr>
        <w:t xml:space="preserve">, and Note 15, </w:t>
      </w:r>
      <w:r>
        <w:rPr>
          <w:rFonts w:ascii="Arial" w:cs="Arial" w:eastAsia="Arial" w:hAnsi="Arial"/>
          <w:sz w:val="14"/>
          <w:szCs w:val="14"/>
          <w:i w:val="1"/>
          <w:iCs w:val="1"/>
          <w:color w:val="auto"/>
        </w:rPr>
        <w:t xml:space="preserve">Subsequent Events, </w:t>
      </w:r>
      <w:r>
        <w:rPr>
          <w:rFonts w:ascii="Arial" w:cs="Arial" w:eastAsia="Arial" w:hAnsi="Arial"/>
          <w:sz w:val="14"/>
          <w:szCs w:val="14"/>
          <w:color w:val="auto"/>
        </w:rPr>
        <w:t>of the Notes to Consolidated Financial Statements contained in Item 8 of this Annual Report on Form 10-K for further information on our outstanding debt.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Repurchase Program</w:t>
      </w:r>
    </w:p>
    <w:p>
      <w:pPr>
        <w:spacing w:after="0" w:line="108" w:lineRule="exact"/>
        <w:rPr>
          <w:sz w:val="20"/>
          <w:szCs w:val="20"/>
          <w:color w:val="auto"/>
        </w:rPr>
      </w:pPr>
    </w:p>
    <w:p>
      <w:pPr>
        <w:ind w:firstLine="386"/>
        <w:spacing w:after="0" w:line="253" w:lineRule="auto"/>
        <w:rPr>
          <w:sz w:val="20"/>
          <w:szCs w:val="20"/>
          <w:color w:val="auto"/>
        </w:rPr>
      </w:pPr>
      <w:r>
        <w:rPr>
          <w:rFonts w:ascii="Arial" w:cs="Arial" w:eastAsia="Arial" w:hAnsi="Arial"/>
          <w:sz w:val="16"/>
          <w:szCs w:val="16"/>
          <w:color w:val="auto"/>
        </w:rPr>
        <w:t>In September 2021, we entered into accelerated share repurchase agreements (ASR) with third party financial institutions to repurchase $2.5 billion of our common stock. We paid $2.5 billion and received an initial delivery of 12.3 million shares of common stock, which represented approximately 80% of the notional amount of the ASR. The final settlement of the transaction under the ASR is expected to occur in the first half of fiscal 2022.</w:t>
      </w:r>
    </w:p>
    <w:p>
      <w:pPr>
        <w:spacing w:after="0" w:line="61" w:lineRule="exact"/>
        <w:rPr>
          <w:sz w:val="20"/>
          <w:szCs w:val="20"/>
          <w:color w:val="auto"/>
        </w:rPr>
      </w:pPr>
    </w:p>
    <w:p>
      <w:pPr>
        <w:ind w:firstLine="351"/>
        <w:spacing w:after="0" w:line="297" w:lineRule="auto"/>
        <w:rPr>
          <w:sz w:val="20"/>
          <w:szCs w:val="20"/>
          <w:color w:val="auto"/>
        </w:rPr>
      </w:pPr>
      <w:r>
        <w:rPr>
          <w:rFonts w:ascii="Arial" w:cs="Arial" w:eastAsia="Arial" w:hAnsi="Arial"/>
          <w:sz w:val="14"/>
          <w:szCs w:val="14"/>
          <w:color w:val="auto"/>
        </w:rPr>
        <w:t>Our common stock repurchase program has been in place since August 2004. Since inception, our Board of Directors has authorized us to repurchase $16.7 billion of our common stock under the program, which includes the $8.5 billion authorization approved by the Board of Directors on August 25, 2021.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w:t>
      </w:r>
    </w:p>
    <w:p>
      <w:pPr>
        <w:spacing w:after="0" w:line="45" w:lineRule="exact"/>
        <w:rPr>
          <w:sz w:val="20"/>
          <w:szCs w:val="20"/>
          <w:color w:val="auto"/>
        </w:rPr>
      </w:pPr>
    </w:p>
    <w:p>
      <w:pPr>
        <w:ind w:right="160" w:firstLine="351"/>
        <w:spacing w:after="0" w:line="307" w:lineRule="auto"/>
        <w:rPr>
          <w:sz w:val="20"/>
          <w:szCs w:val="20"/>
          <w:color w:val="auto"/>
        </w:rPr>
      </w:pPr>
      <w:r>
        <w:rPr>
          <w:rFonts w:ascii="Arial" w:cs="Arial" w:eastAsia="Arial" w:hAnsi="Arial"/>
          <w:sz w:val="14"/>
          <w:szCs w:val="14"/>
          <w:color w:val="auto"/>
        </w:rPr>
        <w:t>As of October 30, 2021, $7.4 billion remained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Future repurchases of common stock will be dependent upon our financial position, results of operations, outlook, liquidity, and other factors we deem relevant.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73" w:lineRule="exact"/>
        <w:rPr>
          <w:sz w:val="20"/>
          <w:szCs w:val="20"/>
          <w:color w:val="auto"/>
        </w:rPr>
      </w:pPr>
    </w:p>
    <w:p>
      <w:pPr>
        <w:ind w:right="120" w:firstLine="386"/>
        <w:spacing w:after="0" w:line="250" w:lineRule="auto"/>
        <w:rPr>
          <w:sz w:val="20"/>
          <w:szCs w:val="20"/>
          <w:color w:val="auto"/>
        </w:rPr>
      </w:pPr>
      <w:r>
        <w:rPr>
          <w:rFonts w:ascii="Arial" w:cs="Arial" w:eastAsia="Arial" w:hAnsi="Arial"/>
          <w:sz w:val="16"/>
          <w:szCs w:val="16"/>
          <w:color w:val="auto"/>
        </w:rPr>
        <w:t>Net additions to property, plant and equipment were $343.7 million in fiscal 2021 and were funded with a combination of cash on hand and cash generated from operations. We expect capital expenditures for fiscal 2022 to be between 6% and 8% of revenue, which is above our historical levels primarily due to our plans to expand internal manufacturing capacity. These capital expenditures will be funded with a combination of cash on hand and cash expected to be generated from future operations, together with existing and anticipated available short- and long-term financing.</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Analog Devices Foundation</w:t>
      </w:r>
    </w:p>
    <w:p>
      <w:pPr>
        <w:spacing w:after="0" w:line="85" w:lineRule="exact"/>
        <w:rPr>
          <w:sz w:val="20"/>
          <w:szCs w:val="20"/>
          <w:color w:val="auto"/>
        </w:rPr>
      </w:pPr>
    </w:p>
    <w:p>
      <w:pPr>
        <w:ind w:right="140" w:firstLine="386"/>
        <w:spacing w:after="0" w:line="263" w:lineRule="auto"/>
        <w:rPr>
          <w:sz w:val="20"/>
          <w:szCs w:val="20"/>
          <w:color w:val="auto"/>
        </w:rPr>
      </w:pPr>
      <w:r>
        <w:rPr>
          <w:rFonts w:ascii="Arial" w:cs="Arial" w:eastAsia="Arial" w:hAnsi="Arial"/>
          <w:sz w:val="16"/>
          <w:szCs w:val="16"/>
          <w:color w:val="auto"/>
        </w:rPr>
        <w:t>During the first quarter of fiscal 2020, we contributed 335,654 shares of our common stock to the Analog Devices Foundation. As of the date of the contribution, the shares had a fair value of approximately $40.0 million. This expense was recorded in SMG&amp;A in the Consolidated Statement of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Dividends</w:t>
      </w:r>
    </w:p>
    <w:p>
      <w:pPr>
        <w:spacing w:after="0" w:line="85" w:lineRule="exact"/>
        <w:rPr>
          <w:sz w:val="20"/>
          <w:szCs w:val="20"/>
          <w:color w:val="auto"/>
        </w:rPr>
      </w:pPr>
    </w:p>
    <w:p>
      <w:pPr>
        <w:ind w:right="120" w:firstLine="386"/>
        <w:spacing w:after="0" w:line="250" w:lineRule="auto"/>
        <w:rPr>
          <w:sz w:val="20"/>
          <w:szCs w:val="20"/>
          <w:color w:val="auto"/>
        </w:rPr>
      </w:pPr>
      <w:r>
        <w:rPr>
          <w:rFonts w:ascii="Arial" w:cs="Arial" w:eastAsia="Arial" w:hAnsi="Arial"/>
          <w:sz w:val="16"/>
          <w:szCs w:val="16"/>
          <w:color w:val="auto"/>
        </w:rPr>
        <w:t>On November 22, 2021, our Board of Directors declared a cash dividend of $0.69 per outstanding share of common stock. The dividend will be paid on December 14, 2021 to all shareholders of record at the close of business on December 3, 2021 and is expected to total approximately $362.5 million. We currently expect quarterly dividends to continue in future periods, although they remain subject to determination and declaration by our Board of Directors. The payment of future dividends, if any, will be based on several factors, including our financial performance, outlook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37" w:name="page38"/>
    <w:bookmarkEnd w:id="37"/>
    <w:p>
      <w:pPr>
        <w:ind w:left="6"/>
        <w:spacing w:after="0"/>
        <w:rPr>
          <w:sz w:val="20"/>
          <w:szCs w:val="20"/>
          <w:color w:val="auto"/>
        </w:rPr>
      </w:pPr>
      <w:r>
        <w:rPr>
          <w:rFonts w:ascii="Arial" w:cs="Arial" w:eastAsia="Arial" w:hAnsi="Arial"/>
          <w:sz w:val="16"/>
          <w:szCs w:val="16"/>
          <w:i w:val="1"/>
          <w:iCs w:val="1"/>
          <w:color w:val="auto"/>
        </w:rPr>
        <w:t>Contractual Obligations</w:t>
      </w:r>
    </w:p>
    <w:p>
      <w:pPr>
        <w:spacing w:after="0" w:line="108"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The table below summarizes our material contractual obligations in specified periods as of October 30, 2021:</w:t>
      </w:r>
    </w:p>
    <w:p>
      <w:pPr>
        <w:spacing w:after="0" w:line="31"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ind w:left="640"/>
              <w:spacing w:after="0"/>
              <w:rPr>
                <w:sz w:val="20"/>
                <w:szCs w:val="20"/>
                <w:color w:val="auto"/>
              </w:rPr>
            </w:pPr>
            <w:r>
              <w:rPr>
                <w:rFonts w:ascii="Arial" w:cs="Arial" w:eastAsia="Arial" w:hAnsi="Arial"/>
                <w:sz w:val="12"/>
                <w:szCs w:val="12"/>
                <w:b w:val="1"/>
                <w:bCs w:val="1"/>
                <w:color w:val="auto"/>
              </w:rPr>
              <w:t>Payment due by period</w:t>
            </w: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Less than</w:t>
            </w: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jc w:val="right"/>
              <w:ind w:right="226"/>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66"/>
        </w:trPr>
        <w:tc>
          <w:tcPr>
            <w:tcW w:w="3080" w:type="dxa"/>
            <w:vAlign w:val="bottom"/>
            <w:gridSpan w:val="2"/>
          </w:tcPr>
          <w:p>
            <w:pPr>
              <w:ind w:left="400"/>
              <w:spacing w:after="0"/>
              <w:rPr>
                <w:sz w:val="20"/>
                <w:szCs w:val="20"/>
                <w:color w:val="auto"/>
              </w:rPr>
            </w:pPr>
            <w:r>
              <w:rPr>
                <w:rFonts w:ascii="Arial" w:cs="Arial" w:eastAsia="Arial" w:hAnsi="Arial"/>
                <w:sz w:val="12"/>
                <w:szCs w:val="12"/>
                <w:b w:val="1"/>
                <w:bCs w:val="1"/>
                <w:color w:val="auto"/>
              </w:rPr>
              <w:t>(thousands)</w:t>
            </w:r>
          </w:p>
        </w:tc>
        <w:tc>
          <w:tcPr>
            <w:tcW w:w="68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5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1 Year</w:t>
            </w:r>
          </w:p>
        </w:tc>
        <w:tc>
          <w:tcPr>
            <w:tcW w:w="6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2"/>
                <w:szCs w:val="12"/>
                <w:b w:val="1"/>
                <w:bCs w:val="1"/>
                <w:color w:val="auto"/>
              </w:rPr>
              <w:t>1-3 Years</w:t>
            </w:r>
          </w:p>
        </w:tc>
        <w:tc>
          <w:tcPr>
            <w:tcW w:w="6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3-5 Years</w:t>
            </w:r>
          </w:p>
        </w:tc>
        <w:tc>
          <w:tcPr>
            <w:tcW w:w="58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196"/>
        </w:trPr>
        <w:tc>
          <w:tcPr>
            <w:tcW w:w="29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Contractual obligations:</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gridSpan w:val="2"/>
          </w:tcPr>
          <w:p>
            <w:pPr>
              <w:ind w:left="400"/>
              <w:spacing w:after="0"/>
              <w:rPr>
                <w:sz w:val="20"/>
                <w:szCs w:val="20"/>
                <w:color w:val="auto"/>
              </w:rPr>
            </w:pPr>
            <w:r>
              <w:rPr>
                <w:rFonts w:ascii="Arial" w:cs="Arial" w:eastAsia="Arial" w:hAnsi="Arial"/>
                <w:sz w:val="16"/>
                <w:szCs w:val="16"/>
                <w:color w:val="auto"/>
              </w:rPr>
              <w:t xml:space="preserve">Debt obligations </w:t>
            </w:r>
            <w:r>
              <w:rPr>
                <w:rFonts w:ascii="Arial" w:cs="Arial" w:eastAsia="Arial" w:hAnsi="Arial"/>
                <w:sz w:val="14"/>
                <w:szCs w:val="14"/>
                <w:color w:val="auto"/>
              </w:rPr>
              <w:t>(1)</w:t>
            </w:r>
          </w:p>
        </w:tc>
        <w:tc>
          <w:tcPr>
            <w:tcW w:w="68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6,776,865</w:t>
            </w:r>
          </w:p>
        </w:tc>
        <w:tc>
          <w:tcPr>
            <w:tcW w:w="10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400,000</w:t>
            </w:r>
          </w:p>
        </w:tc>
        <w:tc>
          <w:tcPr>
            <w:tcW w:w="80" w:type="dxa"/>
            <w:vAlign w:val="bottom"/>
          </w:tcPr>
          <w:p>
            <w:pPr>
              <w:spacing w:after="0"/>
              <w:rPr>
                <w:sz w:val="17"/>
                <w:szCs w:val="17"/>
                <w:color w:val="auto"/>
              </w:rPr>
            </w:pP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5,376,865</w:t>
            </w:r>
          </w:p>
        </w:tc>
        <w:tc>
          <w:tcPr>
            <w:tcW w:w="0" w:type="dxa"/>
            <w:vAlign w:val="bottom"/>
          </w:tcPr>
          <w:p>
            <w:pPr>
              <w:spacing w:after="0"/>
              <w:rPr>
                <w:sz w:val="1"/>
                <w:szCs w:val="1"/>
                <w:color w:val="auto"/>
              </w:rPr>
            </w:pPr>
          </w:p>
        </w:tc>
      </w:tr>
      <w:tr>
        <w:trPr>
          <w:trHeight w:val="152"/>
        </w:trPr>
        <w:tc>
          <w:tcPr>
            <w:tcW w:w="3080" w:type="dxa"/>
            <w:vAlign w:val="bottom"/>
            <w:gridSpan w:val="2"/>
            <w:shd w:val="clear" w:color="auto" w:fill="CCEEFF"/>
          </w:tcPr>
          <w:p>
            <w:pPr>
              <w:ind w:left="400"/>
              <w:spacing w:after="0" w:line="152" w:lineRule="exact"/>
              <w:rPr>
                <w:sz w:val="20"/>
                <w:szCs w:val="20"/>
                <w:color w:val="auto"/>
              </w:rPr>
            </w:pPr>
            <w:r>
              <w:rPr>
                <w:rFonts w:ascii="Arial" w:cs="Arial" w:eastAsia="Arial" w:hAnsi="Arial"/>
                <w:sz w:val="16"/>
                <w:szCs w:val="16"/>
                <w:color w:val="auto"/>
                <w:w w:val="96"/>
              </w:rPr>
              <w:t>Interest payments associated with debt</w:t>
            </w:r>
          </w:p>
        </w:tc>
        <w:tc>
          <w:tcPr>
            <w:tcW w:w="6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2,460,541</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171,718</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340,784</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320,139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1,627,900</w:t>
            </w:r>
          </w:p>
        </w:tc>
        <w:tc>
          <w:tcPr>
            <w:tcW w:w="0" w:type="dxa"/>
            <w:vAlign w:val="bottom"/>
          </w:tcPr>
          <w:p>
            <w:pPr>
              <w:spacing w:after="0"/>
              <w:rPr>
                <w:sz w:val="1"/>
                <w:szCs w:val="1"/>
                <w:color w:val="auto"/>
              </w:rPr>
            </w:pPr>
          </w:p>
        </w:tc>
      </w:tr>
      <w:tr>
        <w:trPr>
          <w:trHeight w:val="199"/>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obligations</w:t>
            </w:r>
          </w:p>
        </w:tc>
        <w:tc>
          <w:tcPr>
            <w:tcW w:w="6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80" w:type="dxa"/>
            <w:vAlign w:val="bottom"/>
            <w:gridSpan w:val="2"/>
          </w:tcPr>
          <w:p>
            <w:pPr>
              <w:ind w:left="400"/>
              <w:spacing w:after="0"/>
              <w:rPr>
                <w:sz w:val="20"/>
                <w:szCs w:val="20"/>
                <w:color w:val="auto"/>
              </w:rPr>
            </w:pPr>
            <w:r>
              <w:rPr>
                <w:rFonts w:ascii="Arial" w:cs="Arial" w:eastAsia="Arial" w:hAnsi="Arial"/>
                <w:sz w:val="16"/>
                <w:szCs w:val="16"/>
                <w:color w:val="auto"/>
              </w:rPr>
              <w:t xml:space="preserve">Transition tax </w:t>
            </w:r>
            <w:r>
              <w:rPr>
                <w:rFonts w:ascii="Arial" w:cs="Arial" w:eastAsia="Arial" w:hAnsi="Arial"/>
                <w:sz w:val="14"/>
                <w:szCs w:val="14"/>
                <w:color w:val="auto"/>
              </w:rPr>
              <w:t>(2)</w:t>
            </w:r>
          </w:p>
        </w:tc>
        <w:tc>
          <w:tcPr>
            <w:tcW w:w="6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793,176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137,106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320,315</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335,755</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0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Operating leases (</w:t>
            </w:r>
            <w:r>
              <w:rPr>
                <w:rFonts w:ascii="Arial" w:cs="Arial" w:eastAsia="Arial" w:hAnsi="Arial"/>
                <w:sz w:val="14"/>
                <w:szCs w:val="14"/>
                <w:color w:val="auto"/>
              </w:rPr>
              <w:t>3)</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393,002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61,855</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103,418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84,059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143,670</w:t>
            </w:r>
          </w:p>
        </w:tc>
        <w:tc>
          <w:tcPr>
            <w:tcW w:w="0" w:type="dxa"/>
            <w:vAlign w:val="bottom"/>
          </w:tcPr>
          <w:p>
            <w:pPr>
              <w:spacing w:after="0"/>
              <w:rPr>
                <w:sz w:val="1"/>
                <w:szCs w:val="1"/>
                <w:color w:val="auto"/>
              </w:rPr>
            </w:pPr>
          </w:p>
        </w:tc>
      </w:tr>
      <w:tr>
        <w:trPr>
          <w:trHeight w:val="152"/>
        </w:trPr>
        <w:tc>
          <w:tcPr>
            <w:tcW w:w="3080" w:type="dxa"/>
            <w:vAlign w:val="bottom"/>
            <w:gridSpan w:val="2"/>
          </w:tcPr>
          <w:p>
            <w:pPr>
              <w:ind w:left="400"/>
              <w:spacing w:after="0" w:line="152" w:lineRule="exact"/>
              <w:rPr>
                <w:sz w:val="20"/>
                <w:szCs w:val="20"/>
                <w:color w:val="auto"/>
              </w:rPr>
            </w:pPr>
            <w:r>
              <w:rPr>
                <w:rFonts w:ascii="Arial" w:cs="Arial" w:eastAsia="Arial" w:hAnsi="Arial"/>
                <w:sz w:val="16"/>
                <w:szCs w:val="16"/>
                <w:color w:val="auto"/>
                <w:w w:val="91"/>
              </w:rPr>
              <w:t>Inventory-related purchase commitments</w:t>
            </w:r>
          </w:p>
        </w:tc>
        <w:tc>
          <w:tcPr>
            <w:tcW w:w="6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291,200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52,800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91,733</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vMerge w:val="restart"/>
          </w:tcPr>
          <w:p>
            <w:pPr>
              <w:jc w:val="right"/>
              <w:ind w:right="4"/>
              <w:spacing w:after="0"/>
              <w:rPr>
                <w:sz w:val="20"/>
                <w:szCs w:val="20"/>
                <w:color w:val="auto"/>
              </w:rPr>
            </w:pPr>
            <w:r>
              <w:rPr>
                <w:rFonts w:ascii="Arial" w:cs="Arial" w:eastAsia="Arial" w:hAnsi="Arial"/>
                <w:sz w:val="16"/>
                <w:szCs w:val="16"/>
                <w:color w:val="auto"/>
              </w:rPr>
              <w:t>63,333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83,334</w:t>
            </w:r>
          </w:p>
        </w:tc>
        <w:tc>
          <w:tcPr>
            <w:tcW w:w="0" w:type="dxa"/>
            <w:vAlign w:val="bottom"/>
          </w:tcPr>
          <w:p>
            <w:pPr>
              <w:spacing w:after="0"/>
              <w:rPr>
                <w:sz w:val="1"/>
                <w:szCs w:val="1"/>
                <w:color w:val="auto"/>
              </w:rPr>
            </w:pPr>
          </w:p>
        </w:tc>
      </w:tr>
      <w:tr>
        <w:trPr>
          <w:trHeight w:val="199"/>
        </w:trPr>
        <w:tc>
          <w:tcPr>
            <w:tcW w:w="2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0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Total</w:t>
            </w:r>
          </w:p>
        </w:tc>
        <w:tc>
          <w:tcPr>
            <w:tcW w:w="6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10,714,784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923,479</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1,356,250</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1,203,286</w:t>
            </w: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7,231,769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_______________________________________</w:t>
      </w:r>
    </w:p>
    <w:p>
      <w:pPr>
        <w:spacing w:after="0" w:line="19" w:lineRule="exact"/>
        <w:rPr>
          <w:sz w:val="20"/>
          <w:szCs w:val="20"/>
          <w:color w:val="auto"/>
        </w:rPr>
      </w:pPr>
    </w:p>
    <w:p>
      <w:pPr>
        <w:ind w:left="286" w:hanging="286"/>
        <w:spacing w:after="0"/>
        <w:tabs>
          <w:tab w:leader="none" w:pos="286"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Debt obligations are assumed to be held to maturity.</w:t>
      </w:r>
    </w:p>
    <w:p>
      <w:pPr>
        <w:spacing w:after="0" w:line="5" w:lineRule="exact"/>
        <w:rPr>
          <w:rFonts w:ascii="Arial" w:cs="Arial" w:eastAsia="Arial" w:hAnsi="Arial"/>
          <w:sz w:val="14"/>
          <w:szCs w:val="14"/>
          <w:color w:val="auto"/>
        </w:rPr>
      </w:pPr>
    </w:p>
    <w:p>
      <w:pPr>
        <w:ind w:left="286" w:hanging="286"/>
        <w:spacing w:after="0" w:line="284" w:lineRule="auto"/>
        <w:tabs>
          <w:tab w:leader="none" w:pos="286" w:val="left"/>
        </w:tabs>
        <w:numPr>
          <w:ilvl w:val="0"/>
          <w:numId w:val="23"/>
        </w:numPr>
        <w:rPr>
          <w:rFonts w:ascii="Arial" w:cs="Arial" w:eastAsia="Arial" w:hAnsi="Arial"/>
          <w:sz w:val="12"/>
          <w:szCs w:val="12"/>
          <w:color w:val="auto"/>
        </w:rPr>
      </w:pPr>
      <w:r>
        <w:rPr>
          <w:rFonts w:ascii="Arial" w:cs="Arial" w:eastAsia="Arial" w:hAnsi="Arial"/>
          <w:sz w:val="12"/>
          <w:szCs w:val="12"/>
          <w:color w:val="auto"/>
        </w:rPr>
        <w:t>Tax obligation relates to the one-time tax on deemed repatriated earnings under the Tax Cuts and Jobs Act of 2017 enacted in fiscal 2018. See Note 12, Income Taxes, of the Notes to Consolidated Financial Statements contained in Item 8 of this Annual Report on Form 10-K for further discussion. This amount includes transition tax payable attributable to the Acquisition of $266.1 million.</w:t>
      </w:r>
    </w:p>
    <w:p>
      <w:pPr>
        <w:ind w:left="286" w:hanging="286"/>
        <w:spacing w:after="0"/>
        <w:tabs>
          <w:tab w:leader="none" w:pos="286" w:val="left"/>
        </w:tabs>
        <w:numPr>
          <w:ilvl w:val="0"/>
          <w:numId w:val="23"/>
        </w:numPr>
        <w:rPr>
          <w:rFonts w:ascii="Arial" w:cs="Arial" w:eastAsia="Arial" w:hAnsi="Arial"/>
          <w:sz w:val="14"/>
          <w:szCs w:val="14"/>
          <w:color w:val="auto"/>
        </w:rPr>
      </w:pPr>
      <w:r>
        <w:rPr>
          <w:rFonts w:ascii="Arial" w:cs="Arial" w:eastAsia="Arial" w:hAnsi="Arial"/>
          <w:sz w:val="14"/>
          <w:szCs w:val="14"/>
          <w:color w:val="auto"/>
        </w:rPr>
        <w:t>Certain of our operating lease obligations include escalation clauses. These escalating payment requirements are reflected in the table.</w:t>
      </w:r>
    </w:p>
    <w:p>
      <w:pPr>
        <w:spacing w:after="0" w:line="2" w:lineRule="exact"/>
        <w:rPr>
          <w:rFonts w:ascii="Arial" w:cs="Arial" w:eastAsia="Arial" w:hAnsi="Arial"/>
          <w:sz w:val="14"/>
          <w:szCs w:val="14"/>
          <w:color w:val="auto"/>
        </w:rPr>
      </w:pPr>
    </w:p>
    <w:p>
      <w:pPr>
        <w:ind w:left="286" w:hanging="286"/>
        <w:spacing w:after="0"/>
        <w:tabs>
          <w:tab w:leader="none" w:pos="286"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 connection with the Acquisition, we acquired a supplier commitment for the purchase of materials and supplies in advance or with minimum purchase quantities.</w:t>
      </w:r>
    </w:p>
    <w:p>
      <w:pPr>
        <w:spacing w:after="0" w:line="92" w:lineRule="exact"/>
        <w:rPr>
          <w:sz w:val="20"/>
          <w:szCs w:val="20"/>
          <w:color w:val="auto"/>
        </w:rPr>
      </w:pPr>
    </w:p>
    <w:p>
      <w:pPr>
        <w:ind w:left="6" w:right="120" w:firstLine="386"/>
        <w:spacing w:after="0" w:line="250" w:lineRule="auto"/>
        <w:rPr>
          <w:sz w:val="20"/>
          <w:szCs w:val="20"/>
          <w:color w:val="auto"/>
        </w:rPr>
      </w:pPr>
      <w:r>
        <w:rPr>
          <w:rFonts w:ascii="Arial" w:cs="Arial" w:eastAsia="Arial" w:hAnsi="Arial"/>
          <w:sz w:val="16"/>
          <w:szCs w:val="16"/>
          <w:color w:val="auto"/>
        </w:rPr>
        <w:t>As of October 30, 2021, our total liabilities associated with uncertain tax positions was $170.5 million, which are included in non-current income taxes payable in our Consolidated Balance Sheets contained in Item 8 of this Annual Report on Form 10-K. Due to the complexity associated with our tax uncertainties, we cannot make a reasonably reliable estimate of the period in which we expect to settle the non-current liabilities associated with these uncertain tax positions. Therefore, we have not included these uncertain tax positions in the above contractual obligations table.</w:t>
      </w:r>
    </w:p>
    <w:p>
      <w:pPr>
        <w:spacing w:after="0" w:line="99" w:lineRule="exact"/>
        <w:rPr>
          <w:sz w:val="20"/>
          <w:szCs w:val="20"/>
          <w:color w:val="auto"/>
        </w:rPr>
      </w:pPr>
    </w:p>
    <w:p>
      <w:pPr>
        <w:ind w:left="386"/>
        <w:spacing w:after="0"/>
        <w:rPr>
          <w:sz w:val="20"/>
          <w:szCs w:val="20"/>
          <w:color w:val="auto"/>
        </w:rPr>
      </w:pPr>
      <w:r>
        <w:rPr>
          <w:rFonts w:ascii="Arial" w:cs="Arial" w:eastAsia="Arial" w:hAnsi="Arial"/>
          <w:sz w:val="14"/>
          <w:szCs w:val="14"/>
          <w:color w:val="auto"/>
        </w:rPr>
        <w:t>The expected timing of payments and the amounts of the obligations discussed above are estimated based on current information available as of October 30, 2021.</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New Accounting Pronouncements</w:t>
      </w:r>
    </w:p>
    <w:p>
      <w:pPr>
        <w:spacing w:after="0" w:line="89" w:lineRule="exact"/>
        <w:rPr>
          <w:sz w:val="20"/>
          <w:szCs w:val="20"/>
          <w:color w:val="auto"/>
        </w:rPr>
      </w:pPr>
    </w:p>
    <w:p>
      <w:pPr>
        <w:ind w:left="6" w:right="60" w:firstLine="386"/>
        <w:spacing w:after="0" w:line="297" w:lineRule="auto"/>
        <w:rPr>
          <w:sz w:val="20"/>
          <w:szCs w:val="20"/>
          <w:color w:val="auto"/>
        </w:rPr>
      </w:pPr>
      <w:r>
        <w:rPr>
          <w:rFonts w:ascii="Arial" w:cs="Arial" w:eastAsia="Arial" w:hAnsi="Arial"/>
          <w:sz w:val="14"/>
          <w:szCs w:val="14"/>
          <w:color w:val="auto"/>
        </w:rPr>
        <w:t xml:space="preserve">From time to time, new accounting pronouncements are issued by the Financial Accounting Standards Board (FASB) and are adopted by us as of the specified effective date. Unless otherwise discussed, management believes that the impact of recently issued standards will not have a material impact on our future financial condition and results of operations. See Note 2s, </w:t>
      </w:r>
      <w:r>
        <w:rPr>
          <w:rFonts w:ascii="Arial" w:cs="Arial" w:eastAsia="Arial" w:hAnsi="Arial"/>
          <w:sz w:val="14"/>
          <w:szCs w:val="14"/>
          <w:i w:val="1"/>
          <w:iCs w:val="1"/>
          <w:color w:val="auto"/>
        </w:rPr>
        <w:t>New Accounting Pronouncements,</w:t>
      </w:r>
      <w:r>
        <w:rPr>
          <w:rFonts w:ascii="Arial" w:cs="Arial" w:eastAsia="Arial" w:hAnsi="Arial"/>
          <w:sz w:val="14"/>
          <w:szCs w:val="14"/>
          <w:color w:val="auto"/>
        </w:rPr>
        <w:t xml:space="preserve"> of the Notes to Consolidated Financial Statements contained in Item 8 of this Annual Report on Form 10-K for a description of recently issued and adopted accounting pronouncements, including the dates of adoption and impact on our historical financial condition and results of operations.</w:t>
      </w:r>
    </w:p>
    <w:p>
      <w:pPr>
        <w:spacing w:after="0" w:line="146" w:lineRule="exact"/>
        <w:rPr>
          <w:sz w:val="20"/>
          <w:szCs w:val="20"/>
          <w:color w:val="auto"/>
        </w:rPr>
      </w:pPr>
    </w:p>
    <w:p>
      <w:pPr>
        <w:ind w:left="206"/>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12" w:lineRule="exact"/>
        <w:rPr>
          <w:sz w:val="20"/>
          <w:szCs w:val="20"/>
          <w:color w:val="auto"/>
        </w:rPr>
      </w:pPr>
    </w:p>
    <w:p>
      <w:pPr>
        <w:ind w:left="6" w:firstLine="386"/>
        <w:spacing w:after="0" w:line="288" w:lineRule="auto"/>
        <w:rPr>
          <w:sz w:val="20"/>
          <w:szCs w:val="20"/>
          <w:color w:val="auto"/>
        </w:rPr>
      </w:pPr>
      <w:r>
        <w:rPr>
          <w:rFonts w:ascii="Arial" w:cs="Arial" w:eastAsia="Arial" w:hAnsi="Arial"/>
          <w:sz w:val="14"/>
          <w:szCs w:val="14"/>
          <w:color w:val="auto"/>
        </w:rPr>
        <w:t>Management’s discussion and analysis of the financial condition and results of operations is based upon the Consolidated Financial Statements, which have been prepared in accordance with U.S. GAAP.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based on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however, the application of these policies does not require us to make significant estimates or judgments that are difficult or subjective.</w:t>
      </w:r>
    </w:p>
    <w:p>
      <w:pPr>
        <w:spacing w:after="0" w:line="74" w:lineRule="exact"/>
        <w:rPr>
          <w:sz w:val="20"/>
          <w:szCs w:val="20"/>
          <w:color w:val="auto"/>
        </w:rPr>
      </w:pPr>
    </w:p>
    <w:p>
      <w:pPr>
        <w:ind w:left="166"/>
        <w:spacing w:after="0"/>
        <w:rPr>
          <w:sz w:val="20"/>
          <w:szCs w:val="20"/>
          <w:color w:val="auto"/>
        </w:rPr>
      </w:pPr>
      <w:r>
        <w:rPr>
          <w:rFonts w:ascii="Arial" w:cs="Arial" w:eastAsia="Arial" w:hAnsi="Arial"/>
          <w:sz w:val="16"/>
          <w:szCs w:val="16"/>
          <w:i w:val="1"/>
          <w:iCs w:val="1"/>
          <w:color w:val="auto"/>
        </w:rPr>
        <w:t>Revenue Recognition</w:t>
      </w:r>
    </w:p>
    <w:p>
      <w:pPr>
        <w:spacing w:after="0" w:line="108" w:lineRule="exact"/>
        <w:rPr>
          <w:sz w:val="20"/>
          <w:szCs w:val="20"/>
          <w:color w:val="auto"/>
        </w:rPr>
      </w:pPr>
    </w:p>
    <w:p>
      <w:pPr>
        <w:ind w:left="6" w:right="60" w:firstLine="351"/>
        <w:spacing w:after="0" w:line="248" w:lineRule="auto"/>
        <w:rPr>
          <w:sz w:val="20"/>
          <w:szCs w:val="20"/>
          <w:color w:val="auto"/>
        </w:rPr>
      </w:pPr>
      <w:r>
        <w:rPr>
          <w:rFonts w:ascii="Arial" w:cs="Arial" w:eastAsia="Arial" w:hAnsi="Arial"/>
          <w:sz w:val="16"/>
          <w:szCs w:val="16"/>
          <w:color w:val="auto"/>
        </w:rPr>
        <w:t>Recognition of revenue occurs when a customer obtains control of promised goods or services in an amount that reflects the consideration to which the providing entity expects to be entitled in exchange for those goods or services. We recognize revenue upon transfer of control of promised products or services to customers in an amount that reflects the consideration that we expect to receive in exchange for those products or services. We recognize revenue when all of the following criteria are met: (1) we have entered into a binding agreement, (2) the performance obligations have been identified, (3) the transaction price to the customer has been determined, (4) the transaction price has been allocated to the performance obligations in the</w:t>
      </w:r>
    </w:p>
    <w:p>
      <w:pPr>
        <w:spacing w:after="0" w:line="200" w:lineRule="exact"/>
        <w:rPr>
          <w:sz w:val="20"/>
          <w:szCs w:val="20"/>
          <w:color w:val="auto"/>
        </w:rPr>
      </w:pPr>
    </w:p>
    <w:p>
      <w:pPr>
        <w:spacing w:after="0" w:line="26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934" w:right="339" w:bottom="1440" w:gutter="0" w:footer="0" w:header="0"/>
        </w:sectPr>
      </w:pPr>
    </w:p>
    <w:bookmarkStart w:id="38" w:name="page39"/>
    <w:bookmarkEnd w:id="38"/>
    <w:p>
      <w:pPr>
        <w:ind w:right="40"/>
        <w:spacing w:after="0" w:line="307" w:lineRule="auto"/>
        <w:rPr>
          <w:sz w:val="20"/>
          <w:szCs w:val="20"/>
          <w:color w:val="auto"/>
        </w:rPr>
      </w:pPr>
      <w:r>
        <w:rPr>
          <w:rFonts w:ascii="Arial" w:cs="Arial" w:eastAsia="Arial" w:hAnsi="Arial"/>
          <w:sz w:val="14"/>
          <w:szCs w:val="14"/>
          <w:color w:val="auto"/>
        </w:rPr>
        <w:t>contract, and (5) the performance obligations have been satisfied. The majority of our shipping terms permit us to recognize revenue at point of shipment or delivery. Certain shipping terms require the goods to be through customs or be received by the customer before title passes. In those instances, we defer the revenue recognized until title has passed. Shipping costs are charged to selling, marketing, general and administrative expense as incurred. Sales taxes are excluded from revenue.</w:t>
      </w:r>
    </w:p>
    <w:p>
      <w:pPr>
        <w:spacing w:after="0" w:line="60" w:lineRule="exact"/>
        <w:rPr>
          <w:sz w:val="20"/>
          <w:szCs w:val="20"/>
          <w:color w:val="auto"/>
        </w:rPr>
      </w:pPr>
    </w:p>
    <w:p>
      <w:pPr>
        <w:ind w:right="400" w:firstLine="351"/>
        <w:spacing w:after="0" w:line="288" w:lineRule="auto"/>
        <w:rPr>
          <w:sz w:val="20"/>
          <w:szCs w:val="20"/>
          <w:color w:val="auto"/>
        </w:rPr>
      </w:pPr>
      <w:r>
        <w:rPr>
          <w:rFonts w:ascii="Arial" w:cs="Arial" w:eastAsia="Arial" w:hAnsi="Arial"/>
          <w:sz w:val="14"/>
          <w:szCs w:val="14"/>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63" w:lineRule="exact"/>
        <w:rPr>
          <w:sz w:val="20"/>
          <w:szCs w:val="20"/>
          <w:color w:val="auto"/>
        </w:rPr>
      </w:pPr>
    </w:p>
    <w:p>
      <w:pPr>
        <w:ind w:firstLine="351"/>
        <w:spacing w:after="0" w:line="290" w:lineRule="auto"/>
        <w:rPr>
          <w:sz w:val="20"/>
          <w:szCs w:val="20"/>
          <w:color w:val="auto"/>
        </w:rPr>
      </w:pPr>
      <w:r>
        <w:rPr>
          <w:rFonts w:ascii="Arial" w:cs="Arial" w:eastAsia="Arial" w:hAnsi="Arial"/>
          <w:sz w:val="14"/>
          <w:szCs w:val="14"/>
          <w:i w:val="1"/>
          <w:iCs w:val="1"/>
          <w:color w:val="auto"/>
        </w:rPr>
        <w:t>Performance Obligations</w:t>
      </w:r>
      <w:r>
        <w:rPr>
          <w:rFonts w:ascii="Arial" w:cs="Arial" w:eastAsia="Arial" w:hAnsi="Arial"/>
          <w:sz w:val="14"/>
          <w:szCs w:val="14"/>
          <w:color w:val="auto"/>
        </w:rPr>
        <w:t>: Substantially all of our contracts with customers contain a single performance obligation, the sale of mixed-signal integrated circuit (IC) products.</w:t>
      </w:r>
      <w:r>
        <w:rPr>
          <w:rFonts w:ascii="Arial" w:cs="Arial" w:eastAsia="Arial" w:hAnsi="Arial"/>
          <w:sz w:val="14"/>
          <w:szCs w:val="14"/>
          <w:i w:val="1"/>
          <w:iCs w:val="1"/>
          <w:color w:val="auto"/>
        </w:rPr>
        <w:t xml:space="preserve"> </w:t>
      </w:r>
      <w:r>
        <w:rPr>
          <w:rFonts w:ascii="Arial" w:cs="Arial" w:eastAsia="Arial" w:hAnsi="Arial"/>
          <w:sz w:val="14"/>
          <w:szCs w:val="14"/>
          <w:color w:val="auto"/>
        </w:rPr>
        <w:t>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We generally warrant that our products will meet their published specifications, and that we will repair or replace defective products, for one year from the date title passes from us to the customer. Specific accruals are recorded for known product warranty issues.</w:t>
      </w:r>
    </w:p>
    <w:p>
      <w:pPr>
        <w:spacing w:after="0" w:line="61" w:lineRule="exact"/>
        <w:rPr>
          <w:sz w:val="20"/>
          <w:szCs w:val="20"/>
          <w:color w:val="auto"/>
        </w:rPr>
      </w:pPr>
    </w:p>
    <w:p>
      <w:pPr>
        <w:ind w:firstLine="351"/>
        <w:spacing w:after="0" w:line="285" w:lineRule="auto"/>
        <w:rPr>
          <w:sz w:val="20"/>
          <w:szCs w:val="20"/>
          <w:color w:val="auto"/>
        </w:rPr>
      </w:pPr>
      <w:r>
        <w:rPr>
          <w:rFonts w:ascii="Arial" w:cs="Arial" w:eastAsia="Arial" w:hAnsi="Arial"/>
          <w:sz w:val="14"/>
          <w:szCs w:val="14"/>
          <w:i w:val="1"/>
          <w:iCs w:val="1"/>
          <w:color w:val="auto"/>
        </w:rPr>
        <w:t>Transaction Price</w:t>
      </w:r>
      <w:r>
        <w:rPr>
          <w:rFonts w:ascii="Arial" w:cs="Arial" w:eastAsia="Arial" w:hAnsi="Arial"/>
          <w:sz w:val="14"/>
          <w:szCs w:val="14"/>
          <w:color w:val="auto"/>
        </w:rPr>
        <w:t>: The transaction price reflects our expectations about the consideration we will be entitled to receive from the customer and may include fixed or variable</w:t>
      </w:r>
      <w:r>
        <w:rPr>
          <w:rFonts w:ascii="Arial" w:cs="Arial" w:eastAsia="Arial" w:hAnsi="Arial"/>
          <w:sz w:val="14"/>
          <w:szCs w:val="14"/>
          <w:i w:val="1"/>
          <w:iCs w:val="1"/>
          <w:color w:val="auto"/>
        </w:rPr>
        <w:t xml:space="preserve"> </w:t>
      </w:r>
      <w:r>
        <w:rPr>
          <w:rFonts w:ascii="Arial" w:cs="Arial" w:eastAsia="Arial" w:hAnsi="Arial"/>
          <w:sz w:val="14"/>
          <w:szCs w:val="14"/>
          <w:color w:val="auto"/>
        </w:rPr>
        <w:t>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we will receive is unknown as of the end of a reporting period. Such consideration primarily includes credits issued to the distributor due to price protection and sales made to distributors under agreements that allow certain rights of return, referred to as stock rotation. Price protection represents price discounts granted to certain distributors to allow the distributor to earn an appropriate margin on sales negotiated with certain customers and in the event of a price decrease subsequent to the date the product was shipped and billed to the distributor. Stock rotation allows distributors limited levels of returns in order to reduce the amounts of slow-moving, discontinued or obsolete product from their inventory. A liability for distributor credits covering variable consideration is made based on management's estimate of historical experience rates as well as considering economic conditions and contractual terms. To date, actual distributor claims activity has been materially consistent with the provisions we have made based on our historical estimates.</w:t>
      </w:r>
    </w:p>
    <w:p>
      <w:pPr>
        <w:spacing w:after="0" w:line="80" w:lineRule="exact"/>
        <w:rPr>
          <w:sz w:val="20"/>
          <w:szCs w:val="20"/>
          <w:color w:val="auto"/>
        </w:rPr>
      </w:pPr>
    </w:p>
    <w:p>
      <w:pPr>
        <w:jc w:val="both"/>
        <w:ind w:right="200" w:firstLine="351"/>
        <w:spacing w:after="0" w:line="253"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Accounts receivable represents our unconditional right to receive consideration from our customers. Payments are typically due within 30 to 45 days of</w:t>
      </w:r>
      <w:r>
        <w:rPr>
          <w:rFonts w:ascii="Arial" w:cs="Arial" w:eastAsia="Arial" w:hAnsi="Arial"/>
          <w:sz w:val="16"/>
          <w:szCs w:val="16"/>
          <w:i w:val="1"/>
          <w:iCs w:val="1"/>
          <w:color w:val="auto"/>
        </w:rPr>
        <w:t xml:space="preserve"> </w:t>
      </w:r>
      <w:r>
        <w:rPr>
          <w:rFonts w:ascii="Arial" w:cs="Arial" w:eastAsia="Arial" w:hAnsi="Arial"/>
          <w:sz w:val="16"/>
          <w:szCs w:val="16"/>
          <w:color w:val="auto"/>
        </w:rPr>
        <w:t>invoicing and do not include a significant financing component. To date, there have been no material impairment losses on accounts receivable. There were no material contract assets or contract liabilities recorded on the Consolidated Balance Sheets in any of the periods presented.</w:t>
      </w:r>
    </w:p>
    <w:p>
      <w:pPr>
        <w:spacing w:after="0" w:line="85"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Inventory Valuation</w:t>
      </w:r>
    </w:p>
    <w:p>
      <w:pPr>
        <w:spacing w:after="0" w:line="108" w:lineRule="exact"/>
        <w:rPr>
          <w:sz w:val="20"/>
          <w:szCs w:val="20"/>
          <w:color w:val="auto"/>
        </w:rPr>
      </w:pPr>
    </w:p>
    <w:p>
      <w:pPr>
        <w:ind w:right="100" w:firstLine="386"/>
        <w:spacing w:after="0" w:line="247" w:lineRule="auto"/>
        <w:rPr>
          <w:sz w:val="20"/>
          <w:szCs w:val="20"/>
          <w:color w:val="auto"/>
        </w:rPr>
      </w:pPr>
      <w:r>
        <w:rPr>
          <w:rFonts w:ascii="Arial" w:cs="Arial" w:eastAsia="Arial" w:hAnsi="Arial"/>
          <w:sz w:val="16"/>
          <w:szCs w:val="16"/>
          <w:color w:val="auto"/>
        </w:rPr>
        <w:t>We value inventories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net realizable value of inventory. While a portion of the calculation is determined via reference to the age of inventory and lower of cost or market calculations, an element of the calculation is subject to significant judgments made by us about future demand for our inventory. If actual demand for our products is less than our estimates, additional adjustments to existing inventories may need to be recorded in future periods. To date, our actual results have not been materially different than our estimates, and we do not expect them to be materially different in the future.</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Long-Lived Assets</w:t>
      </w:r>
    </w:p>
    <w:p>
      <w:pPr>
        <w:spacing w:after="0" w:line="108" w:lineRule="exact"/>
        <w:rPr>
          <w:sz w:val="20"/>
          <w:szCs w:val="20"/>
          <w:color w:val="auto"/>
        </w:rPr>
      </w:pPr>
    </w:p>
    <w:p>
      <w:pPr>
        <w:ind w:firstLine="386"/>
        <w:spacing w:after="0" w:line="248" w:lineRule="auto"/>
        <w:rPr>
          <w:sz w:val="20"/>
          <w:szCs w:val="20"/>
          <w:color w:val="auto"/>
        </w:rPr>
      </w:pPr>
      <w:r>
        <w:rPr>
          <w:rFonts w:ascii="Arial" w:cs="Arial" w:eastAsia="Arial" w:hAnsi="Arial"/>
          <w:sz w:val="16"/>
          <w:szCs w:val="16"/>
          <w:color w:val="auto"/>
        </w:rPr>
        <w:t>We review property, plant, and equipment and intangible assets for impairment whenever events or changes in circumstances indicate that the carrying value of assets may not be recoverable. Recoverability of these assets is determined by comparison of their carrying value to the estimated future undiscounted cash flows that the assets are expected to generate over their remaining estimated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Although we have recognized no material impairment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9" w:name="page40"/>
    <w:bookmarkEnd w:id="39"/>
    <w:p>
      <w:pPr>
        <w:ind w:right="100"/>
        <w:spacing w:after="0" w:line="290" w:lineRule="auto"/>
        <w:rPr>
          <w:sz w:val="20"/>
          <w:szCs w:val="20"/>
          <w:color w:val="auto"/>
        </w:rPr>
      </w:pPr>
      <w:r>
        <w:rPr>
          <w:rFonts w:ascii="Arial" w:cs="Arial" w:eastAsia="Arial" w:hAnsi="Arial"/>
          <w:sz w:val="14"/>
          <w:szCs w:val="14"/>
          <w:color w:val="auto"/>
        </w:rPr>
        <w:t>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Goodwill</w:t>
      </w:r>
    </w:p>
    <w:p>
      <w:pPr>
        <w:spacing w:after="0" w:line="108" w:lineRule="exact"/>
        <w:rPr>
          <w:sz w:val="20"/>
          <w:szCs w:val="20"/>
          <w:color w:val="auto"/>
        </w:rPr>
      </w:pPr>
    </w:p>
    <w:p>
      <w:pPr>
        <w:ind w:firstLine="386"/>
        <w:spacing w:after="0" w:line="250" w:lineRule="auto"/>
        <w:rPr>
          <w:sz w:val="20"/>
          <w:szCs w:val="20"/>
          <w:color w:val="auto"/>
        </w:rPr>
      </w:pPr>
      <w:r>
        <w:rPr>
          <w:rFonts w:ascii="Arial" w:cs="Arial" w:eastAsia="Arial" w:hAnsi="Arial"/>
          <w:sz w:val="16"/>
          <w:szCs w:val="16"/>
          <w:color w:val="auto"/>
        </w:rPr>
        <w:t>Goodwill is subject to impairment tests annually or more frequently if events or changes in circumstances suggest that the carrying value of goodwill may not be recoverable, utilizing either the qualitative or quantitative method. We test goodwill for impairment at the reporting unit level, which we determined is consistent with our identified operating segments, on an annual basis on the first day of the fourth quarter (on or about August 1) or more frequently if we believe indicators of impairment exist or we reorganize our operating segments or reporting units.</w:t>
      </w:r>
    </w:p>
    <w:p>
      <w:pPr>
        <w:spacing w:after="0" w:line="87" w:lineRule="exact"/>
        <w:rPr>
          <w:sz w:val="20"/>
          <w:szCs w:val="20"/>
          <w:color w:val="auto"/>
        </w:rPr>
      </w:pPr>
    </w:p>
    <w:p>
      <w:pPr>
        <w:ind w:right="60" w:firstLine="386"/>
        <w:spacing w:after="0" w:line="263" w:lineRule="auto"/>
        <w:rPr>
          <w:sz w:val="20"/>
          <w:szCs w:val="20"/>
          <w:color w:val="auto"/>
        </w:rPr>
      </w:pPr>
      <w:r>
        <w:rPr>
          <w:rFonts w:ascii="Arial" w:cs="Arial" w:eastAsia="Arial" w:hAnsi="Arial"/>
          <w:sz w:val="16"/>
          <w:szCs w:val="16"/>
          <w:color w:val="auto"/>
        </w:rPr>
        <w:t>We have the option to first assess qualitative factors to determine whether it is more likely than not that the fair value of a reporting unit is less than its net book value. When using the qualitative method, we consider several factors, including the following:</w:t>
      </w:r>
    </w:p>
    <w:p>
      <w:pPr>
        <w:spacing w:after="0" w:line="88" w:lineRule="exact"/>
        <w:rPr>
          <w:sz w:val="20"/>
          <w:szCs w:val="20"/>
          <w:color w:val="auto"/>
        </w:rPr>
      </w:pPr>
    </w:p>
    <w:p>
      <w:pPr>
        <w:ind w:left="560" w:right="320" w:hanging="281"/>
        <w:spacing w:after="0" w:line="287" w:lineRule="auto"/>
        <w:rPr>
          <w:sz w:val="20"/>
          <w:szCs w:val="20"/>
          <w:color w:val="auto"/>
        </w:rPr>
      </w:pPr>
      <w:r>
        <w:rPr>
          <w:rFonts w:ascii="Arial" w:cs="Arial" w:eastAsia="Arial" w:hAnsi="Arial"/>
          <w:sz w:val="14"/>
          <w:szCs w:val="14"/>
          <w:color w:val="auto"/>
        </w:rPr>
        <w:t>– the amount by which the fair values of each reporting unit exceeded their carrying values as of the date of the most recent quantitative impairment analysis, which indicated there would need to be substantial negative developments in the markets in which these reporting units operate in order for there to be potential impairment;</w:t>
      </w:r>
    </w:p>
    <w:p>
      <w:pPr>
        <w:ind w:left="560" w:right="400" w:hanging="281"/>
        <w:spacing w:after="0" w:line="244" w:lineRule="auto"/>
        <w:rPr>
          <w:sz w:val="20"/>
          <w:szCs w:val="20"/>
          <w:color w:val="auto"/>
        </w:rPr>
      </w:pPr>
      <w:r>
        <w:rPr>
          <w:rFonts w:ascii="Arial" w:cs="Arial" w:eastAsia="Arial" w:hAnsi="Arial"/>
          <w:sz w:val="16"/>
          <w:szCs w:val="16"/>
          <w:color w:val="auto"/>
        </w:rPr>
        <w:t>– the carrying values of these reporting units as of the assessment date compared to their previously calculated fair values as of the date of the most recent quantitative impairment analysis;</w:t>
      </w:r>
    </w:p>
    <w:p>
      <w:pPr>
        <w:ind w:left="280"/>
        <w:spacing w:after="0"/>
        <w:rPr>
          <w:sz w:val="20"/>
          <w:szCs w:val="20"/>
          <w:color w:val="auto"/>
        </w:rPr>
      </w:pPr>
      <w:r>
        <w:rPr>
          <w:rFonts w:ascii="Arial" w:cs="Arial" w:eastAsia="Arial" w:hAnsi="Arial"/>
          <w:sz w:val="16"/>
          <w:szCs w:val="16"/>
          <w:color w:val="auto"/>
        </w:rPr>
        <w:t>–   the current forecasts as compared to the forecasts included in the most recent quantitative impairment analysis;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public information from competitors and other industry information to determine if there were any significant adverse trends in our competitors' businesses;</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changes in the value of major U.S. stock indices that could suggest declines in overall market stability that could impact the valuation of our reporting units;</w:t>
      </w:r>
    </w:p>
    <w:p>
      <w:pPr>
        <w:spacing w:after="0" w:line="26" w:lineRule="exact"/>
        <w:rPr>
          <w:sz w:val="20"/>
          <w:szCs w:val="20"/>
          <w:color w:val="auto"/>
        </w:rPr>
      </w:pPr>
    </w:p>
    <w:p>
      <w:pPr>
        <w:ind w:left="560" w:right="180" w:hanging="281"/>
        <w:spacing w:after="0" w:line="244" w:lineRule="auto"/>
        <w:rPr>
          <w:sz w:val="20"/>
          <w:szCs w:val="20"/>
          <w:color w:val="auto"/>
        </w:rPr>
      </w:pPr>
      <w:r>
        <w:rPr>
          <w:rFonts w:ascii="Arial" w:cs="Arial" w:eastAsia="Arial" w:hAnsi="Arial"/>
          <w:sz w:val="16"/>
          <w:szCs w:val="16"/>
          <w:color w:val="auto"/>
        </w:rPr>
        <w:t>– changes in our market capitalization and overall enterprise valuation to determine if there were any significant decreases that could be an indication that the valuation of our reporting units had significantly decreased; and</w:t>
      </w:r>
    </w:p>
    <w:p>
      <w:pPr>
        <w:ind w:left="560" w:right="320" w:hanging="281"/>
        <w:spacing w:after="0" w:line="248" w:lineRule="auto"/>
        <w:rPr>
          <w:sz w:val="20"/>
          <w:szCs w:val="20"/>
          <w:color w:val="auto"/>
        </w:rPr>
      </w:pPr>
      <w:r>
        <w:rPr>
          <w:rFonts w:ascii="Arial" w:cs="Arial" w:eastAsia="Arial" w:hAnsi="Arial"/>
          <w:sz w:val="16"/>
          <w:szCs w:val="16"/>
          <w:color w:val="auto"/>
        </w:rPr>
        <w:t>– whether there had been any significant increases to the weighted-average cost of capital rates for each reporting unit, which could materially lower our prior valuation conclusions under a discounted cash flow approach.</w:t>
      </w:r>
    </w:p>
    <w:p>
      <w:pPr>
        <w:spacing w:after="0" w:line="87" w:lineRule="exact"/>
        <w:rPr>
          <w:sz w:val="20"/>
          <w:szCs w:val="20"/>
          <w:color w:val="auto"/>
        </w:rPr>
      </w:pPr>
    </w:p>
    <w:p>
      <w:pPr>
        <w:ind w:right="20" w:firstLine="386"/>
        <w:spacing w:after="0" w:line="284" w:lineRule="auto"/>
        <w:rPr>
          <w:sz w:val="20"/>
          <w:szCs w:val="20"/>
          <w:color w:val="auto"/>
        </w:rPr>
      </w:pPr>
      <w:r>
        <w:rPr>
          <w:rFonts w:ascii="Arial" w:cs="Arial" w:eastAsia="Arial" w:hAnsi="Arial"/>
          <w:sz w:val="14"/>
          <w:szCs w:val="14"/>
          <w:color w:val="auto"/>
        </w:rPr>
        <w:t>If we elect not to use this option, or we determine that it is more likely than not that the fair value of a reporting unit is less than its net book value, then we perform the quantitative goodwill impairment test. The quantitative goodwill impairment test requires an entity to compare the fair value of a reporting unit with its carrying amount. If fair value is determined to be less than carrying value, an impairment loss is recognized for the amount of the carrying value that exceeds the amount of the reporting unit's fair value, not to exceed the total amount of goodwill allocated to the reporting unit. Additionally, we consider income tax effects from any tax deductible goodwill on the carrying amount of the reporting unit when measuring the goodwill impairment loss, if applicable. We determine the fair value of our reporting units using a weighting of the income and market approaches. Under the income approach, we use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of the reporting unit being tested, in order to obtain their respective fair values. In order to assess the reasonableness of the calculated reporting unit fair values, we reconcile the aggregate fair values of our reporting units determined, as described above, to our total company market capitalization, allowing for a reasonable control premium.</w:t>
      </w:r>
    </w:p>
    <w:p>
      <w:pPr>
        <w:spacing w:after="0" w:line="68" w:lineRule="exact"/>
        <w:rPr>
          <w:sz w:val="20"/>
          <w:szCs w:val="20"/>
          <w:color w:val="auto"/>
        </w:rPr>
      </w:pPr>
    </w:p>
    <w:p>
      <w:pPr>
        <w:ind w:right="160" w:firstLine="386"/>
        <w:spacing w:after="0" w:line="263" w:lineRule="auto"/>
        <w:rPr>
          <w:sz w:val="20"/>
          <w:szCs w:val="20"/>
          <w:color w:val="auto"/>
        </w:rPr>
      </w:pPr>
      <w:r>
        <w:rPr>
          <w:rFonts w:ascii="Arial" w:cs="Arial" w:eastAsia="Arial" w:hAnsi="Arial"/>
          <w:sz w:val="16"/>
          <w:szCs w:val="16"/>
          <w:color w:val="auto"/>
        </w:rPr>
        <w:t>During fiscal 2021 and fiscal 2020, we elected to use the quantitative method of assessing goodwill for all of our reporting units. In all periods presented, we concluded the reporting units' fair values exceeded their carrying amounts as of the assessment dates and no risk of impairment existed.</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40" w:name="page41"/>
    <w:bookmarkEnd w:id="40"/>
    <w:p>
      <w:pPr>
        <w:ind w:left="160"/>
        <w:spacing w:after="0"/>
        <w:rPr>
          <w:sz w:val="20"/>
          <w:szCs w:val="20"/>
          <w:color w:val="auto"/>
        </w:rPr>
      </w:pPr>
      <w:r>
        <w:rPr>
          <w:rFonts w:ascii="Arial" w:cs="Arial" w:eastAsia="Arial" w:hAnsi="Arial"/>
          <w:sz w:val="16"/>
          <w:szCs w:val="16"/>
          <w:i w:val="1"/>
          <w:iCs w:val="1"/>
          <w:color w:val="auto"/>
        </w:rPr>
        <w:t>Business Combinations</w:t>
      </w:r>
    </w:p>
    <w:p>
      <w:pPr>
        <w:spacing w:after="0" w:line="120" w:lineRule="exact"/>
        <w:rPr>
          <w:sz w:val="20"/>
          <w:szCs w:val="20"/>
          <w:color w:val="auto"/>
        </w:rPr>
      </w:pPr>
    </w:p>
    <w:p>
      <w:pPr>
        <w:ind w:firstLine="351"/>
        <w:spacing w:after="0" w:line="288" w:lineRule="auto"/>
        <w:rPr>
          <w:sz w:val="20"/>
          <w:szCs w:val="20"/>
          <w:color w:val="auto"/>
        </w:rPr>
      </w:pPr>
      <w:r>
        <w:rPr>
          <w:rFonts w:ascii="Arial" w:cs="Arial" w:eastAsia="Arial" w:hAnsi="Arial"/>
          <w:sz w:val="14"/>
          <w:szCs w:val="14"/>
          <w:color w:val="auto"/>
        </w:rPr>
        <w:t>Under the acquisition method of accounting, we recognize tangible and identifiable intangible assets acquired and liabilities assumed based on their estimated fair values. We record the excess of the fair value of the purchase consideration over the value of the net assets acquired as goodwill. The accounting for business combinations requires us to make significant estimates and assumptions, especially with respect to intangible assets and the fair value of contingent payment obligations. Critical estimates in valuing purchased technology, customer lists and other identifiable intangible assets include future cash flows that we expect to generate from the acquired assets. If the subsequent actual results and updated projections of the underlying business activity change compared with the assumptions and projections used to develop these values, we could experience impairment charges which could be material. In addition, we have estimated the economic lives of certain acquired assets and these lives are used to calculate depreciation and amortization expense. If our estimates of the economic lives change, depreciation or amortization expenses could be accelerated or slowed.</w:t>
      </w:r>
    </w:p>
    <w:p>
      <w:pPr>
        <w:spacing w:after="0" w:line="63" w:lineRule="exact"/>
        <w:rPr>
          <w:sz w:val="20"/>
          <w:szCs w:val="20"/>
          <w:color w:val="auto"/>
        </w:rPr>
      </w:pPr>
    </w:p>
    <w:p>
      <w:pPr>
        <w:ind w:right="60" w:firstLine="386"/>
        <w:spacing w:after="0" w:line="290" w:lineRule="auto"/>
        <w:rPr>
          <w:sz w:val="20"/>
          <w:szCs w:val="20"/>
          <w:color w:val="auto"/>
        </w:rPr>
      </w:pPr>
      <w:r>
        <w:rPr>
          <w:rFonts w:ascii="Arial" w:cs="Arial" w:eastAsia="Arial" w:hAnsi="Arial"/>
          <w:sz w:val="14"/>
          <w:szCs w:val="14"/>
          <w:color w:val="auto"/>
        </w:rPr>
        <w:t>We record contingent consideration resulting from a business combination at its fair value on the acquisition date. We generally determine the fair value of the contingent consideration using the income approach methodology of valuation. Each reporting period thereafter, we revalue these obligations and record increases or decreases in their fair value as an adjustment to operating expenses within the Consolidated Statements of Income. Changes in the fair value of the contingent consideration can result from changes in assumed discount periods and rates, and from changes pertaining to the achievement of the defined milestones.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expense we record in any given period.</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Accounting for Income Taxes</w:t>
      </w:r>
    </w:p>
    <w:p>
      <w:pPr>
        <w:spacing w:after="0" w:line="120" w:lineRule="exact"/>
        <w:rPr>
          <w:sz w:val="20"/>
          <w:szCs w:val="20"/>
          <w:color w:val="auto"/>
        </w:rPr>
      </w:pPr>
    </w:p>
    <w:p>
      <w:pPr>
        <w:ind w:right="100" w:firstLine="386"/>
        <w:spacing w:after="0" w:line="286" w:lineRule="auto"/>
        <w:rPr>
          <w:sz w:val="20"/>
          <w:szCs w:val="20"/>
          <w:color w:val="auto"/>
        </w:rPr>
      </w:pPr>
      <w:r>
        <w:rPr>
          <w:rFonts w:ascii="Arial" w:cs="Arial" w:eastAsia="Arial" w:hAnsi="Arial"/>
          <w:sz w:val="14"/>
          <w:szCs w:val="14"/>
          <w:color w:val="auto"/>
        </w:rPr>
        <w:t>We make certain estimates and judgments in determining income tax expense for financial statement purposes. These estimates and judgments occur in the calculation of income tax credits, benefits, and deductions, and in the calculation of certain tax assets and liabilities, which arise from differences in the timing of the recognition of certain expenses for tax and financial statement purposes. We assess the likelihood of the realization of deferred tax assets and record a corresponding valuation allowance as necessary if we determine those deferred tax assets may not be realized due to the uncertainty of the timing and amount to be realized of certain state and international tax credit carryovers. In reaching our conclusion, we evaluate certain relevant criteria including the existence of deferred tax liabilities that can be used to realize deferred tax assets, the taxable income in prior carryback years in the impacted state and international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which may result in an increase or decrease to our income tax provision in future periods.</w:t>
      </w:r>
    </w:p>
    <w:p>
      <w:pPr>
        <w:spacing w:after="0" w:line="67" w:lineRule="exact"/>
        <w:rPr>
          <w:sz w:val="20"/>
          <w:szCs w:val="20"/>
          <w:color w:val="auto"/>
        </w:rPr>
      </w:pPr>
    </w:p>
    <w:p>
      <w:pPr>
        <w:ind w:right="40" w:firstLine="386"/>
        <w:spacing w:after="0" w:line="285" w:lineRule="auto"/>
        <w:rPr>
          <w:sz w:val="20"/>
          <w:szCs w:val="20"/>
          <w:color w:val="auto"/>
        </w:rPr>
      </w:pPr>
      <w:r>
        <w:rPr>
          <w:rFonts w:ascii="Arial" w:cs="Arial" w:eastAsia="Arial" w:hAnsi="Arial"/>
          <w:sz w:val="14"/>
          <w:szCs w:val="14"/>
          <w:color w:val="auto"/>
        </w:rPr>
        <w:t>We account for uncertain tax positions by first determining if it is “more likely than not” that a tax position will be sustained by the appropriate taxing authorities prior to recording any benefit in the financial statements. An uncertain income tax position is not recognized if it has less than a 50% likelihood of being sustained. For those tax positions where it is more likely than not that a tax position will be sustained, we have recorded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classify interest and penalties related to uncertain tax positions within the (benefit from) provision for income taxes line of the Consolidated Statements of Income. We reevaluate these uncertain tax positions on a quarterly basis. This evaluation is based on factors including, but not limited to, changes in known facts or circumstances, changes in tax law, effectively settled issues under audit, and new guidance on legislative interpretations. A change in these factors could result in the recognition of an increase or decrease to our income tax provision, which could materially impact our consolidated financial position and results of operations.</w:t>
      </w:r>
    </w:p>
    <w:p>
      <w:pPr>
        <w:spacing w:after="0" w:line="68" w:lineRule="exact"/>
        <w:rPr>
          <w:sz w:val="20"/>
          <w:szCs w:val="20"/>
          <w:color w:val="auto"/>
        </w:rPr>
      </w:pPr>
    </w:p>
    <w:p>
      <w:pPr>
        <w:ind w:right="20" w:firstLine="386"/>
        <w:spacing w:after="0" w:line="247" w:lineRule="auto"/>
        <w:rPr>
          <w:sz w:val="20"/>
          <w:szCs w:val="20"/>
          <w:color w:val="auto"/>
        </w:rPr>
      </w:pPr>
      <w:r>
        <w:rPr>
          <w:rFonts w:ascii="Arial" w:cs="Arial" w:eastAsia="Arial" w:hAnsi="Arial"/>
          <w:sz w:val="16"/>
          <w:szCs w:val="16"/>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income tax liabilities. In the event our assumptions are incorrect, the differences could have a material impact on our income tax provision and operating results in the period in which such determination is made. In addition to the factors described above, our current and expected effective tax rate is based on then-current tax law. Significant changes during the year in enacted tax law could affect these estimates.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See Note 12, </w:t>
      </w:r>
      <w:r>
        <w:rPr>
          <w:rFonts w:ascii="Arial" w:cs="Arial" w:eastAsia="Arial" w:hAnsi="Arial"/>
          <w:sz w:val="14"/>
          <w:szCs w:val="14"/>
          <w:i w:val="1"/>
          <w:iCs w:val="1"/>
          <w:color w:val="auto"/>
        </w:rPr>
        <w:t>Income Taxes</w:t>
      </w:r>
      <w:r>
        <w:rPr>
          <w:rFonts w:ascii="Arial" w:cs="Arial" w:eastAsia="Arial" w:hAnsi="Arial"/>
          <w:sz w:val="14"/>
          <w:szCs w:val="14"/>
          <w:color w:val="auto"/>
        </w:rPr>
        <w:t>, of the Notes to Consolidated Financial Statements contained in Item 8 of this Annual Report on Form 10-K for further discussion.</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41" w:name="page42"/>
    <w:bookmarkEnd w:id="41"/>
    <w:p>
      <w:pPr>
        <w:ind w:left="160"/>
        <w:spacing w:after="0"/>
        <w:rPr>
          <w:sz w:val="20"/>
          <w:szCs w:val="20"/>
          <w:color w:val="auto"/>
        </w:rPr>
      </w:pPr>
      <w:r>
        <w:rPr>
          <w:rFonts w:ascii="Arial" w:cs="Arial" w:eastAsia="Arial" w:hAnsi="Arial"/>
          <w:sz w:val="16"/>
          <w:szCs w:val="16"/>
          <w:i w:val="1"/>
          <w:iCs w:val="1"/>
          <w:color w:val="auto"/>
        </w:rPr>
        <w:t>Stock-Based Compensation</w:t>
      </w:r>
    </w:p>
    <w:p>
      <w:pPr>
        <w:spacing w:after="0" w:line="120" w:lineRule="exact"/>
        <w:rPr>
          <w:sz w:val="20"/>
          <w:szCs w:val="20"/>
          <w:color w:val="auto"/>
        </w:rPr>
      </w:pPr>
    </w:p>
    <w:p>
      <w:pPr>
        <w:ind w:firstLine="386"/>
        <w:spacing w:after="0" w:line="285" w:lineRule="auto"/>
        <w:rPr>
          <w:sz w:val="20"/>
          <w:szCs w:val="20"/>
          <w:color w:val="auto"/>
        </w:rPr>
      </w:pPr>
      <w:r>
        <w:rPr>
          <w:rFonts w:ascii="Arial" w:cs="Arial" w:eastAsia="Arial" w:hAnsi="Arial"/>
          <w:sz w:val="14"/>
          <w:szCs w:val="14"/>
          <w:color w:val="auto"/>
        </w:rPr>
        <w:t>Stock-based compensation expense associated with stock options and related awards is recognized in the Consolidated Statements of Income. Determining the amount of stock-based compensation to be recorded requires us to develop estimates to be used in calculating the grant-date fair value of stock options and market-based restricted stock units. We calculate the grant-date fair values of stock options using the Black-Scholes valuation model. The grant-date fair value of restricted stock units with a service condition and restricted stock units with both service and performance conditions are calculated using the value of our common stock on the date of grant, reduced by the present value of dividends expected to be paid on our common stock prior to vesting. For restricted stock units with both service and performance conditions, this grant-date fair value is also impacted by the number of units that are expected to vest during the performance period and is adjusted through the related stock-based compensation expense at each reporting period based on the probability of achievement of that performance condition. If we determine that an award is unlikely to vest, any previously recorded stock-based compensation expense is reversed in the period of that determination. The grant date fair value of restricted stock units or performance-based stock options with both service and market conditions are calculated using the Monte Carlo simulation model to estimate the probability of satisfying the performance condition stipulated in the award grant, including the possibility that the market condition may not be satisfied.</w:t>
      </w:r>
    </w:p>
    <w:p>
      <w:pPr>
        <w:spacing w:after="0" w:line="64" w:lineRule="exact"/>
        <w:rPr>
          <w:sz w:val="20"/>
          <w:szCs w:val="20"/>
          <w:color w:val="auto"/>
        </w:rPr>
      </w:pPr>
    </w:p>
    <w:p>
      <w:pPr>
        <w:ind w:right="120" w:firstLine="386"/>
        <w:spacing w:after="0" w:line="297" w:lineRule="auto"/>
        <w:rPr>
          <w:sz w:val="20"/>
          <w:szCs w:val="20"/>
          <w:color w:val="auto"/>
        </w:rPr>
      </w:pPr>
      <w:r>
        <w:rPr>
          <w:rFonts w:ascii="Arial" w:cs="Arial" w:eastAsia="Arial" w:hAnsi="Arial"/>
          <w:sz w:val="14"/>
          <w:szCs w:val="14"/>
          <w:color w:val="auto"/>
        </w:rPr>
        <w:t xml:space="preserve">The use of valuation models requires us to make estimates of key assumptions such as expected option term and stock price volatility to determine the fair value of a stock option. The estimate of these key assumptions is based on historical information and judgment regarding market factors and trends. We recognize the expense related to equity awards on a straight-line basis over the vesting period. See Note 2r, </w:t>
      </w:r>
      <w:r>
        <w:rPr>
          <w:rFonts w:ascii="Arial" w:cs="Arial" w:eastAsia="Arial" w:hAnsi="Arial"/>
          <w:sz w:val="14"/>
          <w:szCs w:val="14"/>
          <w:i w:val="1"/>
          <w:iCs w:val="1"/>
          <w:color w:val="auto"/>
        </w:rPr>
        <w:t>Stock-based Compensation,</w:t>
      </w:r>
      <w:r>
        <w:rPr>
          <w:rFonts w:ascii="Arial" w:cs="Arial" w:eastAsia="Arial" w:hAnsi="Arial"/>
          <w:sz w:val="14"/>
          <w:szCs w:val="14"/>
          <w:color w:val="auto"/>
        </w:rPr>
        <w:t xml:space="preserve"> and Note 3, </w:t>
      </w:r>
      <w:r>
        <w:rPr>
          <w:rFonts w:ascii="Arial" w:cs="Arial" w:eastAsia="Arial" w:hAnsi="Arial"/>
          <w:sz w:val="14"/>
          <w:szCs w:val="14"/>
          <w:i w:val="1"/>
          <w:iCs w:val="1"/>
          <w:color w:val="auto"/>
        </w:rPr>
        <w:t>Stock-Based Compensation and Shareholders' Equity</w:t>
      </w:r>
      <w:r>
        <w:rPr>
          <w:rFonts w:ascii="Arial" w:cs="Arial" w:eastAsia="Arial" w:hAnsi="Arial"/>
          <w:sz w:val="14"/>
          <w:szCs w:val="14"/>
          <w:color w:val="auto"/>
        </w:rPr>
        <w:t>, of the Notes to Consolidated Financial Statements contained in Item 8 of this Annual Report on Form 10-K for more information related to stock-based compensation.</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Contingencies</w:t>
      </w:r>
    </w:p>
    <w:p>
      <w:pPr>
        <w:spacing w:after="0" w:line="120" w:lineRule="exact"/>
        <w:rPr>
          <w:sz w:val="20"/>
          <w:szCs w:val="20"/>
          <w:color w:val="auto"/>
        </w:rPr>
      </w:pPr>
    </w:p>
    <w:p>
      <w:pPr>
        <w:ind w:right="20" w:firstLine="386"/>
        <w:spacing w:after="0" w:line="286" w:lineRule="auto"/>
        <w:rPr>
          <w:sz w:val="20"/>
          <w:szCs w:val="20"/>
          <w:color w:val="auto"/>
        </w:rPr>
      </w:pPr>
      <w:r>
        <w:rPr>
          <w:rFonts w:ascii="Arial" w:cs="Arial" w:eastAsia="Arial" w:hAnsi="Arial"/>
          <w:sz w:val="14"/>
          <w:szCs w:val="14"/>
          <w:color w:val="auto"/>
        </w:rPr>
        <w:t>From time to time, in the ordinary course of business, various claims, charges and litigation are asserted or commenced against us arising from, or related to, among other things, contractual matters, patents, trademarks, personal injury, environmental matters, product liability, insurance coverage, employment or employment benefits. We periodically assess each matter to determine if a contingent liability should be recorded.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992" w:right="359" w:bottom="1440" w:gutter="0" w:footer="0" w:header="0"/>
        </w:sectPr>
      </w:pPr>
    </w:p>
    <w:bookmarkStart w:id="42" w:name="page43"/>
    <w:bookmarkEnd w:id="42"/>
    <w:p>
      <w:pPr>
        <w:spacing w:after="0"/>
        <w:tabs>
          <w:tab w:leader="none" w:pos="86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Interest Rate Exposure</w:t>
      </w:r>
    </w:p>
    <w:p>
      <w:pPr>
        <w:spacing w:after="0" w:line="120" w:lineRule="exact"/>
        <w:rPr>
          <w:sz w:val="20"/>
          <w:szCs w:val="20"/>
          <w:color w:val="auto"/>
        </w:rPr>
      </w:pPr>
    </w:p>
    <w:p>
      <w:pPr>
        <w:ind w:right="160" w:firstLine="351"/>
        <w:spacing w:after="0" w:line="263" w:lineRule="auto"/>
        <w:rPr>
          <w:sz w:val="20"/>
          <w:szCs w:val="20"/>
          <w:color w:val="auto"/>
        </w:rPr>
      </w:pPr>
      <w:r>
        <w:rPr>
          <w:rFonts w:ascii="Arial" w:cs="Arial" w:eastAsia="Arial" w:hAnsi="Arial"/>
          <w:sz w:val="16"/>
          <w:szCs w:val="16"/>
          <w:color w:val="auto"/>
        </w:rPr>
        <w:t>Our interest income and expense are sensitive to changes in the general level of interest rates. In this regard, changes in interest rates affect the interest earned or paid on our marketable securities and debt, as well as the fair value of our investments and debt.</w:t>
      </w:r>
    </w:p>
    <w:p>
      <w:pPr>
        <w:spacing w:after="0" w:line="111" w:lineRule="exact"/>
        <w:rPr>
          <w:sz w:val="20"/>
          <w:szCs w:val="20"/>
          <w:color w:val="auto"/>
        </w:rPr>
      </w:pPr>
    </w:p>
    <w:p>
      <w:pPr>
        <w:ind w:right="240" w:firstLine="351"/>
        <w:spacing w:after="0" w:line="263" w:lineRule="auto"/>
        <w:rPr>
          <w:sz w:val="20"/>
          <w:szCs w:val="20"/>
          <w:color w:val="auto"/>
        </w:rPr>
      </w:pPr>
      <w:r>
        <w:rPr>
          <w:rFonts w:ascii="Arial" w:cs="Arial" w:eastAsia="Arial" w:hAnsi="Arial"/>
          <w:sz w:val="16"/>
          <w:szCs w:val="16"/>
          <w:color w:val="auto"/>
        </w:rPr>
        <w:t>Based on the $500.0 million of our floating rate debt outstanding as of October 30, 2021, our annual interest expense would change by approximately $5.0 million for each 100 basis point increase in interest rates.</w:t>
      </w:r>
    </w:p>
    <w:p>
      <w:pPr>
        <w:spacing w:after="0" w:line="111" w:lineRule="exact"/>
        <w:rPr>
          <w:sz w:val="20"/>
          <w:szCs w:val="20"/>
          <w:color w:val="auto"/>
        </w:rPr>
      </w:pPr>
    </w:p>
    <w:p>
      <w:pPr>
        <w:ind w:right="140" w:firstLine="351"/>
        <w:spacing w:after="0" w:line="253" w:lineRule="auto"/>
        <w:rPr>
          <w:sz w:val="20"/>
          <w:szCs w:val="20"/>
          <w:color w:val="auto"/>
        </w:rPr>
      </w:pPr>
      <w:r>
        <w:rPr>
          <w:rFonts w:ascii="Arial" w:cs="Arial" w:eastAsia="Arial" w:hAnsi="Arial"/>
          <w:sz w:val="16"/>
          <w:szCs w:val="16"/>
          <w:color w:val="auto"/>
        </w:rPr>
        <w:t>In certain instances, we utilize interest rate derivatives to manage interest rate exposure on both outstanding debt as well as future issuances. As of October 30, 2021, we had no outstanding interest rate derivative instruments. As of October 31, 2020, for each 100 basis point decrease in the ten-year U.S. Treasury rate, the fair value of our outstanding derivative instruments would have changed by approximately $102.0 million.</w:t>
      </w:r>
    </w:p>
    <w:p>
      <w:pPr>
        <w:spacing w:after="0" w:line="120" w:lineRule="exact"/>
        <w:rPr>
          <w:sz w:val="20"/>
          <w:szCs w:val="20"/>
          <w:color w:val="auto"/>
        </w:rPr>
      </w:pPr>
    </w:p>
    <w:p>
      <w:pPr>
        <w:ind w:right="200" w:firstLine="351"/>
        <w:spacing w:after="0" w:line="263" w:lineRule="auto"/>
        <w:rPr>
          <w:sz w:val="20"/>
          <w:szCs w:val="20"/>
          <w:color w:val="auto"/>
        </w:rPr>
      </w:pPr>
      <w:r>
        <w:rPr>
          <w:rFonts w:ascii="Arial" w:cs="Arial" w:eastAsia="Arial" w:hAnsi="Arial"/>
          <w:sz w:val="16"/>
          <w:szCs w:val="16"/>
          <w:color w:val="auto"/>
        </w:rPr>
        <w:t>Based on our marketable securities outstanding as of October 30, 2021 and October 31, 2020, our annual interest income would change by approximately $19.7 million and $10.6 million, respectively, for each 100 basis point increase in interest rates.</w:t>
      </w:r>
    </w:p>
    <w:p>
      <w:pPr>
        <w:spacing w:after="0" w:line="111" w:lineRule="exact"/>
        <w:rPr>
          <w:sz w:val="20"/>
          <w:szCs w:val="20"/>
          <w:color w:val="auto"/>
        </w:rPr>
      </w:pPr>
    </w:p>
    <w:p>
      <w:pPr>
        <w:ind w:right="80" w:firstLine="351"/>
        <w:spacing w:after="0" w:line="297" w:lineRule="auto"/>
        <w:rPr>
          <w:sz w:val="20"/>
          <w:szCs w:val="20"/>
          <w:color w:val="auto"/>
        </w:rPr>
      </w:pPr>
      <w:r>
        <w:rPr>
          <w:rFonts w:ascii="Arial" w:cs="Arial" w:eastAsia="Arial" w:hAnsi="Arial"/>
          <w:sz w:val="14"/>
          <w:szCs w:val="14"/>
          <w:color w:val="auto"/>
        </w:rPr>
        <w:t>To provide a meaningful assessment of the interest rate risk associated with our investment portfolio, we performed a sensitivity analysis to determine the impact a change in interest rates would have on the value of our investment portfolio assuming a 100 basis point parallel shift in the yield curve. Based on investment positions as of October 30, 2021 and October 31, 2020, a hypothetical 100 basis point increase in interest rates across all maturities would not materially impact the fair market value of the portfolio in either period. If significant, such losses would only be realized if we sold the investments prior to maturity.</w:t>
      </w:r>
    </w:p>
    <w:p>
      <w:pPr>
        <w:spacing w:after="0" w:line="57" w:lineRule="exact"/>
        <w:rPr>
          <w:sz w:val="20"/>
          <w:szCs w:val="20"/>
          <w:color w:val="auto"/>
        </w:rPr>
      </w:pPr>
    </w:p>
    <w:p>
      <w:pPr>
        <w:ind w:right="140" w:firstLine="351"/>
        <w:spacing w:after="0" w:line="307" w:lineRule="auto"/>
        <w:rPr>
          <w:sz w:val="20"/>
          <w:szCs w:val="20"/>
          <w:color w:val="auto"/>
        </w:rPr>
      </w:pPr>
      <w:r>
        <w:rPr>
          <w:rFonts w:ascii="Arial" w:cs="Arial" w:eastAsia="Arial" w:hAnsi="Arial"/>
          <w:sz w:val="14"/>
          <w:szCs w:val="14"/>
          <w:color w:val="auto"/>
        </w:rPr>
        <w:t>As of October 30, 2021, we had $6.8 billion in principal amount of senior unsecured notes outstanding, with a fair value of $7.1 billion. The fair value of our notes is subject to interest rate risk, market risk, and other factors. Generally, the fair value of our notes will increase as interest rates fall and decrease as interest rates rise. The fair values of our notes as of October 30, 2021 and October 31, 2020, assuming a hypothetical 100 basis point increase in market interest rates,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62"/>
              <w:spacing w:after="0"/>
              <w:rPr>
                <w:sz w:val="20"/>
                <w:szCs w:val="20"/>
                <w:color w:val="auto"/>
              </w:rPr>
            </w:pPr>
            <w:r>
              <w:rPr>
                <w:rFonts w:ascii="Arial" w:cs="Arial" w:eastAsia="Arial" w:hAnsi="Arial"/>
                <w:sz w:val="12"/>
                <w:szCs w:val="12"/>
                <w:b w:val="1"/>
                <w:bCs w:val="1"/>
                <w:color w:val="auto"/>
                <w:w w:val="93"/>
              </w:rPr>
              <w:t>October 30, 2021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auto"/>
                <w:w w:val="95"/>
              </w:rPr>
              <w:t>October 31, 2020</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25"/>
              <w:spacing w:after="0" w:line="114" w:lineRule="exact"/>
              <w:rPr>
                <w:sz w:val="20"/>
                <w:szCs w:val="20"/>
                <w:color w:val="auto"/>
              </w:rPr>
            </w:pPr>
            <w:r>
              <w:rPr>
                <w:rFonts w:ascii="Arial" w:cs="Arial" w:eastAsia="Arial" w:hAnsi="Arial"/>
                <w:sz w:val="12"/>
                <w:szCs w:val="12"/>
                <w:b w:val="1"/>
                <w:bCs w:val="1"/>
                <w:color w:val="auto"/>
                <w:w w:val="95"/>
              </w:rPr>
              <w:t>Fair Value given an</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jc w:val="center"/>
              <w:ind w:right="25"/>
              <w:spacing w:after="0" w:line="114" w:lineRule="exact"/>
              <w:rPr>
                <w:sz w:val="20"/>
                <w:szCs w:val="20"/>
                <w:color w:val="auto"/>
              </w:rPr>
            </w:pPr>
            <w:r>
              <w:rPr>
                <w:rFonts w:ascii="Arial" w:cs="Arial" w:eastAsia="Arial" w:hAnsi="Arial"/>
                <w:sz w:val="12"/>
                <w:szCs w:val="12"/>
                <w:b w:val="1"/>
                <w:bCs w:val="1"/>
                <w:color w:val="auto"/>
                <w:w w:val="93"/>
              </w:rPr>
              <w:t>Fair Value given 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3"/>
            <w:vMerge w:val="restart"/>
          </w:tcPr>
          <w:p>
            <w:pPr>
              <w:jc w:val="center"/>
              <w:ind w:right="288"/>
              <w:spacing w:after="0"/>
              <w:rPr>
                <w:sz w:val="20"/>
                <w:szCs w:val="20"/>
                <w:color w:val="auto"/>
              </w:rPr>
            </w:pPr>
            <w:r>
              <w:rPr>
                <w:rFonts w:ascii="Arial" w:cs="Arial" w:eastAsia="Arial" w:hAnsi="Arial"/>
                <w:sz w:val="12"/>
                <w:szCs w:val="12"/>
                <w:b w:val="1"/>
                <w:bCs w:val="1"/>
                <w:color w:val="auto"/>
                <w:w w:val="96"/>
              </w:rPr>
              <w:t>Principal Amount</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w w:val="91"/>
              </w:rPr>
              <w:t>increase in interest</w:t>
            </w:r>
          </w:p>
        </w:tc>
        <w:tc>
          <w:tcPr>
            <w:tcW w:w="12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6"/>
              </w:rPr>
              <w:t>Principal Amount</w:t>
            </w: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89"/>
              </w:rPr>
              <w:t>increase in interest</w:t>
            </w:r>
          </w:p>
        </w:tc>
        <w:tc>
          <w:tcPr>
            <w:tcW w:w="0" w:type="dxa"/>
            <w:vAlign w:val="bottom"/>
          </w:tcPr>
          <w:p>
            <w:pPr>
              <w:spacing w:after="0"/>
              <w:rPr>
                <w:sz w:val="1"/>
                <w:szCs w:val="1"/>
                <w:color w:val="auto"/>
              </w:rPr>
            </w:pPr>
          </w:p>
        </w:tc>
      </w:tr>
      <w:tr>
        <w:trPr>
          <w:trHeight w:val="117"/>
        </w:trPr>
        <w:tc>
          <w:tcPr>
            <w:tcW w:w="32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(thousands)</w:t>
            </w:r>
          </w:p>
        </w:tc>
        <w:tc>
          <w:tcPr>
            <w:tcW w:w="12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320" w:type="dxa"/>
            <w:vAlign w:val="bottom"/>
            <w:gridSpan w:val="3"/>
            <w:vMerge w:val="restart"/>
          </w:tcPr>
          <w:p>
            <w:pPr>
              <w:jc w:val="center"/>
              <w:ind w:right="242"/>
              <w:spacing w:after="0"/>
              <w:rPr>
                <w:sz w:val="20"/>
                <w:szCs w:val="20"/>
                <w:color w:val="auto"/>
              </w:rPr>
            </w:pPr>
            <w:r>
              <w:rPr>
                <w:rFonts w:ascii="Arial" w:cs="Arial" w:eastAsia="Arial" w:hAnsi="Arial"/>
                <w:sz w:val="12"/>
                <w:szCs w:val="12"/>
                <w:b w:val="1"/>
                <w:bCs w:val="1"/>
                <w:color w:val="auto"/>
                <w:w w:val="97"/>
              </w:rPr>
              <w:t>Fair Value</w:t>
            </w:r>
          </w:p>
        </w:tc>
        <w:tc>
          <w:tcPr>
            <w:tcW w:w="124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w w:val="91"/>
              </w:rPr>
              <w:t>rates of 100 basis</w:t>
            </w: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3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7"/>
              </w:rPr>
              <w:t>Fair Value</w:t>
            </w:r>
          </w:p>
        </w:tc>
        <w:tc>
          <w:tcPr>
            <w:tcW w:w="100" w:type="dxa"/>
            <w:vAlign w:val="bottom"/>
          </w:tcPr>
          <w:p>
            <w:pPr>
              <w:spacing w:after="0"/>
              <w:rPr>
                <w:sz w:val="10"/>
                <w:szCs w:val="10"/>
                <w:color w:val="auto"/>
              </w:rPr>
            </w:pPr>
          </w:p>
        </w:tc>
        <w:tc>
          <w:tcPr>
            <w:tcW w:w="1220" w:type="dxa"/>
            <w:vAlign w:val="bottom"/>
            <w:gridSpan w:val="2"/>
          </w:tcPr>
          <w:p>
            <w:pPr>
              <w:jc w:val="center"/>
              <w:ind w:right="160"/>
              <w:spacing w:after="0" w:line="117" w:lineRule="exact"/>
              <w:rPr>
                <w:sz w:val="20"/>
                <w:szCs w:val="20"/>
                <w:color w:val="auto"/>
              </w:rPr>
            </w:pPr>
            <w:r>
              <w:rPr>
                <w:rFonts w:ascii="Arial" w:cs="Arial" w:eastAsia="Arial" w:hAnsi="Arial"/>
                <w:sz w:val="12"/>
                <w:szCs w:val="12"/>
                <w:b w:val="1"/>
                <w:bCs w:val="1"/>
                <w:color w:val="auto"/>
                <w:w w:val="89"/>
              </w:rPr>
              <w:t>rates of 100 basis</w:t>
            </w:r>
          </w:p>
        </w:tc>
        <w:tc>
          <w:tcPr>
            <w:tcW w:w="0" w:type="dxa"/>
            <w:vAlign w:val="bottom"/>
          </w:tcPr>
          <w:p>
            <w:pPr>
              <w:spacing w:after="0"/>
              <w:rPr>
                <w:sz w:val="1"/>
                <w:szCs w:val="1"/>
                <w:color w:val="auto"/>
              </w:rPr>
            </w:pPr>
          </w:p>
        </w:tc>
      </w:tr>
      <w:tr>
        <w:trPr>
          <w:trHeight w:val="162"/>
        </w:trPr>
        <w:tc>
          <w:tcPr>
            <w:tcW w:w="3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68"/>
              <w:spacing w:after="0"/>
              <w:rPr>
                <w:sz w:val="20"/>
                <w:szCs w:val="20"/>
                <w:color w:val="auto"/>
              </w:rPr>
            </w:pPr>
            <w:r>
              <w:rPr>
                <w:rFonts w:ascii="Arial" w:cs="Arial" w:eastAsia="Arial" w:hAnsi="Arial"/>
                <w:sz w:val="12"/>
                <w:szCs w:val="12"/>
                <w:b w:val="1"/>
                <w:bCs w:val="1"/>
                <w:color w:val="auto"/>
                <w:w w:val="93"/>
              </w:rPr>
              <w:t>Outstanding</w:t>
            </w:r>
          </w:p>
        </w:tc>
        <w:tc>
          <w:tcPr>
            <w:tcW w:w="1320" w:type="dxa"/>
            <w:vAlign w:val="bottom"/>
            <w:gridSpan w:val="3"/>
            <w:vMerge w:val="continue"/>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points</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Outstanding</w:t>
            </w: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points</w:t>
            </w:r>
          </w:p>
        </w:tc>
        <w:tc>
          <w:tcPr>
            <w:tcW w:w="0" w:type="dxa"/>
            <w:vAlign w:val="bottom"/>
          </w:tcPr>
          <w:p>
            <w:pPr>
              <w:spacing w:after="0"/>
              <w:rPr>
                <w:sz w:val="1"/>
                <w:szCs w:val="1"/>
                <w:color w:val="auto"/>
              </w:rPr>
            </w:pPr>
          </w:p>
        </w:tc>
      </w:tr>
      <w:tr>
        <w:trPr>
          <w:trHeight w:val="192"/>
        </w:trPr>
        <w:tc>
          <w:tcPr>
            <w:tcW w:w="3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2021 Notes, due December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$408,565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404,170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00" w:type="dxa"/>
            <w:vAlign w:val="bottom"/>
            <w:gridSpan w:val="2"/>
          </w:tcPr>
          <w:p>
            <w:pPr>
              <w:spacing w:after="0"/>
              <w:rPr>
                <w:sz w:val="20"/>
                <w:szCs w:val="20"/>
                <w:color w:val="auto"/>
              </w:rPr>
            </w:pPr>
            <w:r>
              <w:rPr>
                <w:rFonts w:ascii="Arial" w:cs="Arial" w:eastAsia="Arial" w:hAnsi="Arial"/>
                <w:sz w:val="16"/>
                <w:szCs w:val="16"/>
                <w:color w:val="auto"/>
              </w:rPr>
              <w:t>2023 Notes, due March 2023</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520,236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513,273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Maxim 2023 Notes, due June 2023</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526,855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513,874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gridSpan w:val="2"/>
          </w:tcPr>
          <w:p>
            <w:pPr>
              <w:spacing w:after="0"/>
              <w:rPr>
                <w:sz w:val="20"/>
                <w:szCs w:val="20"/>
                <w:color w:val="auto"/>
              </w:rPr>
            </w:pPr>
            <w:r>
              <w:rPr>
                <w:rFonts w:ascii="Arial" w:cs="Arial" w:eastAsia="Arial" w:hAnsi="Arial"/>
                <w:sz w:val="16"/>
                <w:szCs w:val="16"/>
                <w:color w:val="auto"/>
              </w:rPr>
              <w:t>2023 Notes, due December 2023</w:t>
            </w:r>
          </w:p>
        </w:tc>
        <w:tc>
          <w:tcPr>
            <w:tcW w:w="120" w:type="dxa"/>
            <w:vAlign w:val="bottom"/>
          </w:tcPr>
          <w:p>
            <w:pPr>
              <w:spacing w:after="0"/>
              <w:rPr>
                <w:sz w:val="17"/>
                <w:szCs w:val="17"/>
                <w:color w:val="auto"/>
              </w:rPr>
            </w:pPr>
          </w:p>
        </w:tc>
        <w:tc>
          <w:tcPr>
            <w:tcW w:w="1360" w:type="dxa"/>
            <w:vAlign w:val="bottom"/>
            <w:gridSpan w:val="3"/>
          </w:tcPr>
          <w:p>
            <w:pPr>
              <w:jc w:val="right"/>
              <w:ind w:right="228"/>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ind w:right="182"/>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590,177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572,965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2024</w:t>
            </w: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October 2024</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486,201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20"/>
                <w:szCs w:val="20"/>
                <w:color w:val="auto"/>
              </w:rPr>
            </w:pPr>
            <w:r>
              <w:rPr>
                <w:rFonts w:ascii="Arial" w:cs="Arial" w:eastAsia="Arial" w:hAnsi="Arial"/>
                <w:sz w:val="16"/>
                <w:szCs w:val="16"/>
                <w:color w:val="auto"/>
                <w:w w:val="89"/>
              </w:rPr>
              <w:t>2025</w:t>
            </w:r>
          </w:p>
        </w:tc>
        <w:tc>
          <w:tcPr>
            <w:tcW w:w="2860" w:type="dxa"/>
            <w:vAlign w:val="bottom"/>
          </w:tcPr>
          <w:p>
            <w:pPr>
              <w:ind w:left="20"/>
              <w:spacing w:after="0"/>
              <w:rPr>
                <w:sz w:val="20"/>
                <w:szCs w:val="20"/>
                <w:color w:val="auto"/>
              </w:rPr>
            </w:pPr>
            <w:r>
              <w:rPr>
                <w:rFonts w:ascii="Arial" w:cs="Arial" w:eastAsia="Arial" w:hAnsi="Arial"/>
                <w:sz w:val="16"/>
                <w:szCs w:val="16"/>
                <w:color w:val="auto"/>
              </w:rPr>
              <w:t>Notes, due April 2025</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423,265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409,725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434,919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417,225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2025 Notes, due December 2025</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969,033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924,695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20"/>
                <w:szCs w:val="20"/>
                <w:color w:val="auto"/>
              </w:rPr>
            </w:pPr>
            <w:r>
              <w:rPr>
                <w:rFonts w:ascii="Arial" w:cs="Arial" w:eastAsia="Arial" w:hAnsi="Arial"/>
                <w:sz w:val="16"/>
                <w:szCs w:val="16"/>
                <w:color w:val="auto"/>
                <w:w w:val="89"/>
              </w:rPr>
              <w:t>2026</w:t>
            </w:r>
          </w:p>
        </w:tc>
        <w:tc>
          <w:tcPr>
            <w:tcW w:w="2860" w:type="dxa"/>
            <w:vAlign w:val="bottom"/>
          </w:tcPr>
          <w:p>
            <w:pPr>
              <w:ind w:left="20"/>
              <w:spacing w:after="0"/>
              <w:rPr>
                <w:sz w:val="20"/>
                <w:szCs w:val="20"/>
                <w:color w:val="auto"/>
              </w:rPr>
            </w:pPr>
            <w:r>
              <w:rPr>
                <w:rFonts w:ascii="Arial" w:cs="Arial" w:eastAsia="Arial" w:hAnsi="Arial"/>
                <w:sz w:val="16"/>
                <w:szCs w:val="16"/>
                <w:color w:val="auto"/>
              </w:rPr>
              <w:t>Notes, due December 2026</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986,243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941,160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1,017,505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962,821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Maxim 2027 Notes, due June 2027</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542,942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515,866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20"/>
                <w:szCs w:val="20"/>
                <w:color w:val="auto"/>
              </w:rPr>
            </w:pPr>
            <w:r>
              <w:rPr>
                <w:rFonts w:ascii="Arial" w:cs="Arial" w:eastAsia="Arial" w:hAnsi="Arial"/>
                <w:sz w:val="16"/>
                <w:szCs w:val="16"/>
                <w:color w:val="auto"/>
                <w:w w:val="89"/>
              </w:rPr>
              <w:t>2028</w:t>
            </w:r>
          </w:p>
        </w:tc>
        <w:tc>
          <w:tcPr>
            <w:tcW w:w="2860" w:type="dxa"/>
            <w:vAlign w:val="bottom"/>
          </w:tcPr>
          <w:p>
            <w:pPr>
              <w:ind w:left="20"/>
              <w:spacing w:after="0"/>
              <w:rPr>
                <w:sz w:val="20"/>
                <w:szCs w:val="20"/>
                <w:color w:val="auto"/>
              </w:rPr>
            </w:pPr>
            <w:r>
              <w:rPr>
                <w:rFonts w:ascii="Arial" w:cs="Arial" w:eastAsia="Arial" w:hAnsi="Arial"/>
                <w:sz w:val="16"/>
                <w:szCs w:val="16"/>
                <w:color w:val="auto"/>
              </w:rPr>
              <w:t>Notes, due October 2028</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750,000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743,109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696,554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2031</w:t>
            </w: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October 2031</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996,702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912,196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20"/>
                <w:szCs w:val="20"/>
                <w:color w:val="auto"/>
              </w:rPr>
            </w:pPr>
            <w:r>
              <w:rPr>
                <w:rFonts w:ascii="Arial" w:cs="Arial" w:eastAsia="Arial" w:hAnsi="Arial"/>
                <w:sz w:val="16"/>
                <w:szCs w:val="16"/>
                <w:color w:val="auto"/>
                <w:w w:val="89"/>
              </w:rPr>
              <w:t>2036</w:t>
            </w:r>
          </w:p>
        </w:tc>
        <w:tc>
          <w:tcPr>
            <w:tcW w:w="2860" w:type="dxa"/>
            <w:vAlign w:val="bottom"/>
          </w:tcPr>
          <w:p>
            <w:pPr>
              <w:ind w:left="20"/>
              <w:spacing w:after="0"/>
              <w:rPr>
                <w:sz w:val="20"/>
                <w:szCs w:val="20"/>
                <w:color w:val="auto"/>
              </w:rPr>
            </w:pPr>
            <w:r>
              <w:rPr>
                <w:rFonts w:ascii="Arial" w:cs="Arial" w:eastAsia="Arial" w:hAnsi="Arial"/>
                <w:sz w:val="16"/>
                <w:szCs w:val="16"/>
                <w:color w:val="auto"/>
              </w:rPr>
              <w:t>Notes, due December 2036</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144,278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176,960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158,110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298,153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265,210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2041</w:t>
            </w: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October 2041</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758,246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652,754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tcPr>
          <w:p>
            <w:pPr>
              <w:spacing w:after="0"/>
              <w:rPr>
                <w:sz w:val="20"/>
                <w:szCs w:val="20"/>
                <w:color w:val="auto"/>
              </w:rPr>
            </w:pPr>
            <w:r>
              <w:rPr>
                <w:rFonts w:ascii="Arial" w:cs="Arial" w:eastAsia="Arial" w:hAnsi="Arial"/>
                <w:sz w:val="16"/>
                <w:szCs w:val="16"/>
                <w:color w:val="auto"/>
                <w:w w:val="89"/>
              </w:rPr>
              <w:t>2045</w:t>
            </w:r>
          </w:p>
        </w:tc>
        <w:tc>
          <w:tcPr>
            <w:tcW w:w="2860" w:type="dxa"/>
            <w:vAlign w:val="bottom"/>
          </w:tcPr>
          <w:p>
            <w:pPr>
              <w:ind w:left="20"/>
              <w:spacing w:after="0"/>
              <w:rPr>
                <w:sz w:val="20"/>
                <w:szCs w:val="20"/>
                <w:color w:val="auto"/>
              </w:rPr>
            </w:pPr>
            <w:r>
              <w:rPr>
                <w:rFonts w:ascii="Arial" w:cs="Arial" w:eastAsia="Arial" w:hAnsi="Arial"/>
                <w:sz w:val="16"/>
                <w:szCs w:val="16"/>
                <w:color w:val="auto"/>
              </w:rPr>
              <w:t>Notes, due December 2045</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332,587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469,592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404,287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538,788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463,425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2051</w:t>
            </w:r>
          </w:p>
        </w:tc>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October 2051</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1,029,830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848,513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8"/>
        </w:trPr>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9A9A9A"/>
            </w:tcBorders>
          </w:tcPr>
          <w:p>
            <w:pPr>
              <w:spacing w:after="0"/>
              <w:rPr>
                <w:sz w:val="8"/>
                <w:szCs w:val="8"/>
                <w:color w:val="auto"/>
              </w:rPr>
            </w:pPr>
          </w:p>
        </w:tc>
        <w:tc>
          <w:tcPr>
            <w:tcW w:w="2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90" w:right="319" w:bottom="1440" w:gutter="0" w:footer="0" w:header="0"/>
        </w:sectPr>
      </w:pPr>
    </w:p>
    <w:bookmarkStart w:id="43" w:name="page44"/>
    <w:bookmarkEnd w:id="43"/>
    <w:p>
      <w:pPr>
        <w:ind w:left="160"/>
        <w:spacing w:after="0"/>
        <w:rPr>
          <w:sz w:val="20"/>
          <w:szCs w:val="20"/>
          <w:color w:val="auto"/>
        </w:rPr>
      </w:pPr>
      <w:r>
        <w:rPr>
          <w:rFonts w:ascii="Arial" w:cs="Arial" w:eastAsia="Arial" w:hAnsi="Arial"/>
          <w:sz w:val="16"/>
          <w:szCs w:val="16"/>
          <w:i w:val="1"/>
          <w:iCs w:val="1"/>
          <w:color w:val="auto"/>
        </w:rPr>
        <w:t>Foreign Currency Exposure</w:t>
      </w:r>
    </w:p>
    <w:p>
      <w:pPr>
        <w:spacing w:after="0" w:line="108" w:lineRule="exact"/>
        <w:rPr>
          <w:sz w:val="20"/>
          <w:szCs w:val="20"/>
          <w:color w:val="auto"/>
        </w:rPr>
      </w:pPr>
    </w:p>
    <w:p>
      <w:pPr>
        <w:ind w:right="200" w:firstLine="386"/>
        <w:spacing w:after="0" w:line="290" w:lineRule="auto"/>
        <w:rPr>
          <w:sz w:val="20"/>
          <w:szCs w:val="20"/>
          <w:color w:val="auto"/>
        </w:rPr>
      </w:pPr>
      <w:r>
        <w:rPr>
          <w:rFonts w:ascii="Arial" w:cs="Arial" w:eastAsia="Arial" w:hAnsi="Arial"/>
          <w:sz w:val="14"/>
          <w:szCs w:val="14"/>
          <w:color w:val="auto"/>
        </w:rPr>
        <w:t xml:space="preserve">As more fully described in Note 2i, </w:t>
      </w:r>
      <w:r>
        <w:rPr>
          <w:rFonts w:ascii="Arial" w:cs="Arial" w:eastAsia="Arial" w:hAnsi="Arial"/>
          <w:sz w:val="14"/>
          <w:szCs w:val="14"/>
          <w:i w:val="1"/>
          <w:iCs w:val="1"/>
          <w:color w:val="auto"/>
        </w:rPr>
        <w:t>Derivative and Hedging Agreements</w:t>
      </w:r>
      <w:r>
        <w:rPr>
          <w:rFonts w:ascii="Arial" w:cs="Arial" w:eastAsia="Arial" w:hAnsi="Arial"/>
          <w:sz w:val="14"/>
          <w:szCs w:val="14"/>
          <w:color w:val="auto"/>
        </w:rPr>
        <w:t>, of the Notes to Consolidated Financial Statements contained in Item 8 of this Annual Report on Form 10-K, we regularly hedge our non-U.S. dollar-based exposures by entering into forward foreign currency exchange contracts. The terms of these contracts are for periods matching the duration of the underlying exposure and generally range from one to twelve months. Currently, our largest foreign currency exposure is the Euro, primarily because our European operations have the highest proportion of our local currency denominated expenses. Relative to foreign currency exposures existing at October 30, 2021 and October 31, 2020, a 10% unfavorable movement in foreign currency exchange rates over the course of the year would result in approximately $39.5 million of losses and $18.5 million of losses, respectively, in changes in earnings or cash flows.</w:t>
      </w:r>
    </w:p>
    <w:p>
      <w:pPr>
        <w:spacing w:after="0" w:line="72" w:lineRule="exact"/>
        <w:rPr>
          <w:sz w:val="20"/>
          <w:szCs w:val="20"/>
          <w:color w:val="auto"/>
        </w:rPr>
      </w:pPr>
    </w:p>
    <w:p>
      <w:pPr>
        <w:ind w:right="80" w:firstLine="386"/>
        <w:spacing w:after="0" w:line="290" w:lineRule="auto"/>
        <w:rPr>
          <w:sz w:val="20"/>
          <w:szCs w:val="20"/>
          <w:color w:val="auto"/>
        </w:rPr>
      </w:pPr>
      <w:r>
        <w:rPr>
          <w:rFonts w:ascii="Arial" w:cs="Arial" w:eastAsia="Arial" w:hAnsi="Arial"/>
          <w:sz w:val="14"/>
          <w:szCs w:val="14"/>
          <w:color w:val="auto"/>
        </w:rPr>
        <w:t>The market risk associated with our derivative instruments results from currency exchange rates that are expected to offset the market risk of the underlying transactions, assets and liabilities being hedged. The counterparties to the agreements relating to our foreign exchange instruments consist of a number of major international financial institutions with high credit ratings. Based on the credit ratings of our counterparties as of October 30, 2021, we do not believe that there is significant risk of nonperformance by them. While the contract or notional amounts of derivative financial instruments provide one measure of the volume of these transactions, they do not represent the amount of our exposure to credit risk. The amounts potentially subject to credit risk (arising from the possible inability of counterparties to meet the terms of their contracts) are generally limited to the amounts, if any, by which the counterparties’ obligations under the contracts exceed our obligations to the counterparties.</w:t>
      </w:r>
    </w:p>
    <w:p>
      <w:pPr>
        <w:spacing w:after="0" w:line="61" w:lineRule="exact"/>
        <w:rPr>
          <w:sz w:val="20"/>
          <w:szCs w:val="20"/>
          <w:color w:val="auto"/>
        </w:rPr>
      </w:pPr>
    </w:p>
    <w:p>
      <w:pPr>
        <w:ind w:right="60" w:firstLine="386"/>
        <w:spacing w:after="0" w:line="262" w:lineRule="auto"/>
        <w:rPr>
          <w:sz w:val="20"/>
          <w:szCs w:val="20"/>
          <w:color w:val="auto"/>
        </w:rPr>
      </w:pPr>
      <w:r>
        <w:rPr>
          <w:rFonts w:ascii="Arial" w:cs="Arial" w:eastAsia="Arial" w:hAnsi="Arial"/>
          <w:sz w:val="16"/>
          <w:szCs w:val="16"/>
          <w:color w:val="auto"/>
        </w:rPr>
        <w:t>The following table illustrates the effect that a 10% unfavorable or favorable movement in foreign currency exchange rates, relative to the U.S. dollar, would have on the fair value of our forward exchange contracts as of October 30, 2021 and October 31, 2020:</w:t>
      </w:r>
    </w:p>
    <w:tbl>
      <w:tblPr>
        <w:tblLayout w:type="fixed"/>
        <w:tblInd w:w="0" w:type="dxa"/>
        <w:tblCellMar>
          <w:top w:w="0" w:type="dxa"/>
          <w:left w:w="0" w:type="dxa"/>
          <w:bottom w:w="0" w:type="dxa"/>
          <w:right w:w="0" w:type="dxa"/>
        </w:tblCellMar>
      </w:tblPr>
      <w:tr>
        <w:trPr>
          <w:trHeight w:val="166"/>
        </w:trPr>
        <w:tc>
          <w:tcPr>
            <w:tcW w:w="7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2"/>
                <w:szCs w:val="12"/>
                <w:b w:val="1"/>
                <w:bCs w:val="1"/>
                <w:color w:val="auto"/>
              </w:rPr>
              <w:t>October 30, 2021</w:t>
            </w:r>
          </w:p>
        </w:tc>
        <w:tc>
          <w:tcPr>
            <w:tcW w:w="560" w:type="dxa"/>
            <w:vAlign w:val="bottom"/>
          </w:tcPr>
          <w:p>
            <w:pPr>
              <w:spacing w:after="0"/>
              <w:rPr>
                <w:sz w:val="14"/>
                <w:szCs w:val="14"/>
                <w:color w:val="auto"/>
              </w:rPr>
            </w:pPr>
          </w:p>
        </w:tc>
        <w:tc>
          <w:tcPr>
            <w:tcW w:w="1280" w:type="dxa"/>
            <w:vAlign w:val="bottom"/>
          </w:tcPr>
          <w:p>
            <w:pPr>
              <w:jc w:val="right"/>
              <w:ind w:right="206"/>
              <w:spacing w:after="0"/>
              <w:rPr>
                <w:sz w:val="20"/>
                <w:szCs w:val="20"/>
                <w:color w:val="auto"/>
              </w:rPr>
            </w:pPr>
            <w:r>
              <w:rPr>
                <w:rFonts w:ascii="Arial" w:cs="Arial" w:eastAsia="Arial" w:hAnsi="Arial"/>
                <w:sz w:val="12"/>
                <w:szCs w:val="12"/>
                <w:b w:val="1"/>
                <w:bCs w:val="1"/>
                <w:color w:val="auto"/>
              </w:rPr>
              <w:t>October 31, 2020</w:t>
            </w:r>
          </w:p>
        </w:tc>
        <w:tc>
          <w:tcPr>
            <w:tcW w:w="0" w:type="dxa"/>
            <w:vAlign w:val="bottom"/>
          </w:tcPr>
          <w:p>
            <w:pPr>
              <w:spacing w:after="0"/>
              <w:rPr>
                <w:sz w:val="1"/>
                <w:szCs w:val="1"/>
                <w:color w:val="auto"/>
              </w:rPr>
            </w:pPr>
          </w:p>
        </w:tc>
      </w:tr>
      <w:tr>
        <w:trPr>
          <w:trHeight w:val="196"/>
        </w:trPr>
        <w:tc>
          <w:tcPr>
            <w:tcW w:w="74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Fair value of forward exchange contracts</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(8,085)</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5,427</w:t>
            </w:r>
          </w:p>
        </w:tc>
        <w:tc>
          <w:tcPr>
            <w:tcW w:w="0" w:type="dxa"/>
            <w:vAlign w:val="bottom"/>
          </w:tcPr>
          <w:p>
            <w:pPr>
              <w:spacing w:after="0"/>
              <w:rPr>
                <w:sz w:val="1"/>
                <w:szCs w:val="1"/>
                <w:color w:val="auto"/>
              </w:rPr>
            </w:pPr>
          </w:p>
        </w:tc>
      </w:tr>
      <w:tr>
        <w:trPr>
          <w:trHeight w:val="152"/>
        </w:trPr>
        <w:tc>
          <w:tcPr>
            <w:tcW w:w="7460" w:type="dxa"/>
            <w:vAlign w:val="bottom"/>
          </w:tcPr>
          <w:p>
            <w:pPr>
              <w:ind w:left="400"/>
              <w:spacing w:after="0" w:line="152" w:lineRule="exact"/>
              <w:rPr>
                <w:sz w:val="20"/>
                <w:szCs w:val="20"/>
                <w:color w:val="auto"/>
              </w:rPr>
            </w:pPr>
            <w:r>
              <w:rPr>
                <w:rFonts w:ascii="Arial" w:cs="Arial" w:eastAsia="Arial" w:hAnsi="Arial"/>
                <w:sz w:val="16"/>
                <w:szCs w:val="16"/>
                <w:color w:val="auto"/>
                <w:w w:val="88"/>
              </w:rPr>
              <w:t>Fair value of forward exchange contracts after a 10% unfavorable movement in foreign currency exchange rates</w:t>
            </w: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26,673</w:t>
            </w:r>
          </w:p>
        </w:tc>
        <w:tc>
          <w:tcPr>
            <w:tcW w:w="120" w:type="dxa"/>
            <w:vAlign w:val="bottom"/>
          </w:tcPr>
          <w:p>
            <w:pPr>
              <w:spacing w:after="0"/>
              <w:rPr>
                <w:sz w:val="13"/>
                <w:szCs w:val="13"/>
                <w:color w:val="auto"/>
              </w:rPr>
            </w:pPr>
          </w:p>
        </w:tc>
        <w:tc>
          <w:tcPr>
            <w:tcW w:w="56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6"/>
              <w:spacing w:after="0"/>
              <w:rPr>
                <w:sz w:val="20"/>
                <w:szCs w:val="20"/>
                <w:color w:val="auto"/>
              </w:rPr>
            </w:pPr>
            <w:r>
              <w:rPr>
                <w:rFonts w:ascii="Arial" w:cs="Arial" w:eastAsia="Arial" w:hAnsi="Arial"/>
                <w:sz w:val="16"/>
                <w:szCs w:val="16"/>
                <w:color w:val="auto"/>
              </w:rPr>
              <w:t>21,859</w:t>
            </w:r>
          </w:p>
        </w:tc>
        <w:tc>
          <w:tcPr>
            <w:tcW w:w="0" w:type="dxa"/>
            <w:vAlign w:val="bottom"/>
          </w:tcPr>
          <w:p>
            <w:pPr>
              <w:spacing w:after="0"/>
              <w:rPr>
                <w:sz w:val="1"/>
                <w:szCs w:val="1"/>
                <w:color w:val="auto"/>
              </w:rPr>
            </w:pPr>
          </w:p>
        </w:tc>
      </w:tr>
      <w:tr>
        <w:trPr>
          <w:trHeight w:val="199"/>
        </w:trPr>
        <w:tc>
          <w:tcPr>
            <w:tcW w:w="7460" w:type="dxa"/>
            <w:vAlign w:val="bottom"/>
          </w:tcPr>
          <w:p>
            <w:pPr>
              <w:spacing w:after="0"/>
              <w:rPr>
                <w:sz w:val="20"/>
                <w:szCs w:val="20"/>
                <w:color w:val="auto"/>
              </w:rPr>
            </w:pPr>
            <w:r>
              <w:rPr>
                <w:rFonts w:ascii="Arial" w:cs="Arial" w:eastAsia="Arial" w:hAnsi="Arial"/>
                <w:sz w:val="16"/>
                <w:szCs w:val="16"/>
                <w:color w:val="auto"/>
              </w:rPr>
              <w:t>asset</w:t>
            </w:r>
          </w:p>
        </w:tc>
        <w:tc>
          <w:tcPr>
            <w:tcW w:w="5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460" w:type="dxa"/>
            <w:vAlign w:val="bottom"/>
            <w:shd w:val="clear" w:color="auto" w:fill="CCEEFF"/>
          </w:tcPr>
          <w:p>
            <w:pPr>
              <w:ind w:left="400"/>
              <w:spacing w:after="0" w:line="152" w:lineRule="exact"/>
              <w:rPr>
                <w:sz w:val="20"/>
                <w:szCs w:val="20"/>
                <w:color w:val="auto"/>
              </w:rPr>
            </w:pPr>
            <w:r>
              <w:rPr>
                <w:rFonts w:ascii="Arial" w:cs="Arial" w:eastAsia="Arial" w:hAnsi="Arial"/>
                <w:sz w:val="16"/>
                <w:szCs w:val="16"/>
                <w:color w:val="auto"/>
                <w:w w:val="90"/>
              </w:rPr>
              <w:t>Fair value of forward exchange contracts after a 10% favorable movement in foreign currency exchange rates</w:t>
            </w: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(41,034)</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(20,276)</w:t>
            </w:r>
          </w:p>
        </w:tc>
        <w:tc>
          <w:tcPr>
            <w:tcW w:w="0" w:type="dxa"/>
            <w:vAlign w:val="bottom"/>
          </w:tcPr>
          <w:p>
            <w:pPr>
              <w:spacing w:after="0"/>
              <w:rPr>
                <w:sz w:val="1"/>
                <w:szCs w:val="1"/>
                <w:color w:val="auto"/>
              </w:rPr>
            </w:pPr>
          </w:p>
        </w:tc>
      </w:tr>
      <w:tr>
        <w:trPr>
          <w:trHeight w:val="199"/>
        </w:trPr>
        <w:tc>
          <w:tcPr>
            <w:tcW w:w="7460" w:type="dxa"/>
            <w:vAlign w:val="bottom"/>
            <w:shd w:val="clear" w:color="auto" w:fill="CCEEFF"/>
          </w:tcPr>
          <w:p>
            <w:pPr>
              <w:spacing w:after="0"/>
              <w:rPr>
                <w:sz w:val="20"/>
                <w:szCs w:val="20"/>
                <w:color w:val="auto"/>
              </w:rPr>
            </w:pPr>
            <w:r>
              <w:rPr>
                <w:rFonts w:ascii="Arial" w:cs="Arial" w:eastAsia="Arial" w:hAnsi="Arial"/>
                <w:sz w:val="16"/>
                <w:szCs w:val="16"/>
                <w:color w:val="auto"/>
              </w:rPr>
              <w:t>liability</w:t>
            </w:r>
          </w:p>
        </w:tc>
        <w:tc>
          <w:tcPr>
            <w:tcW w:w="56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120" w:firstLine="386"/>
        <w:spacing w:after="0" w:line="307" w:lineRule="auto"/>
        <w:rPr>
          <w:sz w:val="20"/>
          <w:szCs w:val="20"/>
          <w:color w:val="auto"/>
        </w:rPr>
      </w:pPr>
      <w:r>
        <w:rPr>
          <w:rFonts w:ascii="Arial" w:cs="Arial" w:eastAsia="Arial" w:hAnsi="Arial"/>
          <w:sz w:val="14"/>
          <w:szCs w:val="14"/>
          <w:color w:val="auto"/>
        </w:rPr>
        <w:t>The calculation assumes that each exchange rate would change in the same direction relative to the U.S. dollar. In addition to the direct effects of changes in exchange rates, such changes typically affect the volume of sales or the foreign currency sales price as competitors’ products become more or less attractive. Our sensitivity analysis of the effects of changes in foreign currency exchange rates does not factor in a potential change in sales levels or local currency selling prices.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Shareholders</w:t>
      </w:r>
    </w:p>
    <w:p>
      <w:pPr>
        <w:spacing w:after="0"/>
        <w:rPr>
          <w:sz w:val="20"/>
          <w:szCs w:val="20"/>
          <w:color w:val="auto"/>
        </w:rPr>
      </w:pPr>
      <w:r>
        <w:rPr>
          <w:rFonts w:ascii="Arial" w:cs="Arial" w:eastAsia="Arial" w:hAnsi="Arial"/>
          <w:sz w:val="16"/>
          <w:szCs w:val="16"/>
          <w:color w:val="auto"/>
        </w:rPr>
        <w:t>Analog Devices, Inc.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We have audited the accompanying consolidated balance sheets of Analog Devices, Inc. (the Company) as of October 30, 2021 and October 31, 2020, the related consolidated statements of income, comprehensive income, shareholders' equity and cash flows for each of the three years in the period ended October 30, 2021,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October 30, 2021 and October 31, 2020, and the results of its operations and its cash flows for each of the three years in the period ended October 30, 2021, in conformity with U.S. generally accepted accounting principles.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October 30, 2021, based on criteria established in Internal Control-Integrated Framework issued by the Committee of Sponsoring Organizations of the Treadway Commission (2013 framework), and our report dated December 3, 2021 expressed an unqualified opinion thereon.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9"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60"/>
          </w:cols>
          <w:pgMar w:left="320" w:top="789" w:right="319" w:bottom="1440" w:gutter="0" w:footer="0" w:header="0"/>
        </w:sectPr>
      </w:pPr>
    </w:p>
    <w:p>
      <w:pPr>
        <w:spacing w:after="0" w:line="400" w:lineRule="exact"/>
        <w:rPr>
          <w:sz w:val="20"/>
          <w:szCs w:val="20"/>
          <w:color w:val="auto"/>
        </w:rPr>
      </w:pPr>
    </w:p>
    <w:p>
      <w:pPr>
        <w:spacing w:after="0" w:line="228" w:lineRule="auto"/>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 – Measuring Variable Consideration</w:t>
      </w:r>
    </w:p>
    <w:p>
      <w:pPr>
        <w:spacing w:after="0" w:line="26"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As described in Note 2 to the consolidated financial statements, the Company's sales contracts provide certain distributors with credits for price protection and rights of return, which results in variable consideration. During 2021, sales to distributors were $4.6 billion net of expected price protection discounts and rights of return for which the liability balance as of October 30, 2021 was $664.2 million.</w:t>
      </w:r>
    </w:p>
    <w:p>
      <w:pPr>
        <w:spacing w:after="0" w:line="167" w:lineRule="exact"/>
        <w:rPr>
          <w:sz w:val="20"/>
          <w:szCs w:val="20"/>
          <w:color w:val="auto"/>
        </w:rPr>
      </w:pPr>
    </w:p>
    <w:p>
      <w:pPr>
        <w:ind w:right="20"/>
        <w:spacing w:after="0" w:line="297" w:lineRule="auto"/>
        <w:rPr>
          <w:sz w:val="20"/>
          <w:szCs w:val="20"/>
          <w:color w:val="auto"/>
        </w:rPr>
      </w:pPr>
      <w:r>
        <w:rPr>
          <w:rFonts w:ascii="Arial" w:cs="Arial" w:eastAsia="Arial" w:hAnsi="Arial"/>
          <w:sz w:val="14"/>
          <w:szCs w:val="14"/>
          <w:color w:val="auto"/>
        </w:rPr>
        <w:t>Auditing the Company's measurement of variable consideration under distributor contracts involved especially challenging judgment because the calculation involves subjective management assumptions about estimates of expected price protection discounts and returns. For example, estimated variable consideration included in the transaction price reflects management's evaluation of contractual terms, historical experience and assumptions about future economic conditions. Changes in those assumptions can have a material effect on the amount of variable consideration recognized.</w:t>
      </w:r>
    </w:p>
    <w:p>
      <w:pPr>
        <w:spacing w:after="0" w:line="200" w:lineRule="exact"/>
        <w:rPr>
          <w:sz w:val="20"/>
          <w:szCs w:val="20"/>
          <w:color w:val="auto"/>
        </w:rPr>
      </w:pPr>
    </w:p>
    <w:p>
      <w:pPr>
        <w:sectPr>
          <w:pgSz w:w="11900" w:h="16838" w:orient="portrait"/>
          <w:cols w:equalWidth="0" w:num="2">
            <w:col w:w="1140" w:space="440"/>
            <w:col w:w="9680"/>
          </w:cols>
          <w:pgMar w:left="320" w:top="789" w:right="31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71120</wp:posOffset>
            </wp:positionV>
            <wp:extent cx="717613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type w:val="continuous"/>
        </w:sectPr>
      </w:pPr>
    </w:p>
    <w:bookmarkStart w:id="45" w:name="page46"/>
    <w:bookmarkEnd w:id="45"/>
    <w:p>
      <w:pPr>
        <w:spacing w:after="0" w:line="283"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00"/>
        <w:spacing w:after="0" w:line="228" w:lineRule="auto"/>
        <w:rPr>
          <w:sz w:val="20"/>
          <w:szCs w:val="20"/>
          <w:color w:val="auto"/>
        </w:rPr>
      </w:pPr>
      <w:r>
        <w:rPr>
          <w:rFonts w:ascii="Arial" w:cs="Arial" w:eastAsia="Arial" w:hAnsi="Arial"/>
          <w:sz w:val="16"/>
          <w:szCs w:val="16"/>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83"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ind w:right="140"/>
        <w:spacing w:after="0" w:line="250" w:lineRule="auto"/>
        <w:rPr>
          <w:sz w:val="20"/>
          <w:szCs w:val="20"/>
          <w:color w:val="auto"/>
        </w:rPr>
      </w:pPr>
      <w:r>
        <w:rPr>
          <w:rFonts w:ascii="Arial" w:cs="Arial" w:eastAsia="Arial" w:hAnsi="Arial"/>
          <w:sz w:val="16"/>
          <w:szCs w:val="16"/>
          <w:color w:val="auto"/>
        </w:rPr>
        <w:t>We obtained an understanding over the Company's process to calculate the variable consideration. With the exception of the portion of the balance that related to Maxim Integrated Products, Inc., we also evaluated the design and tested the operating effectiveness of the relevant controls. For example, we tested controls over the appropriateness of assumptions management used as well as controls over the completeness and accuracy of the data underlying estimates of expected price protection discounts and returns.</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audit procedures included, among others, inspecting contractual terms in distributor agreements and testing the underlying data used in management’s calculation for completeness and accuracy as well as evaluating the significant assumptions used in the estimation of variable consideration. We evaluated the Company’s methods and assumptions used in the estimates, which included comparing the assumptions to historical trends. We inspected and tested the results of the Company's retrospective review analysis of actual returns and price protection discounts claimed by distributors, evaluated the estimates made based on historical experience and performed sensitivity analyses of the Company’s significant assumptions to assess the impact on the variable consideration. We also evaluated whether the Company appropriately considered new information that could significantly change the estimated future price protection discounts or returns.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for Acquisitions – Valuation of Identified Intangibles</w:t>
      </w:r>
    </w:p>
    <w:p>
      <w:pPr>
        <w:spacing w:after="0" w:line="85"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During 2021, the Company completed its acquisition of Maxim Integrated Products, Inc. (Maxim) for total consideration of $27.9 billion, as disclosed in Note 6 to the consolidated financial statements. The transaction was accounted for as a business combination.</w:t>
      </w:r>
    </w:p>
    <w:p>
      <w:pPr>
        <w:spacing w:after="0" w:line="181"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Auditing the Company's accounting for its acquisition of Maxim was complex due to the significant estimation uncertainty in the Company’s determination of the fair value of identifiable intangible assets of $12.4 billion, which principally consisted of developed technology and customer relationships. The significant estimation uncertainty was primarily due to the sensitivity of the respective fair values to underlying assumptions about the future performance of the acquired business. The Company used discounted cash flow models to measure the developed technology and customer relationship intangible assets. The significant assumptions used to estimate the fair value of the intangible assets included discount rates and certain assumptions that form the basis of the forecasted results (e.g., annual revenue growth rates, developed technology obsolescence rates and customer attrition rates). These significant assumptions are forward looking and could be affected by future economic and market conditions.</w:t>
      </w:r>
    </w:p>
    <w:p>
      <w:pPr>
        <w:spacing w:after="0" w:line="86" w:lineRule="exact"/>
        <w:rPr>
          <w:sz w:val="20"/>
          <w:szCs w:val="20"/>
          <w:color w:val="auto"/>
        </w:rPr>
      </w:pPr>
    </w:p>
    <w:p>
      <w:pPr>
        <w:jc w:val="both"/>
        <w:ind w:right="300"/>
        <w:spacing w:after="0" w:line="272"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the Company's accounting for acquisitions process. For example, we tested controls over the appropriateness of the valuation model, assumptions management used as well as controls over the completeness and accuracy of the data underlying the valuation of the developed technology and customer relationship intangible assets.</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To test the estimated fair value of the developed technology and customer relationship intangible assets, our audit procedures included, among others, assessing methodologies and testing the significant assumptions discussed above and the underlying data supporting the significant assumptions and estimates used by the Company in the valuation. We tested significant assumptions through a combination of procedures, as applicable for each assumption, including comparing them to current and forecasted industry and economic trends, as well as to the historical results of the acquired business and other guideline companies within the same industry. With the assistance of our valuation specialists, we evaluated the methodology used by the Company and significant assumptions included in the fair value estimates.</w:t>
      </w:r>
    </w:p>
    <w:p>
      <w:pPr>
        <w:spacing w:after="0" w:line="200" w:lineRule="exact"/>
        <w:rPr>
          <w:sz w:val="20"/>
          <w:szCs w:val="20"/>
          <w:color w:val="auto"/>
        </w:rPr>
      </w:pPr>
    </w:p>
    <w:p>
      <w:pPr>
        <w:sectPr>
          <w:pgSz w:w="11900" w:h="16838" w:orient="portrait"/>
          <w:cols w:equalWidth="0" w:num="2">
            <w:col w:w="1440" w:space="140"/>
            <w:col w:w="9640"/>
          </w:cols>
          <w:pgMar w:left="320" w:top="829" w:right="35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1967.</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rPr>
          <w:sz w:val="20"/>
          <w:szCs w:val="20"/>
          <w:color w:val="auto"/>
        </w:rPr>
      </w:pPr>
      <w:r>
        <w:rPr>
          <w:rFonts w:ascii="Arial" w:cs="Arial" w:eastAsia="Arial" w:hAnsi="Arial"/>
          <w:sz w:val="16"/>
          <w:szCs w:val="16"/>
          <w:color w:val="auto"/>
        </w:rPr>
        <w:t>December 3, 2021</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71120</wp:posOffset>
            </wp:positionV>
            <wp:extent cx="717613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829" w:right="359" w:bottom="1440" w:gutter="0" w:footer="0" w:header="0"/>
          <w:type w:val="continuous"/>
        </w:sectPr>
      </w:pPr>
    </w:p>
    <w:bookmarkStart w:id="46" w:name="page47"/>
    <w:bookmarkEnd w:id="46"/>
    <w:p>
      <w:pPr>
        <w:spacing w:after="0"/>
        <w:tabs>
          <w:tab w:leader="none" w:pos="70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FINANCIAL STATEMENTS AND SUPPLEMENTARY DATA</w:t>
      </w:r>
    </w:p>
    <w:p>
      <w:pPr>
        <w:spacing w:after="0" w:line="200" w:lineRule="exact"/>
        <w:rPr>
          <w:sz w:val="20"/>
          <w:szCs w:val="20"/>
          <w:color w:val="auto"/>
        </w:rPr>
      </w:pPr>
    </w:p>
    <w:p>
      <w:pPr>
        <w:spacing w:after="0" w:line="30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ANALOG DEVICES, INC.</w:t>
      </w:r>
    </w:p>
    <w:p>
      <w:pPr>
        <w:spacing w:after="0" w:line="120"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CONSOLIDATED STATEMENTS OF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Years ended October 30, 2021, October 31, 2020 and November 2,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(thousands, except per share amounts)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2019</w:t>
            </w:r>
          </w:p>
        </w:tc>
      </w:tr>
      <w:tr>
        <w:trPr>
          <w:trHeight w:val="184"/>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5"/>
        </w:trPr>
        <w:tc>
          <w:tcPr>
            <w:tcW w:w="6760" w:type="dxa"/>
            <w:vAlign w:val="bottom"/>
          </w:tcPr>
          <w:p>
            <w:pPr>
              <w:ind w:left="120"/>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7,318,286</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5,603,056</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5,991,065</w:t>
            </w:r>
          </w:p>
        </w:tc>
      </w:tr>
      <w:tr>
        <w:trPr>
          <w:trHeight w:val="189"/>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5"/>
        </w:trPr>
        <w:tc>
          <w:tcPr>
            <w:tcW w:w="67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Cost of sales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2,793,274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1,912,578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1,977,315</w:t>
            </w:r>
          </w:p>
        </w:tc>
      </w:tr>
      <w:tr>
        <w:trPr>
          <w:trHeight w:val="181"/>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Gross margin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4,525,012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3,690,478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4,013,750</w:t>
            </w:r>
          </w:p>
        </w:tc>
      </w:tr>
      <w:tr>
        <w:trPr>
          <w:trHeight w:val="185"/>
        </w:trPr>
        <w:tc>
          <w:tcPr>
            <w:tcW w:w="6760" w:type="dxa"/>
            <w:vAlign w:val="bottom"/>
          </w:tcPr>
          <w:p>
            <w:pPr>
              <w:ind w:left="12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1,296,126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1,050,519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1,130,348</w:t>
            </w:r>
          </w:p>
        </w:tc>
      </w:tr>
      <w:tr>
        <w:trPr>
          <w:trHeight w:val="185"/>
        </w:trPr>
        <w:tc>
          <w:tcPr>
            <w:tcW w:w="6760" w:type="dxa"/>
            <w:vAlign w:val="bottom"/>
          </w:tcPr>
          <w:p>
            <w:pPr>
              <w:ind w:left="300"/>
              <w:spacing w:after="0"/>
              <w:rPr>
                <w:sz w:val="20"/>
                <w:szCs w:val="20"/>
                <w:color w:val="auto"/>
              </w:rPr>
            </w:pPr>
            <w:r>
              <w:rPr>
                <w:rFonts w:ascii="Arial" w:cs="Arial" w:eastAsia="Arial" w:hAnsi="Arial"/>
                <w:sz w:val="14"/>
                <w:szCs w:val="14"/>
                <w:color w:val="auto"/>
              </w:rPr>
              <w:t>Selling, marketing, general and administrative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915,418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659,923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648,094</w:t>
            </w:r>
          </w:p>
        </w:tc>
      </w:tr>
      <w:tr>
        <w:trPr>
          <w:trHeight w:val="189"/>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intangibles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536,811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429,455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429,041</w:t>
            </w:r>
          </w:p>
        </w:tc>
      </w:tr>
      <w:tr>
        <w:trPr>
          <w:trHeight w:val="185"/>
        </w:trPr>
        <w:tc>
          <w:tcPr>
            <w:tcW w:w="67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Special charges, net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84,456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52,337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95,659</w:t>
            </w:r>
          </w:p>
        </w:tc>
      </w:tr>
      <w:tr>
        <w:trPr>
          <w:trHeight w:val="181"/>
        </w:trPr>
        <w:tc>
          <w:tcPr>
            <w:tcW w:w="6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2,832,811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2,192,234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2,303,142</w:t>
            </w:r>
          </w:p>
        </w:tc>
      </w:tr>
      <w:tr>
        <w:trPr>
          <w:trHeight w:val="185"/>
        </w:trPr>
        <w:tc>
          <w:tcPr>
            <w:tcW w:w="6760" w:type="dxa"/>
            <w:vAlign w:val="bottom"/>
          </w:tcPr>
          <w:p>
            <w:pPr>
              <w:ind w:left="120"/>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1,692,201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1,498,244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1,710,608</w:t>
            </w:r>
          </w:p>
        </w:tc>
      </w:tr>
      <w:tr>
        <w:trPr>
          <w:trHeight w:val="189"/>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Nonoperating expense (income):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5"/>
        </w:trPr>
        <w:tc>
          <w:tcPr>
            <w:tcW w:w="67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184,825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193,305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229,075</w:t>
            </w:r>
          </w:p>
        </w:tc>
      </w:tr>
      <w:tr>
        <w:trPr>
          <w:trHeight w:val="189"/>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on extinguishment of debt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215,150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6760" w:type="dxa"/>
            <w:vAlign w:val="bottom"/>
          </w:tcPr>
          <w:p>
            <w:pPr>
              <w:ind w:left="30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(4,305)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(10,229)</w:t>
            </w:r>
          </w:p>
        </w:tc>
      </w:tr>
      <w:tr>
        <w:trPr>
          <w:trHeight w:val="187"/>
        </w:trPr>
        <w:tc>
          <w:tcPr>
            <w:tcW w:w="67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(35,268)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6,034</w:t>
            </w:r>
          </w:p>
        </w:tc>
      </w:tr>
      <w:tr>
        <w:trPr>
          <w:trHeight w:val="179"/>
        </w:trPr>
        <w:tc>
          <w:tcPr>
            <w:tcW w:w="67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363,487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186,627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224,880</w:t>
            </w:r>
          </w:p>
        </w:tc>
      </w:tr>
      <w:tr>
        <w:trPr>
          <w:trHeight w:val="181"/>
        </w:trPr>
        <w:tc>
          <w:tcPr>
            <w:tcW w:w="6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5"/>
        </w:trPr>
        <w:tc>
          <w:tcPr>
            <w:tcW w:w="6760" w:type="dxa"/>
            <w:vAlign w:val="bottom"/>
          </w:tcPr>
          <w:p>
            <w:pPr>
              <w:ind w:left="120"/>
              <w:spacing w:after="0"/>
              <w:rPr>
                <w:sz w:val="20"/>
                <w:szCs w:val="20"/>
                <w:color w:val="auto"/>
              </w:rPr>
            </w:pPr>
            <w:r>
              <w:rPr>
                <w:rFonts w:ascii="Arial" w:cs="Arial" w:eastAsia="Arial" w:hAnsi="Arial"/>
                <w:sz w:val="14"/>
                <w:szCs w:val="14"/>
                <w:color w:val="auto"/>
              </w:rPr>
              <w:t>Income before income taxes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1,328,714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1,311,617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1,485,728</w:t>
            </w:r>
          </w:p>
        </w:tc>
      </w:tr>
      <w:tr>
        <w:trPr>
          <w:trHeight w:val="187"/>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(Benefit from) provision for income taxes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(61,708)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90,856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122,717</w:t>
            </w:r>
          </w:p>
        </w:tc>
      </w:tr>
      <w:tr>
        <w:trPr>
          <w:trHeight w:val="181"/>
        </w:trPr>
        <w:tc>
          <w:tcPr>
            <w:tcW w:w="67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1,390,422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1,220,761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1,363,011</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6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5"/>
        </w:trPr>
        <w:tc>
          <w:tcPr>
            <w:tcW w:w="6760" w:type="dxa"/>
            <w:vAlign w:val="bottom"/>
          </w:tcPr>
          <w:p>
            <w:pPr>
              <w:ind w:left="120"/>
              <w:spacing w:after="0"/>
              <w:rPr>
                <w:sz w:val="20"/>
                <w:szCs w:val="20"/>
                <w:color w:val="auto"/>
              </w:rPr>
            </w:pPr>
            <w:r>
              <w:rPr>
                <w:rFonts w:ascii="Arial" w:cs="Arial" w:eastAsia="Arial" w:hAnsi="Arial"/>
                <w:sz w:val="14"/>
                <w:szCs w:val="14"/>
                <w:color w:val="auto"/>
              </w:rPr>
              <w:t>Shares used to compute earnings per common share — basic</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397,462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368,633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369,133</w:t>
            </w:r>
          </w:p>
        </w:tc>
      </w:tr>
      <w:tr>
        <w:trPr>
          <w:trHeight w:val="189"/>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 used to compute earnings per common share — diluted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401,288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371,973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372,871</w:t>
            </w:r>
          </w:p>
        </w:tc>
      </w:tr>
      <w:tr>
        <w:trPr>
          <w:trHeight w:val="222"/>
        </w:trPr>
        <w:tc>
          <w:tcPr>
            <w:tcW w:w="6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87"/>
        </w:trPr>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 earnings per common share</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r>
      <w:tr>
        <w:trPr>
          <w:trHeight w:val="182"/>
        </w:trPr>
        <w:tc>
          <w:tcPr>
            <w:tcW w:w="6760" w:type="dxa"/>
            <w:vAlign w:val="bottom"/>
          </w:tcPr>
          <w:p>
            <w:pPr>
              <w:ind w:left="120"/>
              <w:spacing w:after="0"/>
              <w:rPr>
                <w:sz w:val="20"/>
                <w:szCs w:val="20"/>
                <w:color w:val="auto"/>
              </w:rPr>
            </w:pPr>
            <w:r>
              <w:rPr>
                <w:rFonts w:ascii="Arial" w:cs="Arial" w:eastAsia="Arial" w:hAnsi="Arial"/>
                <w:sz w:val="14"/>
                <w:szCs w:val="14"/>
                <w:color w:val="auto"/>
              </w:rPr>
              <w:t>Diluted earnings per common share</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3.65</w:t>
            </w: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47" w:name="page48"/>
    <w:bookmarkEnd w:id="47"/>
    <w:p>
      <w:pPr>
        <w:ind w:left="4720"/>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Years ended October 30, 2021, October 31, 2020 and November 2,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1,390,422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1,220,761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1,363,011</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(1,365)</w:t>
            </w:r>
          </w:p>
        </w:tc>
        <w:tc>
          <w:tcPr>
            <w:tcW w:w="0" w:type="dxa"/>
            <w:vAlign w:val="bottom"/>
          </w:tcPr>
          <w:p>
            <w:pPr>
              <w:spacing w:after="0"/>
              <w:rPr>
                <w:sz w:val="1"/>
                <w:szCs w:val="1"/>
                <w:color w:val="auto"/>
              </w:rPr>
            </w:pPr>
          </w:p>
        </w:tc>
      </w:tr>
      <w:tr>
        <w:trPr>
          <w:trHeight w:val="189"/>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available-for-sale securities</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20"/>
                <w:szCs w:val="20"/>
                <w:color w:val="auto"/>
              </w:rPr>
            </w:pPr>
            <w:r>
              <w:rPr>
                <w:rFonts w:ascii="Arial" w:cs="Arial" w:eastAsia="Arial" w:hAnsi="Arial"/>
                <w:sz w:val="14"/>
                <w:szCs w:val="14"/>
                <w:color w:val="auto"/>
              </w:rPr>
              <w:t>Change in unrecognized gains/losses on derivative instruments designated as cash flow hedges: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fair value of derivatives (net of tax of $14,217 in 2021, $17,468 in 2020 and $29,401 in 2019)</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41,817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(51,437)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(111,327)</w:t>
            </w:r>
          </w:p>
        </w:tc>
        <w:tc>
          <w:tcPr>
            <w:tcW w:w="0" w:type="dxa"/>
            <w:vAlign w:val="bottom"/>
          </w:tcPr>
          <w:p>
            <w:pPr>
              <w:spacing w:after="0"/>
              <w:rPr>
                <w:sz w:val="1"/>
                <w:szCs w:val="1"/>
                <w:color w:val="auto"/>
              </w:rPr>
            </w:pPr>
          </w:p>
        </w:tc>
      </w:tr>
      <w:tr>
        <w:trPr>
          <w:trHeight w:val="144"/>
        </w:trPr>
        <w:tc>
          <w:tcPr>
            <w:tcW w:w="6740" w:type="dxa"/>
            <w:vAlign w:val="bottom"/>
          </w:tcPr>
          <w:p>
            <w:pPr>
              <w:ind w:left="120"/>
              <w:spacing w:after="0" w:line="144" w:lineRule="exact"/>
              <w:rPr>
                <w:sz w:val="20"/>
                <w:szCs w:val="20"/>
                <w:color w:val="auto"/>
              </w:rPr>
            </w:pPr>
            <w:r>
              <w:rPr>
                <w:rFonts w:ascii="Arial" w:cs="Arial" w:eastAsia="Arial" w:hAnsi="Arial"/>
                <w:sz w:val="14"/>
                <w:szCs w:val="14"/>
                <w:color w:val="auto"/>
                <w:w w:val="93"/>
              </w:rPr>
              <w:t>Adjustment for realized gain/loss reclassified into earnings (net of tax of $189 in 2021, $158 in 2020 and $1,518 in</w:t>
            </w:r>
          </w:p>
        </w:tc>
        <w:tc>
          <w:tcPr>
            <w:tcW w:w="3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7,099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(839)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7,667</w:t>
            </w:r>
          </w:p>
        </w:tc>
        <w:tc>
          <w:tcPr>
            <w:tcW w:w="0" w:type="dxa"/>
            <w:vAlign w:val="bottom"/>
          </w:tcPr>
          <w:p>
            <w:pPr>
              <w:spacing w:after="0"/>
              <w:rPr>
                <w:sz w:val="1"/>
                <w:szCs w:val="1"/>
                <w:color w:val="auto"/>
              </w:rPr>
            </w:pPr>
          </w:p>
        </w:tc>
      </w:tr>
      <w:tr>
        <w:trPr>
          <w:trHeight w:val="181"/>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2019)</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40" w:type="dxa"/>
            <w:vAlign w:val="bottom"/>
            <w:shd w:val="clear" w:color="auto" w:fill="CCEEFF"/>
          </w:tcPr>
          <w:p>
            <w:pPr>
              <w:spacing w:after="0"/>
              <w:rPr>
                <w:sz w:val="20"/>
                <w:szCs w:val="20"/>
                <w:color w:val="auto"/>
              </w:rPr>
            </w:pPr>
            <w:r>
              <w:rPr>
                <w:rFonts w:ascii="Arial" w:cs="Arial" w:eastAsia="Arial" w:hAnsi="Arial"/>
                <w:sz w:val="14"/>
                <w:szCs w:val="14"/>
                <w:color w:val="auto"/>
              </w:rPr>
              <w:t>Total change in derivative instruments designated as cash flow hedges, net of tax</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48,916</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(52,276)</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(103,660)</w:t>
            </w: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4"/>
                <w:szCs w:val="14"/>
                <w:color w:val="auto"/>
              </w:rPr>
              <w:t>Changes in accumulated other comprehensive loss — pension plans: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actuarial loss/gain (net of tax of $637 in 2021, $5,167 in 2020 and $5,734 in 2019)</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(24,344)</w:t>
            </w:r>
          </w:p>
        </w:tc>
        <w:tc>
          <w:tcPr>
            <w:tcW w:w="0" w:type="dxa"/>
            <w:vAlign w:val="bottom"/>
          </w:tcPr>
          <w:p>
            <w:pPr>
              <w:spacing w:after="0"/>
              <w:rPr>
                <w:sz w:val="1"/>
                <w:szCs w:val="1"/>
                <w:color w:val="auto"/>
              </w:rPr>
            </w:pPr>
          </w:p>
        </w:tc>
      </w:tr>
      <w:tr>
        <w:trPr>
          <w:trHeight w:val="176"/>
        </w:trPr>
        <w:tc>
          <w:tcPr>
            <w:tcW w:w="67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comprehensive income (loss)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62,896</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(59,283)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(129,359)</w:t>
            </w:r>
          </w:p>
        </w:tc>
        <w:tc>
          <w:tcPr>
            <w:tcW w:w="0" w:type="dxa"/>
            <w:vAlign w:val="bottom"/>
          </w:tcPr>
          <w:p>
            <w:pPr>
              <w:spacing w:after="0"/>
              <w:rPr>
                <w:sz w:val="1"/>
                <w:szCs w:val="1"/>
                <w:color w:val="auto"/>
              </w:rPr>
            </w:pPr>
          </w:p>
        </w:tc>
      </w:tr>
      <w:tr>
        <w:trPr>
          <w:trHeight w:val="206"/>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1,453,318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1,161,478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1,233,652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8" w:name="page49"/>
    <w:bookmarkEnd w:id="48"/>
    <w:p>
      <w:pPr>
        <w:ind w:left="4720"/>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October 30, 2021 and October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(thousands, except per share amounts)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8"/>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61"/>
        </w:trPr>
        <w:tc>
          <w:tcPr>
            <w:tcW w:w="8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80" w:type="dxa"/>
            <w:vAlign w:val="bottom"/>
          </w:tcPr>
          <w:p>
            <w:pPr>
              <w:ind w:left="20"/>
              <w:spacing w:after="0"/>
              <w:rPr>
                <w:sz w:val="20"/>
                <w:szCs w:val="20"/>
                <w:color w:val="auto"/>
              </w:rPr>
            </w:pPr>
            <w:r>
              <w:rPr>
                <w:rFonts w:ascii="Arial" w:cs="Arial" w:eastAsia="Arial" w:hAnsi="Arial"/>
                <w:sz w:val="12"/>
                <w:szCs w:val="12"/>
                <w:b w:val="1"/>
                <w:bCs w:val="1"/>
                <w:color w:val="auto"/>
              </w:rPr>
              <w:t>Current Assets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340" w:type="dxa"/>
            <w:vAlign w:val="bottom"/>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1,977,964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1,055,860</w:t>
            </w:r>
          </w:p>
        </w:tc>
        <w:tc>
          <w:tcPr>
            <w:tcW w:w="0" w:type="dxa"/>
            <w:vAlign w:val="bottom"/>
          </w:tcPr>
          <w:p>
            <w:pPr>
              <w:spacing w:after="0"/>
              <w:rPr>
                <w:sz w:val="1"/>
                <w:szCs w:val="1"/>
                <w:color w:val="auto"/>
              </w:rPr>
            </w:pPr>
          </w:p>
        </w:tc>
      </w:tr>
      <w:tr>
        <w:trPr>
          <w:trHeight w:val="160"/>
        </w:trPr>
        <w:tc>
          <w:tcPr>
            <w:tcW w:w="8280" w:type="dxa"/>
            <w:vAlign w:val="bottom"/>
          </w:tcPr>
          <w:p>
            <w:pPr>
              <w:ind w:left="120"/>
              <w:spacing w:after="0"/>
              <w:rPr>
                <w:sz w:val="20"/>
                <w:szCs w:val="20"/>
                <w:color w:val="auto"/>
              </w:rPr>
            </w:pPr>
            <w:r>
              <w:rPr>
                <w:rFonts w:ascii="Arial" w:cs="Arial" w:eastAsia="Arial" w:hAnsi="Arial"/>
                <w:sz w:val="12"/>
                <w:szCs w:val="12"/>
                <w:color w:val="auto"/>
              </w:rPr>
              <w:t>Accounts receivable less allowances of $2,658 ($4,350 in 2020)</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1,459,056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737,536</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1,200,610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608,260</w:t>
            </w:r>
          </w:p>
        </w:tc>
        <w:tc>
          <w:tcPr>
            <w:tcW w:w="0" w:type="dxa"/>
            <w:vAlign w:val="bottom"/>
          </w:tcPr>
          <w:p>
            <w:pPr>
              <w:spacing w:after="0"/>
              <w:rPr>
                <w:sz w:val="1"/>
                <w:szCs w:val="1"/>
                <w:color w:val="auto"/>
              </w:rPr>
            </w:pPr>
          </w:p>
        </w:tc>
      </w:tr>
      <w:tr>
        <w:trPr>
          <w:trHeight w:val="160"/>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740,687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116,032</w:t>
            </w:r>
          </w:p>
        </w:tc>
        <w:tc>
          <w:tcPr>
            <w:tcW w:w="0" w:type="dxa"/>
            <w:vAlign w:val="bottom"/>
          </w:tcPr>
          <w:p>
            <w:pPr>
              <w:spacing w:after="0"/>
              <w:rPr>
                <w:sz w:val="1"/>
                <w:szCs w:val="1"/>
                <w:color w:val="auto"/>
              </w:rPr>
            </w:pPr>
          </w:p>
        </w:tc>
      </w:tr>
      <w:tr>
        <w:trPr>
          <w:trHeight w:val="159"/>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current assets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5,378,317</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2,517,688</w:t>
            </w:r>
          </w:p>
        </w:tc>
        <w:tc>
          <w:tcPr>
            <w:tcW w:w="0" w:type="dxa"/>
            <w:vAlign w:val="bottom"/>
          </w:tcPr>
          <w:p>
            <w:pPr>
              <w:spacing w:after="0"/>
              <w:rPr>
                <w:sz w:val="1"/>
                <w:szCs w:val="1"/>
                <w:color w:val="auto"/>
              </w:rPr>
            </w:pPr>
          </w:p>
        </w:tc>
      </w:tr>
      <w:tr>
        <w:trPr>
          <w:trHeight w:val="150"/>
        </w:trPr>
        <w:tc>
          <w:tcPr>
            <w:tcW w:w="8280" w:type="dxa"/>
            <w:vAlign w:val="bottom"/>
          </w:tcPr>
          <w:p>
            <w:pPr>
              <w:ind w:left="20"/>
              <w:spacing w:after="0"/>
              <w:rPr>
                <w:sz w:val="20"/>
                <w:szCs w:val="20"/>
                <w:color w:val="auto"/>
              </w:rPr>
            </w:pPr>
            <w:r>
              <w:rPr>
                <w:rFonts w:ascii="Arial" w:cs="Arial" w:eastAsia="Arial" w:hAnsi="Arial"/>
                <w:sz w:val="12"/>
                <w:szCs w:val="12"/>
                <w:b w:val="1"/>
                <w:bCs w:val="1"/>
                <w:color w:val="auto"/>
              </w:rPr>
              <w:t>Property, Plant and Equipment, at Cost</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Land and buildings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1,392,364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974,604</w:t>
            </w:r>
          </w:p>
        </w:tc>
        <w:tc>
          <w:tcPr>
            <w:tcW w:w="0" w:type="dxa"/>
            <w:vAlign w:val="bottom"/>
          </w:tcPr>
          <w:p>
            <w:pPr>
              <w:spacing w:after="0"/>
              <w:rPr>
                <w:sz w:val="1"/>
                <w:szCs w:val="1"/>
                <w:color w:val="auto"/>
              </w:rPr>
            </w:pPr>
          </w:p>
        </w:tc>
      </w:tr>
      <w:tr>
        <w:trPr>
          <w:trHeight w:val="160"/>
        </w:trPr>
        <w:tc>
          <w:tcPr>
            <w:tcW w:w="8280" w:type="dxa"/>
            <w:vAlign w:val="bottom"/>
          </w:tcPr>
          <w:p>
            <w:pPr>
              <w:ind w:left="120"/>
              <w:spacing w:after="0"/>
              <w:rPr>
                <w:sz w:val="20"/>
                <w:szCs w:val="20"/>
                <w:color w:val="auto"/>
              </w:rPr>
            </w:pPr>
            <w:r>
              <w:rPr>
                <w:rFonts w:ascii="Arial" w:cs="Arial" w:eastAsia="Arial" w:hAnsi="Arial"/>
                <w:sz w:val="12"/>
                <w:szCs w:val="12"/>
                <w:color w:val="auto"/>
              </w:rPr>
              <w:t>Machinery and equipment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3,210,879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2,667,846</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Office equipment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164,431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85,291</w:t>
            </w:r>
          </w:p>
        </w:tc>
        <w:tc>
          <w:tcPr>
            <w:tcW w:w="0" w:type="dxa"/>
            <w:vAlign w:val="bottom"/>
          </w:tcPr>
          <w:p>
            <w:pPr>
              <w:spacing w:after="0"/>
              <w:rPr>
                <w:sz w:val="1"/>
                <w:szCs w:val="1"/>
                <w:color w:val="auto"/>
              </w:rPr>
            </w:pPr>
          </w:p>
        </w:tc>
      </w:tr>
      <w:tr>
        <w:trPr>
          <w:trHeight w:val="160"/>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Leasehold improvements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167,623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157,915</w:t>
            </w:r>
          </w:p>
        </w:tc>
        <w:tc>
          <w:tcPr>
            <w:tcW w:w="0" w:type="dxa"/>
            <w:vAlign w:val="bottom"/>
          </w:tcPr>
          <w:p>
            <w:pPr>
              <w:spacing w:after="0"/>
              <w:rPr>
                <w:sz w:val="1"/>
                <w:szCs w:val="1"/>
                <w:color w:val="auto"/>
              </w:rPr>
            </w:pPr>
          </w:p>
        </w:tc>
      </w:tr>
      <w:tr>
        <w:trPr>
          <w:trHeight w:val="159"/>
        </w:trPr>
        <w:tc>
          <w:tcPr>
            <w:tcW w:w="8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4,935,297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3,885,656</w:t>
            </w:r>
          </w:p>
        </w:tc>
        <w:tc>
          <w:tcPr>
            <w:tcW w:w="0" w:type="dxa"/>
            <w:vAlign w:val="bottom"/>
          </w:tcPr>
          <w:p>
            <w:pPr>
              <w:spacing w:after="0"/>
              <w:rPr>
                <w:sz w:val="1"/>
                <w:szCs w:val="1"/>
                <w:color w:val="auto"/>
              </w:rPr>
            </w:pPr>
          </w:p>
        </w:tc>
      </w:tr>
      <w:tr>
        <w:trPr>
          <w:trHeight w:val="160"/>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Less accumulated depreciation and amortization</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2,956,246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2,765,095</w:t>
            </w:r>
          </w:p>
        </w:tc>
        <w:tc>
          <w:tcPr>
            <w:tcW w:w="0" w:type="dxa"/>
            <w:vAlign w:val="bottom"/>
          </w:tcPr>
          <w:p>
            <w:pPr>
              <w:spacing w:after="0"/>
              <w:rPr>
                <w:sz w:val="1"/>
                <w:szCs w:val="1"/>
                <w:color w:val="auto"/>
              </w:rPr>
            </w:pPr>
          </w:p>
        </w:tc>
      </w:tr>
      <w:tr>
        <w:trPr>
          <w:trHeight w:val="159"/>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property, plant and equipment</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1,979,051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1,120,561</w:t>
            </w:r>
          </w:p>
        </w:tc>
        <w:tc>
          <w:tcPr>
            <w:tcW w:w="0" w:type="dxa"/>
            <w:vAlign w:val="bottom"/>
          </w:tcPr>
          <w:p>
            <w:pPr>
              <w:spacing w:after="0"/>
              <w:rPr>
                <w:sz w:val="1"/>
                <w:szCs w:val="1"/>
                <w:color w:val="auto"/>
              </w:rPr>
            </w:pPr>
          </w:p>
        </w:tc>
      </w:tr>
      <w:tr>
        <w:trPr>
          <w:trHeight w:val="150"/>
        </w:trPr>
        <w:tc>
          <w:tcPr>
            <w:tcW w:w="8280" w:type="dxa"/>
            <w:vAlign w:val="bottom"/>
          </w:tcPr>
          <w:p>
            <w:pPr>
              <w:ind w:left="20"/>
              <w:spacing w:after="0"/>
              <w:rPr>
                <w:sz w:val="20"/>
                <w:szCs w:val="20"/>
                <w:color w:val="auto"/>
              </w:rPr>
            </w:pPr>
            <w:r>
              <w:rPr>
                <w:rFonts w:ascii="Arial" w:cs="Arial" w:eastAsia="Arial" w:hAnsi="Arial"/>
                <w:sz w:val="12"/>
                <w:szCs w:val="12"/>
                <w:b w:val="1"/>
                <w:bCs w:val="1"/>
                <w:color w:val="auto"/>
              </w:rPr>
              <w:t>Other Assets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investments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127,856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86,729</w:t>
            </w:r>
          </w:p>
        </w:tc>
        <w:tc>
          <w:tcPr>
            <w:tcW w:w="0" w:type="dxa"/>
            <w:vAlign w:val="bottom"/>
          </w:tcPr>
          <w:p>
            <w:pPr>
              <w:spacing w:after="0"/>
              <w:rPr>
                <w:sz w:val="1"/>
                <w:szCs w:val="1"/>
                <w:color w:val="auto"/>
              </w:rPr>
            </w:pPr>
          </w:p>
        </w:tc>
      </w:tr>
      <w:tr>
        <w:trPr>
          <w:trHeight w:val="160"/>
        </w:trPr>
        <w:tc>
          <w:tcPr>
            <w:tcW w:w="8280" w:type="dxa"/>
            <w:vAlign w:val="bottom"/>
          </w:tcPr>
          <w:p>
            <w:pPr>
              <w:ind w:left="120"/>
              <w:spacing w:after="0"/>
              <w:rPr>
                <w:sz w:val="20"/>
                <w:szCs w:val="20"/>
                <w:color w:val="auto"/>
              </w:rPr>
            </w:pPr>
            <w:r>
              <w:rPr>
                <w:rFonts w:ascii="Arial" w:cs="Arial" w:eastAsia="Arial" w:hAnsi="Arial"/>
                <w:sz w:val="12"/>
                <w:szCs w:val="12"/>
                <w:color w:val="auto"/>
              </w:rPr>
              <w:t>Goodwill</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26,918,470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12,278,425</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Intangible assets, net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15,267,170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3,650,280</w:t>
            </w:r>
          </w:p>
        </w:tc>
        <w:tc>
          <w:tcPr>
            <w:tcW w:w="0" w:type="dxa"/>
            <w:vAlign w:val="bottom"/>
          </w:tcPr>
          <w:p>
            <w:pPr>
              <w:spacing w:after="0"/>
              <w:rPr>
                <w:sz w:val="1"/>
                <w:szCs w:val="1"/>
                <w:color w:val="auto"/>
              </w:rPr>
            </w:pPr>
          </w:p>
        </w:tc>
      </w:tr>
      <w:tr>
        <w:trPr>
          <w:trHeight w:val="160"/>
        </w:trPr>
        <w:tc>
          <w:tcPr>
            <w:tcW w:w="8280" w:type="dxa"/>
            <w:vAlign w:val="bottom"/>
          </w:tcPr>
          <w:p>
            <w:pPr>
              <w:ind w:left="120"/>
              <w:spacing w:after="0"/>
              <w:rPr>
                <w:sz w:val="20"/>
                <w:szCs w:val="20"/>
                <w:color w:val="auto"/>
              </w:rPr>
            </w:pPr>
            <w:r>
              <w:rPr>
                <w:rFonts w:ascii="Arial" w:cs="Arial" w:eastAsia="Arial" w:hAnsi="Arial"/>
                <w:sz w:val="12"/>
                <w:szCs w:val="12"/>
                <w:color w:val="auto"/>
              </w:rPr>
              <w:t>Deferred tax assets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2,267,269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1,503,064</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assets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383,938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311,856</w:t>
            </w:r>
          </w:p>
        </w:tc>
        <w:tc>
          <w:tcPr>
            <w:tcW w:w="0" w:type="dxa"/>
            <w:vAlign w:val="bottom"/>
          </w:tcPr>
          <w:p>
            <w:pPr>
              <w:spacing w:after="0"/>
              <w:rPr>
                <w:sz w:val="1"/>
                <w:szCs w:val="1"/>
                <w:color w:val="auto"/>
              </w:rPr>
            </w:pPr>
          </w:p>
        </w:tc>
      </w:tr>
      <w:tr>
        <w:trPr>
          <w:trHeight w:val="152"/>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Total other assets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44,964,703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17,830,354</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52,322,071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21,468,603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28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340" w:type="dxa"/>
            <w:vAlign w:val="bottom"/>
          </w:tcPr>
          <w:p>
            <w:pPr>
              <w:jc w:val="right"/>
              <w:ind w:right="198"/>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443,434</w:t>
            </w:r>
          </w:p>
        </w:tc>
        <w:tc>
          <w:tcPr>
            <w:tcW w:w="100" w:type="dxa"/>
            <w:vAlign w:val="bottom"/>
          </w:tcPr>
          <w:p>
            <w:pPr>
              <w:spacing w:after="0"/>
              <w:rPr>
                <w:sz w:val="13"/>
                <w:szCs w:val="13"/>
                <w:color w:val="auto"/>
              </w:rPr>
            </w:pPr>
          </w:p>
        </w:tc>
        <w:tc>
          <w:tcPr>
            <w:tcW w:w="320" w:type="dxa"/>
            <w:vAlign w:val="bottom"/>
          </w:tcPr>
          <w:p>
            <w:pPr>
              <w:jc w:val="right"/>
              <w:ind w:right="178"/>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227,273</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taxes payable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332,685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182,080</w:t>
            </w:r>
          </w:p>
        </w:tc>
        <w:tc>
          <w:tcPr>
            <w:tcW w:w="0" w:type="dxa"/>
            <w:vAlign w:val="bottom"/>
          </w:tcPr>
          <w:p>
            <w:pPr>
              <w:spacing w:after="0"/>
              <w:rPr>
                <w:sz w:val="1"/>
                <w:szCs w:val="1"/>
                <w:color w:val="auto"/>
              </w:rPr>
            </w:pPr>
          </w:p>
        </w:tc>
      </w:tr>
      <w:tr>
        <w:trPr>
          <w:trHeight w:val="160"/>
        </w:trPr>
        <w:tc>
          <w:tcPr>
            <w:tcW w:w="8280" w:type="dxa"/>
            <w:vAlign w:val="bottom"/>
          </w:tcPr>
          <w:p>
            <w:pPr>
              <w:ind w:left="120"/>
              <w:spacing w:after="0"/>
              <w:rPr>
                <w:sz w:val="20"/>
                <w:szCs w:val="20"/>
                <w:color w:val="auto"/>
              </w:rPr>
            </w:pPr>
            <w:r>
              <w:rPr>
                <w:rFonts w:ascii="Arial" w:cs="Arial" w:eastAsia="Arial" w:hAnsi="Arial"/>
                <w:sz w:val="12"/>
                <w:szCs w:val="12"/>
                <w:color w:val="auto"/>
              </w:rPr>
              <w:t>Debt, current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516,663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1,477,530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955,633</w:t>
            </w:r>
          </w:p>
        </w:tc>
        <w:tc>
          <w:tcPr>
            <w:tcW w:w="0" w:type="dxa"/>
            <w:vAlign w:val="bottom"/>
          </w:tcPr>
          <w:p>
            <w:pPr>
              <w:spacing w:after="0"/>
              <w:rPr>
                <w:sz w:val="1"/>
                <w:szCs w:val="1"/>
                <w:color w:val="auto"/>
              </w:rPr>
            </w:pPr>
          </w:p>
        </w:tc>
      </w:tr>
      <w:tr>
        <w:trPr>
          <w:trHeight w:val="152"/>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Total current liabilities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2,770,312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1,364,986</w:t>
            </w:r>
          </w:p>
        </w:tc>
        <w:tc>
          <w:tcPr>
            <w:tcW w:w="0" w:type="dxa"/>
            <w:vAlign w:val="bottom"/>
          </w:tcPr>
          <w:p>
            <w:pPr>
              <w:spacing w:after="0"/>
              <w:rPr>
                <w:sz w:val="1"/>
                <w:szCs w:val="1"/>
                <w:color w:val="auto"/>
              </w:rPr>
            </w:pPr>
          </w:p>
        </w:tc>
      </w:tr>
      <w:tr>
        <w:trPr>
          <w:trHeight w:val="159"/>
        </w:trPr>
        <w:tc>
          <w:tcPr>
            <w:tcW w:w="8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Non-current Liabilities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80" w:type="dxa"/>
            <w:vAlign w:val="bottom"/>
          </w:tcPr>
          <w:p>
            <w:pPr>
              <w:ind w:left="120"/>
              <w:spacing w:after="0"/>
              <w:rPr>
                <w:sz w:val="20"/>
                <w:szCs w:val="20"/>
                <w:color w:val="auto"/>
              </w:rPr>
            </w:pPr>
            <w:r>
              <w:rPr>
                <w:rFonts w:ascii="Arial" w:cs="Arial" w:eastAsia="Arial" w:hAnsi="Arial"/>
                <w:sz w:val="12"/>
                <w:szCs w:val="12"/>
                <w:color w:val="auto"/>
              </w:rPr>
              <w:t>Long-term debt</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6,253,212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5,145,102</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income taxes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3,938,830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1,919,595</w:t>
            </w:r>
          </w:p>
        </w:tc>
        <w:tc>
          <w:tcPr>
            <w:tcW w:w="0" w:type="dxa"/>
            <w:vAlign w:val="bottom"/>
          </w:tcPr>
          <w:p>
            <w:pPr>
              <w:spacing w:after="0"/>
              <w:rPr>
                <w:sz w:val="1"/>
                <w:szCs w:val="1"/>
                <w:color w:val="auto"/>
              </w:rPr>
            </w:pPr>
          </w:p>
        </w:tc>
      </w:tr>
      <w:tr>
        <w:trPr>
          <w:trHeight w:val="160"/>
        </w:trPr>
        <w:tc>
          <w:tcPr>
            <w:tcW w:w="8280" w:type="dxa"/>
            <w:vAlign w:val="bottom"/>
          </w:tcPr>
          <w:p>
            <w:pPr>
              <w:ind w:left="120"/>
              <w:spacing w:after="0"/>
              <w:rPr>
                <w:sz w:val="20"/>
                <w:szCs w:val="20"/>
                <w:color w:val="auto"/>
              </w:rPr>
            </w:pPr>
            <w:r>
              <w:rPr>
                <w:rFonts w:ascii="Arial" w:cs="Arial" w:eastAsia="Arial" w:hAnsi="Arial"/>
                <w:sz w:val="12"/>
                <w:szCs w:val="12"/>
                <w:color w:val="auto"/>
              </w:rPr>
              <w:t>Income taxes payable</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811,337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591,780</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non-current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555,838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449,195</w:t>
            </w:r>
          </w:p>
        </w:tc>
        <w:tc>
          <w:tcPr>
            <w:tcW w:w="0" w:type="dxa"/>
            <w:vAlign w:val="bottom"/>
          </w:tcPr>
          <w:p>
            <w:pPr>
              <w:spacing w:after="0"/>
              <w:rPr>
                <w:sz w:val="1"/>
                <w:szCs w:val="1"/>
                <w:color w:val="auto"/>
              </w:rPr>
            </w:pPr>
          </w:p>
        </w:tc>
      </w:tr>
      <w:tr>
        <w:trPr>
          <w:trHeight w:val="152"/>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Total non-current liabilities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11,559,217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8,105,672</w:t>
            </w:r>
          </w:p>
        </w:tc>
        <w:tc>
          <w:tcPr>
            <w:tcW w:w="0" w:type="dxa"/>
            <w:vAlign w:val="bottom"/>
          </w:tcPr>
          <w:p>
            <w:pPr>
              <w:spacing w:after="0"/>
              <w:rPr>
                <w:sz w:val="1"/>
                <w:szCs w:val="1"/>
                <w:color w:val="auto"/>
              </w:rPr>
            </w:pPr>
          </w:p>
        </w:tc>
      </w:tr>
      <w:tr>
        <w:trPr>
          <w:trHeight w:val="14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Commitments and contingencies (Note 10)</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280" w:type="dxa"/>
            <w:vAlign w:val="bottom"/>
          </w:tcPr>
          <w:p>
            <w:pPr>
              <w:ind w:left="20"/>
              <w:spacing w:after="0"/>
              <w:rPr>
                <w:sz w:val="20"/>
                <w:szCs w:val="20"/>
                <w:color w:val="auto"/>
              </w:rPr>
            </w:pPr>
            <w:r>
              <w:rPr>
                <w:rFonts w:ascii="Arial" w:cs="Arial" w:eastAsia="Arial" w:hAnsi="Arial"/>
                <w:sz w:val="12"/>
                <w:szCs w:val="12"/>
                <w:b w:val="1"/>
                <w:bCs w:val="1"/>
                <w:color w:val="auto"/>
              </w:rPr>
              <w:t>Shareholders’ Equity</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Preferred stock, $1.00 par value, 471,934 shares authorized, none outstanding</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8280" w:type="dxa"/>
            <w:vAlign w:val="bottom"/>
          </w:tcPr>
          <w:p>
            <w:pPr>
              <w:ind w:left="120"/>
              <w:spacing w:after="0"/>
              <w:rPr>
                <w:sz w:val="20"/>
                <w:szCs w:val="20"/>
                <w:color w:val="auto"/>
              </w:rPr>
            </w:pPr>
            <w:r>
              <w:rPr>
                <w:rFonts w:ascii="Arial" w:cs="Arial" w:eastAsia="Arial" w:hAnsi="Arial"/>
                <w:sz w:val="12"/>
                <w:szCs w:val="12"/>
                <w:color w:val="auto"/>
              </w:rPr>
              <w:t>Common stock, $0.16 2/3 par value, 1,200,000,000 shares authorized, 525,330,672 shares outstanding (369,484,899 on October 31, 2020)</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87,554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61,582</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 in excess of par value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30,574,237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4,949,586</w:t>
            </w:r>
          </w:p>
        </w:tc>
        <w:tc>
          <w:tcPr>
            <w:tcW w:w="0" w:type="dxa"/>
            <w:vAlign w:val="bottom"/>
          </w:tcPr>
          <w:p>
            <w:pPr>
              <w:spacing w:after="0"/>
              <w:rPr>
                <w:sz w:val="1"/>
                <w:szCs w:val="1"/>
                <w:color w:val="auto"/>
              </w:rPr>
            </w:pPr>
          </w:p>
        </w:tc>
      </w:tr>
      <w:tr>
        <w:trPr>
          <w:trHeight w:val="160"/>
        </w:trPr>
        <w:tc>
          <w:tcPr>
            <w:tcW w:w="8280" w:type="dxa"/>
            <w:vAlign w:val="bottom"/>
          </w:tcPr>
          <w:p>
            <w:pPr>
              <w:ind w:left="120"/>
              <w:spacing w:after="0"/>
              <w:rPr>
                <w:sz w:val="20"/>
                <w:szCs w:val="20"/>
                <w:color w:val="auto"/>
              </w:rPr>
            </w:pPr>
            <w:r>
              <w:rPr>
                <w:rFonts w:ascii="Arial" w:cs="Arial" w:eastAsia="Arial" w:hAnsi="Arial"/>
                <w:sz w:val="12"/>
                <w:szCs w:val="12"/>
                <w:color w:val="auto"/>
              </w:rPr>
              <w:t>Retained earnings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7,517,316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7,236,238</w:t>
            </w:r>
          </w:p>
        </w:tc>
        <w:tc>
          <w:tcPr>
            <w:tcW w:w="0" w:type="dxa"/>
            <w:vAlign w:val="bottom"/>
          </w:tcPr>
          <w:p>
            <w:pPr>
              <w:spacing w:after="0"/>
              <w:rPr>
                <w:sz w:val="1"/>
                <w:szCs w:val="1"/>
                <w:color w:val="auto"/>
              </w:rPr>
            </w:pPr>
          </w:p>
        </w:tc>
      </w:tr>
      <w:tr>
        <w:trPr>
          <w:trHeight w:val="167"/>
        </w:trPr>
        <w:tc>
          <w:tcPr>
            <w:tcW w:w="8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(186,565)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(249,461)</w:t>
            </w:r>
          </w:p>
        </w:tc>
        <w:tc>
          <w:tcPr>
            <w:tcW w:w="0" w:type="dxa"/>
            <w:vAlign w:val="bottom"/>
          </w:tcPr>
          <w:p>
            <w:pPr>
              <w:spacing w:after="0"/>
              <w:rPr>
                <w:sz w:val="1"/>
                <w:szCs w:val="1"/>
                <w:color w:val="auto"/>
              </w:rPr>
            </w:pPr>
          </w:p>
        </w:tc>
      </w:tr>
      <w:tr>
        <w:trPr>
          <w:trHeight w:val="152"/>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Total shareholders’ equity</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37,992,542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11,997,945</w:t>
            </w:r>
          </w:p>
        </w:tc>
        <w:tc>
          <w:tcPr>
            <w:tcW w:w="0" w:type="dxa"/>
            <w:vAlign w:val="bottom"/>
          </w:tcPr>
          <w:p>
            <w:pPr>
              <w:spacing w:after="0"/>
              <w:rPr>
                <w:sz w:val="1"/>
                <w:szCs w:val="1"/>
                <w:color w:val="auto"/>
              </w:rPr>
            </w:pPr>
          </w:p>
        </w:tc>
      </w:tr>
      <w:tr>
        <w:trPr>
          <w:trHeight w:val="180"/>
        </w:trPr>
        <w:tc>
          <w:tcPr>
            <w:tcW w:w="8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52,322,071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21,468,603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49" w:name="page50"/>
    <w:bookmarkEnd w:id="49"/>
    <w:p>
      <w:pPr>
        <w:ind w:left="4720"/>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Years ended October 30, 2021, October 31, 2020 and November 2, 2019</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1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83"/>
        </w:trPr>
        <w:tc>
          <w:tcPr>
            <w:tcW w:w="4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11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6"/>
        </w:trPr>
        <w:tc>
          <w:tcPr>
            <w:tcW w:w="488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Excess of</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6"/>
                <w:szCs w:val="16"/>
                <w:color w:val="auto"/>
              </w:rPr>
            </w:pPr>
          </w:p>
        </w:tc>
        <w:tc>
          <w:tcPr>
            <w:tcW w:w="1260" w:type="dxa"/>
            <w:vAlign w:val="bottom"/>
          </w:tcPr>
          <w:p>
            <w:pPr>
              <w:jc w:val="center"/>
              <w:ind w:right="9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2"/>
        </w:trPr>
        <w:tc>
          <w:tcPr>
            <w:tcW w:w="4880" w:type="dxa"/>
            <w:vAlign w:val="bottom"/>
          </w:tcPr>
          <w:p>
            <w:pPr>
              <w:spacing w:after="0"/>
              <w:rPr>
                <w:sz w:val="20"/>
                <w:szCs w:val="20"/>
                <w:color w:val="auto"/>
              </w:rPr>
            </w:pPr>
            <w:r>
              <w:rPr>
                <w:rFonts w:ascii="Arial" w:cs="Arial" w:eastAsia="Arial" w:hAnsi="Arial"/>
                <w:sz w:val="14"/>
                <w:szCs w:val="14"/>
                <w:color w:val="auto"/>
              </w:rPr>
              <w:t>(thousands)</w:t>
            </w: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Par Value</w:t>
            </w:r>
          </w:p>
        </w:tc>
        <w:tc>
          <w:tcPr>
            <w:tcW w:w="20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5"/>
                <w:szCs w:val="15"/>
                <w:color w:val="auto"/>
              </w:rPr>
            </w:pPr>
          </w:p>
        </w:tc>
        <w:tc>
          <w:tcPr>
            <w:tcW w:w="1260" w:type="dxa"/>
            <w:vAlign w:val="bottom"/>
          </w:tcPr>
          <w:p>
            <w:pPr>
              <w:jc w:val="center"/>
              <w:ind w:right="110"/>
              <w:spacing w:after="0"/>
              <w:rPr>
                <w:sz w:val="20"/>
                <w:szCs w:val="20"/>
                <w:color w:val="auto"/>
              </w:rPr>
            </w:pPr>
            <w:r>
              <w:rPr>
                <w:rFonts w:ascii="Arial" w:cs="Arial" w:eastAsia="Arial" w:hAnsi="Arial"/>
                <w:sz w:val="14"/>
                <w:szCs w:val="14"/>
                <w:b w:val="1"/>
                <w:bCs w:val="1"/>
                <w:color w:val="auto"/>
                <w:w w:val="88"/>
              </w:rPr>
              <w:t>(Loss) Income</w:t>
            </w:r>
          </w:p>
        </w:tc>
        <w:tc>
          <w:tcPr>
            <w:tcW w:w="0" w:type="dxa"/>
            <w:vAlign w:val="bottom"/>
          </w:tcPr>
          <w:p>
            <w:pPr>
              <w:spacing w:after="0"/>
              <w:rPr>
                <w:sz w:val="1"/>
                <w:szCs w:val="1"/>
                <w:color w:val="auto"/>
              </w:rPr>
            </w:pPr>
          </w:p>
        </w:tc>
      </w:tr>
      <w:tr>
        <w:trPr>
          <w:trHeight w:val="181"/>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NOVEMBER 3, 2018 (1)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370,160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61,694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5,282,222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5,982,697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(58,440)</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Arial" w:cs="Arial" w:eastAsia="Arial" w:hAnsi="Arial"/>
                <w:sz w:val="14"/>
                <w:szCs w:val="14"/>
                <w:color w:val="auto"/>
              </w:rPr>
              <w:t>Effect of Accounting Standards Update 2016-16</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331,026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Net Income — 2019</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1,363,011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Arial" w:cs="Arial" w:eastAsia="Arial" w:hAnsi="Arial"/>
                <w:sz w:val="14"/>
                <w:szCs w:val="14"/>
                <w:color w:val="auto"/>
              </w:rPr>
              <w:t>Dividends declared and paid - $2.10 per share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(777,481)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Issuance of stock under stock plans and other</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(129,359)</w:t>
            </w:r>
          </w:p>
        </w:tc>
        <w:tc>
          <w:tcPr>
            <w:tcW w:w="0" w:type="dxa"/>
            <w:vAlign w:val="bottom"/>
          </w:tcPr>
          <w:p>
            <w:pPr>
              <w:spacing w:after="0"/>
              <w:rPr>
                <w:sz w:val="1"/>
                <w:szCs w:val="1"/>
                <w:color w:val="auto"/>
              </w:rPr>
            </w:pPr>
          </w:p>
        </w:tc>
      </w:tr>
      <w:tr>
        <w:trPr>
          <w:trHeight w:val="185"/>
        </w:trPr>
        <w:tc>
          <w:tcPr>
            <w:tcW w:w="48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Common stock repurchased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(611,984)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BALANCE, NOVEMBER 2, 2019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368,302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61,385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4,936,349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6,899,253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(187,799)</w:t>
            </w: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Arial" w:cs="Arial" w:eastAsia="Arial" w:hAnsi="Arial"/>
                <w:sz w:val="14"/>
                <w:szCs w:val="14"/>
                <w:color w:val="auto"/>
              </w:rPr>
              <w:t>Effect of Accounting Standards Update 2018-02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(2,379)</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Net Income — 2020</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1,220,761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Arial" w:cs="Arial" w:eastAsia="Arial" w:hAnsi="Arial"/>
                <w:sz w:val="14"/>
                <w:szCs w:val="14"/>
                <w:color w:val="auto"/>
              </w:rPr>
              <w:t>Dividends declared and paid - $2.40 per share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(886,155)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Issuance of stock under stock plans and other</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67,885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Arial" w:cs="Arial" w:eastAsia="Arial" w:hAnsi="Arial"/>
                <w:sz w:val="14"/>
                <w:szCs w:val="14"/>
                <w:color w:val="auto"/>
              </w:rPr>
              <w:t>Issuance of stock as charitable contribution</w:t>
            </w:r>
          </w:p>
        </w:tc>
        <w:tc>
          <w:tcPr>
            <w:tcW w:w="1040" w:type="dxa"/>
            <w:vAlign w:val="bottom"/>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39,944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(59,283)</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(244,110)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80" w:type="dxa"/>
            <w:vAlign w:val="bottom"/>
          </w:tcPr>
          <w:p>
            <w:pPr>
              <w:spacing w:after="0"/>
              <w:rPr>
                <w:sz w:val="20"/>
                <w:szCs w:val="20"/>
                <w:color w:val="auto"/>
              </w:rPr>
            </w:pPr>
            <w:r>
              <w:rPr>
                <w:rFonts w:ascii="Arial" w:cs="Arial" w:eastAsia="Arial" w:hAnsi="Arial"/>
                <w:sz w:val="14"/>
                <w:szCs w:val="14"/>
                <w:color w:val="auto"/>
              </w:rPr>
              <w:t>BALANCE, OCTOBER 31, 2020</w:t>
            </w:r>
          </w:p>
        </w:tc>
        <w:tc>
          <w:tcPr>
            <w:tcW w:w="1040" w:type="dxa"/>
            <w:vAlign w:val="bottom"/>
          </w:tcPr>
          <w:p>
            <w:pPr>
              <w:jc w:val="right"/>
              <w:spacing w:after="0"/>
              <w:rPr>
                <w:sz w:val="20"/>
                <w:szCs w:val="20"/>
                <w:color w:val="auto"/>
              </w:rPr>
            </w:pPr>
            <w:r>
              <w:rPr>
                <w:rFonts w:ascii="Arial" w:cs="Arial" w:eastAsia="Arial" w:hAnsi="Arial"/>
                <w:sz w:val="14"/>
                <w:szCs w:val="14"/>
                <w:color w:val="auto"/>
              </w:rPr>
              <w:t>369,485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61,582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4,949,586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7,236,238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(249,461)</w:t>
            </w: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Net Income — 2021</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1,390,422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Arial" w:cs="Arial" w:eastAsia="Arial" w:hAnsi="Arial"/>
                <w:sz w:val="14"/>
                <w:szCs w:val="14"/>
                <w:color w:val="auto"/>
              </w:rPr>
              <w:t>Dividends declared and paid - $2.69 per share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(1,109,344)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Issuance of stock under stock plans and other</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Arial" w:cs="Arial" w:eastAsia="Arial" w:hAnsi="Arial"/>
                <w:sz w:val="14"/>
                <w:szCs w:val="14"/>
                <w:color w:val="auto"/>
              </w:rPr>
              <w:t>Issuance of stock in connection with the Acquisition</w:t>
            </w:r>
          </w:p>
        </w:tc>
        <w:tc>
          <w:tcPr>
            <w:tcW w:w="1040" w:type="dxa"/>
            <w:vAlign w:val="bottom"/>
          </w:tcPr>
          <w:p>
            <w:pPr>
              <w:jc w:val="right"/>
              <w:spacing w:after="0"/>
              <w:rPr>
                <w:sz w:val="20"/>
                <w:szCs w:val="20"/>
                <w:color w:val="auto"/>
              </w:rPr>
            </w:pPr>
            <w:r>
              <w:rPr>
                <w:rFonts w:ascii="Arial" w:cs="Arial" w:eastAsia="Arial" w:hAnsi="Arial"/>
                <w:sz w:val="14"/>
                <w:szCs w:val="14"/>
                <w:color w:val="auto"/>
              </w:rPr>
              <w:t>169,233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28,204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27,725,957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243,611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20"/>
                <w:szCs w:val="20"/>
                <w:color w:val="auto"/>
              </w:rPr>
            </w:pPr>
            <w:r>
              <w:rPr>
                <w:rFonts w:ascii="Arial" w:cs="Arial" w:eastAsia="Arial" w:hAnsi="Arial"/>
                <w:sz w:val="14"/>
                <w:szCs w:val="14"/>
                <w:color w:val="auto"/>
              </w:rPr>
              <w:t>Replacement share-based awards issued in connection with the Acquisition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194,890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62,896</w:t>
            </w:r>
          </w:p>
        </w:tc>
        <w:tc>
          <w:tcPr>
            <w:tcW w:w="0" w:type="dxa"/>
            <w:vAlign w:val="bottom"/>
          </w:tcPr>
          <w:p>
            <w:pPr>
              <w:spacing w:after="0"/>
              <w:rPr>
                <w:sz w:val="1"/>
                <w:szCs w:val="1"/>
                <w:color w:val="auto"/>
              </w:rPr>
            </w:pPr>
          </w:p>
        </w:tc>
      </w:tr>
      <w:tr>
        <w:trPr>
          <w:trHeight w:val="185"/>
        </w:trPr>
        <w:tc>
          <w:tcPr>
            <w:tcW w:w="48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Common stock repurchased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(2,602,557)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OCTOBER 30, 2021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525,331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87,554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30,574,237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7,517,316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(186,565)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57" w:lineRule="exact"/>
        <w:rPr>
          <w:sz w:val="20"/>
          <w:szCs w:val="20"/>
          <w:color w:val="auto"/>
        </w:rPr>
      </w:pPr>
    </w:p>
    <w:p>
      <w:pPr>
        <w:ind w:left="300" w:right="500" w:hanging="271"/>
        <w:spacing w:after="0" w:line="270" w:lineRule="auto"/>
        <w:tabs>
          <w:tab w:leader="none" w:pos="3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Balances have been restated to reflect the adoption of Accounting Standards Update (ASU)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(ASU 2014-09). See Note 2a, </w:t>
      </w:r>
      <w:r>
        <w:rPr>
          <w:rFonts w:ascii="Arial" w:cs="Arial" w:eastAsia="Arial" w:hAnsi="Arial"/>
          <w:sz w:val="14"/>
          <w:szCs w:val="14"/>
          <w:i w:val="1"/>
          <w:iCs w:val="1"/>
          <w:color w:val="auto"/>
        </w:rPr>
        <w:t>Principles of</w:t>
      </w:r>
      <w:r>
        <w:rPr>
          <w:rFonts w:ascii="Arial" w:cs="Arial" w:eastAsia="Arial" w:hAnsi="Arial"/>
          <w:sz w:val="14"/>
          <w:szCs w:val="14"/>
          <w:color w:val="auto"/>
        </w:rPr>
        <w:t xml:space="preserve"> </w:t>
      </w:r>
      <w:r>
        <w:rPr>
          <w:rFonts w:ascii="Arial" w:cs="Arial" w:eastAsia="Arial" w:hAnsi="Arial"/>
          <w:sz w:val="14"/>
          <w:szCs w:val="14"/>
          <w:i w:val="1"/>
          <w:iCs w:val="1"/>
          <w:color w:val="auto"/>
        </w:rPr>
        <w:t>Consolidation</w:t>
      </w:r>
      <w:r>
        <w:rPr>
          <w:rFonts w:ascii="Arial" w:cs="Arial" w:eastAsia="Arial" w:hAnsi="Arial"/>
          <w:sz w:val="14"/>
          <w:szCs w:val="14"/>
          <w:color w:val="auto"/>
        </w:rPr>
        <w:t>, of the Notes to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50" w:name="page51"/>
    <w:bookmarkEnd w:id="50"/>
    <w:p>
      <w:pPr>
        <w:ind w:left="4720"/>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Years ended October 30, 2021, October 31, 2020 and November 2, 2019</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(thousands)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2019</w:t>
            </w:r>
          </w:p>
        </w:tc>
      </w:tr>
      <w:tr>
        <w:trPr>
          <w:trHeight w:val="184"/>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5"/>
        </w:trPr>
        <w:tc>
          <w:tcPr>
            <w:tcW w:w="734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1,390,422</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1,220,761</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1,363,011</w:t>
            </w:r>
          </w:p>
        </w:tc>
      </w:tr>
      <w:tr>
        <w:trPr>
          <w:trHeight w:val="189"/>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to net cash provided by operations: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5"/>
        </w:trPr>
        <w:tc>
          <w:tcPr>
            <w:tcW w:w="7340" w:type="dxa"/>
            <w:vAlign w:val="bottom"/>
          </w:tcPr>
          <w:p>
            <w:pPr>
              <w:ind w:left="30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231,275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233,775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240,677</w:t>
            </w:r>
          </w:p>
        </w:tc>
      </w:tr>
      <w:tr>
        <w:trPr>
          <w:trHeight w:val="189"/>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intangibles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843,359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577,148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570,574</w:t>
            </w:r>
          </w:p>
        </w:tc>
      </w:tr>
      <w:tr>
        <w:trPr>
          <w:trHeight w:val="185"/>
        </w:trPr>
        <w:tc>
          <w:tcPr>
            <w:tcW w:w="7340" w:type="dxa"/>
            <w:vAlign w:val="bottom"/>
          </w:tcPr>
          <w:p>
            <w:pPr>
              <w:ind w:left="300"/>
              <w:spacing w:after="0"/>
              <w:rPr>
                <w:sz w:val="20"/>
                <w:szCs w:val="20"/>
                <w:color w:val="auto"/>
              </w:rPr>
            </w:pPr>
            <w:r>
              <w:rPr>
                <w:rFonts w:ascii="Arial" w:cs="Arial" w:eastAsia="Arial" w:hAnsi="Arial"/>
                <w:sz w:val="14"/>
                <w:szCs w:val="14"/>
                <w:color w:val="auto"/>
              </w:rPr>
              <w:t>Cost of goods sold for inventory acquired</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331,083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Stock-based compensation expense</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243,611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149,518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150,300</w:t>
            </w:r>
          </w:p>
        </w:tc>
      </w:tr>
      <w:tr>
        <w:trPr>
          <w:trHeight w:val="185"/>
        </w:trPr>
        <w:tc>
          <w:tcPr>
            <w:tcW w:w="7340" w:type="dxa"/>
            <w:vAlign w:val="bottom"/>
          </w:tcPr>
          <w:p>
            <w:pPr>
              <w:ind w:left="300"/>
              <w:spacing w:after="0"/>
              <w:rPr>
                <w:sz w:val="20"/>
                <w:szCs w:val="20"/>
                <w:color w:val="auto"/>
              </w:rPr>
            </w:pPr>
            <w:r>
              <w:rPr>
                <w:rFonts w:ascii="Arial" w:cs="Arial" w:eastAsia="Arial" w:hAnsi="Arial"/>
                <w:sz w:val="14"/>
                <w:szCs w:val="14"/>
                <w:color w:val="auto"/>
              </w:rPr>
              <w:t>Gain on sale of property, plant and equipment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Non-cash contribution to charitable foundation</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340" w:type="dxa"/>
            <w:vAlign w:val="bottom"/>
          </w:tcPr>
          <w:p>
            <w:pPr>
              <w:ind w:left="30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215,150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Non-cash portion of special charges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14,167</w:t>
            </w:r>
          </w:p>
        </w:tc>
      </w:tr>
      <w:tr>
        <w:trPr>
          <w:trHeight w:val="185"/>
        </w:trPr>
        <w:tc>
          <w:tcPr>
            <w:tcW w:w="7340" w:type="dxa"/>
            <w:vAlign w:val="bottom"/>
          </w:tcPr>
          <w:p>
            <w:pPr>
              <w:ind w:left="30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40,907</w:t>
            </w:r>
          </w:p>
        </w:tc>
      </w:tr>
      <w:tr>
        <w:trPr>
          <w:trHeight w:val="189"/>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(406,922)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(113,948)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(91,253)</w:t>
            </w:r>
          </w:p>
        </w:tc>
      </w:tr>
      <w:tr>
        <w:trPr>
          <w:trHeight w:val="185"/>
        </w:trPr>
        <w:tc>
          <w:tcPr>
            <w:tcW w:w="7340" w:type="dxa"/>
            <w:vAlign w:val="bottom"/>
          </w:tcPr>
          <w:p>
            <w:pPr>
              <w:ind w:left="120"/>
              <w:spacing w:after="0"/>
              <w:rPr>
                <w:sz w:val="20"/>
                <w:szCs w:val="20"/>
                <w:color w:val="auto"/>
              </w:rPr>
            </w:pPr>
            <w:r>
              <w:rPr>
                <w:rFonts w:ascii="Arial" w:cs="Arial" w:eastAsia="Arial" w:hAnsi="Arial"/>
                <w:sz w:val="14"/>
                <w:szCs w:val="14"/>
                <w:color w:val="auto"/>
              </w:rPr>
              <w:t>Change in operating assets and liabilities: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(114,504)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5,890</w:t>
            </w:r>
          </w:p>
        </w:tc>
      </w:tr>
      <w:tr>
        <w:trPr>
          <w:trHeight w:val="185"/>
        </w:trPr>
        <w:tc>
          <w:tcPr>
            <w:tcW w:w="7340" w:type="dxa"/>
            <w:vAlign w:val="bottom"/>
          </w:tcPr>
          <w:p>
            <w:pPr>
              <w:ind w:left="30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(65,114)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(42,771)</w:t>
            </w:r>
          </w:p>
        </w:tc>
      </w:tr>
      <w:tr>
        <w:trPr>
          <w:trHeight w:val="189"/>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(11,797)</w:t>
            </w:r>
          </w:p>
        </w:tc>
      </w:tr>
      <w:tr>
        <w:trPr>
          <w:trHeight w:val="185"/>
        </w:trPr>
        <w:tc>
          <w:tcPr>
            <w:tcW w:w="7340" w:type="dxa"/>
            <w:vAlign w:val="bottom"/>
          </w:tcPr>
          <w:p>
            <w:pPr>
              <w:ind w:left="300"/>
              <w:spacing w:after="0"/>
              <w:rPr>
                <w:sz w:val="20"/>
                <w:szCs w:val="20"/>
                <w:color w:val="auto"/>
              </w:rPr>
            </w:pPr>
            <w:r>
              <w:rPr>
                <w:rFonts w:ascii="Arial" w:cs="Arial" w:eastAsia="Arial" w:hAnsi="Arial"/>
                <w:sz w:val="14"/>
                <w:szCs w:val="14"/>
                <w:color w:val="auto"/>
              </w:rPr>
              <w:t>Deferred compensation plan investments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(3,853)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(7,301)</w:t>
            </w:r>
          </w:p>
        </w:tc>
      </w:tr>
      <w:tr>
        <w:trPr>
          <w:trHeight w:val="189"/>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Prepaid income tax</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340" w:type="dxa"/>
            <w:vAlign w:val="bottom"/>
          </w:tcPr>
          <w:p>
            <w:pPr>
              <w:ind w:left="300"/>
              <w:spacing w:after="0"/>
              <w:rPr>
                <w:sz w:val="20"/>
                <w:szCs w:val="20"/>
                <w:color w:val="auto"/>
              </w:rPr>
            </w:pPr>
            <w:r>
              <w:rPr>
                <w:rFonts w:ascii="Arial" w:cs="Arial" w:eastAsia="Arial" w:hAnsi="Arial"/>
                <w:sz w:val="14"/>
                <w:szCs w:val="14"/>
                <w:color w:val="auto"/>
              </w:rPr>
              <w:t>Accounts payable and accrued liabilities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208,444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103,104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(6,371)</w:t>
            </w:r>
          </w:p>
        </w:tc>
      </w:tr>
      <w:tr>
        <w:trPr>
          <w:trHeight w:val="189"/>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7,308</w:t>
            </w:r>
          </w:p>
        </w:tc>
      </w:tr>
      <w:tr>
        <w:trPr>
          <w:trHeight w:val="185"/>
        </w:trPr>
        <w:tc>
          <w:tcPr>
            <w:tcW w:w="7340" w:type="dxa"/>
            <w:vAlign w:val="bottom"/>
          </w:tcPr>
          <w:p>
            <w:pPr>
              <w:ind w:left="300"/>
              <w:spacing w:after="0"/>
              <w:rPr>
                <w:sz w:val="20"/>
                <w:szCs w:val="20"/>
                <w:color w:val="auto"/>
              </w:rPr>
            </w:pPr>
            <w:r>
              <w:rPr>
                <w:rFonts w:ascii="Arial" w:cs="Arial" w:eastAsia="Arial" w:hAnsi="Arial"/>
                <w:sz w:val="14"/>
                <w:szCs w:val="14"/>
                <w:color w:val="auto"/>
              </w:rPr>
              <w:t>Income taxes payable, current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29,441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74,993</w:t>
            </w:r>
          </w:p>
        </w:tc>
      </w:tr>
      <w:tr>
        <w:trPr>
          <w:trHeight w:val="189"/>
        </w:trPr>
        <w:tc>
          <w:tcPr>
            <w:tcW w:w="73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(49,277)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(133,198)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(55,234)</w:t>
            </w:r>
          </w:p>
        </w:tc>
      </w:tr>
      <w:tr>
        <w:trPr>
          <w:trHeight w:val="176"/>
        </w:trPr>
        <w:tc>
          <w:tcPr>
            <w:tcW w:w="73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adjustments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1,344,647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787,726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890,089</w:t>
            </w:r>
          </w:p>
        </w:tc>
      </w:tr>
      <w:tr>
        <w:trPr>
          <w:trHeight w:val="179"/>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2,735,069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2,008,487</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2,253,100</w:t>
            </w:r>
          </w:p>
        </w:tc>
      </w:tr>
      <w:tr>
        <w:trPr>
          <w:trHeight w:val="123"/>
        </w:trPr>
        <w:tc>
          <w:tcPr>
            <w:tcW w:w="7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8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5"/>
        </w:trPr>
        <w:tc>
          <w:tcPr>
            <w:tcW w:w="7340" w:type="dxa"/>
            <w:vAlign w:val="bottom"/>
          </w:tcPr>
          <w:p>
            <w:pPr>
              <w:ind w:left="120"/>
              <w:spacing w:after="0"/>
              <w:rPr>
                <w:sz w:val="20"/>
                <w:szCs w:val="20"/>
                <w:color w:val="auto"/>
              </w:rPr>
            </w:pPr>
            <w:r>
              <w:rPr>
                <w:rFonts w:ascii="Arial" w:cs="Arial" w:eastAsia="Arial" w:hAnsi="Arial"/>
                <w:sz w:val="14"/>
                <w:szCs w:val="14"/>
                <w:color w:val="auto"/>
              </w:rPr>
              <w:t>Proceeds from other investments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30,125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Additions to property, plant and equipment, net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(343,676)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(165,692)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(275,372)</w:t>
            </w:r>
          </w:p>
        </w:tc>
      </w:tr>
      <w:tr>
        <w:trPr>
          <w:trHeight w:val="185"/>
        </w:trPr>
        <w:tc>
          <w:tcPr>
            <w:tcW w:w="7340" w:type="dxa"/>
            <w:vAlign w:val="bottom"/>
          </w:tcPr>
          <w:p>
            <w:pPr>
              <w:ind w:left="120"/>
              <w:spacing w:after="0"/>
              <w:rPr>
                <w:sz w:val="20"/>
                <w:szCs w:val="20"/>
                <w:color w:val="auto"/>
              </w:rPr>
            </w:pPr>
            <w:r>
              <w:rPr>
                <w:rFonts w:ascii="Arial" w:cs="Arial" w:eastAsia="Arial" w:hAnsi="Arial"/>
                <w:sz w:val="14"/>
                <w:szCs w:val="14"/>
                <w:color w:val="auto"/>
              </w:rPr>
              <w:t>Cash received from acquisition of Maxim, net of cash paid</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2,450,550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sale of property, plant and equipment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340" w:type="dxa"/>
            <w:vAlign w:val="bottom"/>
          </w:tcPr>
          <w:p>
            <w:pPr>
              <w:ind w:left="120"/>
              <w:spacing w:after="0"/>
              <w:rPr>
                <w:sz w:val="20"/>
                <w:szCs w:val="20"/>
                <w:color w:val="auto"/>
              </w:rPr>
            </w:pPr>
            <w:r>
              <w:rPr>
                <w:rFonts w:ascii="Arial" w:cs="Arial" w:eastAsia="Arial" w:hAnsi="Arial"/>
                <w:sz w:val="14"/>
                <w:szCs w:val="14"/>
                <w:color w:val="auto"/>
              </w:rPr>
              <w:t>Payments for acquisitions, net of cash acquired</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(24,950)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(11,170)</w:t>
            </w:r>
          </w:p>
        </w:tc>
      </w:tr>
      <w:tr>
        <w:trPr>
          <w:trHeight w:val="189"/>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other assets</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(6,644)</w:t>
            </w:r>
          </w:p>
        </w:tc>
      </w:tr>
      <w:tr>
        <w:trPr>
          <w:trHeight w:val="176"/>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for) investing activities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2,143,525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(180,523)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(293,186)</w:t>
            </w:r>
          </w:p>
        </w:tc>
      </w:tr>
      <w:tr>
        <w:trPr>
          <w:trHeight w:val="123"/>
        </w:trPr>
        <w:tc>
          <w:tcPr>
            <w:tcW w:w="73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85"/>
        </w:trPr>
        <w:tc>
          <w:tcPr>
            <w:tcW w:w="73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debt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3,939,640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395,646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1,250,000</w:t>
            </w:r>
          </w:p>
        </w:tc>
      </w:tr>
      <w:tr>
        <w:trPr>
          <w:trHeight w:val="185"/>
        </w:trPr>
        <w:tc>
          <w:tcPr>
            <w:tcW w:w="7340" w:type="dxa"/>
            <w:vAlign w:val="bottom"/>
          </w:tcPr>
          <w:p>
            <w:pPr>
              <w:ind w:left="120"/>
              <w:spacing w:after="0"/>
              <w:rPr>
                <w:sz w:val="20"/>
                <w:szCs w:val="20"/>
                <w:color w:val="auto"/>
              </w:rPr>
            </w:pPr>
            <w:r>
              <w:rPr>
                <w:rFonts w:ascii="Arial" w:cs="Arial" w:eastAsia="Arial" w:hAnsi="Arial"/>
                <w:sz w:val="14"/>
                <w:szCs w:val="14"/>
                <w:color w:val="auto"/>
              </w:rPr>
              <w:t>Early termination of debt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(3,591,982)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(1,250,000)</w:t>
            </w:r>
          </w:p>
        </w:tc>
      </w:tr>
      <w:tr>
        <w:trPr>
          <w:trHeight w:val="189"/>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Debt repayments</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r>
      <w:tr>
        <w:trPr>
          <w:trHeight w:val="185"/>
        </w:trPr>
        <w:tc>
          <w:tcPr>
            <w:tcW w:w="7340" w:type="dxa"/>
            <w:vAlign w:val="bottom"/>
          </w:tcPr>
          <w:p>
            <w:pPr>
              <w:ind w:left="120"/>
              <w:spacing w:after="0"/>
              <w:rPr>
                <w:sz w:val="20"/>
                <w:szCs w:val="20"/>
                <w:color w:val="auto"/>
              </w:rPr>
            </w:pPr>
            <w:r>
              <w:rPr>
                <w:rFonts w:ascii="Arial" w:cs="Arial" w:eastAsia="Arial" w:hAnsi="Arial"/>
                <w:sz w:val="14"/>
                <w:szCs w:val="14"/>
                <w:color w:val="auto"/>
              </w:rPr>
              <w:t>Payments on revolver</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(75,000)</w:t>
            </w:r>
          </w:p>
        </w:tc>
      </w:tr>
      <w:tr>
        <w:trPr>
          <w:trHeight w:val="189"/>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revolver</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r>
      <w:tr>
        <w:trPr>
          <w:trHeight w:val="185"/>
        </w:trPr>
        <w:tc>
          <w:tcPr>
            <w:tcW w:w="7340" w:type="dxa"/>
            <w:vAlign w:val="bottom"/>
          </w:tcPr>
          <w:p>
            <w:pPr>
              <w:ind w:left="120"/>
              <w:spacing w:after="0"/>
              <w:rPr>
                <w:sz w:val="20"/>
                <w:szCs w:val="20"/>
                <w:color w:val="auto"/>
              </w:rPr>
            </w:pPr>
            <w:r>
              <w:rPr>
                <w:rFonts w:ascii="Arial" w:cs="Arial" w:eastAsia="Arial" w:hAnsi="Arial"/>
                <w:sz w:val="14"/>
                <w:szCs w:val="14"/>
                <w:color w:val="auto"/>
              </w:rPr>
              <w:t>Payment on derivative instruments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(153,161)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Prepayment for stock repurchases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7340" w:type="dxa"/>
            <w:vAlign w:val="bottom"/>
          </w:tcPr>
          <w:p>
            <w:pPr>
              <w:ind w:left="120"/>
              <w:spacing w:after="0"/>
              <w:rPr>
                <w:sz w:val="20"/>
                <w:szCs w:val="20"/>
                <w:color w:val="auto"/>
              </w:rPr>
            </w:pPr>
            <w:r>
              <w:rPr>
                <w:rFonts w:ascii="Arial" w:cs="Arial" w:eastAsia="Arial" w:hAnsi="Arial"/>
                <w:sz w:val="14"/>
                <w:szCs w:val="14"/>
                <w:color w:val="auto"/>
              </w:rPr>
              <w:t>Dividend payments to shareholders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(1,109,344)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(886,155)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(777,481)</w:t>
            </w:r>
          </w:p>
        </w:tc>
      </w:tr>
      <w:tr>
        <w:trPr>
          <w:trHeight w:val="189"/>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 of common stock</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(2,605,144)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(244,487)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(613,005)</w:t>
            </w:r>
          </w:p>
        </w:tc>
      </w:tr>
      <w:tr>
        <w:trPr>
          <w:trHeight w:val="185"/>
        </w:trPr>
        <w:tc>
          <w:tcPr>
            <w:tcW w:w="7340" w:type="dxa"/>
            <w:vAlign w:val="bottom"/>
          </w:tcPr>
          <w:p>
            <w:pPr>
              <w:ind w:left="120"/>
              <w:spacing w:after="0"/>
              <w:rPr>
                <w:sz w:val="20"/>
                <w:szCs w:val="20"/>
                <w:color w:val="auto"/>
              </w:rPr>
            </w:pPr>
            <w:r>
              <w:rPr>
                <w:rFonts w:ascii="Arial" w:cs="Arial" w:eastAsia="Arial" w:hAnsi="Arial"/>
                <w:sz w:val="14"/>
                <w:szCs w:val="14"/>
                <w:color w:val="auto"/>
              </w:rPr>
              <w:t>Proceeds from employee stock plans</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63,105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68,403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116,523</w:t>
            </w:r>
          </w:p>
        </w:tc>
      </w:tr>
      <w:tr>
        <w:trPr>
          <w:trHeight w:val="189"/>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financing activities</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(2,831)</w:t>
            </w:r>
          </w:p>
        </w:tc>
      </w:tr>
      <w:tr>
        <w:trPr>
          <w:trHeight w:val="176"/>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for financing activities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(3,959,664)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(1,420,608)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(2,126,794)</w:t>
            </w:r>
          </w:p>
        </w:tc>
      </w:tr>
      <w:tr>
        <w:trPr>
          <w:trHeight w:val="181"/>
        </w:trPr>
        <w:tc>
          <w:tcPr>
            <w:tcW w:w="7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w:t>
            </w:r>
          </w:p>
        </w:tc>
      </w:tr>
      <w:tr>
        <w:trPr>
          <w:trHeight w:val="176"/>
        </w:trPr>
        <w:tc>
          <w:tcPr>
            <w:tcW w:w="7340" w:type="dxa"/>
            <w:vAlign w:val="bottom"/>
          </w:tcPr>
          <w:p>
            <w:pPr>
              <w:ind w:left="1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922,104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407,538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(168,269)</w:t>
            </w:r>
          </w:p>
        </w:tc>
      </w:tr>
      <w:tr>
        <w:trPr>
          <w:trHeight w:val="187"/>
        </w:trPr>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1,055,860</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648,322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816,591</w:t>
            </w:r>
          </w:p>
        </w:tc>
      </w:tr>
      <w:tr>
        <w:trPr>
          <w:trHeight w:val="181"/>
        </w:trPr>
        <w:tc>
          <w:tcPr>
            <w:tcW w:w="7340" w:type="dxa"/>
            <w:vAlign w:val="bottom"/>
          </w:tcPr>
          <w:p>
            <w:pPr>
              <w:ind w:left="20"/>
              <w:spacing w:after="0"/>
              <w:rPr>
                <w:sz w:val="20"/>
                <w:szCs w:val="20"/>
                <w:color w:val="auto"/>
              </w:rPr>
            </w:pPr>
            <w:r>
              <w:rPr>
                <w:rFonts w:ascii="Arial" w:cs="Arial" w:eastAsia="Arial" w:hAnsi="Arial"/>
                <w:sz w:val="14"/>
                <w:szCs w:val="14"/>
                <w:color w:val="auto"/>
              </w:rPr>
              <w:t>Cash and cash equivalents at end of year</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1,977,964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1,055,860</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648,322</w:t>
            </w:r>
          </w:p>
        </w:tc>
      </w:tr>
      <w:tr>
        <w:trPr>
          <w:trHeight w:val="20"/>
        </w:trPr>
        <w:tc>
          <w:tcPr>
            <w:tcW w:w="7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ind w:left="4726"/>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ind w:left="3586"/>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Years ended October 30, 2021, October 31, 2020 and November 2, 2019</w:t>
      </w:r>
    </w:p>
    <w:p>
      <w:pPr>
        <w:spacing w:after="0" w:line="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i w:val="1"/>
          <w:iCs w:val="1"/>
          <w:color w:val="auto"/>
        </w:rPr>
        <w:t>(all tabular amounts in thousands except per share amounts)</w:t>
      </w:r>
    </w:p>
    <w:p>
      <w:pPr>
        <w:spacing w:after="0" w:line="198" w:lineRule="exact"/>
        <w:rPr>
          <w:sz w:val="20"/>
          <w:szCs w:val="20"/>
          <w:color w:val="auto"/>
        </w:rPr>
      </w:pPr>
    </w:p>
    <w:p>
      <w:pPr>
        <w:ind w:left="286" w:hanging="286"/>
        <w:spacing w:after="0"/>
        <w:tabs>
          <w:tab w:leader="none" w:pos="286"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Business</w:t>
      </w:r>
    </w:p>
    <w:p>
      <w:pPr>
        <w:spacing w:after="0" w:line="124" w:lineRule="exact"/>
        <w:rPr>
          <w:sz w:val="20"/>
          <w:szCs w:val="20"/>
          <w:color w:val="auto"/>
        </w:rPr>
      </w:pPr>
    </w:p>
    <w:p>
      <w:pPr>
        <w:ind w:left="6" w:right="20" w:firstLine="351"/>
        <w:spacing w:after="0" w:line="286" w:lineRule="auto"/>
        <w:rPr>
          <w:sz w:val="20"/>
          <w:szCs w:val="20"/>
          <w:color w:val="auto"/>
        </w:rPr>
      </w:pPr>
      <w:r>
        <w:rPr>
          <w:rFonts w:ascii="Arial" w:cs="Arial" w:eastAsia="Arial" w:hAnsi="Arial"/>
          <w:sz w:val="14"/>
          <w:szCs w:val="14"/>
          <w:color w:val="auto"/>
        </w:rPr>
        <w:t>Analog Devices, Inc. (Analog Devices or the Company) is a leading global high-performance semiconductor company dedicated to solving its customers' most complex engineering challenges. Since its inception in 1965, the Company has played a critical role at the intersection of the physical and digital world by providing the building blocks to sense, measure, interpret, connect and power. The Company designs, manufactures, tests and markets a broad portfolio of solutions, including integrated circuits (ICs), software and subsystems that leverage high-performance analog, mixed-signal and digital signal processing technologies. The Company's comprehensive product portfolio, deep domain expertise and advanced manufacturing capabilities extend across high-performance precision and high-speed mixed-signal, power management and processing technologies – including data converters, amplifiers, power management, radio frequency ICs, edge processors and other sensors. The Company's focus is largely on the business-to-business end markets of Industrial, Automotive and Communications and related applications, as well as Consumer applications, with the goal of driving sustainable and profitable growth over the long term.</w:t>
      </w:r>
    </w:p>
    <w:p>
      <w:pPr>
        <w:spacing w:after="0" w:line="274" w:lineRule="exact"/>
        <w:rPr>
          <w:sz w:val="20"/>
          <w:szCs w:val="20"/>
          <w:color w:val="auto"/>
        </w:rPr>
      </w:pPr>
    </w:p>
    <w:p>
      <w:pPr>
        <w:ind w:left="286" w:right="8180" w:hanging="286"/>
        <w:spacing w:after="0" w:line="447" w:lineRule="auto"/>
        <w:tabs>
          <w:tab w:leader="none" w:pos="162"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w:t>
      </w:r>
      <w:r>
        <w:rPr>
          <w:rFonts w:ascii="Arial" w:cs="Arial" w:eastAsia="Arial" w:hAnsi="Arial"/>
          <w:sz w:val="14"/>
          <w:szCs w:val="14"/>
          <w:b w:val="1"/>
          <w:bCs w:val="1"/>
          <w:i w:val="1"/>
          <w:iCs w:val="1"/>
          <w:color w:val="auto"/>
        </w:rPr>
        <w:t>a. Principles of Consolidation</w:t>
      </w:r>
    </w:p>
    <w:p>
      <w:pPr>
        <w:spacing w:after="0" w:line="1" w:lineRule="exact"/>
        <w:rPr>
          <w:sz w:val="20"/>
          <w:szCs w:val="20"/>
          <w:color w:val="auto"/>
        </w:rPr>
      </w:pPr>
    </w:p>
    <w:p>
      <w:pPr>
        <w:ind w:left="6" w:right="200" w:firstLine="386"/>
        <w:spacing w:after="0" w:line="253" w:lineRule="auto"/>
        <w:rPr>
          <w:sz w:val="20"/>
          <w:szCs w:val="20"/>
          <w:color w:val="auto"/>
        </w:rPr>
      </w:pPr>
      <w:r>
        <w:rPr>
          <w:rFonts w:ascii="Arial" w:cs="Arial" w:eastAsia="Arial" w:hAnsi="Arial"/>
          <w:sz w:val="16"/>
          <w:szCs w:val="16"/>
          <w:color w:val="auto"/>
        </w:rPr>
        <w:t>The Consolidated Financial Statements include the accounts of the Company and all of its subsidiaries. Upon consolidation, all intercompany accounts and transactions are eliminated. Certain amounts reported in previous years have been reclassified to conform to the presentation for the fiscal year ended October 30, 2021 (fiscal 2021). Such reclassified amounts are immaterial.</w:t>
      </w:r>
    </w:p>
    <w:p>
      <w:pPr>
        <w:spacing w:after="0" w:line="85" w:lineRule="exact"/>
        <w:rPr>
          <w:sz w:val="20"/>
          <w:szCs w:val="20"/>
          <w:color w:val="auto"/>
        </w:rPr>
      </w:pPr>
    </w:p>
    <w:p>
      <w:pPr>
        <w:ind w:left="6" w:right="60" w:firstLine="386"/>
        <w:spacing w:after="0" w:line="263" w:lineRule="auto"/>
        <w:rPr>
          <w:sz w:val="20"/>
          <w:szCs w:val="20"/>
          <w:color w:val="auto"/>
        </w:rPr>
      </w:pPr>
      <w:r>
        <w:rPr>
          <w:rFonts w:ascii="Arial" w:cs="Arial" w:eastAsia="Arial" w:hAnsi="Arial"/>
          <w:sz w:val="16"/>
          <w:szCs w:val="16"/>
          <w:color w:val="auto"/>
        </w:rPr>
        <w:t>The Company’s fiscal year is the 52-week or 53-week period ending on the Saturday closest to the last day in October. Fiscal 2021, fiscal 2020 and fiscal 2019 were 52-week fiscal periods.</w:t>
      </w:r>
    </w:p>
    <w:p>
      <w:pPr>
        <w:spacing w:after="0" w:line="76" w:lineRule="exact"/>
        <w:rPr>
          <w:sz w:val="20"/>
          <w:szCs w:val="20"/>
          <w:color w:val="auto"/>
        </w:rPr>
      </w:pPr>
    </w:p>
    <w:p>
      <w:pPr>
        <w:ind w:left="6" w:right="320" w:firstLine="351"/>
        <w:spacing w:after="0" w:line="247" w:lineRule="auto"/>
        <w:rPr>
          <w:sz w:val="20"/>
          <w:szCs w:val="20"/>
          <w:color w:val="auto"/>
        </w:rPr>
      </w:pPr>
      <w:r>
        <w:rPr>
          <w:rFonts w:ascii="Arial" w:cs="Arial" w:eastAsia="Arial" w:hAnsi="Arial"/>
          <w:sz w:val="16"/>
          <w:szCs w:val="16"/>
          <w:color w:val="auto"/>
        </w:rPr>
        <w:t xml:space="preserve">On August 26, 2021 (Acquisition Date), the Company completed the acquisition of Maxim Integrated Products, Inc. (Maxim), an independent manufacturer of innovative analog and mixed-signal products and technologies. Pursuant to the Agreement and Plan of Merger, dated as of July 12, 2020 (the Merger Agreement), Maxim stockholders received, for each outstanding share of Maxim common stock, 0.6300 of a share of the Company’s common stock as of the Acquisition Date for total consideration of approximately $28.0 billion of the Company's common stock. The acquisition of Maxim is referred to as the Acquisition. The consolidated financial statements included in this Annual Report on Form 10-K include the financial results of Maxim prospectively from the Acquisition Date. See Note 6, </w:t>
      </w:r>
      <w:r>
        <w:rPr>
          <w:rFonts w:ascii="Arial" w:cs="Arial" w:eastAsia="Arial" w:hAnsi="Arial"/>
          <w:sz w:val="16"/>
          <w:szCs w:val="16"/>
          <w:i w:val="1"/>
          <w:iCs w:val="1"/>
          <w:color w:val="auto"/>
        </w:rPr>
        <w:t>Acquisitions</w:t>
      </w:r>
      <w:r>
        <w:rPr>
          <w:rFonts w:ascii="Arial" w:cs="Arial" w:eastAsia="Arial" w:hAnsi="Arial"/>
          <w:sz w:val="16"/>
          <w:szCs w:val="16"/>
          <w:color w:val="auto"/>
        </w:rPr>
        <w:t>, of the Notes to Consolidated Financial Statements for additional information.</w:t>
      </w:r>
    </w:p>
    <w:p>
      <w:pPr>
        <w:spacing w:after="0" w:line="103" w:lineRule="exact"/>
        <w:rPr>
          <w:sz w:val="20"/>
          <w:szCs w:val="20"/>
          <w:color w:val="auto"/>
        </w:rPr>
      </w:pPr>
    </w:p>
    <w:p>
      <w:pPr>
        <w:ind w:left="6" w:right="100" w:firstLine="386"/>
        <w:spacing w:after="0" w:line="307" w:lineRule="auto"/>
        <w:rPr>
          <w:sz w:val="20"/>
          <w:szCs w:val="20"/>
          <w:color w:val="auto"/>
        </w:rPr>
      </w:pPr>
      <w:r>
        <w:rPr>
          <w:rFonts w:ascii="Arial" w:cs="Arial" w:eastAsia="Arial" w:hAnsi="Arial"/>
          <w:sz w:val="14"/>
          <w:szCs w:val="14"/>
          <w:color w:val="auto"/>
        </w:rPr>
        <w:t xml:space="preserve">The Company adopted the Financial Accounting Standards Board (FASB) Accounting Standards Update (ASU)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(ASU 2014-09), in the first quarter of fiscal 2019. See Note 2n, </w:t>
      </w:r>
      <w:r>
        <w:rPr>
          <w:rFonts w:ascii="Arial" w:cs="Arial" w:eastAsia="Arial" w:hAnsi="Arial"/>
          <w:sz w:val="14"/>
          <w:szCs w:val="14"/>
          <w:i w:val="1"/>
          <w:iCs w:val="1"/>
          <w:color w:val="auto"/>
        </w:rPr>
        <w:t>Revenue Recognition</w:t>
      </w:r>
      <w:r>
        <w:rPr>
          <w:rFonts w:ascii="Arial" w:cs="Arial" w:eastAsia="Arial" w:hAnsi="Arial"/>
          <w:sz w:val="14"/>
          <w:szCs w:val="14"/>
          <w:color w:val="auto"/>
        </w:rPr>
        <w:t>, of the Notes to Consolidated Financial Statements for the details of the Company’s revenue recognition policies. As shown in the table below, pursuant to the guidance in ASU 2014-09, the Company restated its historical financial results to be consistent with the standard.</w:t>
      </w:r>
    </w:p>
    <w:p>
      <w:pPr>
        <w:spacing w:after="0" w:line="84"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impact on the Company's previously reported Consolidated Statement of Shareholders' Equity line item is as follows:</w:t>
      </w:r>
    </w:p>
    <w:p>
      <w:pPr>
        <w:spacing w:after="0" w:line="38" w:lineRule="exact"/>
        <w:rPr>
          <w:sz w:val="20"/>
          <w:szCs w:val="20"/>
          <w:color w:val="auto"/>
        </w:rPr>
      </w:pPr>
    </w:p>
    <w:tbl>
      <w:tblPr>
        <w:tblLayout w:type="fixed"/>
        <w:tblInd w:w="6"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November 3, 2018</w:t>
            </w:r>
          </w:p>
        </w:tc>
        <w:tc>
          <w:tcPr>
            <w:tcW w:w="6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As Reported</w:t>
            </w:r>
          </w:p>
        </w:tc>
        <w:tc>
          <w:tcPr>
            <w:tcW w:w="460" w:type="dxa"/>
            <w:vAlign w:val="bottom"/>
          </w:tcPr>
          <w:p>
            <w:pPr>
              <w:spacing w:after="0"/>
              <w:rPr>
                <w:sz w:val="11"/>
                <w:szCs w:val="11"/>
                <w:color w:val="auto"/>
              </w:rPr>
            </w:pPr>
          </w:p>
        </w:tc>
        <w:tc>
          <w:tcPr>
            <w:tcW w:w="16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Impact of Adoption of</w:t>
            </w:r>
          </w:p>
        </w:tc>
        <w:tc>
          <w:tcPr>
            <w:tcW w:w="640" w:type="dxa"/>
            <w:vAlign w:val="bottom"/>
          </w:tcPr>
          <w:p>
            <w:pPr>
              <w:spacing w:after="0"/>
              <w:rPr>
                <w:sz w:val="11"/>
                <w:szCs w:val="11"/>
                <w:color w:val="auto"/>
              </w:rPr>
            </w:pPr>
          </w:p>
        </w:tc>
        <w:tc>
          <w:tcPr>
            <w:tcW w:w="1380" w:type="dxa"/>
            <w:vAlign w:val="bottom"/>
            <w:vMerge w:val="restart"/>
          </w:tcPr>
          <w:p>
            <w:pPr>
              <w:jc w:val="right"/>
              <w:ind w:right="386"/>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ASU 2014-09</w:t>
            </w:r>
          </w:p>
        </w:tc>
        <w:tc>
          <w:tcPr>
            <w:tcW w:w="6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62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5,703,064</w:t>
            </w:r>
          </w:p>
        </w:tc>
        <w:tc>
          <w:tcPr>
            <w:tcW w:w="14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279,633</w:t>
            </w: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5,982,697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6" w:hanging="286"/>
        <w:spacing w:after="0"/>
        <w:tabs>
          <w:tab w:leader="none" w:pos="566"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Cash and Cash Equivalents</w:t>
      </w:r>
    </w:p>
    <w:p>
      <w:pPr>
        <w:spacing w:after="0" w:line="120" w:lineRule="exact"/>
        <w:rPr>
          <w:sz w:val="20"/>
          <w:szCs w:val="20"/>
          <w:color w:val="auto"/>
        </w:rPr>
      </w:pPr>
    </w:p>
    <w:p>
      <w:pPr>
        <w:ind w:left="6" w:right="160" w:firstLine="386"/>
        <w:spacing w:after="0" w:line="253" w:lineRule="auto"/>
        <w:rPr>
          <w:sz w:val="20"/>
          <w:szCs w:val="20"/>
          <w:color w:val="auto"/>
        </w:rPr>
      </w:pPr>
      <w:r>
        <w:rPr>
          <w:rFonts w:ascii="Arial" w:cs="Arial" w:eastAsia="Arial" w:hAnsi="Arial"/>
          <w:sz w:val="16"/>
          <w:szCs w:val="16"/>
          <w:color w:val="auto"/>
        </w:rPr>
        <w:t>Cash and cash equivalents are highly liquid investments with insignificant interest rate risk and maturities of ninety days or less at the time of acquisition. Cash and cash equivalents consist primarily of government and institutional money market funds, corporate obligations such as commercial paper and floating rate notes, bonds, demand deposit accounts and bank time deposits.</w:t>
      </w:r>
    </w:p>
    <w:p>
      <w:pPr>
        <w:spacing w:after="0" w:line="200" w:lineRule="exact"/>
        <w:rPr>
          <w:sz w:val="20"/>
          <w:szCs w:val="20"/>
          <w:color w:val="auto"/>
        </w:rPr>
      </w:pPr>
    </w:p>
    <w:p>
      <w:pPr>
        <w:spacing w:after="0" w:line="29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965"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right="20" w:firstLine="386"/>
        <w:spacing w:after="0" w:line="288" w:lineRule="auto"/>
        <w:rPr>
          <w:sz w:val="20"/>
          <w:szCs w:val="20"/>
          <w:color w:val="auto"/>
        </w:rPr>
      </w:pPr>
      <w:r>
        <w:rPr>
          <w:rFonts w:ascii="Arial" w:cs="Arial" w:eastAsia="Arial" w:hAnsi="Arial"/>
          <w:sz w:val="14"/>
          <w:szCs w:val="14"/>
          <w:color w:val="auto"/>
        </w:rPr>
        <w:t>The Company classifies its investments in readily marketable debt and equity securities as “held-to-maturity,” “available-for-sale” or “trading” at the time of purchase. There were no transfers between investment classifications in any of the fiscal years presented. Held-to-maturity securities, which are carried at amortized cost, include only those securities the Company has the positive intent and ability to hold to maturity. Securities such as bank time deposits, which by their nature are typically held to maturity, are classified as such. The Company’s other readily marketable cash equivalents are classified as available-for-sale. Available-for-sale securities are carried at fair value with unrealized gains and losses, net of related tax, reported in accumulated other comprehensive (loss) income (AOCI). Adjustments to the fair value of investments classified as available-for-sale are recorded as an increase or decrease in AOCI, unless the adjustment is considered an other-than-temporary impairment, in which case the adjustment is recorded as a charge in the Consolidated Statements of Income.</w:t>
      </w:r>
    </w:p>
    <w:p>
      <w:pPr>
        <w:spacing w:after="0" w:line="74" w:lineRule="exact"/>
        <w:rPr>
          <w:sz w:val="20"/>
          <w:szCs w:val="20"/>
          <w:color w:val="auto"/>
        </w:rPr>
      </w:pPr>
    </w:p>
    <w:p>
      <w:pPr>
        <w:ind w:right="480" w:firstLine="386"/>
        <w:spacing w:after="0" w:line="263" w:lineRule="auto"/>
        <w:rPr>
          <w:sz w:val="20"/>
          <w:szCs w:val="20"/>
          <w:color w:val="auto"/>
        </w:rPr>
      </w:pPr>
      <w:r>
        <w:rPr>
          <w:rFonts w:ascii="Arial" w:cs="Arial" w:eastAsia="Arial" w:hAnsi="Arial"/>
          <w:sz w:val="16"/>
          <w:szCs w:val="16"/>
          <w:color w:val="auto"/>
        </w:rPr>
        <w:t xml:space="preserve">The Company’s deferred compensation plan investments are classified as trading. See Note 2j,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and Note 11, </w:t>
      </w:r>
      <w:r>
        <w:rPr>
          <w:rFonts w:ascii="Arial" w:cs="Arial" w:eastAsia="Arial" w:hAnsi="Arial"/>
          <w:sz w:val="16"/>
          <w:szCs w:val="16"/>
          <w:i w:val="1"/>
          <w:iCs w:val="1"/>
          <w:color w:val="auto"/>
        </w:rPr>
        <w:t>Retirement Plans</w:t>
      </w:r>
      <w:r>
        <w:rPr>
          <w:rFonts w:ascii="Arial" w:cs="Arial" w:eastAsia="Arial" w:hAnsi="Arial"/>
          <w:sz w:val="16"/>
          <w:szCs w:val="16"/>
          <w:color w:val="auto"/>
        </w:rPr>
        <w:t>, of the Notes to Consolidated Financial Statements for additional information on these investments.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periodically evaluates its investments for impairment. There were no other-than-temporary impairments of investments in any of the fiscal years presented.</w:t>
      </w:r>
    </w:p>
    <w:p>
      <w:pPr>
        <w:spacing w:after="0" w:line="166" w:lineRule="exact"/>
        <w:rPr>
          <w:sz w:val="20"/>
          <w:szCs w:val="20"/>
          <w:color w:val="auto"/>
        </w:rPr>
      </w:pPr>
    </w:p>
    <w:p>
      <w:pPr>
        <w:ind w:right="520" w:firstLine="386"/>
        <w:spacing w:after="0" w:line="263" w:lineRule="auto"/>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expense. There were no material net realized gains or losses from the sales of available-for-sale investments during any of the fiscal periods presented.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the Company’s cash and cash equivalents as of October 30, 2021 and October 31, 2020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5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2020</w:t>
            </w:r>
          </w:p>
        </w:tc>
      </w:tr>
      <w:tr>
        <w:trPr>
          <w:trHeight w:val="196"/>
        </w:trPr>
        <w:tc>
          <w:tcPr>
            <w:tcW w:w="7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w:t>
            </w:r>
          </w:p>
        </w:tc>
        <w:tc>
          <w:tcPr>
            <w:tcW w:w="7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1,314,967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239,607</w:t>
            </w:r>
          </w:p>
        </w:tc>
      </w:tr>
      <w:tr>
        <w:trPr>
          <w:trHeight w:val="199"/>
        </w:trPr>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Available-for-sale securities</w:t>
            </w: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662,997</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816,253</w:t>
            </w:r>
          </w:p>
        </w:tc>
      </w:tr>
      <w:tr>
        <w:trPr>
          <w:trHeight w:val="215"/>
        </w:trPr>
        <w:tc>
          <w:tcPr>
            <w:tcW w:w="7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cash and cash equivalents</w:t>
            </w:r>
          </w:p>
        </w:tc>
        <w:tc>
          <w:tcPr>
            <w:tcW w:w="7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1,977,964</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1,055,860</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See Note 2j, </w:t>
      </w:r>
      <w:r>
        <w:rPr>
          <w:rFonts w:ascii="Arial" w:cs="Arial" w:eastAsia="Arial" w:hAnsi="Arial"/>
          <w:sz w:val="16"/>
          <w:szCs w:val="16"/>
          <w:i w:val="1"/>
          <w:iCs w:val="1"/>
          <w:color w:val="auto"/>
        </w:rPr>
        <w:t>Fair Value</w:t>
      </w:r>
      <w:r>
        <w:rPr>
          <w:rFonts w:ascii="Arial" w:cs="Arial" w:eastAsia="Arial" w:hAnsi="Arial"/>
          <w:sz w:val="16"/>
          <w:szCs w:val="16"/>
          <w:color w:val="auto"/>
        </w:rPr>
        <w:t>, of the Notes to Consolidated Financial Statements for additional information on the Company’s cash equivalents.</w:t>
      </w:r>
    </w:p>
    <w:p>
      <w:pPr>
        <w:spacing w:after="0" w:line="108"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6"/>
          <w:szCs w:val="16"/>
          <w:b w:val="1"/>
          <w:bCs w:val="1"/>
          <w:i w:val="1"/>
          <w:iCs w:val="1"/>
          <w:color w:val="auto"/>
        </w:rPr>
        <w:t>c.</w:t>
        <w:tab/>
        <w:t>Supplemental Cash Flow Statement Information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2019</w:t>
            </w:r>
          </w:p>
        </w:tc>
      </w:tr>
      <w:tr>
        <w:trPr>
          <w:trHeight w:val="196"/>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Cash paid during the fiscal year for: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9"/>
        </w:trPr>
        <w:tc>
          <w:tcPr>
            <w:tcW w:w="676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388,115</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237,691</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205,762</w:t>
            </w:r>
          </w:p>
        </w:tc>
      </w:tr>
      <w:tr>
        <w:trPr>
          <w:trHeight w:val="199"/>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197,841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216,143</w:t>
            </w:r>
          </w:p>
        </w:tc>
      </w:tr>
      <w:tr>
        <w:trPr>
          <w:trHeight w:val="199"/>
        </w:trPr>
        <w:tc>
          <w:tcPr>
            <w:tcW w:w="6760" w:type="dxa"/>
            <w:vAlign w:val="bottom"/>
          </w:tcPr>
          <w:p>
            <w:pPr>
              <w:spacing w:after="0"/>
              <w:rPr>
                <w:sz w:val="20"/>
                <w:szCs w:val="20"/>
                <w:color w:val="auto"/>
              </w:rPr>
            </w:pPr>
            <w:r>
              <w:rPr>
                <w:rFonts w:ascii="Arial" w:cs="Arial" w:eastAsia="Arial" w:hAnsi="Arial"/>
                <w:sz w:val="16"/>
                <w:szCs w:val="16"/>
                <w:color w:val="auto"/>
              </w:rPr>
              <w:t>Noncash issuance of common stock for the Acquisition</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27,754,161</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Fair value of partially vested equity replacement awards issued for the Acquisition</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194,890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ind w:left="560" w:hanging="286"/>
        <w:spacing w:after="0"/>
        <w:tabs>
          <w:tab w:leader="none" w:pos="560"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Inventories</w:t>
      </w:r>
    </w:p>
    <w:p>
      <w:pPr>
        <w:spacing w:after="0" w:line="108" w:lineRule="exact"/>
        <w:rPr>
          <w:sz w:val="20"/>
          <w:szCs w:val="20"/>
          <w:color w:val="auto"/>
        </w:rPr>
      </w:pPr>
    </w:p>
    <w:p>
      <w:pPr>
        <w:ind w:right="80" w:firstLine="386"/>
        <w:spacing w:after="0" w:line="293" w:lineRule="auto"/>
        <w:rPr>
          <w:sz w:val="20"/>
          <w:szCs w:val="20"/>
          <w:color w:val="auto"/>
        </w:rPr>
      </w:pPr>
      <w:r>
        <w:rPr>
          <w:rFonts w:ascii="Arial" w:cs="Arial" w:eastAsia="Arial" w:hAnsi="Arial"/>
          <w:sz w:val="14"/>
          <w:szCs w:val="14"/>
          <w:color w:val="auto"/>
        </w:rPr>
        <w:t>Inventories are valued at the lower of cost (first-in, first-out method) or market. The valuation of inventory requires the Company to estimate obsolete or excess inventory as well as inventory that is not of saleable quality. The Company employs a variety of methodologies to determine the net realizable value of its inventory. While a portion of the calculation to record inventory at its net realizable value is based on the age of the inventory and lower of cost or market calculations, a key factor in estimating obsolete or excess inventory requires the Company to estimate the future demand for its products. If actual demand is less than the Company’s estimates, impairment charges, which are recorded to cost of sales, may need to be recorded in future periods. Inventory in excess of saleable amounts is not valued, and the remaining inventory is valued at the lower of cost or market.</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 at October 30, 2021 and October 31, 2020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00" w:type="dxa"/>
            <w:vAlign w:val="bottom"/>
            <w:tcBorders>
              <w:bottom w:val="single" w:sz="8" w:color="CCEEFF"/>
            </w:tcBorders>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Raw materials</w:t>
            </w:r>
          </w:p>
        </w:tc>
        <w:tc>
          <w:tcPr>
            <w:tcW w:w="40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71,639</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33,806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tcPr>
          <w:p>
            <w:pPr>
              <w:ind w:left="400"/>
              <w:spacing w:after="0"/>
              <w:rPr>
                <w:sz w:val="20"/>
                <w:szCs w:val="20"/>
                <w:color w:val="auto"/>
              </w:rPr>
            </w:pPr>
            <w:r>
              <w:rPr>
                <w:rFonts w:ascii="Arial" w:cs="Arial" w:eastAsia="Arial" w:hAnsi="Arial"/>
                <w:sz w:val="16"/>
                <w:szCs w:val="16"/>
                <w:color w:val="auto"/>
              </w:rPr>
              <w:t>Work in process</w:t>
            </w:r>
          </w:p>
        </w:tc>
        <w:tc>
          <w:tcPr>
            <w:tcW w:w="4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858,627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443,690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Finished goods</w:t>
            </w:r>
          </w:p>
        </w:tc>
        <w:tc>
          <w:tcPr>
            <w:tcW w:w="40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270,344</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130,764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400"/>
              <w:spacing w:after="0"/>
              <w:rPr>
                <w:sz w:val="20"/>
                <w:szCs w:val="20"/>
                <w:color w:val="auto"/>
              </w:rPr>
            </w:pPr>
            <w:r>
              <w:rPr>
                <w:rFonts w:ascii="Arial" w:cs="Arial" w:eastAsia="Arial" w:hAnsi="Arial"/>
                <w:sz w:val="16"/>
                <w:szCs w:val="16"/>
                <w:color w:val="auto"/>
              </w:rPr>
              <w:t>Total inventories</w:t>
            </w:r>
          </w:p>
        </w:tc>
        <w:tc>
          <w:tcPr>
            <w:tcW w:w="4080" w:type="dxa"/>
            <w:vAlign w:val="bottom"/>
          </w:tcPr>
          <w:p>
            <w:pPr>
              <w:spacing w:after="0"/>
              <w:rPr>
                <w:sz w:val="16"/>
                <w:szCs w:val="16"/>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1,200,610</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608,260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80" w:type="dxa"/>
            <w:vAlign w:val="bottom"/>
            <w:vMerge w:val="restart"/>
          </w:tcPr>
          <w:p>
            <w:pPr>
              <w:jc w:val="right"/>
              <w:ind w:right="1802"/>
              <w:spacing w:after="0"/>
              <w:rPr>
                <w:sz w:val="20"/>
                <w:szCs w:val="20"/>
                <w:color w:val="auto"/>
              </w:rPr>
            </w:pPr>
            <w:r>
              <w:rPr>
                <w:rFonts w:ascii="Arial" w:cs="Arial" w:eastAsia="Arial" w:hAnsi="Arial"/>
                <w:sz w:val="16"/>
                <w:szCs w:val="16"/>
                <w:color w:val="auto"/>
              </w:rPr>
              <w:t>51</w:t>
            </w: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350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500" w:type="dxa"/>
            <w:vAlign w:val="bottom"/>
            <w:tcBorders>
              <w:bottom w:val="single" w:sz="8" w:color="9A9A9A"/>
            </w:tcBorders>
          </w:tcPr>
          <w:p>
            <w:pPr>
              <w:spacing w:after="0"/>
              <w:rPr>
                <w:sz w:val="8"/>
                <w:szCs w:val="8"/>
                <w:color w:val="auto"/>
              </w:rPr>
            </w:pPr>
          </w:p>
        </w:tc>
        <w:tc>
          <w:tcPr>
            <w:tcW w:w="40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left="540" w:hanging="266"/>
        <w:spacing w:after="0"/>
        <w:tabs>
          <w:tab w:leader="none" w:pos="540"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Property, Plant and Equipment</w:t>
      </w:r>
    </w:p>
    <w:p>
      <w:pPr>
        <w:spacing w:after="0" w:line="120" w:lineRule="exact"/>
        <w:rPr>
          <w:sz w:val="20"/>
          <w:szCs w:val="20"/>
          <w:color w:val="auto"/>
        </w:rPr>
      </w:pPr>
    </w:p>
    <w:p>
      <w:pPr>
        <w:ind w:right="40" w:firstLine="386"/>
        <w:spacing w:after="0" w:line="296" w:lineRule="auto"/>
        <w:rPr>
          <w:sz w:val="20"/>
          <w:szCs w:val="20"/>
          <w:color w:val="auto"/>
        </w:rPr>
      </w:pPr>
      <w:r>
        <w:rPr>
          <w:rFonts w:ascii="Arial" w:cs="Arial" w:eastAsia="Arial" w:hAnsi="Arial"/>
          <w:sz w:val="14"/>
          <w:szCs w:val="14"/>
          <w:color w:val="auto"/>
        </w:rPr>
        <w:t>Property, plant and equipment (PP&amp;E) is recorded at cost, less allowances for depreciation. The straight-line method of depreciation is used for all classes of assets for financial statement purposes while both straight-line and accelerated methods are used for income tax purposes. Leasehold improvements are depreciated over the lesser of the term of the lease or the useful life of the asset. Repairs and maintenance charges are expensed as incurred. Depreciation is based on the following ranges of estimated useful lives: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Buildings</w:t>
            </w:r>
          </w:p>
        </w:tc>
        <w:tc>
          <w:tcPr>
            <w:tcW w:w="5260" w:type="dxa"/>
            <w:vAlign w:val="bottom"/>
            <w:shd w:val="clear" w:color="auto" w:fill="CCEEFF"/>
          </w:tcPr>
          <w:p>
            <w:pPr>
              <w:ind w:left="4000"/>
              <w:spacing w:after="0"/>
              <w:rPr>
                <w:sz w:val="20"/>
                <w:szCs w:val="20"/>
                <w:color w:val="auto"/>
              </w:rPr>
            </w:pPr>
            <w:r>
              <w:rPr>
                <w:rFonts w:ascii="Arial" w:cs="Arial" w:eastAsia="Arial" w:hAnsi="Arial"/>
                <w:sz w:val="16"/>
                <w:szCs w:val="16"/>
                <w:color w:val="auto"/>
              </w:rPr>
              <w:t>Up to 30 years</w:t>
            </w:r>
          </w:p>
        </w:tc>
      </w:tr>
      <w:tr>
        <w:trPr>
          <w:trHeight w:val="199"/>
        </w:trPr>
        <w:tc>
          <w:tcPr>
            <w:tcW w:w="5980" w:type="dxa"/>
            <w:vAlign w:val="bottom"/>
          </w:tcPr>
          <w:p>
            <w:pPr>
              <w:ind w:left="400"/>
              <w:spacing w:after="0"/>
              <w:rPr>
                <w:sz w:val="20"/>
                <w:szCs w:val="20"/>
                <w:color w:val="auto"/>
              </w:rPr>
            </w:pPr>
            <w:r>
              <w:rPr>
                <w:rFonts w:ascii="Arial" w:cs="Arial" w:eastAsia="Arial" w:hAnsi="Arial"/>
                <w:sz w:val="16"/>
                <w:szCs w:val="16"/>
                <w:color w:val="auto"/>
              </w:rPr>
              <w:t>Machinery &amp; equipment</w:t>
            </w:r>
          </w:p>
        </w:tc>
        <w:tc>
          <w:tcPr>
            <w:tcW w:w="5260" w:type="dxa"/>
            <w:vAlign w:val="bottom"/>
          </w:tcPr>
          <w:p>
            <w:pPr>
              <w:ind w:left="4000"/>
              <w:spacing w:after="0"/>
              <w:rPr>
                <w:sz w:val="20"/>
                <w:szCs w:val="20"/>
                <w:color w:val="auto"/>
              </w:rPr>
            </w:pPr>
            <w:r>
              <w:rPr>
                <w:rFonts w:ascii="Arial" w:cs="Arial" w:eastAsia="Arial" w:hAnsi="Arial"/>
                <w:sz w:val="16"/>
                <w:szCs w:val="16"/>
                <w:color w:val="auto"/>
              </w:rPr>
              <w:t>3-10 years</w:t>
            </w:r>
          </w:p>
        </w:tc>
      </w:tr>
      <w:tr>
        <w:trPr>
          <w:trHeight w:val="199"/>
        </w:trPr>
        <w:tc>
          <w:tcPr>
            <w:tcW w:w="5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Office equipment</w:t>
            </w:r>
          </w:p>
        </w:tc>
        <w:tc>
          <w:tcPr>
            <w:tcW w:w="5260" w:type="dxa"/>
            <w:vAlign w:val="bottom"/>
            <w:shd w:val="clear" w:color="auto" w:fill="CCEEFF"/>
          </w:tcPr>
          <w:p>
            <w:pPr>
              <w:ind w:left="4000"/>
              <w:spacing w:after="0"/>
              <w:rPr>
                <w:sz w:val="20"/>
                <w:szCs w:val="20"/>
                <w:color w:val="auto"/>
              </w:rPr>
            </w:pPr>
            <w:r>
              <w:rPr>
                <w:rFonts w:ascii="Arial" w:cs="Arial" w:eastAsia="Arial" w:hAnsi="Arial"/>
                <w:sz w:val="16"/>
                <w:szCs w:val="16"/>
                <w:color w:val="auto"/>
              </w:rPr>
              <w:t>3-10 years</w:t>
            </w:r>
          </w:p>
        </w:tc>
      </w:tr>
      <w:tr>
        <w:trPr>
          <w:trHeight w:val="199"/>
        </w:trPr>
        <w:tc>
          <w:tcPr>
            <w:tcW w:w="5980" w:type="dxa"/>
            <w:vAlign w:val="bottom"/>
          </w:tcPr>
          <w:p>
            <w:pPr>
              <w:ind w:left="400"/>
              <w:spacing w:after="0"/>
              <w:rPr>
                <w:sz w:val="20"/>
                <w:szCs w:val="20"/>
                <w:color w:val="auto"/>
              </w:rPr>
            </w:pPr>
            <w:r>
              <w:rPr>
                <w:rFonts w:ascii="Arial" w:cs="Arial" w:eastAsia="Arial" w:hAnsi="Arial"/>
                <w:sz w:val="16"/>
                <w:szCs w:val="16"/>
                <w:color w:val="auto"/>
              </w:rPr>
              <w:t>Leasehold improvements</w:t>
            </w:r>
          </w:p>
        </w:tc>
        <w:tc>
          <w:tcPr>
            <w:tcW w:w="5260" w:type="dxa"/>
            <w:vAlign w:val="bottom"/>
          </w:tcPr>
          <w:p>
            <w:pPr>
              <w:ind w:left="4000"/>
              <w:spacing w:after="0"/>
              <w:rPr>
                <w:sz w:val="20"/>
                <w:szCs w:val="20"/>
                <w:color w:val="auto"/>
              </w:rPr>
            </w:pPr>
            <w:r>
              <w:rPr>
                <w:rFonts w:ascii="Arial" w:cs="Arial" w:eastAsia="Arial" w:hAnsi="Arial"/>
                <w:sz w:val="16"/>
                <w:szCs w:val="16"/>
                <w:color w:val="auto"/>
              </w:rPr>
              <w:t>7-20 years</w:t>
            </w:r>
          </w:p>
        </w:tc>
      </w:tr>
    </w:tbl>
    <w:p>
      <w:pPr>
        <w:spacing w:after="0" w:line="174" w:lineRule="exact"/>
        <w:rPr>
          <w:sz w:val="20"/>
          <w:szCs w:val="20"/>
          <w:color w:val="auto"/>
        </w:rPr>
      </w:pPr>
    </w:p>
    <w:p>
      <w:pPr>
        <w:ind w:right="20" w:firstLine="386"/>
        <w:spacing w:after="0" w:line="293" w:lineRule="auto"/>
        <w:rPr>
          <w:sz w:val="20"/>
          <w:szCs w:val="20"/>
          <w:color w:val="auto"/>
        </w:rPr>
      </w:pPr>
      <w:r>
        <w:rPr>
          <w:rFonts w:ascii="Arial" w:cs="Arial" w:eastAsia="Arial" w:hAnsi="Arial"/>
          <w:sz w:val="14"/>
          <w:szCs w:val="14"/>
          <w:color w:val="auto"/>
        </w:rPr>
        <w:t>The Company reviews PP&amp;E for impairment whenever events or changes in circumstances indicate that the carrying amount of assets may not be recoverable. Recoverability of these assets is determined by comparison of their carrying amount to the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If such assets are not impaired, but their useful lives have decreased, the remaining net book value is depreciated over the revised useful life.</w:t>
      </w:r>
    </w:p>
    <w:p>
      <w:pPr>
        <w:spacing w:after="0" w:line="93" w:lineRule="exact"/>
        <w:rPr>
          <w:sz w:val="20"/>
          <w:szCs w:val="20"/>
          <w:color w:val="auto"/>
        </w:rPr>
      </w:pPr>
    </w:p>
    <w:p>
      <w:pPr>
        <w:ind w:right="60" w:firstLine="351"/>
        <w:spacing w:after="0" w:line="248" w:lineRule="auto"/>
        <w:rPr>
          <w:sz w:val="20"/>
          <w:szCs w:val="20"/>
          <w:color w:val="auto"/>
        </w:rPr>
      </w:pPr>
      <w:r>
        <w:rPr>
          <w:rFonts w:ascii="Arial" w:cs="Arial" w:eastAsia="Arial" w:hAnsi="Arial"/>
          <w:sz w:val="16"/>
          <w:szCs w:val="16"/>
          <w:color w:val="auto"/>
        </w:rPr>
        <w:t xml:space="preserve">PP&amp;E is identified as held for sale when it meets the held for sale criteria of Accounting Standards Codification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(ASC 360). Depreciation is not recorded for assets that are classified as held for sale. When an asset meets the held for sale criteria, the lower of its carrying value or fair value less costs to sell is reclassified from the relevant PP&amp;E line items and into current assets on the balance sheet, where it remains until it is either sold or it no longer meets the held for sale criteria. If the assets held for sale were carried at fair value, it would be considered a Level 3 fair value measurement, and determined based on the use of appraisals and input from market participants.</w:t>
      </w:r>
    </w:p>
    <w:p>
      <w:pPr>
        <w:spacing w:after="0" w:line="55" w:lineRule="exact"/>
        <w:rPr>
          <w:sz w:val="20"/>
          <w:szCs w:val="20"/>
          <w:color w:val="auto"/>
        </w:rPr>
      </w:pPr>
    </w:p>
    <w:p>
      <w:pPr>
        <w:ind w:right="180" w:firstLine="351"/>
        <w:spacing w:after="0" w:line="253" w:lineRule="auto"/>
        <w:rPr>
          <w:sz w:val="20"/>
          <w:szCs w:val="20"/>
          <w:color w:val="auto"/>
        </w:rPr>
      </w:pPr>
      <w:r>
        <w:rPr>
          <w:rFonts w:ascii="Arial" w:cs="Arial" w:eastAsia="Arial" w:hAnsi="Arial"/>
          <w:sz w:val="16"/>
          <w:szCs w:val="16"/>
          <w:color w:val="auto"/>
        </w:rPr>
        <w:t>During fiscal 2021, the Company ceased production at its Hillview wafer fabrication facility located in Milpitas, California and determined that this facility met the held for sale criteria specified in ASC 360. As of October 30, 2021, Prepaid expenses and other current assets includes the following assets held for sale recorded at the fair value of the asset group, less costs to sell:</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Land and buildings</w:t>
            </w:r>
          </w:p>
        </w:tc>
        <w:tc>
          <w:tcPr>
            <w:tcW w:w="70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center"/>
              <w:ind w:left="522"/>
              <w:spacing w:after="0"/>
              <w:rPr>
                <w:sz w:val="20"/>
                <w:szCs w:val="20"/>
                <w:color w:val="auto"/>
              </w:rPr>
            </w:pPr>
            <w:r>
              <w:rPr>
                <w:rFonts w:ascii="Arial" w:cs="Arial" w:eastAsia="Arial" w:hAnsi="Arial"/>
                <w:sz w:val="16"/>
                <w:szCs w:val="16"/>
                <w:color w:val="auto"/>
                <w:w w:val="89"/>
              </w:rPr>
              <w:t>40,070</w:t>
            </w:r>
          </w:p>
        </w:tc>
      </w:tr>
      <w:tr>
        <w:trPr>
          <w:trHeight w:val="199"/>
        </w:trPr>
        <w:tc>
          <w:tcPr>
            <w:tcW w:w="94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Less accumulated depreciation and amortization</w:t>
            </w:r>
          </w:p>
        </w:tc>
        <w:tc>
          <w:tcPr>
            <w:tcW w:w="7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502"/>
              <w:spacing w:after="0"/>
              <w:rPr>
                <w:sz w:val="20"/>
                <w:szCs w:val="20"/>
                <w:color w:val="auto"/>
              </w:rPr>
            </w:pPr>
            <w:r>
              <w:rPr>
                <w:rFonts w:ascii="Arial" w:cs="Arial" w:eastAsia="Arial" w:hAnsi="Arial"/>
                <w:sz w:val="16"/>
                <w:szCs w:val="16"/>
                <w:color w:val="auto"/>
                <w:w w:val="90"/>
              </w:rPr>
              <w:t>(13,634)</w:t>
            </w:r>
          </w:p>
        </w:tc>
      </w:tr>
      <w:tr>
        <w:trPr>
          <w:trHeight w:val="215"/>
        </w:trPr>
        <w:tc>
          <w:tcPr>
            <w:tcW w:w="9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property, plant and equipment reclassified to Prepaid expenses and other current assets</w:t>
            </w: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center"/>
              <w:ind w:left="522"/>
              <w:spacing w:after="0"/>
              <w:rPr>
                <w:sz w:val="20"/>
                <w:szCs w:val="20"/>
                <w:color w:val="auto"/>
              </w:rPr>
            </w:pPr>
            <w:r>
              <w:rPr>
                <w:rFonts w:ascii="Arial" w:cs="Arial" w:eastAsia="Arial" w:hAnsi="Arial"/>
                <w:sz w:val="16"/>
                <w:szCs w:val="16"/>
                <w:color w:val="auto"/>
                <w:w w:val="89"/>
              </w:rPr>
              <w:t>26,436</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560" w:hanging="286"/>
        <w:spacing w:after="0"/>
        <w:tabs>
          <w:tab w:leader="none" w:pos="560"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Goodwill and Intangible Assets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w:t>
      </w:r>
    </w:p>
    <w:p>
      <w:pPr>
        <w:spacing w:after="0" w:line="143" w:lineRule="exact"/>
        <w:rPr>
          <w:sz w:val="20"/>
          <w:szCs w:val="20"/>
          <w:color w:val="auto"/>
        </w:rPr>
      </w:pPr>
    </w:p>
    <w:p>
      <w:pPr>
        <w:ind w:right="40" w:firstLine="386"/>
        <w:spacing w:after="0" w:line="250" w:lineRule="auto"/>
        <w:rPr>
          <w:sz w:val="20"/>
          <w:szCs w:val="20"/>
          <w:color w:val="auto"/>
        </w:rPr>
      </w:pPr>
      <w:r>
        <w:rPr>
          <w:rFonts w:ascii="Arial" w:cs="Arial" w:eastAsia="Arial" w:hAnsi="Arial"/>
          <w:sz w:val="16"/>
          <w:szCs w:val="16"/>
          <w:color w:val="auto"/>
        </w:rPr>
        <w:t>The Company evaluates goodwill for impairment annually, as well as whenever events or changes in circumstances suggest that the carrying value of goodwill may not be recoverable, utilizing either the qualitative or quantitative method. The Company tests goodwill for impairment at the reporting unit level, which the Company has determined is consistent with its identified operating segments, on an annual basis on the first day of the fourth quarter (on or about August 1) or more frequently if indicators of impairment exist or the Company reorganizes its operating segments or reporting units.</w:t>
      </w:r>
    </w:p>
    <w:p>
      <w:pPr>
        <w:spacing w:after="0" w:line="122" w:lineRule="exact"/>
        <w:rPr>
          <w:sz w:val="20"/>
          <w:szCs w:val="20"/>
          <w:color w:val="auto"/>
        </w:rPr>
      </w:pPr>
    </w:p>
    <w:p>
      <w:pPr>
        <w:ind w:right="320" w:firstLine="386"/>
        <w:spacing w:after="0" w:line="263" w:lineRule="auto"/>
        <w:rPr>
          <w:sz w:val="20"/>
          <w:szCs w:val="20"/>
          <w:color w:val="auto"/>
        </w:rPr>
      </w:pPr>
      <w:r>
        <w:rPr>
          <w:rFonts w:ascii="Arial" w:cs="Arial" w:eastAsia="Arial" w:hAnsi="Arial"/>
          <w:sz w:val="16"/>
          <w:szCs w:val="16"/>
          <w:color w:val="auto"/>
        </w:rPr>
        <w:t>The Company has the option to first assess qualitative factors to determine whether it is more likely than not that the fair value of a reporting unit is less than its net book value. When using the qualitative method, the Company considers several factors, including the following:</w:t>
      </w:r>
    </w:p>
    <w:p>
      <w:pPr>
        <w:spacing w:after="0" w:line="76" w:lineRule="exact"/>
        <w:rPr>
          <w:sz w:val="20"/>
          <w:szCs w:val="20"/>
          <w:color w:val="auto"/>
        </w:rPr>
      </w:pPr>
    </w:p>
    <w:p>
      <w:pPr>
        <w:ind w:left="560" w:right="360" w:hanging="281"/>
        <w:spacing w:after="0" w:line="287" w:lineRule="auto"/>
        <w:rPr>
          <w:sz w:val="20"/>
          <w:szCs w:val="20"/>
          <w:color w:val="auto"/>
        </w:rPr>
      </w:pPr>
      <w:r>
        <w:rPr>
          <w:rFonts w:ascii="Arial" w:cs="Arial" w:eastAsia="Arial" w:hAnsi="Arial"/>
          <w:sz w:val="14"/>
          <w:szCs w:val="14"/>
          <w:color w:val="auto"/>
        </w:rPr>
        <w:t>– the amount by which the fair values of each reporting unit exceeded their carrying values as of the date of the most recent quantitative impairment analysis, which indicated there would need to be substantial negative developments in the markets in which these reporting units operate in order for there to be potential impairment;</w:t>
      </w:r>
    </w:p>
    <w:p>
      <w:pPr>
        <w:ind w:left="560" w:right="540" w:hanging="281"/>
        <w:spacing w:after="0" w:line="244" w:lineRule="auto"/>
        <w:rPr>
          <w:sz w:val="20"/>
          <w:szCs w:val="20"/>
          <w:color w:val="auto"/>
        </w:rPr>
      </w:pPr>
      <w:r>
        <w:rPr>
          <w:rFonts w:ascii="Arial" w:cs="Arial" w:eastAsia="Arial" w:hAnsi="Arial"/>
          <w:sz w:val="16"/>
          <w:szCs w:val="16"/>
          <w:color w:val="auto"/>
        </w:rPr>
        <w:t>– the carrying values of these reporting units as of the assessment date compared to the previously calculated fair values as of the date of the most recent quantitative impairment analysis;</w:t>
      </w:r>
    </w:p>
    <w:p>
      <w:pPr>
        <w:ind w:left="280"/>
        <w:spacing w:after="0"/>
        <w:rPr>
          <w:sz w:val="20"/>
          <w:szCs w:val="20"/>
          <w:color w:val="auto"/>
        </w:rPr>
      </w:pPr>
      <w:r>
        <w:rPr>
          <w:rFonts w:ascii="Arial" w:cs="Arial" w:eastAsia="Arial" w:hAnsi="Arial"/>
          <w:sz w:val="16"/>
          <w:szCs w:val="16"/>
          <w:color w:val="auto"/>
        </w:rPr>
        <w:t>–   the Company's current forecasts as compared to the forecasts included in the most recent quantitative impairment analysis;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public information from competitors and other industry information to determine if there were any significant adverse trends in the Company's competitors' businesses;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7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changes in the value of major U.S. stock indices that could suggest declines in overall market stability that could impact the valuation of the Company's reporting units;</w:t>
      </w:r>
    </w:p>
    <w:p>
      <w:pPr>
        <w:spacing w:after="0" w:line="37" w:lineRule="exact"/>
        <w:rPr>
          <w:sz w:val="20"/>
          <w:szCs w:val="20"/>
          <w:color w:val="auto"/>
        </w:rPr>
      </w:pPr>
    </w:p>
    <w:p>
      <w:pPr>
        <w:ind w:left="560" w:right="260" w:hanging="281"/>
        <w:spacing w:after="0" w:line="244" w:lineRule="auto"/>
        <w:rPr>
          <w:sz w:val="20"/>
          <w:szCs w:val="20"/>
          <w:color w:val="auto"/>
        </w:rPr>
      </w:pPr>
      <w:r>
        <w:rPr>
          <w:rFonts w:ascii="Arial" w:cs="Arial" w:eastAsia="Arial" w:hAnsi="Arial"/>
          <w:sz w:val="16"/>
          <w:szCs w:val="16"/>
          <w:color w:val="auto"/>
        </w:rPr>
        <w:t>– changes in the Company's market capitalization and overall enterprise valuation to determine if there were any significant decreases that could be an indication that the valuation of its reporting units had significantly decreased; and</w:t>
      </w:r>
    </w:p>
    <w:p>
      <w:pPr>
        <w:ind w:left="560" w:right="240" w:hanging="281"/>
        <w:spacing w:after="0" w:line="248" w:lineRule="auto"/>
        <w:rPr>
          <w:sz w:val="20"/>
          <w:szCs w:val="20"/>
          <w:color w:val="auto"/>
        </w:rPr>
      </w:pPr>
      <w:r>
        <w:rPr>
          <w:rFonts w:ascii="Arial" w:cs="Arial" w:eastAsia="Arial" w:hAnsi="Arial"/>
          <w:sz w:val="16"/>
          <w:szCs w:val="16"/>
          <w:color w:val="auto"/>
        </w:rPr>
        <w:t>– whether there had been any significant increases to the weighted-average cost of capital rates for each reporting unit, which could materially lower the Company's prior valuation conclusions under a discounted cash flow approach.</w:t>
      </w:r>
    </w:p>
    <w:p>
      <w:pPr>
        <w:spacing w:after="0" w:line="122" w:lineRule="exact"/>
        <w:rPr>
          <w:sz w:val="20"/>
          <w:szCs w:val="20"/>
          <w:color w:val="auto"/>
        </w:rPr>
      </w:pPr>
    </w:p>
    <w:p>
      <w:pPr>
        <w:ind w:right="100" w:firstLine="386"/>
        <w:spacing w:after="0" w:line="284" w:lineRule="auto"/>
        <w:rPr>
          <w:sz w:val="20"/>
          <w:szCs w:val="20"/>
          <w:color w:val="auto"/>
        </w:rPr>
      </w:pPr>
      <w:r>
        <w:rPr>
          <w:rFonts w:ascii="Arial" w:cs="Arial" w:eastAsia="Arial" w:hAnsi="Arial"/>
          <w:sz w:val="14"/>
          <w:szCs w:val="14"/>
          <w:color w:val="auto"/>
        </w:rPr>
        <w:t>If the Company elects not to use this option, or it determines that it is more likely than not that the fair value of a reporting unit is less than its net book value, then the Company performs the quantitative goodwill impairment test. The quantitative goodwill impairment test requires an entity to compare the fair value of a reporting unit with its carrying amount. If fair value is determined to be less than carrying value, an impairment loss is recognized for the amount of the carrying value that exceeds the amount of the reporting unit's fair value, not to exceed the total amount of goodwill allocated to the reporting unit. Additionally, the Company considers income tax effects from any tax deductible goodwill on the carrying amount of the reporting unit when measuring the goodwill impairment loss, if applicable. Management determines the fair values of the reporting units using a weighting of the income and market approaches. Under the income approach, it uses a discounted cash flow methodology, which requires management to make significant estimates and assumptions related to forecasted revenues, gross profit margins, operating income margins, working capital cash flow, perpetual growth rates and long-term discount rates, among others. For the market approach, it uses the guideline public company method. Under this method management utilizes information from comparable publicly traded companies with similar operating and investment characteristics as the reporting units, to create valuation multiples that are applied to the operating performance of the reporting unit being tested, in order to obtain its respective fair value. In order to assess the reasonableness of the calculated values, the aggregate fair values of the reporting units are reconciled to the Company's total market capitalization, allowing for a reasonable control premium.</w:t>
      </w:r>
    </w:p>
    <w:p>
      <w:pPr>
        <w:spacing w:after="0" w:line="68" w:lineRule="exact"/>
        <w:rPr>
          <w:sz w:val="20"/>
          <w:szCs w:val="20"/>
          <w:color w:val="auto"/>
        </w:rPr>
      </w:pPr>
    </w:p>
    <w:p>
      <w:pPr>
        <w:ind w:right="720" w:firstLine="386"/>
        <w:spacing w:after="0" w:line="335" w:lineRule="auto"/>
        <w:rPr>
          <w:sz w:val="20"/>
          <w:szCs w:val="20"/>
          <w:color w:val="auto"/>
        </w:rPr>
      </w:pPr>
      <w:r>
        <w:rPr>
          <w:rFonts w:ascii="Arial" w:cs="Arial" w:eastAsia="Arial" w:hAnsi="Arial"/>
          <w:sz w:val="14"/>
          <w:szCs w:val="14"/>
          <w:color w:val="auto"/>
        </w:rPr>
        <w:t>During fiscal 2021 and fiscal 2020, the Company elected to use the quantitative method of assessing goodwill for all of its reporting units. In all periods presented, management concluded the reporting units' fair values exceeded their carrying amounts as of the assessment dates and no risk of impairment existed.</w:t>
      </w:r>
    </w:p>
    <w:p>
      <w:pPr>
        <w:spacing w:after="0" w:line="42" w:lineRule="exact"/>
        <w:rPr>
          <w:sz w:val="20"/>
          <w:szCs w:val="20"/>
          <w:color w:val="auto"/>
        </w:rPr>
      </w:pPr>
    </w:p>
    <w:p>
      <w:pPr>
        <w:ind w:right="120" w:firstLine="386"/>
        <w:spacing w:after="0" w:line="251" w:lineRule="auto"/>
        <w:rPr>
          <w:sz w:val="20"/>
          <w:szCs w:val="20"/>
          <w:color w:val="auto"/>
        </w:rPr>
      </w:pPr>
      <w:r>
        <w:rPr>
          <w:rFonts w:ascii="Arial" w:cs="Arial" w:eastAsia="Arial" w:hAnsi="Arial"/>
          <w:sz w:val="16"/>
          <w:szCs w:val="16"/>
          <w:color w:val="auto"/>
        </w:rPr>
        <w:t>The Company’s next annual impairment assessment will be performed as of the first day of the fourth quarter of the fiscal year ending October 29, 2022 (fiscal 2022) unless indicators arise that would require the Company to reevaluate at an earlier date.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the changes in goodwill during fiscal 2021 and fiscal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2020</w:t>
            </w:r>
          </w:p>
        </w:tc>
      </w:tr>
      <w:tr>
        <w:trPr>
          <w:trHeight w:val="196"/>
        </w:trPr>
        <w:tc>
          <w:tcPr>
            <w:tcW w:w="7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Balance at beginning of year</w:t>
            </w:r>
          </w:p>
        </w:tc>
        <w:tc>
          <w:tcPr>
            <w:tcW w:w="7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12,278,425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12,256,880</w:t>
            </w:r>
          </w:p>
        </w:tc>
      </w:tr>
      <w:tr>
        <w:trPr>
          <w:trHeight w:val="199"/>
        </w:trPr>
        <w:tc>
          <w:tcPr>
            <w:tcW w:w="7360" w:type="dxa"/>
            <w:vAlign w:val="bottom"/>
          </w:tcPr>
          <w:p>
            <w:pPr>
              <w:ind w:left="400"/>
              <w:spacing w:after="0"/>
              <w:rPr>
                <w:sz w:val="20"/>
                <w:szCs w:val="20"/>
                <w:color w:val="auto"/>
              </w:rPr>
            </w:pPr>
            <w:r>
              <w:rPr>
                <w:rFonts w:ascii="Arial" w:cs="Arial" w:eastAsia="Arial" w:hAnsi="Arial"/>
                <w:sz w:val="16"/>
                <w:szCs w:val="16"/>
                <w:color w:val="auto"/>
              </w:rPr>
              <w:t>Acquisition of Maxim (Note 6)</w:t>
            </w:r>
          </w:p>
        </w:tc>
        <w:tc>
          <w:tcPr>
            <w:tcW w:w="7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14,645,076</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w:t>
            </w:r>
          </w:p>
        </w:tc>
      </w:tr>
      <w:tr>
        <w:trPr>
          <w:trHeight w:val="199"/>
        </w:trPr>
        <w:tc>
          <w:tcPr>
            <w:tcW w:w="7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Goodwill related to other acquisitions (1)</w:t>
            </w:r>
          </w:p>
        </w:tc>
        <w:tc>
          <w:tcPr>
            <w:tcW w:w="7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17,839</w:t>
            </w:r>
          </w:p>
        </w:tc>
      </w:tr>
      <w:tr>
        <w:trPr>
          <w:trHeight w:val="199"/>
        </w:trPr>
        <w:tc>
          <w:tcPr>
            <w:tcW w:w="736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Foreign currency translation adjustment and other adjustments</w:t>
            </w: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(5,031)</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3,706</w:t>
            </w:r>
          </w:p>
        </w:tc>
      </w:tr>
      <w:tr>
        <w:trPr>
          <w:trHeight w:val="215"/>
        </w:trPr>
        <w:tc>
          <w:tcPr>
            <w:tcW w:w="7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Balance at end of year</w:t>
            </w:r>
          </w:p>
        </w:tc>
        <w:tc>
          <w:tcPr>
            <w:tcW w:w="74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26,918,470</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12,278,425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(1) Represents goodwill related to other acquisitions that were not material to the Company on either an individual or aggregate basis.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Intangible Assets</w:t>
      </w:r>
    </w:p>
    <w:p>
      <w:pPr>
        <w:spacing w:after="0" w:line="120" w:lineRule="exact"/>
        <w:rPr>
          <w:sz w:val="20"/>
          <w:szCs w:val="20"/>
          <w:color w:val="auto"/>
        </w:rPr>
      </w:pPr>
    </w:p>
    <w:p>
      <w:pPr>
        <w:ind w:right="20" w:firstLine="351"/>
        <w:spacing w:after="0" w:line="248" w:lineRule="auto"/>
        <w:rPr>
          <w:sz w:val="20"/>
          <w:szCs w:val="20"/>
          <w:color w:val="auto"/>
        </w:rPr>
      </w:pPr>
      <w:r>
        <w:rPr>
          <w:rFonts w:ascii="Arial" w:cs="Arial" w:eastAsia="Arial" w:hAnsi="Arial"/>
          <w:sz w:val="16"/>
          <w:szCs w:val="16"/>
          <w:color w:val="auto"/>
        </w:rPr>
        <w:t>The Company reviews finite-lived intangible assets for impairment whenever events or changes in circumstances indicate that the carrying value of assets may not be recoverable. If required, recoverability of these assets is determined by comparison of their carrying value to the estimated future undiscounted cash flows the assets are expected to generate over their remaining estimated useful lives. If such assets are considered to be impaired, the impairment to be recognized in earnings equals the amount by which the carrying value of the assets exceeds their estimated fair value determined by either a quoted market price, if any, or a value determined by utilizing a discounted cash flow technique.</w:t>
      </w:r>
    </w:p>
    <w:p>
      <w:pPr>
        <w:spacing w:after="0" w:line="90" w:lineRule="exact"/>
        <w:rPr>
          <w:sz w:val="20"/>
          <w:szCs w:val="20"/>
          <w:color w:val="auto"/>
        </w:rPr>
      </w:pPr>
    </w:p>
    <w:p>
      <w:pPr>
        <w:ind w:right="280" w:firstLine="351"/>
        <w:spacing w:after="0" w:line="253" w:lineRule="auto"/>
        <w:rPr>
          <w:sz w:val="20"/>
          <w:szCs w:val="20"/>
          <w:color w:val="auto"/>
        </w:rPr>
      </w:pPr>
      <w:r>
        <w:rPr>
          <w:rFonts w:ascii="Arial" w:cs="Arial" w:eastAsia="Arial" w:hAnsi="Arial"/>
          <w:sz w:val="16"/>
          <w:szCs w:val="16"/>
          <w:color w:val="auto"/>
        </w:rPr>
        <w:t>In-process research and development (IPR&amp;D) assets are considered indefinite-lived intangible assets until completion or abandonment of the associated research and development (R&amp;D) efforts. Upon completion of the projects, the IPR&amp;D assets are reclassified to technology-based intangible assets and amortized over their estimated useful lives.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jc w:val="center"/>
        <w:ind w:right="-5"/>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left="346"/>
        <w:spacing w:after="0"/>
        <w:rPr>
          <w:sz w:val="20"/>
          <w:szCs w:val="20"/>
          <w:color w:val="auto"/>
        </w:rPr>
      </w:pPr>
      <w:r>
        <w:rPr>
          <w:rFonts w:ascii="Arial" w:cs="Arial" w:eastAsia="Arial" w:hAnsi="Arial"/>
          <w:sz w:val="16"/>
          <w:szCs w:val="16"/>
          <w:color w:val="auto"/>
        </w:rPr>
        <w:t>As of October 30, 2021 and October 31, 2020, the Company’s intangible assets consisted of the following:</w:t>
      </w:r>
    </w:p>
    <w:p>
      <w:pPr>
        <w:spacing w:after="0" w:line="31"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30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October 30, 2021</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October 31, 2020</w:t>
            </w:r>
          </w:p>
        </w:tc>
        <w:tc>
          <w:tcPr>
            <w:tcW w:w="1360" w:type="dxa"/>
            <w:vAlign w:val="bottom"/>
            <w:tcBorders>
              <w:bottom w:val="single" w:sz="8" w:color="auto"/>
            </w:tcBorders>
          </w:tcPr>
          <w:p>
            <w:pPr>
              <w:spacing w:after="0"/>
              <w:rPr>
                <w:sz w:val="14"/>
                <w:szCs w:val="14"/>
                <w:color w:val="auto"/>
              </w:rPr>
            </w:pPr>
          </w:p>
        </w:tc>
      </w:tr>
      <w:tr>
        <w:trPr>
          <w:trHeight w:val="114"/>
        </w:trPr>
        <w:tc>
          <w:tcPr>
            <w:tcW w:w="3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00" w:type="dxa"/>
            <w:vAlign w:val="bottom"/>
            <w:gridSpan w:val="2"/>
          </w:tcPr>
          <w:p>
            <w:pPr>
              <w:ind w:left="160"/>
              <w:spacing w:after="0" w:line="114" w:lineRule="exact"/>
              <w:rPr>
                <w:sz w:val="20"/>
                <w:szCs w:val="20"/>
                <w:color w:val="auto"/>
              </w:rPr>
            </w:pPr>
            <w:r>
              <w:rPr>
                <w:rFonts w:ascii="Arial" w:cs="Arial" w:eastAsia="Arial" w:hAnsi="Arial"/>
                <w:sz w:val="12"/>
                <w:szCs w:val="12"/>
                <w:b w:val="1"/>
                <w:bCs w:val="1"/>
                <w:color w:val="auto"/>
              </w:rPr>
              <w:t>Gross Carrying</w:t>
            </w:r>
          </w:p>
        </w:tc>
        <w:tc>
          <w:tcPr>
            <w:tcW w:w="600" w:type="dxa"/>
            <w:vAlign w:val="bottom"/>
          </w:tcPr>
          <w:p>
            <w:pPr>
              <w:spacing w:after="0"/>
              <w:rPr>
                <w:sz w:val="9"/>
                <w:szCs w:val="9"/>
                <w:color w:val="auto"/>
              </w:rPr>
            </w:pPr>
          </w:p>
        </w:tc>
        <w:tc>
          <w:tcPr>
            <w:tcW w:w="1360" w:type="dxa"/>
            <w:vAlign w:val="bottom"/>
          </w:tcPr>
          <w:p>
            <w:pPr>
              <w:jc w:val="right"/>
              <w:ind w:right="366"/>
              <w:spacing w:after="0" w:line="114"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80" w:type="dxa"/>
            <w:vAlign w:val="bottom"/>
            <w:gridSpan w:val="2"/>
          </w:tcPr>
          <w:p>
            <w:pPr>
              <w:ind w:left="140"/>
              <w:spacing w:after="0" w:line="114" w:lineRule="exact"/>
              <w:rPr>
                <w:sz w:val="20"/>
                <w:szCs w:val="20"/>
                <w:color w:val="auto"/>
              </w:rPr>
            </w:pPr>
            <w:r>
              <w:rPr>
                <w:rFonts w:ascii="Arial" w:cs="Arial" w:eastAsia="Arial" w:hAnsi="Arial"/>
                <w:sz w:val="12"/>
                <w:szCs w:val="12"/>
                <w:b w:val="1"/>
                <w:bCs w:val="1"/>
                <w:color w:val="auto"/>
              </w:rPr>
              <w:t>Gross Carrying</w:t>
            </w:r>
          </w:p>
        </w:tc>
        <w:tc>
          <w:tcPr>
            <w:tcW w:w="600" w:type="dxa"/>
            <w:vAlign w:val="bottom"/>
          </w:tcPr>
          <w:p>
            <w:pPr>
              <w:spacing w:after="0"/>
              <w:rPr>
                <w:sz w:val="9"/>
                <w:szCs w:val="9"/>
                <w:color w:val="auto"/>
              </w:rPr>
            </w:pPr>
          </w:p>
        </w:tc>
        <w:tc>
          <w:tcPr>
            <w:tcW w:w="1360" w:type="dxa"/>
            <w:vAlign w:val="bottom"/>
          </w:tcPr>
          <w:p>
            <w:pPr>
              <w:jc w:val="right"/>
              <w:ind w:right="386"/>
              <w:spacing w:after="0" w:line="114" w:lineRule="exact"/>
              <w:rPr>
                <w:sz w:val="20"/>
                <w:szCs w:val="20"/>
                <w:color w:val="auto"/>
              </w:rPr>
            </w:pPr>
            <w:r>
              <w:rPr>
                <w:rFonts w:ascii="Arial" w:cs="Arial" w:eastAsia="Arial" w:hAnsi="Arial"/>
                <w:sz w:val="12"/>
                <w:szCs w:val="12"/>
                <w:b w:val="1"/>
                <w:bCs w:val="1"/>
                <w:color w:val="auto"/>
              </w:rPr>
              <w:t>Accumulated</w:t>
            </w:r>
          </w:p>
        </w:tc>
      </w:tr>
      <w:tr>
        <w:trPr>
          <w:trHeight w:val="162"/>
        </w:trPr>
        <w:tc>
          <w:tcPr>
            <w:tcW w:w="3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Amortization</w:t>
            </w:r>
          </w:p>
        </w:tc>
        <w:tc>
          <w:tcPr>
            <w:tcW w:w="60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360" w:type="dxa"/>
            <w:vAlign w:val="bottom"/>
          </w:tcPr>
          <w:p>
            <w:pPr>
              <w:jc w:val="right"/>
              <w:ind w:right="546"/>
              <w:spacing w:after="0"/>
              <w:rPr>
                <w:sz w:val="20"/>
                <w:szCs w:val="20"/>
                <w:color w:val="auto"/>
              </w:rPr>
            </w:pPr>
            <w:r>
              <w:rPr>
                <w:rFonts w:ascii="Arial" w:cs="Arial" w:eastAsia="Arial" w:hAnsi="Arial"/>
                <w:sz w:val="12"/>
                <w:szCs w:val="12"/>
                <w:b w:val="1"/>
                <w:bCs w:val="1"/>
                <w:color w:val="auto"/>
                <w:w w:val="98"/>
              </w:rPr>
              <w:t>Amortization</w:t>
            </w:r>
          </w:p>
        </w:tc>
      </w:tr>
      <w:tr>
        <w:trPr>
          <w:trHeight w:val="192"/>
        </w:trPr>
        <w:tc>
          <w:tcPr>
            <w:tcW w:w="3020" w:type="dxa"/>
            <w:vAlign w:val="bottom"/>
            <w:tcBorders>
              <w:top w:val="single" w:sz="8" w:color="CCEEFF"/>
            </w:tcBorders>
            <w:shd w:val="clear" w:color="auto" w:fill="CCEEFF"/>
          </w:tcPr>
          <w:p>
            <w:pPr>
              <w:ind w:left="360"/>
              <w:spacing w:after="0" w:line="181" w:lineRule="exact"/>
              <w:rPr>
                <w:sz w:val="20"/>
                <w:szCs w:val="20"/>
                <w:color w:val="auto"/>
              </w:rPr>
            </w:pPr>
            <w:r>
              <w:rPr>
                <w:rFonts w:ascii="Arial" w:cs="Arial" w:eastAsia="Arial" w:hAnsi="Arial"/>
                <w:sz w:val="16"/>
                <w:szCs w:val="16"/>
                <w:color w:val="auto"/>
              </w:rPr>
              <w:t>Customer relationships</w:t>
            </w:r>
          </w:p>
        </w:tc>
        <w:tc>
          <w:tcPr>
            <w:tcW w:w="6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10,336,477</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2,191,729</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4,700,454</w:t>
            </w:r>
          </w:p>
        </w:tc>
        <w:tc>
          <w:tcPr>
            <w:tcW w:w="1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1,703,299</w:t>
            </w:r>
          </w:p>
        </w:tc>
      </w:tr>
      <w:tr>
        <w:trPr>
          <w:trHeight w:val="199"/>
        </w:trPr>
        <w:tc>
          <w:tcPr>
            <w:tcW w:w="3020" w:type="dxa"/>
            <w:vAlign w:val="bottom"/>
          </w:tcPr>
          <w:p>
            <w:pPr>
              <w:ind w:left="360"/>
              <w:spacing w:after="0"/>
              <w:rPr>
                <w:sz w:val="20"/>
                <w:szCs w:val="20"/>
                <w:color w:val="auto"/>
              </w:rPr>
            </w:pPr>
            <w:r>
              <w:rPr>
                <w:rFonts w:ascii="Arial" w:cs="Arial" w:eastAsia="Arial" w:hAnsi="Arial"/>
                <w:sz w:val="16"/>
                <w:szCs w:val="16"/>
                <w:color w:val="auto"/>
              </w:rPr>
              <w:t>Technology-based</w:t>
            </w:r>
          </w:p>
        </w:tc>
        <w:tc>
          <w:tcPr>
            <w:tcW w:w="6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7,559,503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819,204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1,136,742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518,328</w:t>
            </w:r>
          </w:p>
        </w:tc>
      </w:tr>
      <w:tr>
        <w:trPr>
          <w:trHeight w:val="199"/>
        </w:trPr>
        <w:tc>
          <w:tcPr>
            <w:tcW w:w="3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Trade-name</w:t>
            </w:r>
          </w:p>
        </w:tc>
        <w:tc>
          <w:tcPr>
            <w:tcW w:w="6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72,200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72,200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37,489</w:t>
            </w:r>
          </w:p>
        </w:tc>
      </w:tr>
      <w:tr>
        <w:trPr>
          <w:trHeight w:val="199"/>
        </w:trPr>
        <w:tc>
          <w:tcPr>
            <w:tcW w:w="3020" w:type="dxa"/>
            <w:vAlign w:val="bottom"/>
          </w:tcPr>
          <w:p>
            <w:pPr>
              <w:ind w:left="360"/>
              <w:spacing w:after="0"/>
              <w:rPr>
                <w:sz w:val="20"/>
                <w:szCs w:val="20"/>
                <w:color w:val="auto"/>
              </w:rPr>
            </w:pPr>
            <w:r>
              <w:rPr>
                <w:rFonts w:ascii="Arial" w:cs="Arial" w:eastAsia="Arial" w:hAnsi="Arial"/>
                <w:sz w:val="16"/>
                <w:szCs w:val="16"/>
                <w:color w:val="auto"/>
              </w:rPr>
              <w:t>Backlog</w:t>
            </w:r>
          </w:p>
        </w:tc>
        <w:tc>
          <w:tcPr>
            <w:tcW w:w="6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361,200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32,746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3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Assembled workforce</w:t>
            </w:r>
          </w:p>
        </w:tc>
        <w:tc>
          <w:tcPr>
            <w:tcW w:w="6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3020" w:type="dxa"/>
            <w:vAlign w:val="bottom"/>
          </w:tcPr>
          <w:p>
            <w:pPr>
              <w:ind w:left="360"/>
              <w:spacing w:after="0"/>
              <w:rPr>
                <w:sz w:val="20"/>
                <w:szCs w:val="20"/>
                <w:color w:val="auto"/>
              </w:rPr>
            </w:pPr>
            <w:r>
              <w:rPr>
                <w:rFonts w:ascii="Arial" w:cs="Arial" w:eastAsia="Arial" w:hAnsi="Arial"/>
                <w:sz w:val="16"/>
                <w:szCs w:val="16"/>
                <w:color w:val="auto"/>
              </w:rPr>
              <w:t>IPR&amp;D</w:t>
            </w:r>
          </w:p>
        </w:tc>
        <w:tc>
          <w:tcPr>
            <w:tcW w:w="6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28,222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020" w:type="dxa"/>
            <w:vAlign w:val="bottom"/>
            <w:tcBorders>
              <w:top w:val="single" w:sz="8" w:color="CCEEFF"/>
              <w:bottom w:val="single" w:sz="8" w:color="CCEEFF"/>
            </w:tcBorders>
            <w:shd w:val="clear" w:color="auto" w:fill="CCEEFF"/>
          </w:tcPr>
          <w:p>
            <w:pPr>
              <w:ind w:left="360"/>
              <w:spacing w:after="0" w:line="179"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14"/>
                <w:szCs w:val="14"/>
                <w:color w:val="auto"/>
              </w:rPr>
              <w:t>(1) (2)</w:t>
            </w:r>
          </w:p>
        </w:tc>
        <w:tc>
          <w:tcPr>
            <w:tcW w:w="60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18,359,402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3,092,232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5,909,396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2,259,116</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_______________________________________</w:t>
      </w:r>
    </w:p>
    <w:p>
      <w:pPr>
        <w:spacing w:after="0" w:line="19" w:lineRule="exact"/>
        <w:rPr>
          <w:sz w:val="20"/>
          <w:szCs w:val="20"/>
          <w:color w:val="auto"/>
        </w:rPr>
      </w:pPr>
    </w:p>
    <w:p>
      <w:pPr>
        <w:ind w:left="206" w:hanging="206"/>
        <w:spacing w:after="0"/>
        <w:tabs>
          <w:tab w:leader="none" w:pos="206"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Foreign intangible asset carrying amounts are affected by foreign currency translation.</w:t>
      </w:r>
    </w:p>
    <w:p>
      <w:pPr>
        <w:spacing w:after="0" w:line="5" w:lineRule="exact"/>
        <w:rPr>
          <w:rFonts w:ascii="Arial" w:cs="Arial" w:eastAsia="Arial" w:hAnsi="Arial"/>
          <w:sz w:val="14"/>
          <w:szCs w:val="14"/>
          <w:color w:val="auto"/>
        </w:rPr>
      </w:pPr>
    </w:p>
    <w:p>
      <w:pPr>
        <w:ind w:left="206" w:hanging="206"/>
        <w:spacing w:after="0"/>
        <w:tabs>
          <w:tab w:leader="none" w:pos="206"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Increases in intangible assets primarily related to the Acquisition. See Note 6, </w:t>
      </w:r>
      <w:r>
        <w:rPr>
          <w:rFonts w:ascii="Arial" w:cs="Arial" w:eastAsia="Arial" w:hAnsi="Arial"/>
          <w:sz w:val="14"/>
          <w:szCs w:val="14"/>
          <w:i w:val="1"/>
          <w:iCs w:val="1"/>
          <w:color w:val="auto"/>
        </w:rPr>
        <w:t>Acquisitions</w:t>
      </w:r>
      <w:r>
        <w:rPr>
          <w:rFonts w:ascii="Arial" w:cs="Arial" w:eastAsia="Arial" w:hAnsi="Arial"/>
          <w:sz w:val="14"/>
          <w:szCs w:val="14"/>
          <w:color w:val="auto"/>
        </w:rPr>
        <w:t>, of the Notes to the Consolidated Financial Statements for further information.</w:t>
      </w:r>
    </w:p>
    <w:p>
      <w:pPr>
        <w:spacing w:after="0" w:line="127" w:lineRule="exact"/>
        <w:rPr>
          <w:sz w:val="20"/>
          <w:szCs w:val="20"/>
          <w:color w:val="auto"/>
        </w:rPr>
      </w:pPr>
    </w:p>
    <w:p>
      <w:pPr>
        <w:jc w:val="both"/>
        <w:ind w:left="6" w:right="180" w:firstLine="351"/>
        <w:spacing w:after="0" w:line="253" w:lineRule="auto"/>
        <w:rPr>
          <w:sz w:val="20"/>
          <w:szCs w:val="20"/>
          <w:color w:val="auto"/>
        </w:rPr>
      </w:pPr>
      <w:r>
        <w:rPr>
          <w:rFonts w:ascii="Arial" w:cs="Arial" w:eastAsia="Arial" w:hAnsi="Arial"/>
          <w:sz w:val="16"/>
          <w:szCs w:val="16"/>
          <w:color w:val="auto"/>
        </w:rPr>
        <w:t>Amortization expense related to intangible assets was $843.4 million, $577.1 million and $570.6 million in fiscal 2021, 2020 and 2019, respectively, and is recorded in Cost of sales and Amortization of intangibles on the Consolidated Statements of Income. The remaining amortization expense will be recognized over the remaining weighted average life of approximately 4.9 years.</w:t>
      </w:r>
    </w:p>
    <w:p>
      <w:pPr>
        <w:spacing w:after="0" w:line="120"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Company expects annual amortization expense for intangible assets as follows:</w:t>
      </w:r>
    </w:p>
    <w:p>
      <w:pPr>
        <w:spacing w:after="0" w:line="30"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9020" w:type="dxa"/>
            <w:vAlign w:val="bottom"/>
            <w:gridSpan w:val="3"/>
          </w:tcPr>
          <w:p>
            <w:pPr>
              <w:ind w:left="360"/>
              <w:spacing w:after="0"/>
              <w:rPr>
                <w:sz w:val="20"/>
                <w:szCs w:val="20"/>
                <w:color w:val="auto"/>
              </w:rPr>
            </w:pPr>
            <w:r>
              <w:rPr>
                <w:rFonts w:ascii="Arial" w:cs="Arial" w:eastAsia="Arial" w:hAnsi="Arial"/>
                <w:sz w:val="12"/>
                <w:szCs w:val="12"/>
                <w:b w:val="1"/>
                <w:bCs w:val="1"/>
                <w:color w:val="auto"/>
              </w:rPr>
              <w:t>Fiscal Year</w:t>
            </w:r>
          </w:p>
        </w:tc>
        <w:tc>
          <w:tcPr>
            <w:tcW w:w="580" w:type="dxa"/>
            <w:vAlign w:val="bottom"/>
          </w:tcPr>
          <w:p>
            <w:pPr>
              <w:spacing w:after="0"/>
              <w:rPr>
                <w:sz w:val="12"/>
                <w:szCs w:val="12"/>
                <w:color w:val="auto"/>
              </w:rPr>
            </w:pPr>
          </w:p>
        </w:tc>
        <w:tc>
          <w:tcPr>
            <w:tcW w:w="1660" w:type="dxa"/>
            <w:vAlign w:val="bottom"/>
          </w:tcPr>
          <w:p>
            <w:pPr>
              <w:jc w:val="right"/>
              <w:ind w:right="285"/>
              <w:spacing w:after="0"/>
              <w:rPr>
                <w:sz w:val="20"/>
                <w:szCs w:val="20"/>
                <w:color w:val="auto"/>
              </w:rPr>
            </w:pPr>
            <w:r>
              <w:rPr>
                <w:rFonts w:ascii="Arial" w:cs="Arial" w:eastAsia="Arial" w:hAnsi="Arial"/>
                <w:sz w:val="12"/>
                <w:szCs w:val="12"/>
                <w:b w:val="1"/>
                <w:bCs w:val="1"/>
                <w:color w:val="auto"/>
              </w:rPr>
              <w:t>Amortization Expense</w:t>
            </w:r>
          </w:p>
        </w:tc>
      </w:tr>
      <w:tr>
        <w:trPr>
          <w:trHeight w:val="20"/>
        </w:trPr>
        <w:tc>
          <w:tcPr>
            <w:tcW w:w="3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8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6"/>
        </w:trPr>
        <w:tc>
          <w:tcPr>
            <w:tcW w:w="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2022</w:t>
            </w:r>
          </w:p>
        </w:tc>
        <w:tc>
          <w:tcPr>
            <w:tcW w:w="80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2,013,977</w:t>
            </w:r>
          </w:p>
        </w:tc>
      </w:tr>
      <w:tr>
        <w:trPr>
          <w:trHeight w:val="199"/>
        </w:trPr>
        <w:tc>
          <w:tcPr>
            <w:tcW w:w="960" w:type="dxa"/>
            <w:vAlign w:val="bottom"/>
            <w:gridSpan w:val="2"/>
          </w:tcPr>
          <w:p>
            <w:pPr>
              <w:ind w:left="360"/>
              <w:spacing w:after="0"/>
              <w:rPr>
                <w:sz w:val="20"/>
                <w:szCs w:val="20"/>
                <w:color w:val="auto"/>
              </w:rPr>
            </w:pPr>
            <w:r>
              <w:rPr>
                <w:rFonts w:ascii="Arial" w:cs="Arial" w:eastAsia="Arial" w:hAnsi="Arial"/>
                <w:sz w:val="16"/>
                <w:szCs w:val="16"/>
                <w:color w:val="auto"/>
              </w:rPr>
              <w:t>2023</w:t>
            </w:r>
          </w:p>
        </w:tc>
        <w:tc>
          <w:tcPr>
            <w:tcW w:w="8060" w:type="dxa"/>
            <w:vAlign w:val="bottom"/>
          </w:tcPr>
          <w:p>
            <w:pPr>
              <w:spacing w:after="0"/>
              <w:rPr>
                <w:sz w:val="17"/>
                <w:szCs w:val="17"/>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1,956,113</w:t>
            </w:r>
          </w:p>
        </w:tc>
      </w:tr>
      <w:tr>
        <w:trPr>
          <w:trHeight w:val="199"/>
        </w:trPr>
        <w:tc>
          <w:tcPr>
            <w:tcW w:w="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2024</w:t>
            </w:r>
          </w:p>
        </w:tc>
        <w:tc>
          <w:tcPr>
            <w:tcW w:w="80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1,730,733</w:t>
            </w:r>
          </w:p>
        </w:tc>
      </w:tr>
      <w:tr>
        <w:trPr>
          <w:trHeight w:val="199"/>
        </w:trPr>
        <w:tc>
          <w:tcPr>
            <w:tcW w:w="960" w:type="dxa"/>
            <w:vAlign w:val="bottom"/>
            <w:gridSpan w:val="2"/>
          </w:tcPr>
          <w:p>
            <w:pPr>
              <w:ind w:left="360"/>
              <w:spacing w:after="0"/>
              <w:rPr>
                <w:sz w:val="20"/>
                <w:szCs w:val="20"/>
                <w:color w:val="auto"/>
              </w:rPr>
            </w:pPr>
            <w:r>
              <w:rPr>
                <w:rFonts w:ascii="Arial" w:cs="Arial" w:eastAsia="Arial" w:hAnsi="Arial"/>
                <w:sz w:val="16"/>
                <w:szCs w:val="16"/>
                <w:color w:val="auto"/>
              </w:rPr>
              <w:t>2025</w:t>
            </w:r>
          </w:p>
        </w:tc>
        <w:tc>
          <w:tcPr>
            <w:tcW w:w="8060" w:type="dxa"/>
            <w:vAlign w:val="bottom"/>
          </w:tcPr>
          <w:p>
            <w:pPr>
              <w:spacing w:after="0"/>
              <w:rPr>
                <w:sz w:val="17"/>
                <w:szCs w:val="17"/>
                <w:color w:val="auto"/>
              </w:rPr>
            </w:pP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1,569,470</w:t>
            </w:r>
          </w:p>
        </w:tc>
      </w:tr>
      <w:tr>
        <w:trPr>
          <w:trHeight w:val="199"/>
        </w:trPr>
        <w:tc>
          <w:tcPr>
            <w:tcW w:w="9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2026</w:t>
            </w:r>
          </w:p>
        </w:tc>
        <w:tc>
          <w:tcPr>
            <w:tcW w:w="80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1,519,949</w:t>
            </w:r>
          </w:p>
        </w:tc>
      </w:tr>
    </w:tbl>
    <w:p>
      <w:pPr>
        <w:spacing w:after="0" w:line="280" w:lineRule="exact"/>
        <w:rPr>
          <w:sz w:val="20"/>
          <w:szCs w:val="20"/>
          <w:color w:val="auto"/>
        </w:rPr>
      </w:pPr>
    </w:p>
    <w:p>
      <w:pPr>
        <w:ind w:left="566" w:hanging="286"/>
        <w:spacing w:after="0"/>
        <w:tabs>
          <w:tab w:leader="none" w:pos="566"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Grant Accounting</w:t>
      </w:r>
    </w:p>
    <w:p>
      <w:pPr>
        <w:spacing w:after="0" w:line="108" w:lineRule="exact"/>
        <w:rPr>
          <w:sz w:val="20"/>
          <w:szCs w:val="20"/>
          <w:color w:val="auto"/>
        </w:rPr>
      </w:pPr>
    </w:p>
    <w:p>
      <w:pPr>
        <w:ind w:left="6" w:right="160" w:firstLine="386"/>
        <w:spacing w:after="0" w:line="250" w:lineRule="auto"/>
        <w:rPr>
          <w:sz w:val="20"/>
          <w:szCs w:val="20"/>
          <w:color w:val="auto"/>
        </w:rPr>
      </w:pPr>
      <w:r>
        <w:rPr>
          <w:rFonts w:ascii="Arial" w:cs="Arial" w:eastAsia="Arial" w:hAnsi="Arial"/>
          <w:sz w:val="16"/>
          <w:szCs w:val="16"/>
          <w:color w:val="auto"/>
        </w:rPr>
        <w:t>Certain of the Company’s foreign subsidiaries have received grants from governmental agencies. These grants include capital, employment and research and development grants. Capital grants for the acquisition of property, plant and equipment are netted against the related capital expenditures and amortized as a credit to depreciation expense over the estimated useful life of the related asset. Employment grants, which relate to employee hiring and training, and research and development grants are recognized in earnings in the period in which the related expenditures are incurred by the Company.</w:t>
      </w:r>
    </w:p>
    <w:p>
      <w:pPr>
        <w:spacing w:after="0" w:line="87" w:lineRule="exact"/>
        <w:rPr>
          <w:sz w:val="20"/>
          <w:szCs w:val="20"/>
          <w:color w:val="auto"/>
        </w:rPr>
      </w:pPr>
    </w:p>
    <w:p>
      <w:pPr>
        <w:ind w:left="286"/>
        <w:spacing w:after="0"/>
        <w:tabs>
          <w:tab w:leader="none" w:pos="546" w:val="left"/>
        </w:tabs>
        <w:rPr>
          <w:sz w:val="20"/>
          <w:szCs w:val="20"/>
          <w:color w:val="auto"/>
        </w:rPr>
      </w:pPr>
      <w:r>
        <w:rPr>
          <w:rFonts w:ascii="Arial" w:cs="Arial" w:eastAsia="Arial" w:hAnsi="Arial"/>
          <w:sz w:val="16"/>
          <w:szCs w:val="16"/>
          <w:b w:val="1"/>
          <w:bCs w:val="1"/>
          <w:i w:val="1"/>
          <w:iCs w:val="1"/>
          <w:color w:val="auto"/>
        </w:rPr>
        <w:t>h.</w:t>
      </w:r>
      <w:r>
        <w:rPr>
          <w:sz w:val="20"/>
          <w:szCs w:val="20"/>
          <w:color w:val="auto"/>
        </w:rPr>
        <w:tab/>
      </w:r>
      <w:r>
        <w:rPr>
          <w:rFonts w:ascii="Arial" w:cs="Arial" w:eastAsia="Arial" w:hAnsi="Arial"/>
          <w:sz w:val="13"/>
          <w:szCs w:val="13"/>
          <w:b w:val="1"/>
          <w:bCs w:val="1"/>
          <w:i w:val="1"/>
          <w:iCs w:val="1"/>
          <w:color w:val="auto"/>
        </w:rPr>
        <w:t>Translation of Foreign Currencies</w:t>
      </w:r>
    </w:p>
    <w:p>
      <w:pPr>
        <w:spacing w:after="0" w:line="120" w:lineRule="exact"/>
        <w:rPr>
          <w:sz w:val="20"/>
          <w:szCs w:val="20"/>
          <w:color w:val="auto"/>
        </w:rPr>
      </w:pPr>
    </w:p>
    <w:p>
      <w:pPr>
        <w:ind w:left="6" w:right="20" w:firstLine="386"/>
        <w:spacing w:after="0" w:line="250" w:lineRule="auto"/>
        <w:rPr>
          <w:sz w:val="20"/>
          <w:szCs w:val="20"/>
          <w:color w:val="auto"/>
        </w:rPr>
      </w:pPr>
      <w:r>
        <w:rPr>
          <w:rFonts w:ascii="Arial" w:cs="Arial" w:eastAsia="Arial" w:hAnsi="Arial"/>
          <w:sz w:val="16"/>
          <w:szCs w:val="16"/>
          <w:color w:val="auto"/>
        </w:rPr>
        <w:t>The functional currency for certain of the Company’s foreign operations is the applicable local currency. Gains and losses resulting from translation of these foreign currencies into U.S. dollars are recorded in AOCI. Transaction gains and losses and re-measurement of foreign currency denominated assets and liabilities are included in income currently, including those at the Company’s principal foreign manufacturing operations where the functional currency is the U.S. dollar. Foreign currency transaction gains or losses are included in Other, net in the Consolidated Statements of Income.</w:t>
      </w:r>
    </w:p>
    <w:p>
      <w:pPr>
        <w:spacing w:after="0" w:line="87" w:lineRule="exact"/>
        <w:rPr>
          <w:sz w:val="20"/>
          <w:szCs w:val="20"/>
          <w:color w:val="auto"/>
        </w:rPr>
      </w:pPr>
    </w:p>
    <w:p>
      <w:pPr>
        <w:ind w:left="546" w:hanging="266"/>
        <w:spacing w:after="0"/>
        <w:tabs>
          <w:tab w:leader="none" w:pos="546"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Derivative Instruments and Hedging Agreements</w:t>
      </w:r>
    </w:p>
    <w:p>
      <w:pPr>
        <w:spacing w:after="0" w:line="108" w:lineRule="exact"/>
        <w:rPr>
          <w:sz w:val="20"/>
          <w:szCs w:val="20"/>
          <w:color w:val="auto"/>
        </w:rPr>
      </w:pPr>
    </w:p>
    <w:p>
      <w:pPr>
        <w:ind w:left="6" w:right="60" w:firstLine="386"/>
        <w:spacing w:after="0" w:line="269" w:lineRule="auto"/>
        <w:rPr>
          <w:sz w:val="20"/>
          <w:szCs w:val="20"/>
          <w:color w:val="auto"/>
        </w:rPr>
      </w:pPr>
      <w:r>
        <w:rPr>
          <w:rFonts w:ascii="Arial" w:cs="Arial" w:eastAsia="Arial" w:hAnsi="Arial"/>
          <w:sz w:val="14"/>
          <w:szCs w:val="14"/>
          <w:i w:val="1"/>
          <w:iCs w:val="1"/>
          <w:color w:val="auto"/>
        </w:rPr>
        <w:t xml:space="preserve">Foreign Exchange Exposure Management </w:t>
      </w:r>
      <w:r>
        <w:rPr>
          <w:rFonts w:ascii="Arial" w:cs="Arial" w:eastAsia="Arial" w:hAnsi="Arial"/>
          <w:sz w:val="14"/>
          <w:szCs w:val="14"/>
          <w:color w:val="auto"/>
        </w:rPr>
        <w:t>— The Company enters into forward foreign currency exchange contracts to offset certain operational and balance sheet exposures</w:t>
      </w:r>
      <w:r>
        <w:rPr>
          <w:rFonts w:ascii="Arial" w:cs="Arial" w:eastAsia="Arial" w:hAnsi="Arial"/>
          <w:sz w:val="14"/>
          <w:szCs w:val="14"/>
          <w:i w:val="1"/>
          <w:iCs w:val="1"/>
          <w:color w:val="auto"/>
        </w:rPr>
        <w:t xml:space="preserve"> </w:t>
      </w:r>
      <w:r>
        <w:rPr>
          <w:rFonts w:ascii="Arial" w:cs="Arial" w:eastAsia="Arial" w:hAnsi="Arial"/>
          <w:sz w:val="14"/>
          <w:szCs w:val="14"/>
          <w:color w:val="auto"/>
        </w:rPr>
        <w:t>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Thai Baht, South Korean Won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derivatives are reported as a component</w:t>
      </w:r>
    </w:p>
    <w:p>
      <w:pPr>
        <w:spacing w:after="0" w:line="200" w:lineRule="exact"/>
        <w:rPr>
          <w:sz w:val="20"/>
          <w:szCs w:val="20"/>
          <w:color w:val="auto"/>
        </w:rPr>
      </w:pPr>
    </w:p>
    <w:p>
      <w:pPr>
        <w:spacing w:after="0" w:line="274"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of AOCI in shareholders’ equity and reclassified into earnings in the same line item on the Consolidated Statements of Income as the impact of the hedged transaction in the same period during which the hedged transaction affects earnings.</w:t>
      </w:r>
    </w:p>
    <w:p>
      <w:pPr>
        <w:spacing w:after="0" w:line="88" w:lineRule="exact"/>
        <w:rPr>
          <w:sz w:val="20"/>
          <w:szCs w:val="20"/>
          <w:color w:val="auto"/>
        </w:rPr>
      </w:pPr>
    </w:p>
    <w:p>
      <w:pPr>
        <w:ind w:right="20" w:firstLine="386"/>
        <w:spacing w:after="0" w:line="253" w:lineRule="auto"/>
        <w:rPr>
          <w:sz w:val="20"/>
          <w:szCs w:val="20"/>
          <w:color w:val="auto"/>
        </w:rPr>
      </w:pPr>
      <w:r>
        <w:rPr>
          <w:rFonts w:ascii="Arial" w:cs="Arial" w:eastAsia="Arial" w:hAnsi="Arial"/>
          <w:sz w:val="16"/>
          <w:szCs w:val="16"/>
          <w:color w:val="auto"/>
        </w:rPr>
        <w:t>The total notional amounts of forward foreign currency derivative instruments designated as hedging instruments of cash flow hedges as of October 30, 2021 and October 31, 2020 was $343.6 million and $202.7 million, respectively. The fair values of forward foreign currency derivative instruments designated as hedging instruments in the Company’s Consolidated Balance Sheets as of October 30, 2021 and October 31, 2020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8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Fair Value At</w:t>
            </w:r>
          </w:p>
        </w:tc>
        <w:tc>
          <w:tcPr>
            <w:tcW w:w="1280" w:type="dxa"/>
            <w:vAlign w:val="bottom"/>
            <w:tcBorders>
              <w:bottom w:val="single" w:sz="8" w:color="auto"/>
            </w:tcBorders>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3620" w:type="dxa"/>
            <w:vAlign w:val="bottom"/>
            <w:gridSpan w:val="2"/>
          </w:tcPr>
          <w:p>
            <w:pPr>
              <w:ind w:left="1320"/>
              <w:spacing w:after="0"/>
              <w:rPr>
                <w:sz w:val="20"/>
                <w:szCs w:val="20"/>
                <w:color w:val="auto"/>
              </w:rPr>
            </w:pPr>
            <w:r>
              <w:rPr>
                <w:rFonts w:ascii="Arial" w:cs="Arial" w:eastAsia="Arial" w:hAnsi="Arial"/>
                <w:sz w:val="12"/>
                <w:szCs w:val="12"/>
                <w:b w:val="1"/>
                <w:bCs w:val="1"/>
                <w:color w:val="auto"/>
              </w:rPr>
              <w:t>Balance Sheet Location</w:t>
            </w:r>
          </w:p>
        </w:tc>
        <w:tc>
          <w:tcPr>
            <w:tcW w:w="56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2"/>
                <w:szCs w:val="12"/>
                <w:b w:val="1"/>
                <w:bCs w:val="1"/>
                <w:color w:val="auto"/>
              </w:rPr>
              <w:t>October 30, 2021</w:t>
            </w:r>
          </w:p>
        </w:tc>
        <w:tc>
          <w:tcPr>
            <w:tcW w:w="580" w:type="dxa"/>
            <w:vAlign w:val="bottom"/>
          </w:tcPr>
          <w:p>
            <w:pPr>
              <w:spacing w:after="0"/>
              <w:rPr>
                <w:sz w:val="14"/>
                <w:szCs w:val="14"/>
                <w:color w:val="auto"/>
              </w:rPr>
            </w:pPr>
          </w:p>
        </w:tc>
        <w:tc>
          <w:tcPr>
            <w:tcW w:w="1280" w:type="dxa"/>
            <w:vAlign w:val="bottom"/>
          </w:tcPr>
          <w:p>
            <w:pPr>
              <w:jc w:val="right"/>
              <w:ind w:right="207"/>
              <w:spacing w:after="0"/>
              <w:rPr>
                <w:sz w:val="20"/>
                <w:szCs w:val="20"/>
                <w:color w:val="auto"/>
              </w:rPr>
            </w:pPr>
            <w:r>
              <w:rPr>
                <w:rFonts w:ascii="Arial" w:cs="Arial" w:eastAsia="Arial" w:hAnsi="Arial"/>
                <w:sz w:val="12"/>
                <w:szCs w:val="12"/>
                <w:b w:val="1"/>
                <w:bCs w:val="1"/>
                <w:color w:val="auto"/>
              </w:rPr>
              <w:t>October 31, 2020</w:t>
            </w:r>
          </w:p>
        </w:tc>
      </w:tr>
      <w:tr>
        <w:trPr>
          <w:trHeight w:val="192"/>
        </w:trPr>
        <w:tc>
          <w:tcPr>
            <w:tcW w:w="3820" w:type="dxa"/>
            <w:vAlign w:val="bottom"/>
            <w:tcBorders>
              <w:top w:val="single" w:sz="8" w:color="CCEEFF"/>
            </w:tcBorders>
            <w:shd w:val="clear" w:color="auto" w:fill="CCEEFF"/>
          </w:tcPr>
          <w:p>
            <w:pPr>
              <w:ind w:left="400"/>
              <w:spacing w:after="0" w:line="181" w:lineRule="exact"/>
              <w:rPr>
                <w:sz w:val="20"/>
                <w:szCs w:val="20"/>
                <w:color w:val="auto"/>
              </w:rPr>
            </w:pPr>
            <w:r>
              <w:rPr>
                <w:rFonts w:ascii="Arial" w:cs="Arial" w:eastAsia="Arial" w:hAnsi="Arial"/>
                <w:sz w:val="16"/>
                <w:szCs w:val="16"/>
                <w:color w:val="auto"/>
              </w:rPr>
              <w:t>Forward foreign currency exchange contracts</w:t>
            </w:r>
          </w:p>
        </w:tc>
        <w:tc>
          <w:tcPr>
            <w:tcW w:w="35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5,550</w:t>
            </w:r>
          </w:p>
        </w:tc>
      </w:tr>
      <w:tr>
        <w:trPr>
          <w:trHeight w:val="199"/>
        </w:trPr>
        <w:tc>
          <w:tcPr>
            <w:tcW w:w="3820" w:type="dxa"/>
            <w:vAlign w:val="bottom"/>
          </w:tcPr>
          <w:p>
            <w:pPr>
              <w:ind w:left="400"/>
              <w:spacing w:after="0"/>
              <w:rPr>
                <w:sz w:val="20"/>
                <w:szCs w:val="20"/>
                <w:color w:val="auto"/>
              </w:rPr>
            </w:pPr>
            <w:r>
              <w:rPr>
                <w:rFonts w:ascii="Arial" w:cs="Arial" w:eastAsia="Arial" w:hAnsi="Arial"/>
                <w:sz w:val="16"/>
                <w:szCs w:val="16"/>
                <w:color w:val="auto"/>
              </w:rPr>
              <w:t>Forward foreign currency exchange contracts</w:t>
            </w:r>
          </w:p>
        </w:tc>
        <w:tc>
          <w:tcPr>
            <w:tcW w:w="3620" w:type="dxa"/>
            <w:vAlign w:val="bottom"/>
            <w:gridSpan w:val="2"/>
          </w:tcPr>
          <w:p>
            <w:pPr>
              <w:ind w:left="400"/>
              <w:spacing w:after="0"/>
              <w:rPr>
                <w:sz w:val="20"/>
                <w:szCs w:val="20"/>
                <w:color w:val="auto"/>
              </w:rPr>
            </w:pPr>
            <w:r>
              <w:rPr>
                <w:rFonts w:ascii="Arial" w:cs="Arial" w:eastAsia="Arial" w:hAnsi="Arial"/>
                <w:sz w:val="16"/>
                <w:szCs w:val="16"/>
                <w:color w:val="auto"/>
              </w:rPr>
              <w:t>Accrued liabilities</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7,113</w:t>
            </w:r>
          </w:p>
        </w:tc>
        <w:tc>
          <w:tcPr>
            <w:tcW w:w="100" w:type="dxa"/>
            <w:vAlign w:val="bottom"/>
          </w:tcPr>
          <w:p>
            <w:pPr>
              <w:spacing w:after="0"/>
              <w:rPr>
                <w:sz w:val="17"/>
                <w:szCs w:val="17"/>
                <w:color w:val="auto"/>
              </w:rPr>
            </w:pP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
              <w:spacing w:after="0"/>
              <w:rPr>
                <w:sz w:val="20"/>
                <w:szCs w:val="20"/>
                <w:color w:val="auto"/>
              </w:rPr>
            </w:pPr>
            <w:r>
              <w:rPr>
                <w:rFonts w:ascii="Arial" w:cs="Arial" w:eastAsia="Arial" w:hAnsi="Arial"/>
                <w:sz w:val="16"/>
                <w:szCs w:val="16"/>
                <w:color w:val="auto"/>
              </w:rPr>
              <w:t>—</w:t>
            </w:r>
          </w:p>
        </w:tc>
      </w:tr>
    </w:tbl>
    <w:p>
      <w:pPr>
        <w:spacing w:after="0" w:line="5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October 30, 2021 and October 31, 2020, the total notional amount of these undesignated hedges was $120.0 million and $62.7 million, respectively.</w:t>
      </w:r>
    </w:p>
    <w:p>
      <w:pPr>
        <w:spacing w:after="0" w:line="99" w:lineRule="exact"/>
        <w:rPr>
          <w:sz w:val="20"/>
          <w:szCs w:val="20"/>
          <w:color w:val="auto"/>
        </w:rPr>
      </w:pPr>
    </w:p>
    <w:p>
      <w:pPr>
        <w:ind w:right="320" w:firstLine="351"/>
        <w:spacing w:after="0" w:line="263" w:lineRule="auto"/>
        <w:rPr>
          <w:sz w:val="20"/>
          <w:szCs w:val="20"/>
          <w:color w:val="auto"/>
        </w:rPr>
      </w:pPr>
      <w:r>
        <w:rPr>
          <w:rFonts w:ascii="Arial" w:cs="Arial" w:eastAsia="Arial" w:hAnsi="Arial"/>
          <w:sz w:val="16"/>
          <w:szCs w:val="16"/>
          <w:color w:val="auto"/>
        </w:rPr>
        <w:t>The Company estimates that $10.0 million, net of tax, of settlements of forward foreign currency derivative instruments included in OCI will be reclassified into earnings within the next 12 months.</w:t>
      </w:r>
    </w:p>
    <w:p>
      <w:pPr>
        <w:spacing w:after="0" w:line="76" w:lineRule="exact"/>
        <w:rPr>
          <w:sz w:val="20"/>
          <w:szCs w:val="20"/>
          <w:color w:val="auto"/>
        </w:rPr>
      </w:pPr>
    </w:p>
    <w:p>
      <w:pPr>
        <w:ind w:right="140" w:firstLine="351"/>
        <w:spacing w:after="0" w:line="253" w:lineRule="auto"/>
        <w:rPr>
          <w:sz w:val="20"/>
          <w:szCs w:val="20"/>
          <w:color w:val="auto"/>
        </w:rPr>
      </w:pPr>
      <w:r>
        <w:rPr>
          <w:rFonts w:ascii="Arial" w:cs="Arial" w:eastAsia="Arial" w:hAnsi="Arial"/>
          <w:sz w:val="16"/>
          <w:szCs w:val="16"/>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Consolidated Balance Sheets on a net basis. As of October 30, 2021 and October 31, 2020, none of the netting arrangements involved collateral.</w:t>
      </w:r>
    </w:p>
    <w:p>
      <w:pPr>
        <w:spacing w:after="0" w:line="85" w:lineRule="exact"/>
        <w:rPr>
          <w:sz w:val="20"/>
          <w:szCs w:val="20"/>
          <w:color w:val="auto"/>
        </w:rPr>
      </w:pPr>
    </w:p>
    <w:p>
      <w:pPr>
        <w:ind w:right="120" w:firstLine="351"/>
        <w:spacing w:after="0" w:line="263" w:lineRule="auto"/>
        <w:rPr>
          <w:sz w:val="20"/>
          <w:szCs w:val="20"/>
          <w:color w:val="auto"/>
        </w:rPr>
      </w:pPr>
      <w:r>
        <w:rPr>
          <w:rFonts w:ascii="Arial" w:cs="Arial" w:eastAsia="Arial" w:hAnsi="Arial"/>
          <w:sz w:val="16"/>
          <w:szCs w:val="16"/>
          <w:color w:val="auto"/>
        </w:rPr>
        <w:t>The following table presents the gross amounts of the Company's forward foreign currency exchange contracts and the net amounts recorded in the Company's Consolidated Balance Sheets as of October 30, 2021 and October 31,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2"/>
                <w:szCs w:val="12"/>
                <w:b w:val="1"/>
                <w:bCs w:val="1"/>
                <w:color w:val="auto"/>
              </w:rPr>
              <w:t>October 30, 2021</w:t>
            </w:r>
          </w:p>
        </w:tc>
        <w:tc>
          <w:tcPr>
            <w:tcW w:w="240" w:type="dxa"/>
            <w:vAlign w:val="bottom"/>
          </w:tcPr>
          <w:p>
            <w:pPr>
              <w:spacing w:after="0"/>
              <w:rPr>
                <w:sz w:val="14"/>
                <w:szCs w:val="14"/>
                <w:color w:val="auto"/>
              </w:rPr>
            </w:pPr>
          </w:p>
        </w:tc>
        <w:tc>
          <w:tcPr>
            <w:tcW w:w="1400" w:type="dxa"/>
            <w:vAlign w:val="bottom"/>
          </w:tcPr>
          <w:p>
            <w:pPr>
              <w:jc w:val="right"/>
              <w:ind w:right="286"/>
              <w:spacing w:after="0"/>
              <w:rPr>
                <w:sz w:val="20"/>
                <w:szCs w:val="20"/>
                <w:color w:val="auto"/>
              </w:rPr>
            </w:pPr>
            <w:r>
              <w:rPr>
                <w:rFonts w:ascii="Arial" w:cs="Arial" w:eastAsia="Arial" w:hAnsi="Arial"/>
                <w:sz w:val="12"/>
                <w:szCs w:val="12"/>
                <w:b w:val="1"/>
                <w:bCs w:val="1"/>
                <w:color w:val="auto"/>
              </w:rPr>
              <w:t>October 31, 2020</w:t>
            </w:r>
          </w:p>
        </w:tc>
      </w:tr>
      <w:tr>
        <w:trPr>
          <w:trHeight w:val="196"/>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amount of recognized assets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6,114</w:t>
            </w:r>
          </w:p>
        </w:tc>
      </w:tr>
      <w:tr>
        <w:trPr>
          <w:trHeight w:val="199"/>
        </w:trPr>
        <w:tc>
          <w:tcPr>
            <w:tcW w:w="7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Gross amounts of recognized liabilities offset in the Consolidated Balance Sheets</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r>
      <w:tr>
        <w:trPr>
          <w:trHeight w:val="215"/>
        </w:trPr>
        <w:tc>
          <w:tcPr>
            <w:tcW w:w="788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Net (liabilities) assets presented in the Consolidated Balance Sheets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5,427</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386"/>
        <w:spacing w:after="0" w:line="293" w:lineRule="auto"/>
        <w:rPr>
          <w:sz w:val="20"/>
          <w:szCs w:val="20"/>
          <w:color w:val="auto"/>
        </w:rPr>
      </w:pPr>
      <w:r>
        <w:rPr>
          <w:rFonts w:ascii="Arial" w:cs="Arial" w:eastAsia="Arial" w:hAnsi="Arial"/>
          <w:sz w:val="14"/>
          <w:szCs w:val="14"/>
          <w:i w:val="1"/>
          <w:iCs w:val="1"/>
          <w:color w:val="auto"/>
        </w:rPr>
        <w:t xml:space="preserve">Interest Rate Exposure Management </w:t>
      </w:r>
      <w:r>
        <w:rPr>
          <w:rFonts w:ascii="Arial" w:cs="Arial" w:eastAsia="Arial" w:hAnsi="Arial"/>
          <w:sz w:val="14"/>
          <w:szCs w:val="14"/>
          <w:color w:val="auto"/>
        </w:rPr>
        <w:t>— The Company's current and future debt may be subject to interest rate risk. The Company utilizes interest rate derivatives to alter</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rate exposure in an attempt to reduce the effects of the changes in interest rates. During fiscal 2019, the Company entered into an interest rate swap agreement which locked in the interest rate for up to $1 billion in future debt issuances. The interest rate swap was designated and qualified as a cash flow hedge. During fiscal 2021, the Company issued $1 billion of 2.100% Senior Notes due October 2031, and the swap was cash terminated in the amount of $153.2 million. The accumulated loss recorded in AOCI will be reclassified to interest expense on a straight-line basis over the 10-year term of such Senior Notes.</w:t>
      </w:r>
    </w:p>
    <w:p>
      <w:pPr>
        <w:spacing w:after="0" w:line="58" w:lineRule="exact"/>
        <w:rPr>
          <w:sz w:val="20"/>
          <w:szCs w:val="20"/>
          <w:color w:val="auto"/>
        </w:rPr>
      </w:pPr>
    </w:p>
    <w:p>
      <w:pPr>
        <w:ind w:right="20" w:firstLine="351"/>
        <w:spacing w:after="0" w:line="285" w:lineRule="auto"/>
        <w:rPr>
          <w:sz w:val="20"/>
          <w:szCs w:val="20"/>
          <w:color w:val="auto"/>
        </w:rPr>
      </w:pPr>
      <w:r>
        <w:rPr>
          <w:rFonts w:ascii="Arial" w:cs="Arial" w:eastAsia="Arial" w:hAnsi="Arial"/>
          <w:sz w:val="14"/>
          <w:szCs w:val="14"/>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October 30, 2021 and October 31, 2020,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68" w:lineRule="exact"/>
        <w:rPr>
          <w:sz w:val="20"/>
          <w:szCs w:val="20"/>
          <w:color w:val="auto"/>
        </w:rPr>
      </w:pPr>
    </w:p>
    <w:p>
      <w:pPr>
        <w:ind w:right="80" w:firstLine="351"/>
        <w:spacing w:after="0" w:line="253" w:lineRule="auto"/>
        <w:rPr>
          <w:sz w:val="20"/>
          <w:szCs w:val="20"/>
          <w:color w:val="auto"/>
        </w:rPr>
      </w:pPr>
      <w:r>
        <w:rPr>
          <w:rFonts w:ascii="Arial" w:cs="Arial" w:eastAsia="Arial" w:hAnsi="Arial"/>
          <w:sz w:val="16"/>
          <w:szCs w:val="16"/>
          <w:color w:val="auto"/>
        </w:rPr>
        <w:t>The Company records the fair value of its derivative financial instruments in its Consolidated Financial Statements in other current assets, other assets, accrued liabilities and other non-current liabilities, depending on their net position, regardless of the purpose or intent for holding the derivative contract. Changes in the fair value of the derivative financial instruments are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jc w:val="center"/>
        <w:ind w:right="-5"/>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left="6" w:right="60"/>
        <w:spacing w:after="0" w:line="253" w:lineRule="auto"/>
        <w:rPr>
          <w:sz w:val="20"/>
          <w:szCs w:val="20"/>
          <w:color w:val="auto"/>
        </w:rPr>
      </w:pPr>
      <w:r>
        <w:rPr>
          <w:rFonts w:ascii="Arial" w:cs="Arial" w:eastAsia="Arial" w:hAnsi="Arial"/>
          <w:sz w:val="16"/>
          <w:szCs w:val="16"/>
          <w:color w:val="auto"/>
        </w:rPr>
        <w:t>either recognized periodically in earnings or in shareholders’ equity as a component of OCI. Changes in the fair value of cash flow hedges are recorded in OCI and reclassified into earnings in the same line item on the Consolidated Statements of Income as the impact of the hedged transaction when the underlying contract matures. Changes in the fair values of derivatives not qualifying for hedge accounting are reported in earnings as they occur.</w:t>
      </w:r>
    </w:p>
    <w:p>
      <w:pPr>
        <w:spacing w:after="0" w:line="96" w:lineRule="exact"/>
        <w:rPr>
          <w:sz w:val="20"/>
          <w:szCs w:val="20"/>
          <w:color w:val="auto"/>
        </w:rPr>
      </w:pPr>
    </w:p>
    <w:p>
      <w:pPr>
        <w:ind w:left="6" w:right="520" w:firstLine="351"/>
        <w:spacing w:after="0" w:line="335" w:lineRule="auto"/>
        <w:rPr>
          <w:sz w:val="20"/>
          <w:szCs w:val="20"/>
          <w:color w:val="auto"/>
        </w:rPr>
      </w:pPr>
      <w:r>
        <w:rPr>
          <w:rFonts w:ascii="Arial" w:cs="Arial" w:eastAsia="Arial" w:hAnsi="Arial"/>
          <w:sz w:val="14"/>
          <w:szCs w:val="14"/>
          <w:color w:val="auto"/>
        </w:rPr>
        <w:t xml:space="preserve">For information on the unrealized holding gains (losses) on derivatives included in and reclassified out of AOCI into the Consolidated Statements of Income related to forward foreign currency exchange contracts, see Note 2o, </w:t>
      </w:r>
      <w:r>
        <w:rPr>
          <w:rFonts w:ascii="Arial" w:cs="Arial" w:eastAsia="Arial" w:hAnsi="Arial"/>
          <w:sz w:val="14"/>
          <w:szCs w:val="14"/>
          <w:i w:val="1"/>
          <w:iCs w:val="1"/>
          <w:color w:val="auto"/>
        </w:rPr>
        <w:t>Accumulated Other Comprehensive (Loss) Income,</w:t>
      </w:r>
      <w:r>
        <w:rPr>
          <w:rFonts w:ascii="Arial" w:cs="Arial" w:eastAsia="Arial" w:hAnsi="Arial"/>
          <w:sz w:val="14"/>
          <w:szCs w:val="14"/>
          <w:color w:val="auto"/>
        </w:rPr>
        <w:t xml:space="preserve"> of the Notes to Consolidated Financial Statements.</w:t>
      </w:r>
    </w:p>
    <w:p>
      <w:pPr>
        <w:spacing w:after="0" w:line="30" w:lineRule="exact"/>
        <w:rPr>
          <w:sz w:val="20"/>
          <w:szCs w:val="20"/>
          <w:color w:val="auto"/>
        </w:rPr>
      </w:pPr>
    </w:p>
    <w:p>
      <w:pPr>
        <w:ind w:left="546" w:hanging="266"/>
        <w:spacing w:after="0"/>
        <w:tabs>
          <w:tab w:leader="none" w:pos="546" w:val="left"/>
        </w:tabs>
        <w:numPr>
          <w:ilvl w:val="0"/>
          <w:numId w:val="3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Fair Value</w:t>
      </w:r>
    </w:p>
    <w:p>
      <w:pPr>
        <w:spacing w:after="0" w:line="108" w:lineRule="exact"/>
        <w:rPr>
          <w:sz w:val="20"/>
          <w:szCs w:val="20"/>
          <w:color w:val="auto"/>
        </w:rPr>
      </w:pPr>
    </w:p>
    <w:p>
      <w:pPr>
        <w:ind w:left="6" w:right="20" w:firstLine="386"/>
        <w:spacing w:after="0" w:line="297" w:lineRule="auto"/>
        <w:rPr>
          <w:sz w:val="20"/>
          <w:szCs w:val="20"/>
          <w:color w:val="auto"/>
        </w:rPr>
      </w:pPr>
      <w:r>
        <w:rPr>
          <w:rFonts w:ascii="Arial" w:cs="Arial" w:eastAsia="Arial" w:hAnsi="Arial"/>
          <w:sz w:val="14"/>
          <w:szCs w:val="14"/>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68" w:lineRule="exact"/>
        <w:rPr>
          <w:sz w:val="20"/>
          <w:szCs w:val="20"/>
          <w:color w:val="auto"/>
        </w:rPr>
      </w:pPr>
    </w:p>
    <w:p>
      <w:pPr>
        <w:ind w:left="386"/>
        <w:spacing w:after="0"/>
        <w:rPr>
          <w:sz w:val="20"/>
          <w:szCs w:val="20"/>
          <w:color w:val="auto"/>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 Level 1 inputs are quoted prices (unadjusted) in active markets for identical assets or liabilities that the reporting entity has the ability to access at the measurement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w:t>
      </w:r>
    </w:p>
    <w:p>
      <w:pPr>
        <w:spacing w:after="0" w:line="97" w:lineRule="exact"/>
        <w:rPr>
          <w:sz w:val="20"/>
          <w:szCs w:val="20"/>
          <w:color w:val="auto"/>
        </w:rPr>
      </w:pPr>
    </w:p>
    <w:p>
      <w:pPr>
        <w:ind w:left="6" w:right="240" w:firstLine="386"/>
        <w:spacing w:after="0" w:line="263"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 indirectly. If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has a specified (contractual) term, a Level 2 input must be observable for substantially the full term of the asset or liability.</w:t>
      </w:r>
    </w:p>
    <w:p>
      <w:pPr>
        <w:spacing w:after="0" w:line="76" w:lineRule="exact"/>
        <w:rPr>
          <w:sz w:val="20"/>
          <w:szCs w:val="20"/>
          <w:color w:val="auto"/>
        </w:rPr>
      </w:pPr>
    </w:p>
    <w:p>
      <w:pPr>
        <w:ind w:left="386"/>
        <w:spacing w:after="0"/>
        <w:rPr>
          <w:sz w:val="20"/>
          <w:szCs w:val="20"/>
          <w:color w:val="auto"/>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 Level 3 inputs are unobservable inputs for the asset or liability in which there is little, if any, market activity for the asset or liability at the measurement date.</w:t>
      </w:r>
    </w:p>
    <w:p>
      <w:pPr>
        <w:spacing w:after="0" w:line="143" w:lineRule="exact"/>
        <w:rPr>
          <w:sz w:val="20"/>
          <w:szCs w:val="20"/>
          <w:color w:val="auto"/>
        </w:rPr>
      </w:pPr>
    </w:p>
    <w:p>
      <w:pPr>
        <w:jc w:val="both"/>
        <w:ind w:left="6" w:right="120" w:firstLine="386"/>
        <w:spacing w:after="0" w:line="250" w:lineRule="auto"/>
        <w:rPr>
          <w:sz w:val="20"/>
          <w:szCs w:val="20"/>
          <w:color w:val="auto"/>
        </w:rPr>
      </w:pPr>
      <w:r>
        <w:rPr>
          <w:rFonts w:ascii="Arial" w:cs="Arial" w:eastAsia="Arial" w:hAnsi="Arial"/>
          <w:sz w:val="16"/>
          <w:szCs w:val="16"/>
          <w:color w:val="auto"/>
        </w:rPr>
        <w:t>The tables below, set forth by level, presents the Company’s financial assets and liabilities, excluding accrued interest components, that were accounted for at fair value on a recurring basis as of October 30, 2021 and October 31, 2020. The tables exclude cash on hand and assets and liabilities that are measured at historical cost or any basis other than fair value. As of October 30, 2021 and October 31, 2020, the Company held $1,315.0 million and $239.6 million, respectively, of cash and held-to-maturity investments that were excluded from the tables below.</w:t>
      </w:r>
    </w:p>
    <w:p>
      <w:pPr>
        <w:spacing w:after="0" w:line="10"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58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3"/>
              </w:rPr>
              <w:t>October 30, 2021</w:t>
            </w: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520" w:type="dxa"/>
            <w:vAlign w:val="bottom"/>
            <w:gridSpan w:val="5"/>
          </w:tcPr>
          <w:p>
            <w:pPr>
              <w:ind w:left="160"/>
              <w:spacing w:after="0" w:line="114" w:lineRule="exact"/>
              <w:rPr>
                <w:sz w:val="20"/>
                <w:szCs w:val="20"/>
                <w:color w:val="auto"/>
              </w:rPr>
            </w:pPr>
            <w:r>
              <w:rPr>
                <w:rFonts w:ascii="Arial" w:cs="Arial" w:eastAsia="Arial" w:hAnsi="Arial"/>
                <w:sz w:val="12"/>
                <w:szCs w:val="12"/>
                <w:b w:val="1"/>
                <w:bCs w:val="1"/>
                <w:color w:val="auto"/>
              </w:rPr>
              <w:t>Fair Value measurement at</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Reporting Date using:</w:t>
            </w: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5860" w:type="dxa"/>
            <w:vAlign w:val="bottom"/>
          </w:tcPr>
          <w:p>
            <w:pPr>
              <w:spacing w:after="0"/>
              <w:rPr>
                <w:sz w:val="9"/>
                <w:szCs w:val="9"/>
                <w:color w:val="auto"/>
              </w:rPr>
            </w:pPr>
          </w:p>
        </w:tc>
        <w:tc>
          <w:tcPr>
            <w:tcW w:w="1840" w:type="dxa"/>
            <w:vAlign w:val="bottom"/>
            <w:gridSpan w:val="3"/>
          </w:tcPr>
          <w:p>
            <w:pPr>
              <w:ind w:left="860"/>
              <w:spacing w:after="0" w:line="110" w:lineRule="exact"/>
              <w:rPr>
                <w:sz w:val="20"/>
                <w:szCs w:val="20"/>
                <w:color w:val="auto"/>
              </w:rPr>
            </w:pPr>
            <w:r>
              <w:rPr>
                <w:rFonts w:ascii="Arial" w:cs="Arial" w:eastAsia="Arial" w:hAnsi="Arial"/>
                <w:sz w:val="12"/>
                <w:szCs w:val="12"/>
                <w:b w:val="1"/>
                <w:bCs w:val="1"/>
                <w:color w:val="auto"/>
              </w:rPr>
              <w:t>Quoted</w:t>
            </w:r>
          </w:p>
        </w:tc>
        <w:tc>
          <w:tcPr>
            <w:tcW w:w="5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140" w:type="dxa"/>
            <w:vAlign w:val="bottom"/>
          </w:tcPr>
          <w:p>
            <w:pPr>
              <w:jc w:val="center"/>
              <w:ind w:left="532"/>
              <w:spacing w:after="0" w:line="117" w:lineRule="exact"/>
              <w:rPr>
                <w:sz w:val="20"/>
                <w:szCs w:val="20"/>
                <w:color w:val="auto"/>
              </w:rPr>
            </w:pPr>
            <w:r>
              <w:rPr>
                <w:rFonts w:ascii="Arial" w:cs="Arial" w:eastAsia="Arial" w:hAnsi="Arial"/>
                <w:sz w:val="12"/>
                <w:szCs w:val="12"/>
                <w:b w:val="1"/>
                <w:bCs w:val="1"/>
                <w:color w:val="auto"/>
                <w:w w:val="91"/>
              </w:rPr>
              <w:t>Prices in</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140" w:type="dxa"/>
            <w:vAlign w:val="bottom"/>
          </w:tcPr>
          <w:p>
            <w:pPr>
              <w:jc w:val="center"/>
              <w:ind w:left="532"/>
              <w:spacing w:after="0" w:line="117" w:lineRule="exact"/>
              <w:rPr>
                <w:sz w:val="20"/>
                <w:szCs w:val="20"/>
                <w:color w:val="auto"/>
              </w:rPr>
            </w:pPr>
            <w:r>
              <w:rPr>
                <w:rFonts w:ascii="Arial" w:cs="Arial" w:eastAsia="Arial" w:hAnsi="Arial"/>
                <w:sz w:val="12"/>
                <w:szCs w:val="12"/>
                <w:b w:val="1"/>
                <w:bCs w:val="1"/>
                <w:color w:val="auto"/>
                <w:w w:val="94"/>
              </w:rPr>
              <w:t>Active</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4"/>
              </w:rPr>
              <w:t>Significant</w:t>
            </w: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140" w:type="dxa"/>
            <w:vAlign w:val="bottom"/>
          </w:tcPr>
          <w:p>
            <w:pPr>
              <w:jc w:val="center"/>
              <w:ind w:left="512"/>
              <w:spacing w:after="0" w:line="117" w:lineRule="exact"/>
              <w:rPr>
                <w:sz w:val="20"/>
                <w:szCs w:val="20"/>
                <w:color w:val="auto"/>
              </w:rPr>
            </w:pPr>
            <w:r>
              <w:rPr>
                <w:rFonts w:ascii="Arial" w:cs="Arial" w:eastAsia="Arial" w:hAnsi="Arial"/>
                <w:sz w:val="12"/>
                <w:szCs w:val="12"/>
                <w:b w:val="1"/>
                <w:bCs w:val="1"/>
                <w:color w:val="auto"/>
                <w:w w:val="96"/>
              </w:rPr>
              <w:t>Markets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140" w:type="dxa"/>
            <w:vAlign w:val="bottom"/>
          </w:tcPr>
          <w:p>
            <w:pPr>
              <w:jc w:val="center"/>
              <w:ind w:left="512"/>
              <w:spacing w:after="0" w:line="117" w:lineRule="exact"/>
              <w:rPr>
                <w:sz w:val="20"/>
                <w:szCs w:val="20"/>
                <w:color w:val="auto"/>
              </w:rPr>
            </w:pPr>
            <w:r>
              <w:rPr>
                <w:rFonts w:ascii="Arial" w:cs="Arial" w:eastAsia="Arial" w:hAnsi="Arial"/>
                <w:sz w:val="12"/>
                <w:szCs w:val="12"/>
                <w:b w:val="1"/>
                <w:bCs w:val="1"/>
                <w:color w:val="auto"/>
                <w:w w:val="99"/>
              </w:rPr>
              <w:t>for</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gridSpan w:val="2"/>
          </w:tcPr>
          <w:p>
            <w:pPr>
              <w:jc w:val="center"/>
              <w:ind w:right="620"/>
              <w:spacing w:after="0" w:line="117" w:lineRule="exact"/>
              <w:rPr>
                <w:sz w:val="20"/>
                <w:szCs w:val="20"/>
                <w:color w:val="auto"/>
              </w:rPr>
            </w:pPr>
            <w:r>
              <w:rPr>
                <w:rFonts w:ascii="Arial" w:cs="Arial" w:eastAsia="Arial" w:hAnsi="Arial"/>
                <w:sz w:val="12"/>
                <w:szCs w:val="12"/>
                <w:b w:val="1"/>
                <w:bCs w:val="1"/>
                <w:color w:val="auto"/>
                <w:w w:val="99"/>
              </w:rPr>
              <w:t>Other</w:t>
            </w: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140" w:type="dxa"/>
            <w:vAlign w:val="bottom"/>
          </w:tcPr>
          <w:p>
            <w:pPr>
              <w:jc w:val="center"/>
              <w:ind w:left="512"/>
              <w:spacing w:after="0" w:line="117" w:lineRule="exact"/>
              <w:rPr>
                <w:sz w:val="20"/>
                <w:szCs w:val="20"/>
                <w:color w:val="auto"/>
              </w:rPr>
            </w:pPr>
            <w:r>
              <w:rPr>
                <w:rFonts w:ascii="Arial" w:cs="Arial" w:eastAsia="Arial" w:hAnsi="Arial"/>
                <w:sz w:val="12"/>
                <w:szCs w:val="12"/>
                <w:b w:val="1"/>
                <w:bCs w:val="1"/>
                <w:color w:val="auto"/>
                <w:w w:val="98"/>
              </w:rPr>
              <w:t>Identical</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gridSpan w:val="2"/>
          </w:tcPr>
          <w:p>
            <w:pPr>
              <w:jc w:val="center"/>
              <w:ind w:right="640"/>
              <w:spacing w:after="0" w:line="117" w:lineRule="exact"/>
              <w:rPr>
                <w:sz w:val="20"/>
                <w:szCs w:val="20"/>
                <w:color w:val="auto"/>
              </w:rPr>
            </w:pPr>
            <w:r>
              <w:rPr>
                <w:rFonts w:ascii="Arial" w:cs="Arial" w:eastAsia="Arial" w:hAnsi="Arial"/>
                <w:sz w:val="12"/>
                <w:szCs w:val="12"/>
                <w:b w:val="1"/>
                <w:bCs w:val="1"/>
                <w:color w:val="auto"/>
                <w:w w:val="94"/>
              </w:rPr>
              <w:t>Observable</w:t>
            </w: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140" w:type="dxa"/>
            <w:vAlign w:val="bottom"/>
          </w:tcPr>
          <w:p>
            <w:pPr>
              <w:jc w:val="center"/>
              <w:ind w:left="512"/>
              <w:spacing w:after="0" w:line="117" w:lineRule="exact"/>
              <w:rPr>
                <w:sz w:val="20"/>
                <w:szCs w:val="20"/>
                <w:color w:val="auto"/>
              </w:rPr>
            </w:pPr>
            <w:r>
              <w:rPr>
                <w:rFonts w:ascii="Arial" w:cs="Arial" w:eastAsia="Arial" w:hAnsi="Arial"/>
                <w:sz w:val="12"/>
                <w:szCs w:val="12"/>
                <w:b w:val="1"/>
                <w:bCs w:val="1"/>
                <w:color w:val="auto"/>
                <w:w w:val="81"/>
              </w:rPr>
              <w:t>Assets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00" w:type="dxa"/>
            <w:vAlign w:val="bottom"/>
            <w:gridSpan w:val="2"/>
          </w:tcPr>
          <w:p>
            <w:pPr>
              <w:jc w:val="center"/>
              <w:ind w:right="640"/>
              <w:spacing w:after="0" w:line="117" w:lineRule="exact"/>
              <w:rPr>
                <w:sz w:val="20"/>
                <w:szCs w:val="20"/>
                <w:color w:val="auto"/>
              </w:rPr>
            </w:pPr>
            <w:r>
              <w:rPr>
                <w:rFonts w:ascii="Arial" w:cs="Arial" w:eastAsia="Arial" w:hAnsi="Arial"/>
                <w:sz w:val="12"/>
                <w:szCs w:val="12"/>
                <w:b w:val="1"/>
                <w:bCs w:val="1"/>
                <w:color w:val="auto"/>
                <w:w w:val="94"/>
              </w:rPr>
              <w:t>Inputs</w:t>
            </w:r>
          </w:p>
        </w:tc>
        <w:tc>
          <w:tcPr>
            <w:tcW w:w="700" w:type="dxa"/>
            <w:vAlign w:val="bottom"/>
          </w:tcPr>
          <w:p>
            <w:pPr>
              <w:spacing w:after="0"/>
              <w:rPr>
                <w:sz w:val="10"/>
                <w:szCs w:val="10"/>
                <w:color w:val="auto"/>
              </w:rPr>
            </w:pPr>
          </w:p>
        </w:tc>
        <w:tc>
          <w:tcPr>
            <w:tcW w:w="1040" w:type="dxa"/>
            <w:vAlign w:val="bottom"/>
            <w:vMerge w:val="restart"/>
          </w:tcPr>
          <w:p>
            <w:pPr>
              <w:jc w:val="right"/>
              <w:ind w:right="46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140" w:type="dxa"/>
            <w:vAlign w:val="bottom"/>
          </w:tcPr>
          <w:p>
            <w:pPr>
              <w:jc w:val="center"/>
              <w:ind w:left="512"/>
              <w:spacing w:after="0"/>
              <w:rPr>
                <w:sz w:val="20"/>
                <w:szCs w:val="20"/>
                <w:color w:val="auto"/>
              </w:rPr>
            </w:pPr>
            <w:r>
              <w:rPr>
                <w:rFonts w:ascii="Arial" w:cs="Arial" w:eastAsia="Arial" w:hAnsi="Arial"/>
                <w:sz w:val="12"/>
                <w:szCs w:val="12"/>
                <w:b w:val="1"/>
                <w:bCs w:val="1"/>
                <w:color w:val="auto"/>
                <w:w w:val="98"/>
              </w:rPr>
              <w:t>(Level 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94"/>
              </w:rPr>
              <w:t>(Level 2)</w:t>
            </w:r>
          </w:p>
        </w:tc>
        <w:tc>
          <w:tcPr>
            <w:tcW w:w="7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60" w:type="dxa"/>
            <w:vAlign w:val="bottom"/>
            <w:tcBorders>
              <w:top w:val="single" w:sz="8" w:color="CCEEFF"/>
            </w:tcBorders>
            <w:shd w:val="clear" w:color="auto" w:fill="CCEEFF"/>
          </w:tcPr>
          <w:p>
            <w:pPr>
              <w:ind w:left="400"/>
              <w:spacing w:after="0" w:line="180" w:lineRule="exact"/>
              <w:rPr>
                <w:sz w:val="20"/>
                <w:szCs w:val="20"/>
                <w:color w:val="auto"/>
              </w:rPr>
            </w:pPr>
            <w:r>
              <w:rPr>
                <w:rFonts w:ascii="Arial" w:cs="Arial" w:eastAsia="Arial" w:hAnsi="Arial"/>
                <w:sz w:val="16"/>
                <w:szCs w:val="16"/>
                <w:b w:val="1"/>
                <w:bCs w:val="1"/>
                <w:color w:val="auto"/>
              </w:rPr>
              <w:t>Assets</w:t>
            </w:r>
          </w:p>
        </w:tc>
        <w:tc>
          <w:tcPr>
            <w:tcW w:w="1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860" w:type="dxa"/>
            <w:vAlign w:val="bottom"/>
          </w:tcPr>
          <w:p>
            <w:pPr>
              <w:ind w:left="400"/>
              <w:spacing w:after="0"/>
              <w:rPr>
                <w:sz w:val="20"/>
                <w:szCs w:val="20"/>
                <w:color w:val="auto"/>
              </w:rPr>
            </w:pPr>
            <w:r>
              <w:rPr>
                <w:rFonts w:ascii="Arial" w:cs="Arial" w:eastAsia="Arial" w:hAnsi="Arial"/>
                <w:sz w:val="16"/>
                <w:szCs w:val="16"/>
                <w:b w:val="1"/>
                <w:bCs w:val="1"/>
                <w:color w:val="auto"/>
              </w:rPr>
              <w:t>Cash equivalents:</w:t>
            </w: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Available-for-sale:</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ind w:left="960"/>
              <w:spacing w:after="0"/>
              <w:rPr>
                <w:sz w:val="20"/>
                <w:szCs w:val="20"/>
                <w:color w:val="auto"/>
              </w:rPr>
            </w:pPr>
            <w:r>
              <w:rPr>
                <w:rFonts w:ascii="Arial" w:cs="Arial" w:eastAsia="Arial" w:hAnsi="Arial"/>
                <w:sz w:val="16"/>
                <w:szCs w:val="16"/>
                <w:color w:val="auto"/>
              </w:rPr>
              <w:t>Government and institutional money market funds</w:t>
            </w:r>
          </w:p>
        </w:tc>
        <w:tc>
          <w:tcPr>
            <w:tcW w:w="1140" w:type="dxa"/>
            <w:vAlign w:val="bottom"/>
          </w:tcPr>
          <w:p>
            <w:pPr>
              <w:jc w:val="right"/>
              <w:ind w:right="59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662,997</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662,997</w:t>
            </w:r>
          </w:p>
        </w:tc>
        <w:tc>
          <w:tcPr>
            <w:tcW w:w="0" w:type="dxa"/>
            <w:vAlign w:val="bottom"/>
          </w:tcPr>
          <w:p>
            <w:pPr>
              <w:spacing w:after="0"/>
              <w:rPr>
                <w:sz w:val="1"/>
                <w:szCs w:val="1"/>
                <w:color w:val="auto"/>
              </w:rPr>
            </w:pPr>
          </w:p>
        </w:tc>
      </w:tr>
      <w:tr>
        <w:trPr>
          <w:trHeight w:val="199"/>
        </w:trPr>
        <w:tc>
          <w:tcPr>
            <w:tcW w:w="58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Other assets:</w:t>
            </w:r>
          </w:p>
        </w:tc>
        <w:tc>
          <w:tcPr>
            <w:tcW w:w="1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60" w:type="dxa"/>
            <w:vAlign w:val="bottom"/>
          </w:tcPr>
          <w:p>
            <w:pPr>
              <w:ind w:left="680"/>
              <w:spacing w:after="0"/>
              <w:rPr>
                <w:sz w:val="20"/>
                <w:szCs w:val="20"/>
                <w:color w:val="auto"/>
              </w:rPr>
            </w:pPr>
            <w:r>
              <w:rPr>
                <w:rFonts w:ascii="Arial" w:cs="Arial" w:eastAsia="Arial" w:hAnsi="Arial"/>
                <w:sz w:val="16"/>
                <w:szCs w:val="16"/>
                <w:color w:val="auto"/>
              </w:rPr>
              <w:t>Deferred compensation investments</w:t>
            </w:r>
          </w:p>
        </w:tc>
        <w:tc>
          <w:tcPr>
            <w:tcW w:w="1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71,301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71,301</w:t>
            </w:r>
          </w:p>
        </w:tc>
        <w:tc>
          <w:tcPr>
            <w:tcW w:w="0" w:type="dxa"/>
            <w:vAlign w:val="bottom"/>
          </w:tcPr>
          <w:p>
            <w:pPr>
              <w:spacing w:after="0"/>
              <w:rPr>
                <w:sz w:val="1"/>
                <w:szCs w:val="1"/>
                <w:color w:val="auto"/>
              </w:rPr>
            </w:pPr>
          </w:p>
        </w:tc>
      </w:tr>
      <w:tr>
        <w:trPr>
          <w:trHeight w:val="215"/>
        </w:trPr>
        <w:tc>
          <w:tcPr>
            <w:tcW w:w="5860" w:type="dxa"/>
            <w:vAlign w:val="bottom"/>
            <w:tcBorders>
              <w:top w:val="single" w:sz="8" w:color="CCEEFF"/>
              <w:bottom w:val="single" w:sz="8" w:color="CCEEFF"/>
            </w:tcBorders>
            <w:shd w:val="clear" w:color="auto" w:fill="CCEEFF"/>
          </w:tcPr>
          <w:p>
            <w:pPr>
              <w:ind w:left="400"/>
              <w:spacing w:after="0" w:line="183" w:lineRule="exact"/>
              <w:rPr>
                <w:sz w:val="20"/>
                <w:szCs w:val="20"/>
                <w:color w:val="auto"/>
              </w:rPr>
            </w:pPr>
            <w:r>
              <w:rPr>
                <w:rFonts w:ascii="Arial" w:cs="Arial" w:eastAsia="Arial" w:hAnsi="Arial"/>
                <w:sz w:val="16"/>
                <w:szCs w:val="16"/>
                <w:b w:val="1"/>
                <w:bCs w:val="1"/>
                <w:color w:val="auto"/>
              </w:rPr>
              <w:t>Total assets measured at fair value</w:t>
            </w:r>
          </w:p>
        </w:tc>
        <w:tc>
          <w:tcPr>
            <w:tcW w:w="114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734,298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734,298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400"/>
              <w:spacing w:after="0" w:line="182" w:lineRule="exact"/>
              <w:rPr>
                <w:sz w:val="20"/>
                <w:szCs w:val="20"/>
                <w:color w:val="auto"/>
              </w:rPr>
            </w:pPr>
            <w:r>
              <w:rPr>
                <w:rFonts w:ascii="Arial" w:cs="Arial" w:eastAsia="Arial" w:hAnsi="Arial"/>
                <w:sz w:val="16"/>
                <w:szCs w:val="16"/>
                <w:b w:val="1"/>
                <w:bCs w:val="1"/>
                <w:color w:val="auto"/>
              </w:rPr>
              <w:t>Liabilities</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Forward foreign currency exchange contracts (1)</w:t>
            </w:r>
          </w:p>
        </w:tc>
        <w:tc>
          <w:tcPr>
            <w:tcW w:w="1140" w:type="dxa"/>
            <w:vAlign w:val="bottom"/>
            <w:shd w:val="clear" w:color="auto" w:fill="CCEEFF"/>
          </w:tcPr>
          <w:p>
            <w:pPr>
              <w:jc w:val="right"/>
              <w:ind w:right="592"/>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8,085</w:t>
            </w:r>
          </w:p>
        </w:tc>
        <w:tc>
          <w:tcPr>
            <w:tcW w:w="0" w:type="dxa"/>
            <w:vAlign w:val="bottom"/>
          </w:tcPr>
          <w:p>
            <w:pPr>
              <w:spacing w:after="0"/>
              <w:rPr>
                <w:sz w:val="1"/>
                <w:szCs w:val="1"/>
                <w:color w:val="auto"/>
              </w:rPr>
            </w:pPr>
          </w:p>
        </w:tc>
      </w:tr>
      <w:tr>
        <w:trPr>
          <w:trHeight w:val="190"/>
        </w:trPr>
        <w:tc>
          <w:tcPr>
            <w:tcW w:w="5860" w:type="dxa"/>
            <w:vAlign w:val="bottom"/>
          </w:tcPr>
          <w:p>
            <w:pPr>
              <w:ind w:left="400"/>
              <w:spacing w:after="0" w:line="183" w:lineRule="exact"/>
              <w:rPr>
                <w:sz w:val="20"/>
                <w:szCs w:val="20"/>
                <w:color w:val="auto"/>
              </w:rPr>
            </w:pPr>
            <w:r>
              <w:rPr>
                <w:rFonts w:ascii="Arial" w:cs="Arial" w:eastAsia="Arial" w:hAnsi="Arial"/>
                <w:sz w:val="16"/>
                <w:szCs w:val="16"/>
                <w:b w:val="1"/>
                <w:bCs w:val="1"/>
                <w:color w:val="auto"/>
              </w:rPr>
              <w:t>Total liabilities measured at fair value</w:t>
            </w:r>
          </w:p>
        </w:tc>
        <w:tc>
          <w:tcPr>
            <w:tcW w:w="11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8,085</w:t>
            </w:r>
          </w:p>
        </w:tc>
        <w:tc>
          <w:tcPr>
            <w:tcW w:w="12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6" w:right="100" w:hanging="6"/>
        <w:spacing w:after="0" w:line="263" w:lineRule="auto"/>
        <w:tabs>
          <w:tab w:leader="none" w:pos="227"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Company has master netting arrangements by counterparty with respect to derivative contracts. See Note 2i, </w:t>
      </w:r>
      <w:r>
        <w:rPr>
          <w:rFonts w:ascii="Arial" w:cs="Arial" w:eastAsia="Arial" w:hAnsi="Arial"/>
          <w:sz w:val="16"/>
          <w:szCs w:val="16"/>
          <w:i w:val="1"/>
          <w:iCs w:val="1"/>
          <w:color w:val="auto"/>
        </w:rPr>
        <w:t>Derivative Instruments and Hedging Agreements</w:t>
      </w:r>
      <w:r>
        <w:rPr>
          <w:rFonts w:ascii="Arial" w:cs="Arial" w:eastAsia="Arial" w:hAnsi="Arial"/>
          <w:sz w:val="16"/>
          <w:szCs w:val="16"/>
          <w:color w:val="auto"/>
        </w:rPr>
        <w:t>, of the Notes to Consolidated Financial Statements for more information related to the</w:t>
      </w:r>
    </w:p>
    <w:p>
      <w:pPr>
        <w:spacing w:after="0" w:line="200" w:lineRule="exact"/>
        <w:rPr>
          <w:sz w:val="20"/>
          <w:szCs w:val="20"/>
          <w:color w:val="auto"/>
        </w:rPr>
      </w:pPr>
    </w:p>
    <w:p>
      <w:pPr>
        <w:spacing w:after="0" w:line="28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58" w:name="page59"/>
    <w:bookmarkEnd w:id="58"/>
    <w:p>
      <w:pPr>
        <w:jc w:val="center"/>
        <w:ind w:right="-5"/>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16"/>
          <w:szCs w:val="16"/>
          <w:color w:val="auto"/>
        </w:rPr>
        <w:t>Company's master netting arrangements.</w:t>
      </w:r>
    </w:p>
    <w:p>
      <w:pPr>
        <w:spacing w:after="0" w:line="31"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6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3"/>
              </w:rPr>
              <w:t>October 31, 2020</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6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gridSpan w:val="5"/>
          </w:tcPr>
          <w:p>
            <w:pPr>
              <w:jc w:val="center"/>
              <w:ind w:right="260"/>
              <w:spacing w:after="0" w:line="114" w:lineRule="exact"/>
              <w:rPr>
                <w:sz w:val="20"/>
                <w:szCs w:val="20"/>
                <w:color w:val="auto"/>
              </w:rPr>
            </w:pPr>
            <w:r>
              <w:rPr>
                <w:rFonts w:ascii="Arial" w:cs="Arial" w:eastAsia="Arial" w:hAnsi="Arial"/>
                <w:sz w:val="12"/>
                <w:szCs w:val="12"/>
                <w:b w:val="1"/>
                <w:bCs w:val="1"/>
                <w:color w:val="auto"/>
                <w:w w:val="94"/>
              </w:rPr>
              <w:t>Fair Value measurement at</w:t>
            </w: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2"/>
                <w:szCs w:val="12"/>
                <w:b w:val="1"/>
                <w:bCs w:val="1"/>
                <w:color w:val="auto"/>
                <w:w w:val="94"/>
              </w:rPr>
              <w:t>Reporting Date using:</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6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tcPr>
          <w:p>
            <w:pPr>
              <w:jc w:val="center"/>
              <w:ind w:right="380"/>
              <w:spacing w:after="0" w:line="110" w:lineRule="exact"/>
              <w:rPr>
                <w:sz w:val="20"/>
                <w:szCs w:val="20"/>
                <w:color w:val="auto"/>
              </w:rPr>
            </w:pPr>
            <w:r>
              <w:rPr>
                <w:rFonts w:ascii="Arial" w:cs="Arial" w:eastAsia="Arial" w:hAnsi="Arial"/>
                <w:sz w:val="12"/>
                <w:szCs w:val="12"/>
                <w:b w:val="1"/>
                <w:bCs w:val="1"/>
                <w:color w:val="auto"/>
                <w:w w:val="95"/>
              </w:rPr>
              <w:t>Quoted</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400"/>
              <w:spacing w:after="0" w:line="117" w:lineRule="exact"/>
              <w:rPr>
                <w:sz w:val="20"/>
                <w:szCs w:val="20"/>
                <w:color w:val="auto"/>
              </w:rPr>
            </w:pPr>
            <w:r>
              <w:rPr>
                <w:rFonts w:ascii="Arial" w:cs="Arial" w:eastAsia="Arial" w:hAnsi="Arial"/>
                <w:sz w:val="12"/>
                <w:szCs w:val="12"/>
                <w:b w:val="1"/>
                <w:bCs w:val="1"/>
                <w:color w:val="auto"/>
                <w:w w:val="91"/>
              </w:rPr>
              <w:t>Prices in</w:t>
            </w: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400"/>
              <w:spacing w:after="0" w:line="117" w:lineRule="exact"/>
              <w:rPr>
                <w:sz w:val="20"/>
                <w:szCs w:val="20"/>
                <w:color w:val="auto"/>
              </w:rPr>
            </w:pPr>
            <w:r>
              <w:rPr>
                <w:rFonts w:ascii="Arial" w:cs="Arial" w:eastAsia="Arial" w:hAnsi="Arial"/>
                <w:sz w:val="12"/>
                <w:szCs w:val="12"/>
                <w:b w:val="1"/>
                <w:bCs w:val="1"/>
                <w:color w:val="auto"/>
                <w:w w:val="94"/>
              </w:rPr>
              <w:t>Active</w:t>
            </w:r>
          </w:p>
        </w:tc>
        <w:tc>
          <w:tcPr>
            <w:tcW w:w="180" w:type="dxa"/>
            <w:vAlign w:val="bottom"/>
          </w:tcPr>
          <w:p>
            <w:pPr>
              <w:spacing w:after="0"/>
              <w:rPr>
                <w:sz w:val="10"/>
                <w:szCs w:val="10"/>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4"/>
              </w:rPr>
              <w:t>Significant</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Arial" w:cs="Arial" w:eastAsia="Arial" w:hAnsi="Arial"/>
                <w:sz w:val="12"/>
                <w:szCs w:val="12"/>
                <w:b w:val="1"/>
                <w:bCs w:val="1"/>
                <w:color w:val="auto"/>
                <w:w w:val="96"/>
              </w:rPr>
              <w:t>Markets</w:t>
            </w:r>
          </w:p>
        </w:tc>
        <w:tc>
          <w:tcPr>
            <w:tcW w:w="1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Arial" w:cs="Arial" w:eastAsia="Arial" w:hAnsi="Arial"/>
                <w:sz w:val="12"/>
                <w:szCs w:val="12"/>
                <w:b w:val="1"/>
                <w:bCs w:val="1"/>
                <w:color w:val="auto"/>
                <w:w w:val="99"/>
              </w:rPr>
              <w:t>for</w:t>
            </w:r>
          </w:p>
        </w:tc>
        <w:tc>
          <w:tcPr>
            <w:tcW w:w="180" w:type="dxa"/>
            <w:vAlign w:val="bottom"/>
          </w:tcPr>
          <w:p>
            <w:pPr>
              <w:spacing w:after="0"/>
              <w:rPr>
                <w:sz w:val="10"/>
                <w:szCs w:val="10"/>
                <w:color w:val="auto"/>
              </w:rPr>
            </w:pPr>
          </w:p>
        </w:tc>
        <w:tc>
          <w:tcPr>
            <w:tcW w:w="13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3"/>
              </w:rPr>
              <w:t>Other</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Arial" w:cs="Arial" w:eastAsia="Arial" w:hAnsi="Arial"/>
                <w:sz w:val="12"/>
                <w:szCs w:val="12"/>
                <w:b w:val="1"/>
                <w:bCs w:val="1"/>
                <w:color w:val="auto"/>
                <w:w w:val="98"/>
              </w:rPr>
              <w:t>Identical</w:t>
            </w:r>
          </w:p>
        </w:tc>
        <w:tc>
          <w:tcPr>
            <w:tcW w:w="180" w:type="dxa"/>
            <w:vAlign w:val="bottom"/>
          </w:tcPr>
          <w:p>
            <w:pPr>
              <w:spacing w:after="0"/>
              <w:rPr>
                <w:sz w:val="10"/>
                <w:szCs w:val="10"/>
                <w:color w:val="auto"/>
              </w:rPr>
            </w:pPr>
          </w:p>
        </w:tc>
        <w:tc>
          <w:tcPr>
            <w:tcW w:w="13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4"/>
              </w:rPr>
              <w:t>Observable</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17" w:lineRule="exact"/>
              <w:rPr>
                <w:sz w:val="20"/>
                <w:szCs w:val="20"/>
                <w:color w:val="auto"/>
              </w:rPr>
            </w:pPr>
            <w:r>
              <w:rPr>
                <w:rFonts w:ascii="Arial" w:cs="Arial" w:eastAsia="Arial" w:hAnsi="Arial"/>
                <w:sz w:val="12"/>
                <w:szCs w:val="12"/>
                <w:b w:val="1"/>
                <w:bCs w:val="1"/>
                <w:color w:val="auto"/>
                <w:w w:val="81"/>
              </w:rPr>
              <w:t>Assets</w:t>
            </w:r>
          </w:p>
        </w:tc>
        <w:tc>
          <w:tcPr>
            <w:tcW w:w="180" w:type="dxa"/>
            <w:vAlign w:val="bottom"/>
          </w:tcPr>
          <w:p>
            <w:pPr>
              <w:spacing w:after="0"/>
              <w:rPr>
                <w:sz w:val="10"/>
                <w:szCs w:val="10"/>
                <w:color w:val="auto"/>
              </w:rPr>
            </w:pPr>
          </w:p>
        </w:tc>
        <w:tc>
          <w:tcPr>
            <w:tcW w:w="1340" w:type="dxa"/>
            <w:vAlign w:val="bottom"/>
            <w:gridSpan w:val="2"/>
          </w:tcPr>
          <w:p>
            <w:pPr>
              <w:jc w:val="center"/>
              <w:ind w:right="280"/>
              <w:spacing w:after="0" w:line="117" w:lineRule="exact"/>
              <w:rPr>
                <w:sz w:val="20"/>
                <w:szCs w:val="20"/>
                <w:color w:val="auto"/>
              </w:rPr>
            </w:pPr>
            <w:r>
              <w:rPr>
                <w:rFonts w:ascii="Arial" w:cs="Arial" w:eastAsia="Arial" w:hAnsi="Arial"/>
                <w:sz w:val="12"/>
                <w:szCs w:val="12"/>
                <w:b w:val="1"/>
                <w:bCs w:val="1"/>
                <w:color w:val="auto"/>
                <w:w w:val="94"/>
              </w:rPr>
              <w:t>Inputs</w:t>
            </w:r>
          </w:p>
        </w:tc>
        <w:tc>
          <w:tcPr>
            <w:tcW w:w="340" w:type="dxa"/>
            <w:vAlign w:val="bottom"/>
          </w:tcPr>
          <w:p>
            <w:pPr>
              <w:spacing w:after="0"/>
              <w:rPr>
                <w:sz w:val="10"/>
                <w:szCs w:val="10"/>
                <w:color w:val="auto"/>
              </w:rPr>
            </w:pPr>
          </w:p>
        </w:tc>
        <w:tc>
          <w:tcPr>
            <w:tcW w:w="1100" w:type="dxa"/>
            <w:vAlign w:val="bottom"/>
            <w:vMerge w:val="restart"/>
          </w:tcPr>
          <w:p>
            <w:pPr>
              <w:jc w:val="right"/>
              <w:ind w:right="50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8"/>
              </w:rPr>
              <w:t>(Level 1)</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(Level 2)</w:t>
            </w: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6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760" w:type="dxa"/>
            <w:vAlign w:val="bottom"/>
          </w:tcPr>
          <w:p>
            <w:pPr>
              <w:spacing w:after="0"/>
              <w:rPr>
                <w:sz w:val="20"/>
                <w:szCs w:val="20"/>
                <w:color w:val="auto"/>
              </w:rPr>
            </w:pPr>
            <w:r>
              <w:rPr>
                <w:rFonts w:ascii="Arial" w:cs="Arial" w:eastAsia="Arial" w:hAnsi="Arial"/>
                <w:sz w:val="16"/>
                <w:szCs w:val="16"/>
                <w:b w:val="1"/>
                <w:bCs w:val="1"/>
                <w:color w:val="auto"/>
              </w:rPr>
              <w:t>Cash equivalents: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Available-for-sale: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60" w:type="dxa"/>
            <w:vAlign w:val="bottom"/>
          </w:tcPr>
          <w:p>
            <w:pPr>
              <w:ind w:left="580"/>
              <w:spacing w:after="0"/>
              <w:rPr>
                <w:sz w:val="20"/>
                <w:szCs w:val="20"/>
                <w:color w:val="auto"/>
              </w:rPr>
            </w:pPr>
            <w:r>
              <w:rPr>
                <w:rFonts w:ascii="Arial" w:cs="Arial" w:eastAsia="Arial" w:hAnsi="Arial"/>
                <w:sz w:val="16"/>
                <w:szCs w:val="16"/>
                <w:color w:val="auto"/>
              </w:rPr>
              <w:t>Government and institutional money market funds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
              <w:spacing w:after="0"/>
              <w:rPr>
                <w:sz w:val="20"/>
                <w:szCs w:val="20"/>
                <w:color w:val="auto"/>
              </w:rPr>
            </w:pPr>
            <w:r>
              <w:rPr>
                <w:rFonts w:ascii="Arial" w:cs="Arial" w:eastAsia="Arial" w:hAnsi="Arial"/>
                <w:sz w:val="16"/>
                <w:szCs w:val="16"/>
                <w:color w:val="auto"/>
              </w:rPr>
              <w:t>816,253</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816,253</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60" w:type="dxa"/>
            <w:vAlign w:val="bottom"/>
          </w:tcPr>
          <w:p>
            <w:pPr>
              <w:ind w:left="280"/>
              <w:spacing w:after="0"/>
              <w:rPr>
                <w:sz w:val="20"/>
                <w:szCs w:val="20"/>
                <w:color w:val="auto"/>
              </w:rPr>
            </w:pPr>
            <w:r>
              <w:rPr>
                <w:rFonts w:ascii="Arial" w:cs="Arial" w:eastAsia="Arial" w:hAnsi="Arial"/>
                <w:sz w:val="16"/>
                <w:szCs w:val="16"/>
                <w:color w:val="auto"/>
              </w:rPr>
              <w:t>Forward foreign currency exchange contracts (1)</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5,427</w:t>
            </w:r>
          </w:p>
        </w:tc>
        <w:tc>
          <w:tcPr>
            <w:tcW w:w="0" w:type="dxa"/>
            <w:vAlign w:val="bottom"/>
          </w:tcPr>
          <w:p>
            <w:pPr>
              <w:spacing w:after="0"/>
              <w:rPr>
                <w:sz w:val="1"/>
                <w:szCs w:val="1"/>
                <w:color w:val="auto"/>
              </w:rPr>
            </w:pPr>
          </w:p>
        </w:tc>
      </w:tr>
      <w:tr>
        <w:trPr>
          <w:trHeight w:val="199"/>
        </w:trPr>
        <w:tc>
          <w:tcPr>
            <w:tcW w:w="6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compensation investments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rPr>
              <w:t>52,956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52,956</w:t>
            </w:r>
          </w:p>
        </w:tc>
        <w:tc>
          <w:tcPr>
            <w:tcW w:w="0" w:type="dxa"/>
            <w:vAlign w:val="bottom"/>
          </w:tcPr>
          <w:p>
            <w:pPr>
              <w:spacing w:after="0"/>
              <w:rPr>
                <w:sz w:val="1"/>
                <w:szCs w:val="1"/>
                <w:color w:val="auto"/>
              </w:rPr>
            </w:pPr>
          </w:p>
        </w:tc>
      </w:tr>
      <w:tr>
        <w:trPr>
          <w:trHeight w:val="190"/>
        </w:trPr>
        <w:tc>
          <w:tcPr>
            <w:tcW w:w="6760" w:type="dxa"/>
            <w:vAlign w:val="bottom"/>
          </w:tcPr>
          <w:p>
            <w:pPr>
              <w:spacing w:after="0" w:line="183" w:lineRule="exact"/>
              <w:rPr>
                <w:sz w:val="20"/>
                <w:szCs w:val="20"/>
                <w:color w:val="auto"/>
              </w:rPr>
            </w:pPr>
            <w:r>
              <w:rPr>
                <w:rFonts w:ascii="Arial" w:cs="Arial" w:eastAsia="Arial" w:hAnsi="Arial"/>
                <w:sz w:val="16"/>
                <w:szCs w:val="16"/>
                <w:b w:val="1"/>
                <w:bCs w:val="1"/>
                <w:color w:val="auto"/>
              </w:rPr>
              <w:t>Total assets measured at fair value</w:t>
            </w: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6"/>
                <w:szCs w:val="16"/>
                <w:color w:val="auto"/>
              </w:rPr>
              <w:t>869,209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5,427</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874,636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76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Liabilities</w:t>
            </w: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760" w:type="dxa"/>
            <w:vAlign w:val="bottom"/>
          </w:tcPr>
          <w:p>
            <w:pPr>
              <w:ind w:left="280"/>
              <w:spacing w:after="0"/>
              <w:rPr>
                <w:sz w:val="20"/>
                <w:szCs w:val="20"/>
                <w:color w:val="auto"/>
              </w:rPr>
            </w:pPr>
            <w:r>
              <w:rPr>
                <w:rFonts w:ascii="Arial" w:cs="Arial" w:eastAsia="Arial" w:hAnsi="Arial"/>
                <w:sz w:val="16"/>
                <w:szCs w:val="16"/>
                <w:color w:val="auto"/>
              </w:rPr>
              <w:t>Interest rate derivatives</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214,586</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214,586</w:t>
            </w:r>
          </w:p>
        </w:tc>
        <w:tc>
          <w:tcPr>
            <w:tcW w:w="0" w:type="dxa"/>
            <w:vAlign w:val="bottom"/>
          </w:tcPr>
          <w:p>
            <w:pPr>
              <w:spacing w:after="0"/>
              <w:rPr>
                <w:sz w:val="1"/>
                <w:szCs w:val="1"/>
                <w:color w:val="auto"/>
              </w:rPr>
            </w:pPr>
          </w:p>
        </w:tc>
      </w:tr>
      <w:tr>
        <w:trPr>
          <w:trHeight w:val="215"/>
        </w:trPr>
        <w:tc>
          <w:tcPr>
            <w:tcW w:w="67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liabilities measured at fair value</w:t>
            </w: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214,586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6" w:right="100" w:hanging="6"/>
        <w:spacing w:after="0" w:line="263" w:lineRule="auto"/>
        <w:tabs>
          <w:tab w:leader="none" w:pos="227"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The Company has master netting arrangements by counterparty with respect to derivative contracts. See Note 2i, </w:t>
      </w:r>
      <w:r>
        <w:rPr>
          <w:rFonts w:ascii="Arial" w:cs="Arial" w:eastAsia="Arial" w:hAnsi="Arial"/>
          <w:sz w:val="16"/>
          <w:szCs w:val="16"/>
          <w:i w:val="1"/>
          <w:iCs w:val="1"/>
          <w:color w:val="auto"/>
        </w:rPr>
        <w:t>Derivative Instruments and Hedging Agreements</w:t>
      </w:r>
      <w:r>
        <w:rPr>
          <w:rFonts w:ascii="Arial" w:cs="Arial" w:eastAsia="Arial" w:hAnsi="Arial"/>
          <w:sz w:val="16"/>
          <w:szCs w:val="16"/>
          <w:color w:val="auto"/>
        </w:rPr>
        <w:t>, of the Notes to Consolidated Financial Statements for more information related to the Company's master netting arrangements.</w:t>
      </w:r>
    </w:p>
    <w:p>
      <w:pPr>
        <w:spacing w:after="0" w:line="181" w:lineRule="exact"/>
        <w:rPr>
          <w:sz w:val="20"/>
          <w:szCs w:val="20"/>
          <w:color w:val="auto"/>
        </w:rPr>
      </w:pPr>
    </w:p>
    <w:p>
      <w:pPr>
        <w:ind w:left="566"/>
        <w:spacing w:after="0"/>
        <w:rPr>
          <w:sz w:val="20"/>
          <w:szCs w:val="20"/>
          <w:color w:val="auto"/>
        </w:rPr>
      </w:pPr>
      <w:r>
        <w:rPr>
          <w:rFonts w:ascii="Arial" w:cs="Arial" w:eastAsia="Arial" w:hAnsi="Arial"/>
          <w:sz w:val="16"/>
          <w:szCs w:val="16"/>
          <w:color w:val="auto"/>
        </w:rPr>
        <w:t>The following methods and assumptions were used by the Company in estimating its fair value disclosures for financial instruments:</w:t>
      </w:r>
    </w:p>
    <w:p>
      <w:pPr>
        <w:spacing w:after="0" w:line="108" w:lineRule="exact"/>
        <w:rPr>
          <w:sz w:val="20"/>
          <w:szCs w:val="20"/>
          <w:color w:val="auto"/>
        </w:rPr>
      </w:pPr>
    </w:p>
    <w:p>
      <w:pPr>
        <w:ind w:left="386"/>
        <w:spacing w:after="0"/>
        <w:rPr>
          <w:sz w:val="20"/>
          <w:szCs w:val="20"/>
          <w:color w:val="auto"/>
        </w:rPr>
      </w:pPr>
      <w:r>
        <w:rPr>
          <w:rFonts w:ascii="Arial" w:cs="Arial" w:eastAsia="Arial" w:hAnsi="Arial"/>
          <w:sz w:val="14"/>
          <w:szCs w:val="14"/>
          <w:b w:val="1"/>
          <w:bCs w:val="1"/>
          <w:i w:val="1"/>
          <w:iCs w:val="1"/>
          <w:color w:val="auto"/>
        </w:rPr>
        <w:t xml:space="preserve">Cash equivalents </w:t>
      </w:r>
      <w:r>
        <w:rPr>
          <w:rFonts w:ascii="Arial" w:cs="Arial" w:eastAsia="Arial" w:hAnsi="Arial"/>
          <w:sz w:val="14"/>
          <w:szCs w:val="14"/>
          <w:color w:val="auto"/>
        </w:rPr>
        <w:t>— These investments are adjusted to fair value based on quoted market prices or are determined using a yield curve model based on current market rates.</w:t>
      </w:r>
    </w:p>
    <w:p>
      <w:pPr>
        <w:spacing w:after="0" w:line="131" w:lineRule="exact"/>
        <w:rPr>
          <w:sz w:val="20"/>
          <w:szCs w:val="20"/>
          <w:color w:val="auto"/>
        </w:rPr>
      </w:pPr>
    </w:p>
    <w:p>
      <w:pPr>
        <w:ind w:left="386"/>
        <w:spacing w:after="0"/>
        <w:rPr>
          <w:sz w:val="20"/>
          <w:szCs w:val="20"/>
          <w:color w:val="auto"/>
        </w:rPr>
      </w:pPr>
      <w:r>
        <w:rPr>
          <w:rFonts w:ascii="Arial" w:cs="Arial" w:eastAsia="Arial" w:hAnsi="Arial"/>
          <w:sz w:val="14"/>
          <w:szCs w:val="14"/>
          <w:b w:val="1"/>
          <w:bCs w:val="1"/>
          <w:i w:val="1"/>
          <w:iCs w:val="1"/>
          <w:color w:val="auto"/>
        </w:rPr>
        <w:t xml:space="preserve">Deferred compensation plan investments </w:t>
      </w:r>
      <w:r>
        <w:rPr>
          <w:rFonts w:ascii="Arial" w:cs="Arial" w:eastAsia="Arial" w:hAnsi="Arial"/>
          <w:sz w:val="14"/>
          <w:szCs w:val="14"/>
          <w:color w:val="auto"/>
        </w:rPr>
        <w:t>— The fair value of these mutual fund, money market fund and equity investments are based on quoted market prices.</w:t>
      </w:r>
    </w:p>
    <w:p>
      <w:pPr>
        <w:spacing w:after="0" w:line="143" w:lineRule="exact"/>
        <w:rPr>
          <w:sz w:val="20"/>
          <w:szCs w:val="20"/>
          <w:color w:val="auto"/>
        </w:rPr>
      </w:pPr>
    </w:p>
    <w:p>
      <w:pPr>
        <w:ind w:left="386"/>
        <w:spacing w:after="0"/>
        <w:rPr>
          <w:sz w:val="20"/>
          <w:szCs w:val="20"/>
          <w:color w:val="auto"/>
        </w:rPr>
      </w:pPr>
      <w:r>
        <w:rPr>
          <w:rFonts w:ascii="Arial" w:cs="Arial" w:eastAsia="Arial" w:hAnsi="Arial"/>
          <w:sz w:val="14"/>
          <w:szCs w:val="14"/>
          <w:b w:val="1"/>
          <w:bCs w:val="1"/>
          <w:i w:val="1"/>
          <w:iCs w:val="1"/>
          <w:color w:val="auto"/>
        </w:rPr>
        <w:t xml:space="preserve">Interest rate derivatives </w:t>
      </w:r>
      <w:r>
        <w:rPr>
          <w:rFonts w:ascii="Arial" w:cs="Arial" w:eastAsia="Arial" w:hAnsi="Arial"/>
          <w:sz w:val="14"/>
          <w:szCs w:val="14"/>
          <w:color w:val="auto"/>
        </w:rPr>
        <w:t>— The fair value of interest rate derivatives is estimated using a discounted cash flow analysis based on the contractual terms of the derivatives.</w:t>
      </w:r>
    </w:p>
    <w:p>
      <w:pPr>
        <w:spacing w:after="0" w:line="131" w:lineRule="exact"/>
        <w:rPr>
          <w:sz w:val="20"/>
          <w:szCs w:val="20"/>
          <w:color w:val="auto"/>
        </w:rPr>
      </w:pPr>
    </w:p>
    <w:p>
      <w:pPr>
        <w:jc w:val="both"/>
        <w:ind w:left="6" w:right="40" w:firstLine="386"/>
        <w:spacing w:after="0" w:line="297" w:lineRule="auto"/>
        <w:rPr>
          <w:sz w:val="20"/>
          <w:szCs w:val="20"/>
          <w:color w:val="auto"/>
        </w:rPr>
      </w:pPr>
      <w:r>
        <w:rPr>
          <w:rFonts w:ascii="Arial" w:cs="Arial" w:eastAsia="Arial" w:hAnsi="Arial"/>
          <w:sz w:val="14"/>
          <w:szCs w:val="14"/>
          <w:b w:val="1"/>
          <w:bCs w:val="1"/>
          <w:i w:val="1"/>
          <w:iCs w:val="1"/>
          <w:color w:val="auto"/>
        </w:rPr>
        <w:t xml:space="preserve">Forward foreign currency exchange contracts </w:t>
      </w:r>
      <w:r>
        <w:rPr>
          <w:rFonts w:ascii="Arial" w:cs="Arial" w:eastAsia="Arial" w:hAnsi="Arial"/>
          <w:sz w:val="14"/>
          <w:szCs w:val="14"/>
          <w:color w:val="auto"/>
        </w:rPr>
        <w:t>— The estimated fair value of forward foreign currency exchange contracts, which includes derivatives that are accounted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5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Financial Instruments Not Recorded at Fair Value on a Recurring Basis</w:t>
      </w:r>
    </w:p>
    <w:p>
      <w:pPr>
        <w:spacing w:after="0" w:line="143" w:lineRule="exact"/>
        <w:rPr>
          <w:sz w:val="20"/>
          <w:szCs w:val="20"/>
          <w:color w:val="auto"/>
        </w:rPr>
      </w:pPr>
    </w:p>
    <w:p>
      <w:pPr>
        <w:ind w:left="6" w:right="460" w:firstLine="351"/>
        <w:spacing w:after="0" w:line="253" w:lineRule="auto"/>
        <w:rPr>
          <w:sz w:val="20"/>
          <w:szCs w:val="20"/>
          <w:color w:val="auto"/>
        </w:rPr>
      </w:pPr>
      <w:r>
        <w:rPr>
          <w:rFonts w:ascii="Arial" w:cs="Arial" w:eastAsia="Arial" w:hAnsi="Arial"/>
          <w:sz w:val="16"/>
          <w:szCs w:val="16"/>
          <w:b w:val="1"/>
          <w:bCs w:val="1"/>
          <w:i w:val="1"/>
          <w:iCs w:val="1"/>
          <w:color w:val="auto"/>
        </w:rPr>
        <w:t xml:space="preserve">Held for sale assets — </w:t>
      </w:r>
      <w:r>
        <w:rPr>
          <w:rFonts w:ascii="Arial" w:cs="Arial" w:eastAsia="Arial" w:hAnsi="Arial"/>
          <w:sz w:val="16"/>
          <w:szCs w:val="16"/>
          <w:color w:val="auto"/>
        </w:rPr>
        <w:t>The Company has classified the assets held for sale at fair value, which is determined based on the use of appraisals and input from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participants, and as such, is considered a Level 3 fair value measurement. See Note 2e,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of the Notes to Consolidated Financial Statements for further discussion related to held for sale assets.</w:t>
      </w:r>
    </w:p>
    <w:p>
      <w:pPr>
        <w:spacing w:after="0" w:line="120" w:lineRule="exact"/>
        <w:rPr>
          <w:sz w:val="20"/>
          <w:szCs w:val="20"/>
          <w:color w:val="auto"/>
        </w:rPr>
      </w:pPr>
    </w:p>
    <w:p>
      <w:pPr>
        <w:ind w:left="6" w:right="180" w:firstLine="351"/>
        <w:spacing w:after="0" w:line="250" w:lineRule="auto"/>
        <w:rPr>
          <w:sz w:val="20"/>
          <w:szCs w:val="20"/>
          <w:color w:val="auto"/>
        </w:rPr>
      </w:pPr>
      <w:r>
        <w:rPr>
          <w:rFonts w:ascii="Arial" w:cs="Arial" w:eastAsia="Arial" w:hAnsi="Arial"/>
          <w:sz w:val="16"/>
          <w:szCs w:val="16"/>
          <w:b w:val="1"/>
          <w:bCs w:val="1"/>
          <w:i w:val="1"/>
          <w:iCs w:val="1"/>
          <w:color w:val="auto"/>
        </w:rPr>
        <w:t xml:space="preserve">Debt — </w:t>
      </w:r>
      <w:r>
        <w:rPr>
          <w:rFonts w:ascii="Arial" w:cs="Arial" w:eastAsia="Arial" w:hAnsi="Arial"/>
          <w:sz w:val="16"/>
          <w:szCs w:val="16"/>
          <w:color w:val="auto"/>
        </w:rPr>
        <w:t>The table below presents the estimated fair value of certain financial instruments not recorded at fair value on a recurring basis. The carrying amounts of the 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loan approximates fair value. The term loan is classified as Level 2 measurements according to the fair value hierarchy. The fair values of the senior unsecured notes are obtained from broker prices and are classified as Level 1 measurements according to the fair value hierarchy. See Note 14, </w:t>
      </w:r>
      <w:r>
        <w:rPr>
          <w:rFonts w:ascii="Arial" w:cs="Arial" w:eastAsia="Arial" w:hAnsi="Arial"/>
          <w:sz w:val="16"/>
          <w:szCs w:val="16"/>
          <w:i w:val="1"/>
          <w:iCs w:val="1"/>
          <w:color w:val="auto"/>
        </w:rPr>
        <w:t>Debt</w:t>
      </w:r>
      <w:r>
        <w:rPr>
          <w:rFonts w:ascii="Arial" w:cs="Arial" w:eastAsia="Arial" w:hAnsi="Arial"/>
          <w:sz w:val="16"/>
          <w:szCs w:val="16"/>
          <w:color w:val="auto"/>
        </w:rPr>
        <w:t>, of the Notes to Consolidated Financial Statements for further discussion related to outstanding debt.</w:t>
      </w:r>
    </w:p>
    <w:p>
      <w:pPr>
        <w:spacing w:after="0" w:line="200" w:lineRule="exact"/>
        <w:rPr>
          <w:sz w:val="20"/>
          <w:szCs w:val="20"/>
          <w:color w:val="auto"/>
        </w:rPr>
      </w:pPr>
    </w:p>
    <w:p>
      <w:pPr>
        <w:spacing w:after="0" w:line="29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59" w:name="page60"/>
    <w:bookmarkEnd w:id="59"/>
    <w:p>
      <w:pPr>
        <w:jc w:val="center"/>
        <w:ind w:right="80"/>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97" w:lineRule="exact"/>
        <w:rPr>
          <w:sz w:val="20"/>
          <w:szCs w:val="20"/>
          <w:color w:val="auto"/>
        </w:rPr>
      </w:pPr>
    </w:p>
    <w:tbl>
      <w:tblPr>
        <w:tblLayout w:type="fixed"/>
        <w:tblInd w:w="340" w:type="dxa"/>
        <w:tblCellMar>
          <w:top w:w="0" w:type="dxa"/>
          <w:left w:w="0" w:type="dxa"/>
          <w:bottom w:w="0" w:type="dxa"/>
          <w:right w:w="0" w:type="dxa"/>
        </w:tblCellMar>
      </w:tblPr>
      <w:tr>
        <w:trPr>
          <w:trHeight w:val="166"/>
        </w:trPr>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October 30, 2021</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October 31, 2020</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80" w:type="dxa"/>
            <w:vAlign w:val="bottom"/>
            <w:gridSpan w:val="2"/>
          </w:tcPr>
          <w:p>
            <w:pPr>
              <w:ind w:left="100"/>
              <w:spacing w:after="0" w:line="114" w:lineRule="exact"/>
              <w:rPr>
                <w:sz w:val="20"/>
                <w:szCs w:val="20"/>
                <w:color w:val="auto"/>
              </w:rPr>
            </w:pPr>
            <w:r>
              <w:rPr>
                <w:rFonts w:ascii="Arial" w:cs="Arial" w:eastAsia="Arial" w:hAnsi="Arial"/>
                <w:sz w:val="12"/>
                <w:szCs w:val="12"/>
                <w:b w:val="1"/>
                <w:bCs w:val="1"/>
                <w:color w:val="auto"/>
              </w:rPr>
              <w:t>Principal Amount</w:t>
            </w:r>
          </w:p>
        </w:tc>
        <w:tc>
          <w:tcPr>
            <w:tcW w:w="68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Fair Value</w:t>
            </w:r>
          </w:p>
        </w:tc>
        <w:tc>
          <w:tcPr>
            <w:tcW w:w="500" w:type="dxa"/>
            <w:vAlign w:val="bottom"/>
          </w:tcPr>
          <w:p>
            <w:pPr>
              <w:spacing w:after="0"/>
              <w:rPr>
                <w:sz w:val="9"/>
                <w:szCs w:val="9"/>
                <w:color w:val="auto"/>
              </w:rPr>
            </w:pPr>
          </w:p>
        </w:tc>
        <w:tc>
          <w:tcPr>
            <w:tcW w:w="1400" w:type="dxa"/>
            <w:vAlign w:val="bottom"/>
            <w:gridSpan w:val="2"/>
          </w:tcPr>
          <w:p>
            <w:pPr>
              <w:ind w:left="100"/>
              <w:spacing w:after="0" w:line="114" w:lineRule="exact"/>
              <w:rPr>
                <w:sz w:val="20"/>
                <w:szCs w:val="20"/>
                <w:color w:val="auto"/>
              </w:rPr>
            </w:pPr>
            <w:r>
              <w:rPr>
                <w:rFonts w:ascii="Arial" w:cs="Arial" w:eastAsia="Arial" w:hAnsi="Arial"/>
                <w:sz w:val="12"/>
                <w:szCs w:val="12"/>
                <w:b w:val="1"/>
                <w:bCs w:val="1"/>
                <w:color w:val="auto"/>
              </w:rPr>
              <w:t>Principal Amount</w:t>
            </w:r>
          </w:p>
        </w:tc>
        <w:tc>
          <w:tcPr>
            <w:tcW w:w="680" w:type="dxa"/>
            <w:vAlign w:val="bottom"/>
          </w:tcPr>
          <w:p>
            <w:pPr>
              <w:spacing w:after="0"/>
              <w:rPr>
                <w:sz w:val="9"/>
                <w:szCs w:val="9"/>
                <w:color w:val="auto"/>
              </w:rPr>
            </w:pPr>
          </w:p>
        </w:tc>
        <w:tc>
          <w:tcPr>
            <w:tcW w:w="840" w:type="dxa"/>
            <w:vAlign w:val="bottom"/>
            <w:vMerge w:val="restart"/>
          </w:tcPr>
          <w:p>
            <w:pPr>
              <w:jc w:val="right"/>
              <w:ind w:right="103"/>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2"/>
                <w:szCs w:val="12"/>
                <w:b w:val="1"/>
                <w:bCs w:val="1"/>
                <w:color w:val="auto"/>
              </w:rPr>
              <w:t>Outstanding</w:t>
            </w:r>
          </w:p>
        </w:tc>
        <w:tc>
          <w:tcPr>
            <w:tcW w:w="6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Outstanding</w:t>
            </w:r>
          </w:p>
        </w:tc>
        <w:tc>
          <w:tcPr>
            <w:tcW w:w="6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4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3-Year term loan, due March 2022</w:t>
            </w:r>
          </w:p>
        </w:tc>
        <w:tc>
          <w:tcPr>
            <w:tcW w:w="5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925,000</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199"/>
        </w:trPr>
        <w:tc>
          <w:tcPr>
            <w:tcW w:w="3840" w:type="dxa"/>
            <w:vAlign w:val="bottom"/>
            <w:gridSpan w:val="2"/>
          </w:tcPr>
          <w:p>
            <w:pPr>
              <w:ind w:left="380"/>
              <w:spacing w:after="0"/>
              <w:rPr>
                <w:sz w:val="20"/>
                <w:szCs w:val="20"/>
                <w:color w:val="auto"/>
              </w:rPr>
            </w:pPr>
            <w:r>
              <w:rPr>
                <w:rFonts w:ascii="Arial" w:cs="Arial" w:eastAsia="Arial" w:hAnsi="Arial"/>
                <w:sz w:val="16"/>
                <w:szCs w:val="16"/>
                <w:color w:val="auto"/>
              </w:rPr>
              <w:t>2021 Notes, due December 2021</w:t>
            </w:r>
          </w:p>
        </w:tc>
        <w:tc>
          <w:tcPr>
            <w:tcW w:w="5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199"/>
        </w:trPr>
        <w:tc>
          <w:tcPr>
            <w:tcW w:w="38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Maxim 2023 Notes, due March 2023</w:t>
            </w: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520,236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tcPr>
          <w:p>
            <w:pPr>
              <w:ind w:left="380"/>
              <w:spacing w:after="0"/>
              <w:rPr>
                <w:sz w:val="20"/>
                <w:szCs w:val="20"/>
                <w:color w:val="auto"/>
              </w:rPr>
            </w:pPr>
            <w:r>
              <w:rPr>
                <w:rFonts w:ascii="Arial" w:cs="Arial" w:eastAsia="Arial" w:hAnsi="Arial"/>
                <w:sz w:val="16"/>
                <w:szCs w:val="16"/>
                <w:color w:val="auto"/>
                <w:w w:val="84"/>
              </w:rPr>
              <w:t>2023</w:t>
            </w:r>
          </w:p>
        </w:tc>
        <w:tc>
          <w:tcPr>
            <w:tcW w:w="3140" w:type="dxa"/>
            <w:vAlign w:val="bottom"/>
          </w:tcPr>
          <w:p>
            <w:pPr>
              <w:ind w:left="20"/>
              <w:spacing w:after="0"/>
              <w:rPr>
                <w:sz w:val="20"/>
                <w:szCs w:val="20"/>
                <w:color w:val="auto"/>
              </w:rPr>
            </w:pPr>
            <w:r>
              <w:rPr>
                <w:rFonts w:ascii="Arial" w:cs="Arial" w:eastAsia="Arial" w:hAnsi="Arial"/>
                <w:sz w:val="16"/>
                <w:szCs w:val="16"/>
                <w:color w:val="auto"/>
              </w:rPr>
              <w:t>Notes, due June 2023</w:t>
            </w:r>
          </w:p>
        </w:tc>
        <w:tc>
          <w:tcPr>
            <w:tcW w:w="5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199"/>
        </w:trPr>
        <w:tc>
          <w:tcPr>
            <w:tcW w:w="38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2023 Notes, due December 2023</w:t>
            </w:r>
          </w:p>
        </w:tc>
        <w:tc>
          <w:tcPr>
            <w:tcW w:w="5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199"/>
        </w:trPr>
        <w:tc>
          <w:tcPr>
            <w:tcW w:w="700" w:type="dxa"/>
            <w:vAlign w:val="bottom"/>
          </w:tcPr>
          <w:p>
            <w:pPr>
              <w:ind w:left="380"/>
              <w:spacing w:after="0"/>
              <w:rPr>
                <w:sz w:val="20"/>
                <w:szCs w:val="20"/>
                <w:color w:val="auto"/>
              </w:rPr>
            </w:pPr>
            <w:r>
              <w:rPr>
                <w:rFonts w:ascii="Arial" w:cs="Arial" w:eastAsia="Arial" w:hAnsi="Arial"/>
                <w:sz w:val="16"/>
                <w:szCs w:val="16"/>
                <w:color w:val="auto"/>
                <w:w w:val="84"/>
              </w:rPr>
              <w:t>2024</w:t>
            </w:r>
          </w:p>
        </w:tc>
        <w:tc>
          <w:tcPr>
            <w:tcW w:w="3140" w:type="dxa"/>
            <w:vAlign w:val="bottom"/>
          </w:tcPr>
          <w:p>
            <w:pPr>
              <w:ind w:left="20"/>
              <w:spacing w:after="0"/>
              <w:rPr>
                <w:sz w:val="20"/>
                <w:szCs w:val="20"/>
                <w:color w:val="auto"/>
              </w:rPr>
            </w:pPr>
            <w:r>
              <w:rPr>
                <w:rFonts w:ascii="Arial" w:cs="Arial" w:eastAsia="Arial" w:hAnsi="Arial"/>
                <w:sz w:val="16"/>
                <w:szCs w:val="16"/>
                <w:color w:val="auto"/>
              </w:rPr>
              <w:t>Notes, due October 2024</w:t>
            </w:r>
          </w:p>
        </w:tc>
        <w:tc>
          <w:tcPr>
            <w:tcW w:w="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500,482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4"/>
              </w:rPr>
              <w:t>2025</w:t>
            </w: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April 2025</w:t>
            </w: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423,265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199"/>
        </w:trPr>
        <w:tc>
          <w:tcPr>
            <w:tcW w:w="3840" w:type="dxa"/>
            <w:vAlign w:val="bottom"/>
            <w:gridSpan w:val="2"/>
          </w:tcPr>
          <w:p>
            <w:pPr>
              <w:ind w:left="380"/>
              <w:spacing w:after="0"/>
              <w:rPr>
                <w:sz w:val="20"/>
                <w:szCs w:val="20"/>
                <w:color w:val="auto"/>
              </w:rPr>
            </w:pPr>
            <w:r>
              <w:rPr>
                <w:rFonts w:ascii="Arial" w:cs="Arial" w:eastAsia="Arial" w:hAnsi="Arial"/>
                <w:sz w:val="16"/>
                <w:szCs w:val="16"/>
                <w:color w:val="auto"/>
              </w:rPr>
              <w:t>2025 Notes, due December 2025</w:t>
            </w:r>
          </w:p>
        </w:tc>
        <w:tc>
          <w:tcPr>
            <w:tcW w:w="5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850,000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199"/>
        </w:trPr>
        <w:tc>
          <w:tcPr>
            <w:tcW w:w="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4"/>
              </w:rPr>
              <w:t>2026</w:t>
            </w: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December 2026</w:t>
            </w: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986,243</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900,000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199"/>
        </w:trPr>
        <w:tc>
          <w:tcPr>
            <w:tcW w:w="3840" w:type="dxa"/>
            <w:vAlign w:val="bottom"/>
            <w:gridSpan w:val="2"/>
          </w:tcPr>
          <w:p>
            <w:pPr>
              <w:ind w:left="380"/>
              <w:spacing w:after="0"/>
              <w:rPr>
                <w:sz w:val="20"/>
                <w:szCs w:val="20"/>
                <w:color w:val="auto"/>
              </w:rPr>
            </w:pPr>
            <w:r>
              <w:rPr>
                <w:rFonts w:ascii="Arial" w:cs="Arial" w:eastAsia="Arial" w:hAnsi="Arial"/>
                <w:sz w:val="16"/>
                <w:szCs w:val="16"/>
                <w:color w:val="auto"/>
              </w:rPr>
              <w:t>Maxim 2027 Notes, due June 2027</w:t>
            </w:r>
          </w:p>
        </w:tc>
        <w:tc>
          <w:tcPr>
            <w:tcW w:w="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542,942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4"/>
              </w:rPr>
              <w:t>2028</w:t>
            </w: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October 2028</w:t>
            </w: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743,109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tcPr>
          <w:p>
            <w:pPr>
              <w:ind w:left="380"/>
              <w:spacing w:after="0"/>
              <w:rPr>
                <w:sz w:val="20"/>
                <w:szCs w:val="20"/>
                <w:color w:val="auto"/>
              </w:rPr>
            </w:pPr>
            <w:r>
              <w:rPr>
                <w:rFonts w:ascii="Arial" w:cs="Arial" w:eastAsia="Arial" w:hAnsi="Arial"/>
                <w:sz w:val="16"/>
                <w:szCs w:val="16"/>
                <w:color w:val="auto"/>
                <w:w w:val="84"/>
              </w:rPr>
              <w:t>2031</w:t>
            </w:r>
          </w:p>
        </w:tc>
        <w:tc>
          <w:tcPr>
            <w:tcW w:w="3140" w:type="dxa"/>
            <w:vAlign w:val="bottom"/>
          </w:tcPr>
          <w:p>
            <w:pPr>
              <w:ind w:left="20"/>
              <w:spacing w:after="0"/>
              <w:rPr>
                <w:sz w:val="20"/>
                <w:szCs w:val="20"/>
                <w:color w:val="auto"/>
              </w:rPr>
            </w:pPr>
            <w:r>
              <w:rPr>
                <w:rFonts w:ascii="Arial" w:cs="Arial" w:eastAsia="Arial" w:hAnsi="Arial"/>
                <w:sz w:val="16"/>
                <w:szCs w:val="16"/>
                <w:color w:val="auto"/>
              </w:rPr>
              <w:t>Notes, due October 2031</w:t>
            </w:r>
          </w:p>
        </w:tc>
        <w:tc>
          <w:tcPr>
            <w:tcW w:w="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996,702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4"/>
              </w:rPr>
              <w:t>2036</w:t>
            </w: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December 2036</w:t>
            </w: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144,278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176,960</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199"/>
        </w:trPr>
        <w:tc>
          <w:tcPr>
            <w:tcW w:w="700" w:type="dxa"/>
            <w:vAlign w:val="bottom"/>
          </w:tcPr>
          <w:p>
            <w:pPr>
              <w:ind w:left="380"/>
              <w:spacing w:after="0"/>
              <w:rPr>
                <w:sz w:val="20"/>
                <w:szCs w:val="20"/>
                <w:color w:val="auto"/>
              </w:rPr>
            </w:pPr>
            <w:r>
              <w:rPr>
                <w:rFonts w:ascii="Arial" w:cs="Arial" w:eastAsia="Arial" w:hAnsi="Arial"/>
                <w:sz w:val="16"/>
                <w:szCs w:val="16"/>
                <w:color w:val="auto"/>
                <w:w w:val="84"/>
              </w:rPr>
              <w:t>2041</w:t>
            </w:r>
          </w:p>
        </w:tc>
        <w:tc>
          <w:tcPr>
            <w:tcW w:w="3140" w:type="dxa"/>
            <w:vAlign w:val="bottom"/>
          </w:tcPr>
          <w:p>
            <w:pPr>
              <w:ind w:left="20"/>
              <w:spacing w:after="0"/>
              <w:rPr>
                <w:sz w:val="20"/>
                <w:szCs w:val="20"/>
                <w:color w:val="auto"/>
              </w:rPr>
            </w:pPr>
            <w:r>
              <w:rPr>
                <w:rFonts w:ascii="Arial" w:cs="Arial" w:eastAsia="Arial" w:hAnsi="Arial"/>
                <w:sz w:val="16"/>
                <w:szCs w:val="16"/>
                <w:color w:val="auto"/>
              </w:rPr>
              <w:t>Notes, due October 2041</w:t>
            </w:r>
          </w:p>
        </w:tc>
        <w:tc>
          <w:tcPr>
            <w:tcW w:w="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758,246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84"/>
              </w:rPr>
              <w:t>2045</w:t>
            </w:r>
          </w:p>
        </w:tc>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December 2045</w:t>
            </w:r>
          </w:p>
        </w:tc>
        <w:tc>
          <w:tcPr>
            <w:tcW w:w="5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332,587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469,592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99"/>
        </w:trPr>
        <w:tc>
          <w:tcPr>
            <w:tcW w:w="700" w:type="dxa"/>
            <w:vAlign w:val="bottom"/>
          </w:tcPr>
          <w:p>
            <w:pPr>
              <w:ind w:left="380"/>
              <w:spacing w:after="0"/>
              <w:rPr>
                <w:sz w:val="20"/>
                <w:szCs w:val="20"/>
                <w:color w:val="auto"/>
              </w:rPr>
            </w:pPr>
            <w:r>
              <w:rPr>
                <w:rFonts w:ascii="Arial" w:cs="Arial" w:eastAsia="Arial" w:hAnsi="Arial"/>
                <w:sz w:val="16"/>
                <w:szCs w:val="16"/>
                <w:color w:val="auto"/>
                <w:w w:val="84"/>
              </w:rPr>
              <w:t>2051</w:t>
            </w:r>
          </w:p>
        </w:tc>
        <w:tc>
          <w:tcPr>
            <w:tcW w:w="3140" w:type="dxa"/>
            <w:vAlign w:val="bottom"/>
          </w:tcPr>
          <w:p>
            <w:pPr>
              <w:ind w:left="20"/>
              <w:spacing w:after="0"/>
              <w:rPr>
                <w:sz w:val="20"/>
                <w:szCs w:val="20"/>
                <w:color w:val="auto"/>
              </w:rPr>
            </w:pPr>
            <w:r>
              <w:rPr>
                <w:rFonts w:ascii="Arial" w:cs="Arial" w:eastAsia="Arial" w:hAnsi="Arial"/>
                <w:sz w:val="16"/>
                <w:szCs w:val="16"/>
                <w:color w:val="auto"/>
              </w:rPr>
              <w:t>Notes, due October 2051</w:t>
            </w:r>
          </w:p>
        </w:tc>
        <w:tc>
          <w:tcPr>
            <w:tcW w:w="5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1,029,830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4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Debt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6,776,865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7,147,607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5,175,000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5,708,</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60" w:hanging="286"/>
        <w:spacing w:after="0"/>
        <w:tabs>
          <w:tab w:leader="none" w:pos="560"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Use of Estimates</w:t>
      </w:r>
    </w:p>
    <w:p>
      <w:pPr>
        <w:spacing w:after="0" w:line="108" w:lineRule="exact"/>
        <w:rPr>
          <w:sz w:val="20"/>
          <w:szCs w:val="20"/>
          <w:color w:val="auto"/>
        </w:rPr>
      </w:pPr>
    </w:p>
    <w:p>
      <w:pPr>
        <w:ind w:right="100" w:firstLine="386"/>
        <w:spacing w:after="0" w:line="288"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contingencies at the date of the financial statements and the reported amounts of revenue and expenses during the reporting period. Such estimates relate to the useful lives of fixed assets and identified intangible assets; allowances for doubtful accounts and customer returns; the net realizable value of inventory; potential reserves relating to litigation matters; accrued liabilities, including estimates of variable consideration related to distributor sales; accrued taxes; uncertain tax positions; deferred tax valuation allowances; assumptions pertaining to stock-based compensation payments and defined benefit plans; and fair value of acquired assets and liabilities, including inventory, property, plant and equipment, goodwill, and acquired intangibles; and other reserves. Actual results could differ from those estimates and such differences may be material to the financial statements.</w:t>
      </w:r>
    </w:p>
    <w:p>
      <w:pPr>
        <w:spacing w:after="0" w:line="74" w:lineRule="exact"/>
        <w:rPr>
          <w:sz w:val="20"/>
          <w:szCs w:val="20"/>
          <w:color w:val="auto"/>
        </w:rPr>
      </w:pPr>
    </w:p>
    <w:p>
      <w:pPr>
        <w:ind w:left="540" w:hanging="266"/>
        <w:spacing w:after="0"/>
        <w:tabs>
          <w:tab w:leader="none" w:pos="540"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Concentrations of Risk</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investments and trade accounts receivable.</w:t>
      </w:r>
    </w:p>
    <w:p>
      <w:pPr>
        <w:spacing w:after="0" w:line="108" w:lineRule="exact"/>
        <w:rPr>
          <w:sz w:val="20"/>
          <w:szCs w:val="20"/>
          <w:color w:val="auto"/>
        </w:rPr>
      </w:pPr>
    </w:p>
    <w:p>
      <w:pPr>
        <w:ind w:right="640" w:firstLine="386"/>
        <w:spacing w:after="0" w:line="263" w:lineRule="auto"/>
        <w:rPr>
          <w:sz w:val="20"/>
          <w:szCs w:val="20"/>
          <w:color w:val="auto"/>
        </w:rPr>
      </w:pPr>
      <w:r>
        <w:rPr>
          <w:rFonts w:ascii="Arial" w:cs="Arial" w:eastAsia="Arial" w:hAnsi="Arial"/>
          <w:sz w:val="16"/>
          <w:szCs w:val="16"/>
          <w:color w:val="auto"/>
        </w:rPr>
        <w:t>The Company maintains cash and cash equivalents with high credit quality counterparties, continuously monitors the amount of credit exposure to any one issuer and diversifies its investments in order to minimize its credit risk.</w:t>
      </w:r>
    </w:p>
    <w:p>
      <w:pPr>
        <w:spacing w:after="0" w:line="88" w:lineRule="exact"/>
        <w:rPr>
          <w:sz w:val="20"/>
          <w:szCs w:val="20"/>
          <w:color w:val="auto"/>
        </w:rPr>
      </w:pPr>
    </w:p>
    <w:p>
      <w:pPr>
        <w:ind w:right="120" w:firstLine="386"/>
        <w:spacing w:after="0" w:line="297" w:lineRule="auto"/>
        <w:rPr>
          <w:sz w:val="20"/>
          <w:szCs w:val="20"/>
          <w:color w:val="auto"/>
        </w:rPr>
      </w:pPr>
      <w:r>
        <w:rPr>
          <w:rFonts w:ascii="Arial" w:cs="Arial" w:eastAsia="Arial" w:hAnsi="Arial"/>
          <w:sz w:val="14"/>
          <w:szCs w:val="14"/>
          <w:color w:val="auto"/>
        </w:rPr>
        <w:t>The Company sells its products to distributors and original equipment manufacturers (OEMs) involved in a variety of industries including industrial, communications, automotive and consumer end markets. The Company has adopted credit policies and standards to accommodate growth in these markets. The Company performs continuing credit evaluations of its customers’ financial condition and although the Company generally does not require collateral, the Company may require letters of credit from customers in certain circumstances. The Company provides reserves for estimated amounts of accounts receivable that may not be collected.</w:t>
      </w:r>
    </w:p>
    <w:p>
      <w:pPr>
        <w:spacing w:after="0" w:line="57" w:lineRule="exact"/>
        <w:rPr>
          <w:sz w:val="20"/>
          <w:szCs w:val="20"/>
          <w:color w:val="auto"/>
        </w:rPr>
      </w:pPr>
    </w:p>
    <w:p>
      <w:pPr>
        <w:ind w:right="200" w:firstLine="386"/>
        <w:spacing w:after="0" w:line="250" w:lineRule="auto"/>
        <w:rPr>
          <w:sz w:val="20"/>
          <w:szCs w:val="20"/>
          <w:color w:val="auto"/>
        </w:rPr>
      </w:pPr>
      <w:r>
        <w:rPr>
          <w:rFonts w:ascii="Arial" w:cs="Arial" w:eastAsia="Arial" w:hAnsi="Arial"/>
          <w:sz w:val="16"/>
          <w:szCs w:val="16"/>
          <w:color w:val="auto"/>
        </w:rPr>
        <w:t>The Company's largest customer, which is a distributor rather than an end customer, accounted for approximately 26%, 29%, and 30% of net revenues in fiscal 2021, fiscal 2020 and fiscal 2019, respectively. The Company's next largest customer, which is also a distributor, accounted for approximately 11% and 10% of net revenues in fiscal 2021 and fiscal 2019, respectively. This next largest customer accounted for less than 10% of net revenues in fiscal 2020. No other customer accounted for greater than 10% of revenue in any period presented.</w:t>
      </w: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m.  Concentration of Other Risks</w:t>
      </w:r>
    </w:p>
    <w:p>
      <w:pPr>
        <w:spacing w:after="0" w:line="120" w:lineRule="exact"/>
        <w:rPr>
          <w:sz w:val="20"/>
          <w:szCs w:val="20"/>
          <w:color w:val="auto"/>
        </w:rPr>
      </w:pPr>
    </w:p>
    <w:p>
      <w:pPr>
        <w:ind w:right="60" w:firstLine="386"/>
        <w:spacing w:after="0" w:line="285" w:lineRule="auto"/>
        <w:rPr>
          <w:sz w:val="20"/>
          <w:szCs w:val="20"/>
          <w:color w:val="auto"/>
        </w:rPr>
      </w:pPr>
      <w:r>
        <w:rPr>
          <w:rFonts w:ascii="Arial" w:cs="Arial" w:eastAsia="Arial" w:hAnsi="Arial"/>
          <w:sz w:val="14"/>
          <w:szCs w:val="14"/>
          <w:color w:val="auto"/>
        </w:rPr>
        <w:t>The semiconductor industry is characterized by rapid technological change, competitive pricing pressures and cyclical market patterns. The Company’s financial results are affected by a wide variety of factors, including general economic conditions worldwide, economic conditions specific to the semiconductor industry, the timely implementation of new manufacturing technologies, the ability to safeguard patents and intellectual property in a rapidly evolving market and reliance on assembly and test subcontractors, third-party wafer fabricators and independent distributors. In addition, the semiconductor market has historically been cyclical and subject to significant economic downturns at various times. The Company is exposed to the risk of obsolescence of its inventory depending on the mix of future business. Additionally, a large portion of the Company’s purchases of external wafer and foundry services are from a limited number of suppliers, such as Taiwan Semiconductor Manufacturing Company (TSMC) and others. If these suppliers or any of the Company’s other key suppliers are unable or unwilling to manufacture and deliver sufficient quantities of components, on the time schedule and of the quality that the Company requires, the Company may be forced to engage additional or replacement suppliers, which could result in significant expenses and disruptions or delays in manufacturing, product development and shipment of product to the Company’s customers. Given the current demand environment in the semiconductor industry, the Company expects to face a constrained supply environment in the near term. Management is working to balance these constraints as it shifts the Company's global resources and adds capacity where appropriate.</w:t>
      </w:r>
    </w:p>
    <w:p>
      <w:pPr>
        <w:spacing w:after="0" w:line="252"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6"/>
          <w:szCs w:val="16"/>
          <w:b w:val="1"/>
          <w:bCs w:val="1"/>
          <w:i w:val="1"/>
          <w:iCs w:val="1"/>
          <w:color w:val="auto"/>
        </w:rPr>
        <w:t>n.</w:t>
      </w:r>
      <w:r>
        <w:rPr>
          <w:sz w:val="20"/>
          <w:szCs w:val="20"/>
          <w:color w:val="auto"/>
        </w:rPr>
        <w:tab/>
      </w:r>
      <w:r>
        <w:rPr>
          <w:rFonts w:ascii="Arial" w:cs="Arial" w:eastAsia="Arial" w:hAnsi="Arial"/>
          <w:sz w:val="13"/>
          <w:szCs w:val="13"/>
          <w:b w:val="1"/>
          <w:bCs w:val="1"/>
          <w:i w:val="1"/>
          <w:iCs w:val="1"/>
          <w:color w:val="auto"/>
        </w:rPr>
        <w:t>Revenue Recognition</w:t>
      </w:r>
    </w:p>
    <w:p>
      <w:pPr>
        <w:spacing w:after="0" w:line="143" w:lineRule="exact"/>
        <w:rPr>
          <w:sz w:val="20"/>
          <w:szCs w:val="20"/>
          <w:color w:val="auto"/>
        </w:rPr>
      </w:pPr>
    </w:p>
    <w:p>
      <w:pPr>
        <w:ind w:right="120" w:firstLine="386"/>
        <w:spacing w:after="0" w:line="286" w:lineRule="auto"/>
        <w:rPr>
          <w:sz w:val="20"/>
          <w:szCs w:val="20"/>
          <w:color w:val="auto"/>
        </w:rPr>
      </w:pPr>
      <w:r>
        <w:rPr>
          <w:rFonts w:ascii="Arial" w:cs="Arial" w:eastAsia="Arial" w:hAnsi="Arial"/>
          <w:sz w:val="14"/>
          <w:szCs w:val="14"/>
          <w:color w:val="auto"/>
        </w:rPr>
        <w:t>Recognition of revenue occurs when a customer obtains control of promised goods or services in an amount that reflects the consideration to which the providing entity expects to be entitled in exchange for those goods or services. The Company recognizes revenue upon transfer of control of promised products or services to customers in an amount that reflects the consideration the Company expects to receive in exchange for those products or services. The Company recognizes revenue when all of the following criteria are met: (1) the Company has entered into a binding agreement, (2) the performance obligations have been identified, (3) the transaction price to the customer has been determined, (4) the transaction price has been allocated to the performance obligations in the contract, and (5) the performance obligations have been satisfied. The majority of the Company's shipping terms permit the Company to recognize revenue at point of shipment or delivery. Certain shipping terms require the goods to be through customs or be received by the customer before title passes. In those instances, the Company defers the revenue recognized until title has passed. Shipping costs are charged to selling, marketing, general and administrative expense as incurred. Sales taxes are excluded from revenue.</w:t>
      </w:r>
    </w:p>
    <w:p>
      <w:pPr>
        <w:spacing w:after="0" w:line="102" w:lineRule="exact"/>
        <w:rPr>
          <w:sz w:val="20"/>
          <w:szCs w:val="20"/>
          <w:color w:val="auto"/>
        </w:rPr>
      </w:pPr>
    </w:p>
    <w:p>
      <w:pPr>
        <w:ind w:right="420" w:firstLine="351"/>
        <w:spacing w:after="0" w:line="288" w:lineRule="auto"/>
        <w:rPr>
          <w:sz w:val="20"/>
          <w:szCs w:val="20"/>
          <w:color w:val="auto"/>
        </w:rPr>
      </w:pPr>
      <w:r>
        <w:rPr>
          <w:rFonts w:ascii="Arial" w:cs="Arial" w:eastAsia="Arial" w:hAnsi="Arial"/>
          <w:sz w:val="14"/>
          <w:szCs w:val="14"/>
          <w:color w:val="auto"/>
        </w:rPr>
        <w:t>Revenue from contracts with the United States government, government prime contractors and certain commercial customers is recorded over time using either units delivered or costs incurred as the measurement basis for progress toward completion. These measures are used to measure results directly and is generally the best measure of progress toward completion in circumstances in which a reliable measure of output can be established. Estimated revenue in excess of amounts billed is reported as unbilled receivables. Contract accounting requires judgment in estimating costs and assumptions related to technical issues and delivery schedule. Contract costs include material, subcontract costs, labor and an allocation of indirect costs. The estimation of costs at completion of a contract is subject to numerous variables involving contract costs and estimates as to the length of time to complete the contract. Changes in contract performance, estimated gross margin, including the impact of final contract settlements, and estimated losses are recognized in the period in which the changes or losses are determined.</w:t>
      </w:r>
    </w:p>
    <w:p>
      <w:pPr>
        <w:spacing w:after="0" w:line="98" w:lineRule="exact"/>
        <w:rPr>
          <w:sz w:val="20"/>
          <w:szCs w:val="20"/>
          <w:color w:val="auto"/>
        </w:rPr>
      </w:pPr>
    </w:p>
    <w:p>
      <w:pPr>
        <w:ind w:firstLine="351"/>
        <w:spacing w:after="0" w:line="290" w:lineRule="auto"/>
        <w:rPr>
          <w:sz w:val="20"/>
          <w:szCs w:val="20"/>
          <w:color w:val="auto"/>
        </w:rPr>
      </w:pPr>
      <w:r>
        <w:rPr>
          <w:rFonts w:ascii="Arial" w:cs="Arial" w:eastAsia="Arial" w:hAnsi="Arial"/>
          <w:sz w:val="14"/>
          <w:szCs w:val="14"/>
          <w:i w:val="1"/>
          <w:iCs w:val="1"/>
          <w:color w:val="auto"/>
        </w:rPr>
        <w:t>Performance Obligations</w:t>
      </w:r>
      <w:r>
        <w:rPr>
          <w:rFonts w:ascii="Arial" w:cs="Arial" w:eastAsia="Arial" w:hAnsi="Arial"/>
          <w:sz w:val="14"/>
          <w:szCs w:val="14"/>
          <w:color w:val="auto"/>
        </w:rPr>
        <w:t>: Substantially all of the Company’s contracts with customers contain a single performance obligation, the sale of mixed-signal integrated circuit</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Such sales represent a single performance obligation because the sale is one type of good or includes multiple goods that are neither capable of being distinct nor separable from the other promises in the contract. This performance obligation is satisfied when control of the product is transferred to the customer, which occurs upon shipment or delivery. Unsatisfied performance obligations primarily represent contracts for products with future delivery dates and with an original expected duration of one year or less. The Company generally offers a twelve-month warranty for its products. The Company’s warranty policy provides for replacement of defective products. Specific accruals are recorded for known product warranty issues. Product warranty expenses during fiscal 2021, fiscal 2020 and fiscal 2019 were not material.</w:t>
      </w:r>
    </w:p>
    <w:p>
      <w:pPr>
        <w:spacing w:after="0" w:line="96" w:lineRule="exact"/>
        <w:rPr>
          <w:sz w:val="20"/>
          <w:szCs w:val="20"/>
          <w:color w:val="auto"/>
        </w:rPr>
      </w:pPr>
    </w:p>
    <w:p>
      <w:pPr>
        <w:ind w:right="80" w:firstLine="351"/>
        <w:spacing w:after="0" w:line="293" w:lineRule="auto"/>
        <w:rPr>
          <w:sz w:val="20"/>
          <w:szCs w:val="20"/>
          <w:color w:val="auto"/>
        </w:rPr>
      </w:pPr>
      <w:r>
        <w:rPr>
          <w:rFonts w:ascii="Arial" w:cs="Arial" w:eastAsia="Arial" w:hAnsi="Arial"/>
          <w:sz w:val="14"/>
          <w:szCs w:val="14"/>
          <w:i w:val="1"/>
          <w:iCs w:val="1"/>
          <w:color w:val="auto"/>
        </w:rPr>
        <w:t>Transaction Price</w:t>
      </w:r>
      <w:r>
        <w:rPr>
          <w:rFonts w:ascii="Arial" w:cs="Arial" w:eastAsia="Arial" w:hAnsi="Arial"/>
          <w:sz w:val="14"/>
          <w:szCs w:val="14"/>
          <w:color w:val="auto"/>
        </w:rPr>
        <w:t>: The transaction price reflects the Company’s expectations about the consideration it will be entitled to receive from the customer and may include fixed or</w:t>
      </w:r>
      <w:r>
        <w:rPr>
          <w:rFonts w:ascii="Arial" w:cs="Arial" w:eastAsia="Arial" w:hAnsi="Arial"/>
          <w:sz w:val="14"/>
          <w:szCs w:val="14"/>
          <w:i w:val="1"/>
          <w:iCs w:val="1"/>
          <w:color w:val="auto"/>
        </w:rPr>
        <w:t xml:space="preserve"> </w:t>
      </w:r>
      <w:r>
        <w:rPr>
          <w:rFonts w:ascii="Arial" w:cs="Arial" w:eastAsia="Arial" w:hAnsi="Arial"/>
          <w:sz w:val="14"/>
          <w:szCs w:val="14"/>
          <w:color w:val="auto"/>
        </w:rPr>
        <w:t>variable amounts. Fixed consideration primarily includes sales to direct customers and sales to distributors in which both the sale to the distributor and the sale to the end customer occur within the same reporting period. Variable consideration includes sales in which the amount of consideration that the Company will receive is unknown as of the end of a reporting period. Such consideration primarily includes credits issued to the distributor due to price protection and sales made to distributors under agreements that allow certain rights of return, referred to as stock rotation. Price protection represents price discounts granted to certain distributors to allow the distributor to earn an appropriate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margin on sales negotiated with certain customers and in the event of a price decrease subsequent to the date the product was shipped and billed to the distributor. Stock rotation allows distributors limited levels of returns in order to reduce the amounts of slow-moving, discontinued or obsolete product from their inventory. A liability for distributor credits covering variable consideration is made based on the Company's estimate of historical experience rates as well as considering economic conditions and contractual terms. To date, actual distributor claims activity has been materially consistent with the provisions the Company has made based on its historical estimates. For fiscal 2021 and fiscal 2020, sales to distributors were approximately $4.6 billion and $3.2 billion, respectively, net of variable consideration for which the liability balances as of October 30, 2021 and October 31, 2020 were $664.2 million and $229.8 million, respectively, and were recorded in Accrued liabilities on the Consolidated Balance Sheets.</w:t>
      </w:r>
    </w:p>
    <w:p>
      <w:pPr>
        <w:spacing w:after="0" w:line="96" w:lineRule="exact"/>
        <w:rPr>
          <w:sz w:val="20"/>
          <w:szCs w:val="20"/>
          <w:color w:val="auto"/>
        </w:rPr>
      </w:pPr>
    </w:p>
    <w:p>
      <w:pPr>
        <w:ind w:right="40" w:firstLine="351"/>
        <w:spacing w:after="0" w:line="253" w:lineRule="auto"/>
        <w:rPr>
          <w:sz w:val="20"/>
          <w:szCs w:val="20"/>
          <w:color w:val="auto"/>
        </w:rPr>
      </w:pPr>
      <w:r>
        <w:rPr>
          <w:rFonts w:ascii="Arial" w:cs="Arial" w:eastAsia="Arial" w:hAnsi="Arial"/>
          <w:sz w:val="16"/>
          <w:szCs w:val="16"/>
          <w:i w:val="1"/>
          <w:iCs w:val="1"/>
          <w:color w:val="auto"/>
        </w:rPr>
        <w:t>Contract Balances</w:t>
      </w:r>
      <w:r>
        <w:rPr>
          <w:rFonts w:ascii="Arial" w:cs="Arial" w:eastAsia="Arial" w:hAnsi="Arial"/>
          <w:sz w:val="16"/>
          <w:szCs w:val="16"/>
          <w:color w:val="auto"/>
        </w:rPr>
        <w:t>: Accounts receivable represents the Company’s unconditional right to receive consideration from its customers. Payments are typically due within 30 to 45</w:t>
      </w:r>
      <w:r>
        <w:rPr>
          <w:rFonts w:ascii="Arial" w:cs="Arial" w:eastAsia="Arial" w:hAnsi="Arial"/>
          <w:sz w:val="16"/>
          <w:szCs w:val="16"/>
          <w:i w:val="1"/>
          <w:iCs w:val="1"/>
          <w:color w:val="auto"/>
        </w:rPr>
        <w:t xml:space="preserve"> </w:t>
      </w:r>
      <w:r>
        <w:rPr>
          <w:rFonts w:ascii="Arial" w:cs="Arial" w:eastAsia="Arial" w:hAnsi="Arial"/>
          <w:sz w:val="16"/>
          <w:szCs w:val="16"/>
          <w:color w:val="auto"/>
        </w:rPr>
        <w:t>days of invoicing and do not include a significant financing component. To date, there have been no material credit losses on accounts receivable. There were no material contract assets or contract liabilities recorded on the Consolidated Balance Sheets in any of the periods presented.</w:t>
      </w:r>
    </w:p>
    <w:p>
      <w:pPr>
        <w:spacing w:after="0" w:line="85" w:lineRule="exact"/>
        <w:rPr>
          <w:sz w:val="20"/>
          <w:szCs w:val="20"/>
          <w:color w:val="auto"/>
        </w:rPr>
      </w:pPr>
    </w:p>
    <w:p>
      <w:pPr>
        <w:ind w:left="560" w:hanging="286"/>
        <w:spacing w:after="0"/>
        <w:tabs>
          <w:tab w:leader="none" w:pos="560" w:val="left"/>
        </w:tabs>
        <w:numPr>
          <w:ilvl w:val="0"/>
          <w:numId w:val="4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Accumulated Other Comprehensive (Loss) Income</w:t>
      </w:r>
    </w:p>
    <w:p>
      <w:pPr>
        <w:spacing w:after="0" w:line="120" w:lineRule="exact"/>
        <w:rPr>
          <w:sz w:val="20"/>
          <w:szCs w:val="20"/>
          <w:color w:val="auto"/>
        </w:rPr>
      </w:pPr>
    </w:p>
    <w:p>
      <w:pPr>
        <w:ind w:right="400" w:firstLine="386"/>
        <w:spacing w:after="0" w:line="263" w:lineRule="auto"/>
        <w:rPr>
          <w:sz w:val="20"/>
          <w:szCs w:val="20"/>
          <w:color w:val="auto"/>
        </w:rPr>
      </w:pPr>
      <w:r>
        <w:rPr>
          <w:rFonts w:ascii="Arial" w:cs="Arial" w:eastAsia="Arial" w:hAnsi="Arial"/>
          <w:sz w:val="16"/>
          <w:szCs w:val="16"/>
          <w:color w:val="auto"/>
        </w:rPr>
        <w:t>Accumulated other comprehensive (loss) income (AOCI) includes certain transactions that have generally been reported in the Consolidated Statement of Shareholders’ Equity. The changes in components of AOCI at October 30, 2021 and October 31, 2020 consisted of the following:</w:t>
      </w:r>
    </w:p>
    <w:tbl>
      <w:tblPr>
        <w:tblLayout w:type="fixed"/>
        <w:tblInd w:w="0" w:type="dxa"/>
        <w:tblCellMar>
          <w:top w:w="0" w:type="dxa"/>
          <w:left w:w="0" w:type="dxa"/>
          <w:bottom w:w="0" w:type="dxa"/>
          <w:right w:w="0" w:type="dxa"/>
        </w:tblCellMar>
      </w:tblPr>
      <w:tr>
        <w:trPr>
          <w:trHeight w:val="147"/>
        </w:trPr>
        <w:tc>
          <w:tcPr>
            <w:tcW w:w="4680" w:type="dxa"/>
            <w:vAlign w:val="bottom"/>
          </w:tcPr>
          <w:p>
            <w:pPr>
              <w:spacing w:after="0"/>
              <w:rPr>
                <w:sz w:val="12"/>
                <w:szCs w:val="12"/>
                <w:color w:val="auto"/>
              </w:rPr>
            </w:pPr>
          </w:p>
        </w:tc>
        <w:tc>
          <w:tcPr>
            <w:tcW w:w="16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Foreign currency</w:t>
            </w:r>
          </w:p>
        </w:tc>
        <w:tc>
          <w:tcPr>
            <w:tcW w:w="560" w:type="dxa"/>
            <w:vAlign w:val="bottom"/>
          </w:tcPr>
          <w:p>
            <w:pPr>
              <w:spacing w:after="0"/>
              <w:rPr>
                <w:sz w:val="12"/>
                <w:szCs w:val="12"/>
                <w:color w:val="auto"/>
              </w:rPr>
            </w:pPr>
          </w:p>
        </w:tc>
        <w:tc>
          <w:tcPr>
            <w:tcW w:w="11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Unrealized</w:t>
            </w: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6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5"/>
              </w:rPr>
              <w:t>holding gains/losses on</w:t>
            </w:r>
          </w:p>
        </w:tc>
        <w:tc>
          <w:tcPr>
            <w:tcW w:w="52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Pension plans</w:t>
            </w:r>
          </w:p>
        </w:tc>
        <w:tc>
          <w:tcPr>
            <w:tcW w:w="660" w:type="dxa"/>
            <w:vAlign w:val="bottom"/>
          </w:tcPr>
          <w:p>
            <w:pPr>
              <w:spacing w:after="0"/>
              <w:rPr>
                <w:sz w:val="12"/>
                <w:szCs w:val="12"/>
                <w:color w:val="auto"/>
              </w:rPr>
            </w:pPr>
          </w:p>
        </w:tc>
        <w:tc>
          <w:tcPr>
            <w:tcW w:w="98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translation adjustment</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derivatives</w:t>
            </w:r>
          </w:p>
        </w:tc>
        <w:tc>
          <w:tcPr>
            <w:tcW w:w="5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October 31, 2020</w:t>
            </w:r>
          </w:p>
        </w:tc>
        <w:tc>
          <w:tcPr>
            <w:tcW w:w="6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(26,852)</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(172,670)</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(49,939)</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(249,461)</w:t>
            </w:r>
          </w:p>
        </w:tc>
        <w:tc>
          <w:tcPr>
            <w:tcW w:w="0" w:type="dxa"/>
            <w:vAlign w:val="bottom"/>
          </w:tcPr>
          <w:p>
            <w:pPr>
              <w:spacing w:after="0"/>
              <w:rPr>
                <w:sz w:val="1"/>
                <w:szCs w:val="1"/>
                <w:color w:val="auto"/>
              </w:rPr>
            </w:pPr>
          </w:p>
        </w:tc>
      </w:tr>
      <w:tr>
        <w:trPr>
          <w:trHeight w:val="199"/>
        </w:trPr>
        <w:tc>
          <w:tcPr>
            <w:tcW w:w="4680" w:type="dxa"/>
            <w:vAlign w:val="bottom"/>
          </w:tcPr>
          <w:p>
            <w:pPr>
              <w:ind w:left="480"/>
              <w:spacing w:after="0"/>
              <w:rPr>
                <w:sz w:val="20"/>
                <w:szCs w:val="20"/>
                <w:color w:val="auto"/>
              </w:rPr>
            </w:pPr>
            <w:r>
              <w:rPr>
                <w:rFonts w:ascii="Arial" w:cs="Arial" w:eastAsia="Arial" w:hAnsi="Arial"/>
                <w:sz w:val="16"/>
                <w:szCs w:val="16"/>
                <w:color w:val="auto"/>
              </w:rPr>
              <w:t>Other comprehensive income before reclassifications</w:t>
            </w:r>
          </w:p>
        </w:tc>
        <w:tc>
          <w:tcPr>
            <w:tcW w:w="6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56,034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9,307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66,398</w:t>
            </w:r>
          </w:p>
        </w:tc>
        <w:tc>
          <w:tcPr>
            <w:tcW w:w="0" w:type="dxa"/>
            <w:vAlign w:val="bottom"/>
          </w:tcPr>
          <w:p>
            <w:pPr>
              <w:spacing w:after="0"/>
              <w:rPr>
                <w:sz w:val="1"/>
                <w:szCs w:val="1"/>
                <w:color w:val="auto"/>
              </w:rPr>
            </w:pPr>
          </w:p>
        </w:tc>
      </w:tr>
      <w:tr>
        <w:trPr>
          <w:trHeight w:val="199"/>
        </w:trPr>
        <w:tc>
          <w:tcPr>
            <w:tcW w:w="46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Amounts reclassified out of other comprehensive loss</w:t>
            </w:r>
          </w:p>
        </w:tc>
        <w:tc>
          <w:tcPr>
            <w:tcW w:w="6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7,288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2,979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10,267</w:t>
            </w:r>
          </w:p>
        </w:tc>
        <w:tc>
          <w:tcPr>
            <w:tcW w:w="0" w:type="dxa"/>
            <w:vAlign w:val="bottom"/>
          </w:tcPr>
          <w:p>
            <w:pPr>
              <w:spacing w:after="0"/>
              <w:rPr>
                <w:sz w:val="1"/>
                <w:szCs w:val="1"/>
                <w:color w:val="auto"/>
              </w:rPr>
            </w:pPr>
          </w:p>
        </w:tc>
      </w:tr>
      <w:tr>
        <w:trPr>
          <w:trHeight w:val="199"/>
        </w:trPr>
        <w:tc>
          <w:tcPr>
            <w:tcW w:w="4680" w:type="dxa"/>
            <w:vAlign w:val="bottom"/>
          </w:tcPr>
          <w:p>
            <w:pPr>
              <w:ind w:left="480"/>
              <w:spacing w:after="0"/>
              <w:rPr>
                <w:sz w:val="20"/>
                <w:szCs w:val="20"/>
                <w:color w:val="auto"/>
              </w:rPr>
            </w:pPr>
            <w:r>
              <w:rPr>
                <w:rFonts w:ascii="Arial" w:cs="Arial" w:eastAsia="Arial" w:hAnsi="Arial"/>
                <w:sz w:val="16"/>
                <w:szCs w:val="16"/>
                <w:color w:val="auto"/>
              </w:rPr>
              <w:t>Tax</w:t>
            </w:r>
          </w:p>
        </w:tc>
        <w:tc>
          <w:tcPr>
            <w:tcW w:w="6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(14,406)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(13,769)</w:t>
            </w:r>
          </w:p>
        </w:tc>
        <w:tc>
          <w:tcPr>
            <w:tcW w:w="0" w:type="dxa"/>
            <w:vAlign w:val="bottom"/>
          </w:tcPr>
          <w:p>
            <w:pPr>
              <w:spacing w:after="0"/>
              <w:rPr>
                <w:sz w:val="1"/>
                <w:szCs w:val="1"/>
                <w:color w:val="auto"/>
              </w:rPr>
            </w:pPr>
          </w:p>
        </w:tc>
      </w:tr>
      <w:tr>
        <w:trPr>
          <w:trHeight w:val="190"/>
        </w:trPr>
        <w:tc>
          <w:tcPr>
            <w:tcW w:w="46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Other comprehensive income</w:t>
            </w:r>
          </w:p>
        </w:tc>
        <w:tc>
          <w:tcPr>
            <w:tcW w:w="6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48,916</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12,923</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62,896</w:t>
            </w:r>
          </w:p>
        </w:tc>
        <w:tc>
          <w:tcPr>
            <w:tcW w:w="0" w:type="dxa"/>
            <w:vAlign w:val="bottom"/>
          </w:tcPr>
          <w:p>
            <w:pPr>
              <w:spacing w:after="0"/>
              <w:rPr>
                <w:sz w:val="1"/>
                <w:szCs w:val="1"/>
                <w:color w:val="auto"/>
              </w:rPr>
            </w:pPr>
          </w:p>
        </w:tc>
      </w:tr>
      <w:tr>
        <w:trPr>
          <w:trHeight w:val="190"/>
        </w:trPr>
        <w:tc>
          <w:tcPr>
            <w:tcW w:w="4680" w:type="dxa"/>
            <w:vAlign w:val="bottom"/>
          </w:tcPr>
          <w:p>
            <w:pPr>
              <w:ind w:left="400"/>
              <w:spacing w:after="0"/>
              <w:rPr>
                <w:sz w:val="20"/>
                <w:szCs w:val="20"/>
                <w:color w:val="auto"/>
              </w:rPr>
            </w:pPr>
            <w:r>
              <w:rPr>
                <w:rFonts w:ascii="Arial" w:cs="Arial" w:eastAsia="Arial" w:hAnsi="Arial"/>
                <w:sz w:val="16"/>
                <w:szCs w:val="16"/>
                <w:b w:val="1"/>
                <w:bCs w:val="1"/>
                <w:color w:val="auto"/>
              </w:rPr>
              <w:t>October 30, 2021</w:t>
            </w: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(25,795)</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(123,754)</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(37,016)</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(186,565)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jc w:val="right"/>
              <w:ind w:right="422"/>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2" w:name="page63"/>
    <w:bookmarkEnd w:id="62"/>
    <w:p>
      <w:pPr>
        <w:jc w:val="center"/>
        <w:ind w:right="-5"/>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10" w:lineRule="exact"/>
        <w:rPr>
          <w:sz w:val="20"/>
          <w:szCs w:val="20"/>
          <w:color w:val="auto"/>
        </w:rPr>
      </w:pPr>
    </w:p>
    <w:p>
      <w:pPr>
        <w:ind w:left="346"/>
        <w:spacing w:after="0"/>
        <w:rPr>
          <w:sz w:val="20"/>
          <w:szCs w:val="20"/>
          <w:color w:val="auto"/>
        </w:rPr>
      </w:pPr>
      <w:r>
        <w:rPr>
          <w:rFonts w:ascii="Arial" w:cs="Arial" w:eastAsia="Arial" w:hAnsi="Arial"/>
          <w:sz w:val="16"/>
          <w:szCs w:val="16"/>
          <w:color w:val="auto"/>
        </w:rPr>
        <w:t>The amounts reclassified out of AOCI into the Consolidated Statements of Income, with presentation location during each period were as follows:</w:t>
      </w:r>
    </w:p>
    <w:p>
      <w:pPr>
        <w:spacing w:after="0" w:line="38" w:lineRule="exact"/>
        <w:rPr>
          <w:sz w:val="20"/>
          <w:szCs w:val="20"/>
          <w:color w:val="auto"/>
        </w:rPr>
      </w:pPr>
    </w:p>
    <w:tbl>
      <w:tblPr>
        <w:tblLayout w:type="fixed"/>
        <w:tblInd w:w="6" w:type="dxa"/>
        <w:tblCellMar>
          <w:top w:w="0" w:type="dxa"/>
          <w:left w:w="0" w:type="dxa"/>
          <w:bottom w:w="0" w:type="dxa"/>
          <w:right w:w="0" w:type="dxa"/>
        </w:tblCellMar>
      </w:tblPr>
      <w:tr>
        <w:trPr>
          <w:trHeight w:val="185"/>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Comprehensive Income Component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3"/>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unrealized holding gains/losses on derivatives</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20" w:type="dxa"/>
            <w:vAlign w:val="bottom"/>
          </w:tcPr>
          <w:p>
            <w:pPr>
              <w:ind w:left="200"/>
              <w:spacing w:after="0"/>
              <w:rPr>
                <w:sz w:val="20"/>
                <w:szCs w:val="20"/>
                <w:color w:val="auto"/>
              </w:rPr>
            </w:pPr>
            <w:r>
              <w:rPr>
                <w:rFonts w:ascii="Arial" w:cs="Arial" w:eastAsia="Arial" w:hAnsi="Arial"/>
                <w:sz w:val="16"/>
                <w:szCs w:val="16"/>
                <w:color w:val="auto"/>
              </w:rPr>
              <w:t>Currency forwards</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(2,682)</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(2,522)</w:t>
            </w:r>
          </w:p>
        </w:tc>
        <w:tc>
          <w:tcPr>
            <w:tcW w:w="1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Cost of sales</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0" w:type="dxa"/>
            <w:vAlign w:val="bottom"/>
          </w:tcPr>
          <w:p>
            <w:pPr>
              <w:spacing w:after="0"/>
              <w:rPr>
                <w:sz w:val="1"/>
                <w:szCs w:val="1"/>
                <w:color w:val="auto"/>
              </w:rPr>
            </w:pPr>
          </w:p>
        </w:tc>
      </w:tr>
      <w:tr>
        <w:trPr>
          <w:trHeight w:val="199"/>
        </w:trPr>
        <w:tc>
          <w:tcPr>
            <w:tcW w:w="4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Selling, marketing, general and administrative</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rate derivatives</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1,856</w:t>
            </w:r>
          </w:p>
        </w:tc>
        <w:tc>
          <w:tcPr>
            <w:tcW w:w="12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190"/>
        </w:trPr>
        <w:tc>
          <w:tcPr>
            <w:tcW w:w="46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6"/>
                <w:szCs w:val="16"/>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Tax</w:t>
            </w:r>
          </w:p>
        </w:tc>
        <w:tc>
          <w:tcPr>
            <w:tcW w:w="0" w:type="dxa"/>
            <w:vAlign w:val="bottom"/>
          </w:tcPr>
          <w:p>
            <w:pPr>
              <w:spacing w:after="0"/>
              <w:rPr>
                <w:sz w:val="1"/>
                <w:szCs w:val="1"/>
                <w:color w:val="auto"/>
              </w:rPr>
            </w:pPr>
          </w:p>
        </w:tc>
      </w:tr>
      <w:tr>
        <w:trPr>
          <w:trHeight w:val="190"/>
        </w:trPr>
        <w:tc>
          <w:tcPr>
            <w:tcW w:w="4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Effect of Accounting Standards Update 2018-02</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(2,379)</w:t>
            </w:r>
          </w:p>
        </w:tc>
        <w:tc>
          <w:tcPr>
            <w:tcW w:w="12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Retained earnings</w:t>
            </w:r>
          </w:p>
        </w:tc>
        <w:tc>
          <w:tcPr>
            <w:tcW w:w="0" w:type="dxa"/>
            <w:vAlign w:val="bottom"/>
          </w:tcPr>
          <w:p>
            <w:pPr>
              <w:spacing w:after="0"/>
              <w:rPr>
                <w:sz w:val="1"/>
                <w:szCs w:val="1"/>
                <w:color w:val="auto"/>
              </w:rPr>
            </w:pPr>
          </w:p>
        </w:tc>
      </w:tr>
      <w:tr>
        <w:trPr>
          <w:trHeight w:val="215"/>
        </w:trPr>
        <w:tc>
          <w:tcPr>
            <w:tcW w:w="46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120" w:type="dxa"/>
            <w:vAlign w:val="bottom"/>
            <w:tcBorders>
              <w:bottom w:val="single" w:sz="8" w:color="CCEEFF"/>
            </w:tcBorders>
            <w:shd w:val="clear" w:color="auto" w:fill="CCEEFF"/>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462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604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w w:val="92"/>
              </w:rPr>
              <w:t>Amortization of pension components included in the computation of net periodic benefit cost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20" w:type="dxa"/>
            <w:vAlign w:val="bottom"/>
          </w:tcPr>
          <w:p>
            <w:pPr>
              <w:ind w:left="200"/>
              <w:spacing w:after="0"/>
              <w:rPr>
                <w:sz w:val="20"/>
                <w:szCs w:val="20"/>
                <w:color w:val="auto"/>
              </w:rPr>
            </w:pPr>
            <w:r>
              <w:rPr>
                <w:rFonts w:ascii="Arial" w:cs="Arial" w:eastAsia="Arial" w:hAnsi="Arial"/>
                <w:sz w:val="16"/>
                <w:szCs w:val="16"/>
                <w:color w:val="auto"/>
              </w:rPr>
              <w:t>Actuarial losses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2,617</w:t>
            </w:r>
          </w:p>
        </w:tc>
        <w:tc>
          <w:tcPr>
            <w:tcW w:w="3900" w:type="dxa"/>
            <w:vAlign w:val="bottom"/>
            <w:gridSpan w:val="2"/>
          </w:tcPr>
          <w:p>
            <w:pPr>
              <w:ind w:lef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2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Tax</w:t>
            </w:r>
          </w:p>
        </w:tc>
        <w:tc>
          <w:tcPr>
            <w:tcW w:w="0" w:type="dxa"/>
            <w:vAlign w:val="bottom"/>
          </w:tcPr>
          <w:p>
            <w:pPr>
              <w:spacing w:after="0"/>
              <w:rPr>
                <w:sz w:val="1"/>
                <w:szCs w:val="1"/>
                <w:color w:val="auto"/>
              </w:rPr>
            </w:pPr>
          </w:p>
        </w:tc>
      </w:tr>
      <w:tr>
        <w:trPr>
          <w:trHeight w:val="190"/>
        </w:trPr>
        <w:tc>
          <w:tcPr>
            <w:tcW w:w="462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3,268</w:t>
            </w:r>
          </w:p>
        </w:tc>
        <w:tc>
          <w:tcPr>
            <w:tcW w:w="1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82"/>
        </w:trPr>
        <w:tc>
          <w:tcPr>
            <w:tcW w:w="46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7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46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Total amounts reclassified out of AOCI, net of tax</w:t>
            </w:r>
          </w:p>
        </w:tc>
        <w:tc>
          <w:tcPr>
            <w:tcW w:w="320" w:type="dxa"/>
            <w:vAlign w:val="bottom"/>
            <w:tcBorders>
              <w:top w:val="single" w:sz="8" w:color="CCEEFF"/>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10,417</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tcPr>
          <w:p>
            <w:pPr>
              <w:spacing w:after="0"/>
              <w:rPr>
                <w:sz w:val="17"/>
                <w:szCs w:val="17"/>
                <w:color w:val="auto"/>
              </w:rPr>
            </w:pPr>
          </w:p>
        </w:tc>
        <w:tc>
          <w:tcPr>
            <w:tcW w:w="37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86" w:right="100" w:hanging="286"/>
        <w:spacing w:after="0" w:line="253" w:lineRule="auto"/>
        <w:tabs>
          <w:tab w:leader="none" w:pos="286"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The amortization of pension components is included in the computation of net periodic benefit cost. See Note 11, </w:t>
      </w:r>
      <w:r>
        <w:rPr>
          <w:rFonts w:ascii="Arial" w:cs="Arial" w:eastAsia="Arial" w:hAnsi="Arial"/>
          <w:sz w:val="14"/>
          <w:szCs w:val="14"/>
          <w:i w:val="1"/>
          <w:iCs w:val="1"/>
          <w:color w:val="auto"/>
        </w:rPr>
        <w:t>Retirement Plans,</w:t>
      </w:r>
      <w:r>
        <w:rPr>
          <w:rFonts w:ascii="Arial" w:cs="Arial" w:eastAsia="Arial" w:hAnsi="Arial"/>
          <w:sz w:val="14"/>
          <w:szCs w:val="14"/>
          <w:color w:val="auto"/>
        </w:rPr>
        <w:t xml:space="preserve"> of the Notes to Consolidated Financial Statements for further information</w:t>
      </w:r>
      <w:r>
        <w:rPr>
          <w:rFonts w:ascii="Arial" w:cs="Arial" w:eastAsia="Arial" w:hAnsi="Arial"/>
          <w:sz w:val="14"/>
          <w:szCs w:val="14"/>
          <w:i w:val="1"/>
          <w:iCs w:val="1"/>
          <w:color w:val="auto"/>
        </w:rPr>
        <w:t>.</w:t>
      </w:r>
    </w:p>
    <w:p>
      <w:pPr>
        <w:spacing w:after="0" w:line="77" w:lineRule="exact"/>
        <w:rPr>
          <w:rFonts w:ascii="Arial" w:cs="Arial" w:eastAsia="Arial" w:hAnsi="Arial"/>
          <w:sz w:val="14"/>
          <w:szCs w:val="14"/>
          <w:color w:val="auto"/>
        </w:rPr>
      </w:pPr>
    </w:p>
    <w:p>
      <w:pPr>
        <w:ind w:left="286"/>
        <w:spacing w:after="0"/>
        <w:rPr>
          <w:rFonts w:ascii="Arial" w:cs="Arial" w:eastAsia="Arial" w:hAnsi="Arial"/>
          <w:sz w:val="14"/>
          <w:szCs w:val="14"/>
          <w:color w:val="auto"/>
        </w:rPr>
      </w:pPr>
      <w:r>
        <w:rPr>
          <w:rFonts w:ascii="Arial" w:cs="Arial" w:eastAsia="Arial" w:hAnsi="Arial"/>
          <w:sz w:val="16"/>
          <w:szCs w:val="16"/>
          <w:b w:val="1"/>
          <w:bCs w:val="1"/>
          <w:i w:val="1"/>
          <w:iCs w:val="1"/>
          <w:color w:val="auto"/>
        </w:rPr>
        <w:t>p.  Income Taxes</w:t>
      </w:r>
    </w:p>
    <w:p>
      <w:pPr>
        <w:spacing w:after="0" w:line="108" w:lineRule="exact"/>
        <w:rPr>
          <w:sz w:val="20"/>
          <w:szCs w:val="20"/>
          <w:color w:val="auto"/>
        </w:rPr>
      </w:pPr>
    </w:p>
    <w:p>
      <w:pPr>
        <w:ind w:left="6" w:right="40" w:firstLine="386"/>
        <w:spacing w:after="0" w:line="286" w:lineRule="auto"/>
        <w:rPr>
          <w:sz w:val="20"/>
          <w:szCs w:val="20"/>
          <w:color w:val="auto"/>
        </w:rPr>
      </w:pPr>
      <w:r>
        <w:rPr>
          <w:rFonts w:ascii="Arial" w:cs="Arial" w:eastAsia="Arial" w:hAnsi="Arial"/>
          <w:sz w:val="14"/>
          <w:szCs w:val="14"/>
          <w:color w:val="auto"/>
        </w:rPr>
        <w:t>The Company makes certain estimates and judgments in determining income tax expense for financial statement purposes. These estimates and judgments occur in the calculation of income tax credits, benefits, and deductions, and in the calculation of certain tax assets and liabilities, which arise from differences in the timing of the recognition of certain expenses for tax and financial statement purposes. The likelihood of the realization of deferred tax assets is assessed and a corresponding valuation allowance is recorded as necessary if management determines those deferred tax assets may not be realized due to the uncertainty of the timing and amount to be realized of certain state and international tax credit carryovers. In reaching this conclusion, the Company evaluates certain relevant criteria including the existence of deferred tax liabilities that can be used to realize deferred tax assets, the taxable income in prior carryback years in the impacted state and international jurisdictions that can be used to absorb net operating losses and taxable income in future years. Judgments regarding future profitability may change due to future market conditions, changes in U.S. or international tax laws and other factors. These changes, if any, may require material adjustments to these deferred tax assets, which may result in an increase or decrease to the income tax provision in future periods.</w:t>
      </w:r>
    </w:p>
    <w:p>
      <w:pPr>
        <w:spacing w:after="0" w:line="79" w:lineRule="exact"/>
        <w:rPr>
          <w:sz w:val="20"/>
          <w:szCs w:val="20"/>
          <w:color w:val="auto"/>
        </w:rPr>
      </w:pPr>
    </w:p>
    <w:p>
      <w:pPr>
        <w:ind w:left="6" w:right="40" w:firstLine="386"/>
        <w:spacing w:after="0" w:line="285" w:lineRule="auto"/>
        <w:rPr>
          <w:sz w:val="20"/>
          <w:szCs w:val="20"/>
          <w:color w:val="auto"/>
        </w:rPr>
      </w:pPr>
      <w:r>
        <w:rPr>
          <w:rFonts w:ascii="Arial" w:cs="Arial" w:eastAsia="Arial" w:hAnsi="Arial"/>
          <w:sz w:val="14"/>
          <w:szCs w:val="14"/>
          <w:color w:val="auto"/>
        </w:rPr>
        <w:t xml:space="preserve">The Company accounts for uncertain tax positions by first determining if it is “more likely than not” that a tax position will be sustained by the appropriate taxing authorities prior to recording any benefit in the Consolidated Financial Statements. An uncertain income tax position is not recognized if it has less than a 50% likelihood of being sustained. For those tax positions where it is more likely than not that a tax position will be sustained, the Company has recorded the largest amount of tax benefit with a greater than 50% likelihood of being realized upon ultimate settlement with a taxing authority that has full knowledge of all relevant information. For those income tax positions where it is </w:t>
      </w:r>
      <w:r>
        <w:rPr>
          <w:rFonts w:ascii="Arial" w:cs="Arial" w:eastAsia="Arial" w:hAnsi="Arial"/>
          <w:sz w:val="14"/>
          <w:szCs w:val="14"/>
          <w:u w:val="single" w:color="auto"/>
          <w:color w:val="auto"/>
        </w:rPr>
        <w:t>not</w:t>
      </w:r>
      <w:r>
        <w:rPr>
          <w:rFonts w:ascii="Arial" w:cs="Arial" w:eastAsia="Arial" w:hAnsi="Arial"/>
          <w:sz w:val="14"/>
          <w:szCs w:val="14"/>
          <w:color w:val="auto"/>
        </w:rPr>
        <w:t xml:space="preserve"> more likely than not that a tax benefit will be sustained, no tax benefit has been recognized in the financial statements. Management classifies interest and penalties related to uncertain tax positions within the (benefit from) provision for income taxes line of the Consolidated Statements of Income. Management reevaluates these uncertain tax positions on a quarterly basis. This evaluation is based on factors including, but not limited to, changes in known facts or circumstances, changes in tax law, effectively settled issues under audit, and new guidance on legislative interpretations. A change in these factors could result in the recognition of an increase or decrease to the Company's income tax provision which could materially impact its consolidated financial position and results of operations.</w:t>
      </w:r>
    </w:p>
    <w:p>
      <w:pPr>
        <w:spacing w:after="0" w:line="68" w:lineRule="exact"/>
        <w:rPr>
          <w:sz w:val="20"/>
          <w:szCs w:val="20"/>
          <w:color w:val="auto"/>
        </w:rPr>
      </w:pPr>
    </w:p>
    <w:p>
      <w:pPr>
        <w:ind w:left="6" w:right="180" w:firstLine="386"/>
        <w:spacing w:after="0" w:line="307" w:lineRule="auto"/>
        <w:rPr>
          <w:sz w:val="20"/>
          <w:szCs w:val="20"/>
          <w:color w:val="auto"/>
        </w:rPr>
      </w:pPr>
      <w:r>
        <w:rPr>
          <w:rFonts w:ascii="Arial" w:cs="Arial" w:eastAsia="Arial" w:hAnsi="Arial"/>
          <w:sz w:val="14"/>
          <w:szCs w:val="14"/>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the Company believes its estimates are reasonable, no assurance can be given that the final tax outcome of these matters will not be different than that which is reflected in the historical income tax provisions and income tax liabilities.</w:t>
      </w:r>
    </w:p>
    <w:p>
      <w:pPr>
        <w:spacing w:after="0" w:line="200" w:lineRule="exact"/>
        <w:rPr>
          <w:sz w:val="20"/>
          <w:szCs w:val="20"/>
          <w:color w:val="auto"/>
        </w:rPr>
      </w:pPr>
    </w:p>
    <w:p>
      <w:pPr>
        <w:spacing w:after="0" w:line="25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23" w:right="339" w:bottom="1440" w:gutter="0" w:footer="0" w:header="0"/>
        </w:sectPr>
      </w:pPr>
    </w:p>
    <w:bookmarkStart w:id="63" w:name="page64"/>
    <w:bookmarkEnd w:id="63"/>
    <w:p>
      <w:pPr>
        <w:jc w:val="center"/>
        <w:ind w:right="-5"/>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left="6" w:right="20"/>
        <w:spacing w:after="0" w:line="307" w:lineRule="auto"/>
        <w:rPr>
          <w:sz w:val="20"/>
          <w:szCs w:val="20"/>
          <w:color w:val="auto"/>
        </w:rPr>
      </w:pPr>
      <w:r>
        <w:rPr>
          <w:rFonts w:ascii="Arial" w:cs="Arial" w:eastAsia="Arial" w:hAnsi="Arial"/>
          <w:sz w:val="14"/>
          <w:szCs w:val="14"/>
          <w:color w:val="auto"/>
        </w:rPr>
        <w:t xml:space="preserve">In the event management's assumptions are incorrect, the differences could have a material impact on its income tax provision and operating results in the period in which such determination is made. In addition to the factors described above, the current and expected effective tax rate is based on then-current tax law. Significant changes in enacted tax law could affect these estimates. See Note 12,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of the Notes to Consolidated Financial Statements for further information related to income taxes.</w:t>
      </w:r>
    </w:p>
    <w:p>
      <w:pPr>
        <w:spacing w:after="0" w:line="60" w:lineRule="exact"/>
        <w:rPr>
          <w:sz w:val="20"/>
          <w:szCs w:val="20"/>
          <w:color w:val="auto"/>
        </w:rPr>
      </w:pPr>
    </w:p>
    <w:p>
      <w:pPr>
        <w:ind w:left="566" w:hanging="286"/>
        <w:spacing w:after="0"/>
        <w:tabs>
          <w:tab w:leader="none" w:pos="566" w:val="left"/>
        </w:tabs>
        <w:numPr>
          <w:ilvl w:val="0"/>
          <w:numId w:val="4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Earnings Per Share of Common Stock</w:t>
      </w:r>
    </w:p>
    <w:p>
      <w:pPr>
        <w:spacing w:after="0" w:line="108" w:lineRule="exact"/>
        <w:rPr>
          <w:sz w:val="20"/>
          <w:szCs w:val="20"/>
          <w:color w:val="auto"/>
        </w:rPr>
      </w:pPr>
    </w:p>
    <w:p>
      <w:pPr>
        <w:ind w:left="6" w:right="100" w:firstLine="386"/>
        <w:spacing w:after="0" w:line="288" w:lineRule="auto"/>
        <w:rPr>
          <w:sz w:val="20"/>
          <w:szCs w:val="20"/>
          <w:color w:val="auto"/>
        </w:rPr>
      </w:pPr>
      <w:r>
        <w:rPr>
          <w:rFonts w:ascii="Arial" w:cs="Arial" w:eastAsia="Arial" w:hAnsi="Arial"/>
          <w:sz w:val="14"/>
          <w:szCs w:val="14"/>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and restricted stock units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and restricted stock units were excluded because they were anti-dilutive. Those potential shares, determined based on the weighted average exercise prices during the respective periods, could be dilutive in the future.</w:t>
      </w:r>
    </w:p>
    <w:p>
      <w:pPr>
        <w:spacing w:after="0" w:line="63" w:lineRule="exact"/>
        <w:rPr>
          <w:sz w:val="20"/>
          <w:szCs w:val="20"/>
          <w:color w:val="auto"/>
        </w:rPr>
      </w:pPr>
    </w:p>
    <w:p>
      <w:pPr>
        <w:ind w:left="6" w:right="80" w:firstLine="386"/>
        <w:spacing w:after="0" w:line="293" w:lineRule="auto"/>
        <w:rPr>
          <w:sz w:val="20"/>
          <w:szCs w:val="20"/>
          <w:color w:val="auto"/>
        </w:rPr>
      </w:pPr>
      <w:r>
        <w:rPr>
          <w:rFonts w:ascii="Arial" w:cs="Arial" w:eastAsia="Arial" w:hAnsi="Arial"/>
          <w:sz w:val="14"/>
          <w:szCs w:val="14"/>
          <w:color w:val="auto"/>
        </w:rPr>
        <w:t>In connection with the acquisition of Linear Technology Corporate (Linear), the Company granted restricted stock awards to replace outstanding restricted stock awards of Linear employees. These restricted stock awards entitle recipients to voting and nonforfeitable dividend rights from the date of grant. These unvested stock-based compensation awards are considered participating securities and the two-class method is used for purposes of calculating earnings per share. Under the two-class method, a portion of net income is allocated to these participating securities and therefore is excluded from the calculation of earnings per share allocated to common stock, as shown in the table below. The difference between the income allocated to participating securities under the basic and diluted two-class methods is not material.</w:t>
      </w:r>
    </w:p>
    <w:p>
      <w:pPr>
        <w:spacing w:after="0" w:line="70"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The following table sets forth the computation of basic and diluted earnings per share:</w:t>
      </w:r>
    </w:p>
    <w:p>
      <w:pPr>
        <w:spacing w:after="0" w:line="31"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57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96"/>
        </w:trPr>
        <w:tc>
          <w:tcPr>
            <w:tcW w:w="5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income</w:t>
            </w: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1,390,422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1,220,761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1,363,011</w:t>
            </w:r>
          </w:p>
        </w:tc>
        <w:tc>
          <w:tcPr>
            <w:tcW w:w="0" w:type="dxa"/>
            <w:vAlign w:val="bottom"/>
          </w:tcPr>
          <w:p>
            <w:pPr>
              <w:spacing w:after="0"/>
              <w:rPr>
                <w:sz w:val="1"/>
                <w:szCs w:val="1"/>
                <w:color w:val="auto"/>
              </w:rPr>
            </w:pPr>
          </w:p>
        </w:tc>
      </w:tr>
      <w:tr>
        <w:trPr>
          <w:trHeight w:val="199"/>
        </w:trPr>
        <w:tc>
          <w:tcPr>
            <w:tcW w:w="5720" w:type="dxa"/>
            <w:vAlign w:val="bottom"/>
          </w:tcPr>
          <w:p>
            <w:pPr>
              <w:ind w:left="400"/>
              <w:spacing w:after="0"/>
              <w:rPr>
                <w:sz w:val="20"/>
                <w:szCs w:val="20"/>
                <w:color w:val="auto"/>
              </w:rPr>
            </w:pPr>
            <w:r>
              <w:rPr>
                <w:rFonts w:ascii="Arial" w:cs="Arial" w:eastAsia="Arial" w:hAnsi="Arial"/>
                <w:sz w:val="16"/>
                <w:szCs w:val="16"/>
                <w:color w:val="auto"/>
              </w:rPr>
              <w:t>Less: income allocated to participating securities (1)</w:t>
            </w:r>
          </w:p>
        </w:tc>
        <w:tc>
          <w:tcPr>
            <w:tcW w:w="7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3,229</w:t>
            </w:r>
          </w:p>
        </w:tc>
        <w:tc>
          <w:tcPr>
            <w:tcW w:w="0" w:type="dxa"/>
            <w:vAlign w:val="bottom"/>
          </w:tcPr>
          <w:p>
            <w:pPr>
              <w:spacing w:after="0"/>
              <w:rPr>
                <w:sz w:val="1"/>
                <w:szCs w:val="1"/>
                <w:color w:val="auto"/>
              </w:rPr>
            </w:pPr>
          </w:p>
        </w:tc>
      </w:tr>
      <w:tr>
        <w:trPr>
          <w:trHeight w:val="215"/>
        </w:trPr>
        <w:tc>
          <w:tcPr>
            <w:tcW w:w="57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Net income allocated to common shareholders</w:t>
            </w:r>
          </w:p>
        </w:tc>
        <w:tc>
          <w:tcPr>
            <w:tcW w:w="7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1,390,422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1,220,761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1,359,782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72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Basic shares:</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20" w:type="dxa"/>
            <w:vAlign w:val="bottom"/>
          </w:tcPr>
          <w:p>
            <w:pPr>
              <w:ind w:left="500"/>
              <w:spacing w:after="0"/>
              <w:rPr>
                <w:sz w:val="20"/>
                <w:szCs w:val="20"/>
                <w:color w:val="auto"/>
              </w:rPr>
            </w:pPr>
            <w:r>
              <w:rPr>
                <w:rFonts w:ascii="Arial" w:cs="Arial" w:eastAsia="Arial" w:hAnsi="Arial"/>
                <w:sz w:val="16"/>
                <w:szCs w:val="16"/>
                <w:color w:val="auto"/>
              </w:rPr>
              <w:t>Weighted-average shares outstanding</w:t>
            </w: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397,462</w:t>
            </w: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368,633</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369,133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Earnings per common share basic</w:t>
            </w:r>
          </w:p>
        </w:tc>
        <w:tc>
          <w:tcPr>
            <w:tcW w:w="7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72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Diluted shares:</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20" w:type="dxa"/>
            <w:vAlign w:val="bottom"/>
          </w:tcPr>
          <w:p>
            <w:pPr>
              <w:ind w:left="500"/>
              <w:spacing w:after="0"/>
              <w:rPr>
                <w:sz w:val="20"/>
                <w:szCs w:val="20"/>
                <w:color w:val="auto"/>
              </w:rPr>
            </w:pPr>
            <w:r>
              <w:rPr>
                <w:rFonts w:ascii="Arial" w:cs="Arial" w:eastAsia="Arial" w:hAnsi="Arial"/>
                <w:sz w:val="16"/>
                <w:szCs w:val="16"/>
                <w:color w:val="auto"/>
              </w:rPr>
              <w:t>Weighted-average shares outstanding</w:t>
            </w: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397,462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368,633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369,133</w:t>
            </w:r>
          </w:p>
        </w:tc>
        <w:tc>
          <w:tcPr>
            <w:tcW w:w="0" w:type="dxa"/>
            <w:vAlign w:val="bottom"/>
          </w:tcPr>
          <w:p>
            <w:pPr>
              <w:spacing w:after="0"/>
              <w:rPr>
                <w:sz w:val="1"/>
                <w:szCs w:val="1"/>
                <w:color w:val="auto"/>
              </w:rPr>
            </w:pPr>
          </w:p>
        </w:tc>
      </w:tr>
      <w:tr>
        <w:trPr>
          <w:trHeight w:val="199"/>
        </w:trPr>
        <w:tc>
          <w:tcPr>
            <w:tcW w:w="5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Assumed exercise of common stock equivalents</w:t>
            </w:r>
          </w:p>
        </w:tc>
        <w:tc>
          <w:tcPr>
            <w:tcW w:w="7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3,738</w:t>
            </w:r>
          </w:p>
        </w:tc>
        <w:tc>
          <w:tcPr>
            <w:tcW w:w="0" w:type="dxa"/>
            <w:vAlign w:val="bottom"/>
          </w:tcPr>
          <w:p>
            <w:pPr>
              <w:spacing w:after="0"/>
              <w:rPr>
                <w:sz w:val="1"/>
                <w:szCs w:val="1"/>
                <w:color w:val="auto"/>
              </w:rPr>
            </w:pPr>
          </w:p>
        </w:tc>
      </w:tr>
      <w:tr>
        <w:trPr>
          <w:trHeight w:val="190"/>
        </w:trPr>
        <w:tc>
          <w:tcPr>
            <w:tcW w:w="5720" w:type="dxa"/>
            <w:vAlign w:val="bottom"/>
          </w:tcPr>
          <w:p>
            <w:pPr>
              <w:ind w:left="500"/>
              <w:spacing w:after="0"/>
              <w:rPr>
                <w:sz w:val="20"/>
                <w:szCs w:val="20"/>
                <w:color w:val="auto"/>
              </w:rPr>
            </w:pPr>
            <w:r>
              <w:rPr>
                <w:rFonts w:ascii="Arial" w:cs="Arial" w:eastAsia="Arial" w:hAnsi="Arial"/>
                <w:sz w:val="16"/>
                <w:szCs w:val="16"/>
                <w:color w:val="auto"/>
              </w:rPr>
              <w:t>Weighted-average common and common equivalent shares</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401,288</w:t>
            </w: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371,973</w:t>
            </w: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372,871</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Earnings per common share diluted</w:t>
            </w:r>
          </w:p>
        </w:tc>
        <w:tc>
          <w:tcPr>
            <w:tcW w:w="7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6"/>
                <w:szCs w:val="16"/>
                <w:b w:val="1"/>
                <w:bCs w:val="1"/>
                <w:color w:val="auto"/>
              </w:rPr>
              <w:t>Anti-dilutive shares related to:</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72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7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Outstanding stock options</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_______________________________________</w:t>
      </w:r>
    </w:p>
    <w:p>
      <w:pPr>
        <w:spacing w:after="0" w:line="10" w:lineRule="exact"/>
        <w:rPr>
          <w:sz w:val="20"/>
          <w:szCs w:val="20"/>
          <w:color w:val="auto"/>
        </w:rPr>
      </w:pPr>
    </w:p>
    <w:p>
      <w:pPr>
        <w:ind w:left="286" w:right="7660" w:hanging="286"/>
        <w:spacing w:after="0" w:line="392" w:lineRule="auto"/>
        <w:tabs>
          <w:tab w:leader="none" w:pos="286"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For fiscal 2021 and fiscal 2020, the amount is not material. </w:t>
      </w:r>
      <w:r>
        <w:rPr>
          <w:rFonts w:ascii="Arial" w:cs="Arial" w:eastAsia="Arial" w:hAnsi="Arial"/>
          <w:sz w:val="15"/>
          <w:szCs w:val="15"/>
          <w:b w:val="1"/>
          <w:bCs w:val="1"/>
          <w:i w:val="1"/>
          <w:iCs w:val="1"/>
          <w:color w:val="auto"/>
        </w:rPr>
        <w:t>r. Stock-Based Compensation</w:t>
      </w:r>
    </w:p>
    <w:p>
      <w:pPr>
        <w:ind w:left="6" w:right="60" w:firstLine="386"/>
        <w:spacing w:after="0" w:line="248" w:lineRule="auto"/>
        <w:rPr>
          <w:sz w:val="20"/>
          <w:szCs w:val="20"/>
          <w:color w:val="auto"/>
        </w:rPr>
      </w:pPr>
      <w:r>
        <w:rPr>
          <w:rFonts w:ascii="Arial" w:cs="Arial" w:eastAsia="Arial" w:hAnsi="Arial"/>
          <w:sz w:val="16"/>
          <w:szCs w:val="16"/>
          <w:color w:val="auto"/>
        </w:rPr>
        <w:t>Stock-based compensation is measured at the grant date based on the grant-date fair value of the awards ultimately expected to vest and is recognized as an expense on a straight-line basis over the vesting period, which is generally four years for stock options and restricted stock units, or in annual installments of 25% on each of the first, second, third and fourth anniversaries of the date of grant. Restricted stock units with service and performance or market conditions generally vest in one installment on the third anniversary of the date of grant. For grants issued prior to fiscal 2018, the vesting period was generally five years for stock options, or in annual installments of 20% on each of the first, second, third, fourth and fifth</w:t>
      </w:r>
    </w:p>
    <w:p>
      <w:pPr>
        <w:spacing w:after="0" w:line="200" w:lineRule="exact"/>
        <w:rPr>
          <w:sz w:val="20"/>
          <w:szCs w:val="20"/>
          <w:color w:val="auto"/>
        </w:rPr>
      </w:pPr>
    </w:p>
    <w:p>
      <w:pPr>
        <w:spacing w:after="0" w:line="29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23"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anniversaries of the date of grant and in one installment on the third anniversary of the date of grant for restricted stock units/awards. The maximum contractual term of all stock options is ten years.</w:t>
      </w:r>
    </w:p>
    <w:p>
      <w:pPr>
        <w:spacing w:after="0" w:line="88" w:lineRule="exact"/>
        <w:rPr>
          <w:sz w:val="20"/>
          <w:szCs w:val="20"/>
          <w:color w:val="auto"/>
        </w:rPr>
      </w:pPr>
    </w:p>
    <w:p>
      <w:pPr>
        <w:ind w:right="20" w:firstLine="386"/>
        <w:spacing w:after="0" w:line="285" w:lineRule="auto"/>
        <w:rPr>
          <w:sz w:val="20"/>
          <w:szCs w:val="20"/>
          <w:color w:val="auto"/>
        </w:rPr>
      </w:pPr>
      <w:r>
        <w:rPr>
          <w:rFonts w:ascii="Arial" w:cs="Arial" w:eastAsia="Arial" w:hAnsi="Arial"/>
          <w:sz w:val="14"/>
          <w:szCs w:val="14"/>
          <w:color w:val="auto"/>
        </w:rPr>
        <w:t>Determining the amount of stock-based compensation expense to be recorded requires the Company to develop estimates used in calculating the grant-date fair value of awards. These estimates may be based on different valuation models depending upon the type of award and may include assumptions, such as expected volatility, expected term, risk-free interest rate, expected dividend yield, forfeiture rate and others. The Company uses the Black-Scholes valuation model to calculate the grant-date fair value of stock option awards. The grant-date fair value of restricted stock units with a service condition and restricted stock units with both service and performance conditions are calculated using the value of the Company's common stock on the date of grant, reduced by the present value of dividends expected to be paid on the Company's common stock prior to vesting. For restricted stock units with both service and performance conditions, this grant-date fair value is also impacted by the number of units that are expected to vest during the performance period and is adjusted through the related stock-based compensation expense at each reporting period based on the probability of achievement of that performance condition. If the Company determines that an award is unlikely to vest, any previously recorded stock-based compensation expense is reversed in the period of that determination. The grant date fair value of restricted stock units or performance-based stock options with both service and market conditions is calculated using the Monte Carlo simulation model to estimate the probability of satisfying the performance condition stipulated in the award grant, including the possibility that the market condition may not be satisfied.</w:t>
      </w:r>
    </w:p>
    <w:p>
      <w:pPr>
        <w:spacing w:after="0" w:line="64" w:lineRule="exact"/>
        <w:rPr>
          <w:sz w:val="20"/>
          <w:szCs w:val="20"/>
          <w:color w:val="auto"/>
        </w:rPr>
      </w:pPr>
    </w:p>
    <w:p>
      <w:pPr>
        <w:ind w:right="460" w:firstLine="386"/>
        <w:spacing w:after="0" w:line="263" w:lineRule="auto"/>
        <w:rPr>
          <w:sz w:val="20"/>
          <w:szCs w:val="20"/>
          <w:color w:val="auto"/>
        </w:rPr>
      </w:pPr>
      <w:r>
        <w:rPr>
          <w:rFonts w:ascii="Arial" w:cs="Arial" w:eastAsia="Arial" w:hAnsi="Arial"/>
          <w:sz w:val="16"/>
          <w:szCs w:val="16"/>
          <w:color w:val="auto"/>
        </w:rPr>
        <w:t xml:space="preserve">See Note 3, </w:t>
      </w:r>
      <w:r>
        <w:rPr>
          <w:rFonts w:ascii="Arial" w:cs="Arial" w:eastAsia="Arial" w:hAnsi="Arial"/>
          <w:sz w:val="16"/>
          <w:szCs w:val="16"/>
          <w:i w:val="1"/>
          <w:iCs w:val="1"/>
          <w:color w:val="auto"/>
        </w:rPr>
        <w:t>Stock-Based Compensation and Shareholders' Equity</w:t>
      </w:r>
      <w:r>
        <w:rPr>
          <w:rFonts w:ascii="Arial" w:cs="Arial" w:eastAsia="Arial" w:hAnsi="Arial"/>
          <w:sz w:val="16"/>
          <w:szCs w:val="16"/>
          <w:color w:val="auto"/>
        </w:rPr>
        <w:t>, of the Notes to Consolidated Financial Statements for additional information relating to stock-based compensation.</w:t>
      </w:r>
    </w:p>
    <w:p>
      <w:pPr>
        <w:spacing w:after="0" w:line="76" w:lineRule="exact"/>
        <w:rPr>
          <w:sz w:val="20"/>
          <w:szCs w:val="20"/>
          <w:color w:val="auto"/>
        </w:rPr>
      </w:pPr>
    </w:p>
    <w:p>
      <w:pPr>
        <w:ind w:left="540" w:hanging="266"/>
        <w:spacing w:after="0"/>
        <w:tabs>
          <w:tab w:leader="none" w:pos="540" w:val="left"/>
        </w:tabs>
        <w:numPr>
          <w:ilvl w:val="0"/>
          <w:numId w:val="4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New Accounting Pronouncements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Standards Implemented During Current Fiscal Year</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Financial Instruments</w:t>
      </w:r>
    </w:p>
    <w:p>
      <w:pPr>
        <w:spacing w:after="0" w:line="85" w:lineRule="exact"/>
        <w:rPr>
          <w:sz w:val="20"/>
          <w:szCs w:val="20"/>
          <w:color w:val="auto"/>
        </w:rPr>
      </w:pPr>
    </w:p>
    <w:p>
      <w:pPr>
        <w:ind w:right="20" w:firstLine="351"/>
        <w:spacing w:after="0" w:line="286" w:lineRule="auto"/>
        <w:rPr>
          <w:sz w:val="20"/>
          <w:szCs w:val="20"/>
          <w:color w:val="auto"/>
        </w:rPr>
      </w:pPr>
      <w:r>
        <w:rPr>
          <w:rFonts w:ascii="Arial" w:cs="Arial" w:eastAsia="Arial" w:hAnsi="Arial"/>
          <w:sz w:val="14"/>
          <w:szCs w:val="14"/>
          <w:color w:val="auto"/>
        </w:rPr>
        <w:t xml:space="preserve">In June 2016, the Financial Accounting Standards Board (FASB) issued Accounting Standards Update 2016-13, </w:t>
      </w:r>
      <w:r>
        <w:rPr>
          <w:rFonts w:ascii="Arial" w:cs="Arial" w:eastAsia="Arial" w:hAnsi="Arial"/>
          <w:sz w:val="14"/>
          <w:szCs w:val="14"/>
          <w:i w:val="1"/>
          <w:iCs w:val="1"/>
          <w:color w:val="auto"/>
        </w:rPr>
        <w:t>Financial Instruments - Credit Losses (Topic 326),</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Measurement of Credit Losses on Financial Instruments </w:t>
      </w:r>
      <w:r>
        <w:rPr>
          <w:rFonts w:ascii="Arial" w:cs="Arial" w:eastAsia="Arial" w:hAnsi="Arial"/>
          <w:sz w:val="14"/>
          <w:szCs w:val="14"/>
          <w:color w:val="auto"/>
        </w:rPr>
        <w:t>(ASU 2016-13). ASU 2016-13 requires a financial asset (or group of financial assets) measured at amortized cost basis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be presented at the net amount expected to be collected. The allowance for credit losses is a valuation account that is deducted from the amortized cost basis of the financial asset(s) to present the net carrying value at the amount expected to be collected on the financial asset. In 2019, the FASB issued ASU 2019-05, </w:t>
      </w:r>
      <w:r>
        <w:rPr>
          <w:rFonts w:ascii="Arial" w:cs="Arial" w:eastAsia="Arial" w:hAnsi="Arial"/>
          <w:sz w:val="14"/>
          <w:szCs w:val="14"/>
          <w:i w:val="1"/>
          <w:iCs w:val="1"/>
          <w:color w:val="auto"/>
        </w:rPr>
        <w:t>Financial Instruments - Credit Losses (Topic</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326): Targeted Transition Relief </w:t>
      </w:r>
      <w:r>
        <w:rPr>
          <w:rFonts w:ascii="Arial" w:cs="Arial" w:eastAsia="Arial" w:hAnsi="Arial"/>
          <w:sz w:val="14"/>
          <w:szCs w:val="14"/>
          <w:color w:val="auto"/>
        </w:rPr>
        <w:t>(ASU 2019-05) and ASU 2019-11,</w:t>
      </w:r>
      <w:r>
        <w:rPr>
          <w:rFonts w:ascii="Arial" w:cs="Arial" w:eastAsia="Arial" w:hAnsi="Arial"/>
          <w:sz w:val="14"/>
          <w:szCs w:val="14"/>
          <w:i w:val="1"/>
          <w:iCs w:val="1"/>
          <w:color w:val="auto"/>
        </w:rPr>
        <w:t xml:space="preserve"> Codification Improvements to Topic 326 </w:t>
      </w:r>
      <w:r>
        <w:rPr>
          <w:rFonts w:ascii="Arial" w:cs="Arial" w:eastAsia="Arial" w:hAnsi="Arial"/>
          <w:sz w:val="14"/>
          <w:szCs w:val="14"/>
          <w:color w:val="auto"/>
        </w:rPr>
        <w:t>(ASU 2019-11). ASU 2019-05 allows an entity to irrevocably elect the</w:t>
      </w:r>
      <w:r>
        <w:rPr>
          <w:rFonts w:ascii="Arial" w:cs="Arial" w:eastAsia="Arial" w:hAnsi="Arial"/>
          <w:sz w:val="14"/>
          <w:szCs w:val="14"/>
          <w:i w:val="1"/>
          <w:iCs w:val="1"/>
          <w:color w:val="auto"/>
        </w:rPr>
        <w:t xml:space="preserve"> </w:t>
      </w:r>
      <w:r>
        <w:rPr>
          <w:rFonts w:ascii="Arial" w:cs="Arial" w:eastAsia="Arial" w:hAnsi="Arial"/>
          <w:sz w:val="14"/>
          <w:szCs w:val="14"/>
          <w:color w:val="auto"/>
        </w:rPr>
        <w:t>fair value option for certain financial instruments. Once elected, an entity would recognize the difference between the carrying amount and the fair value of the financial instrument as part of the cumulative effect adjustments associated with the adoption of ASU 2016-13. ASU 2019-11 allows entities to exclude the accrued interest component of amortized cost from various disclosures required by ASC 326.</w:t>
      </w:r>
    </w:p>
    <w:p>
      <w:pPr>
        <w:spacing w:after="0" w:line="44" w:lineRule="exact"/>
        <w:rPr>
          <w:sz w:val="20"/>
          <w:szCs w:val="20"/>
          <w:color w:val="auto"/>
        </w:rPr>
      </w:pPr>
    </w:p>
    <w:p>
      <w:pPr>
        <w:ind w:right="140" w:firstLine="351"/>
        <w:spacing w:after="0" w:line="248" w:lineRule="auto"/>
        <w:rPr>
          <w:sz w:val="20"/>
          <w:szCs w:val="20"/>
          <w:color w:val="auto"/>
        </w:rPr>
      </w:pPr>
      <w:r>
        <w:rPr>
          <w:rFonts w:ascii="Arial" w:cs="Arial" w:eastAsia="Arial" w:hAnsi="Arial"/>
          <w:sz w:val="16"/>
          <w:szCs w:val="16"/>
          <w:color w:val="auto"/>
        </w:rPr>
        <w:t xml:space="preserve">The Company is exposed to credit losses through sales of its products and certain financial instruments. The Company determines if there is an expected loss on its accounts receivables using historical collection experience, current and future economic and market conditions and a review of the current status of customers' trade accounts receivables. The Company adopted these standards effective November 1, 2020 using the modified retrospective approach, which did not have a material impact on the Company's financial position and results of operations. See Note 8,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of the Notes to Consolidated Financial Statements for more information related to how the Company assesses credit losses on its available-for-sale debt securities.</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Income taxes</w:t>
      </w:r>
    </w:p>
    <w:p>
      <w:pPr>
        <w:spacing w:after="0" w:line="85" w:lineRule="exact"/>
        <w:rPr>
          <w:sz w:val="20"/>
          <w:szCs w:val="20"/>
          <w:color w:val="auto"/>
        </w:rPr>
      </w:pPr>
    </w:p>
    <w:p>
      <w:pPr>
        <w:ind w:firstLine="351"/>
        <w:spacing w:after="0" w:line="297"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Simplifying the Accounting for Income Taxes</w:t>
      </w:r>
      <w:r>
        <w:rPr>
          <w:rFonts w:ascii="Arial" w:cs="Arial" w:eastAsia="Arial" w:hAnsi="Arial"/>
          <w:sz w:val="14"/>
          <w:szCs w:val="14"/>
          <w:color w:val="auto"/>
        </w:rPr>
        <w:t xml:space="preserve"> (ASU-2019-12).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Company adopted ASU 2019-12 in the first quarter of fiscal 2021. Upon adoption, ASU 2019-12 did not have a material impact on the Company's financial position and results of operations.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Retirement Benefits</w:t>
      </w:r>
    </w:p>
    <w:p>
      <w:pPr>
        <w:spacing w:after="0" w:line="85" w:lineRule="exact"/>
        <w:rPr>
          <w:sz w:val="20"/>
          <w:szCs w:val="20"/>
          <w:color w:val="auto"/>
        </w:rPr>
      </w:pPr>
    </w:p>
    <w:p>
      <w:pPr>
        <w:ind w:right="160" w:firstLine="386"/>
        <w:spacing w:after="0" w:line="253"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Compensation-Retirement Benefits-Defined Benefit Plans-General (Topic 715-20): Disclosure Framework-Changes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for Defined Benefit Plans </w:t>
      </w:r>
      <w:r>
        <w:rPr>
          <w:rFonts w:ascii="Arial" w:cs="Arial" w:eastAsia="Arial" w:hAnsi="Arial"/>
          <w:sz w:val="16"/>
          <w:szCs w:val="16"/>
          <w:color w:val="auto"/>
        </w:rPr>
        <w:t>(ASU 2018-14), which modifies the disclosure requirements for defined benefit pension plans and other post-retirement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plans. ASU</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jc w:val="center"/>
        <w:ind w:right="-25"/>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51" w:lineRule="exact"/>
        <w:rPr>
          <w:sz w:val="20"/>
          <w:szCs w:val="20"/>
          <w:color w:val="auto"/>
        </w:rPr>
      </w:pPr>
    </w:p>
    <w:p>
      <w:pPr>
        <w:ind w:left="6" w:right="180"/>
        <w:spacing w:after="0" w:line="263" w:lineRule="auto"/>
        <w:rPr>
          <w:sz w:val="20"/>
          <w:szCs w:val="20"/>
          <w:color w:val="auto"/>
        </w:rPr>
      </w:pPr>
      <w:r>
        <w:rPr>
          <w:rFonts w:ascii="Arial" w:cs="Arial" w:eastAsia="Arial" w:hAnsi="Arial"/>
          <w:sz w:val="16"/>
          <w:szCs w:val="16"/>
          <w:color w:val="auto"/>
        </w:rPr>
        <w:t>2018-14 is effective for fiscal years ending after December 15, 2020, with early adoption permitted. The Company adopted ASU 2018-14 in the first quarter of fiscal 2021. Upon adoption, ASU 2018-14 did not have a material impact on the Company's financial position and results of operations.</w:t>
      </w:r>
    </w:p>
    <w:p>
      <w:pPr>
        <w:spacing w:after="0" w:line="111" w:lineRule="exact"/>
        <w:rPr>
          <w:sz w:val="20"/>
          <w:szCs w:val="20"/>
          <w:color w:val="auto"/>
        </w:rPr>
      </w:pPr>
    </w:p>
    <w:p>
      <w:pPr>
        <w:ind w:left="346"/>
        <w:spacing w:after="0"/>
        <w:rPr>
          <w:sz w:val="20"/>
          <w:szCs w:val="20"/>
          <w:color w:val="auto"/>
        </w:rPr>
      </w:pPr>
      <w:r>
        <w:rPr>
          <w:rFonts w:ascii="Arial" w:cs="Arial" w:eastAsia="Arial" w:hAnsi="Arial"/>
          <w:sz w:val="16"/>
          <w:szCs w:val="16"/>
          <w:i w:val="1"/>
          <w:iCs w:val="1"/>
          <w:color w:val="auto"/>
        </w:rPr>
        <w:t>Standards to Be Implemented</w:t>
      </w:r>
    </w:p>
    <w:p>
      <w:pPr>
        <w:spacing w:after="0" w:line="143" w:lineRule="exact"/>
        <w:rPr>
          <w:sz w:val="20"/>
          <w:szCs w:val="20"/>
          <w:color w:val="auto"/>
        </w:rPr>
      </w:pPr>
    </w:p>
    <w:p>
      <w:pPr>
        <w:ind w:left="386"/>
        <w:spacing w:after="0"/>
        <w:rPr>
          <w:sz w:val="20"/>
          <w:szCs w:val="20"/>
          <w:color w:val="auto"/>
        </w:rPr>
      </w:pPr>
      <w:r>
        <w:rPr>
          <w:rFonts w:ascii="Arial" w:cs="Arial" w:eastAsia="Arial" w:hAnsi="Arial"/>
          <w:sz w:val="16"/>
          <w:szCs w:val="16"/>
          <w:i w:val="1"/>
          <w:iCs w:val="1"/>
          <w:color w:val="auto"/>
        </w:rPr>
        <w:t>Reference Rate Reform</w:t>
      </w:r>
    </w:p>
    <w:p>
      <w:pPr>
        <w:spacing w:after="0" w:line="73" w:lineRule="exact"/>
        <w:rPr>
          <w:sz w:val="20"/>
          <w:szCs w:val="20"/>
          <w:color w:val="auto"/>
        </w:rPr>
      </w:pPr>
    </w:p>
    <w:p>
      <w:pPr>
        <w:jc w:val="both"/>
        <w:ind w:left="6" w:right="40" w:firstLine="386"/>
        <w:spacing w:after="0" w:line="250"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 Facilitation of the Effects of Reference Rate Reform on Financial Reporting</w:t>
      </w:r>
      <w:r>
        <w:rPr>
          <w:rFonts w:ascii="Arial" w:cs="Arial" w:eastAsia="Arial" w:hAnsi="Arial"/>
          <w:sz w:val="16"/>
          <w:szCs w:val="16"/>
          <w:color w:val="auto"/>
        </w:rPr>
        <w:t>, which provides optional guidance for accounting for contracts, hedging relationships, and other transactions affected by reference rate reform, if certain criteria are met. The provisions of this standard are available for election through December 31, 2022. The Company does not expect ASU 2020-04 to have a material impact on the Company's financial position and results of operations.</w:t>
      </w:r>
    </w:p>
    <w:p>
      <w:pPr>
        <w:spacing w:after="0" w:line="64" w:lineRule="exact"/>
        <w:rPr>
          <w:sz w:val="20"/>
          <w:szCs w:val="20"/>
          <w:color w:val="auto"/>
        </w:rPr>
      </w:pPr>
    </w:p>
    <w:p>
      <w:pPr>
        <w:ind w:left="386"/>
        <w:spacing w:after="0"/>
        <w:rPr>
          <w:sz w:val="20"/>
          <w:szCs w:val="20"/>
          <w:color w:val="auto"/>
        </w:rPr>
      </w:pPr>
      <w:r>
        <w:rPr>
          <w:rFonts w:ascii="Arial" w:cs="Arial" w:eastAsia="Arial" w:hAnsi="Arial"/>
          <w:sz w:val="16"/>
          <w:szCs w:val="16"/>
          <w:i w:val="1"/>
          <w:iCs w:val="1"/>
          <w:color w:val="auto"/>
        </w:rPr>
        <w:t>Acquired Contract Assets and Contract Liabilities</w:t>
      </w:r>
    </w:p>
    <w:p>
      <w:pPr>
        <w:spacing w:after="0" w:line="85" w:lineRule="exact"/>
        <w:rPr>
          <w:sz w:val="20"/>
          <w:szCs w:val="20"/>
          <w:color w:val="auto"/>
        </w:rPr>
      </w:pPr>
    </w:p>
    <w:p>
      <w:pPr>
        <w:ind w:left="6" w:right="20" w:firstLine="386"/>
        <w:spacing w:after="0" w:line="286" w:lineRule="auto"/>
        <w:rPr>
          <w:sz w:val="20"/>
          <w:szCs w:val="20"/>
          <w:color w:val="auto"/>
        </w:rPr>
      </w:pPr>
      <w:r>
        <w:rPr>
          <w:rFonts w:ascii="Arial" w:cs="Arial" w:eastAsia="Arial" w:hAnsi="Arial"/>
          <w:sz w:val="14"/>
          <w:szCs w:val="14"/>
          <w:color w:val="auto"/>
        </w:rPr>
        <w:t xml:space="preserve">In October 2021, the FASB issued ASU No. 2021-08, </w:t>
      </w:r>
      <w:r>
        <w:rPr>
          <w:rFonts w:ascii="Arial" w:cs="Arial" w:eastAsia="Arial" w:hAnsi="Arial"/>
          <w:sz w:val="14"/>
          <w:szCs w:val="14"/>
          <w:i w:val="1"/>
          <w:iCs w:val="1"/>
          <w:color w:val="auto"/>
        </w:rPr>
        <w:t>Business Combinations (Topic 805): Accounting for Acquired Contract Assets and Contract Liabilities.</w:t>
      </w:r>
      <w:r>
        <w:rPr>
          <w:rFonts w:ascii="Arial" w:cs="Arial" w:eastAsia="Arial" w:hAnsi="Arial"/>
          <w:sz w:val="14"/>
          <w:szCs w:val="14"/>
          <w:color w:val="auto"/>
        </w:rPr>
        <w:t xml:space="preserve"> Under the new guidance (ASC 805-20-30-28), the acquirer should determine what contract assets and/or contract liabilities it would have recorded 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ASU 2021-08 is effective for the Company in the first quarter of fiscal 2024.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is currently evaluating the adoption date of ASU 2021-08 and the impact, if any, adoption will have on its financial position and results of operations.</w:t>
      </w:r>
    </w:p>
    <w:p>
      <w:pPr>
        <w:spacing w:after="0" w:line="285" w:lineRule="exact"/>
        <w:rPr>
          <w:sz w:val="20"/>
          <w:szCs w:val="20"/>
          <w:color w:val="auto"/>
        </w:rPr>
      </w:pPr>
    </w:p>
    <w:p>
      <w:pPr>
        <w:ind w:left="166" w:right="7520" w:hanging="166"/>
        <w:spacing w:after="0" w:line="383" w:lineRule="auto"/>
        <w:tabs>
          <w:tab w:leader="none" w:pos="147"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and Shareholders’ Equity </w:t>
      </w:r>
      <w:r>
        <w:rPr>
          <w:rFonts w:ascii="Arial" w:cs="Arial" w:eastAsia="Arial" w:hAnsi="Arial"/>
          <w:sz w:val="16"/>
          <w:szCs w:val="16"/>
          <w:i w:val="1"/>
          <w:iCs w:val="1"/>
          <w:u w:val="single" w:color="auto"/>
          <w:color w:val="auto"/>
        </w:rPr>
        <w:t>Equity Compensation Plans</w:t>
      </w:r>
    </w:p>
    <w:p>
      <w:pPr>
        <w:spacing w:after="0" w:line="1" w:lineRule="exact"/>
        <w:rPr>
          <w:sz w:val="20"/>
          <w:szCs w:val="20"/>
          <w:color w:val="auto"/>
        </w:rPr>
      </w:pPr>
    </w:p>
    <w:p>
      <w:pPr>
        <w:ind w:left="6" w:right="20" w:firstLine="386"/>
        <w:spacing w:after="0" w:line="285" w:lineRule="auto"/>
        <w:rPr>
          <w:sz w:val="20"/>
          <w:szCs w:val="20"/>
          <w:color w:val="auto"/>
        </w:rPr>
      </w:pPr>
      <w:r>
        <w:rPr>
          <w:rFonts w:ascii="Arial" w:cs="Arial" w:eastAsia="Arial" w:hAnsi="Arial"/>
          <w:sz w:val="14"/>
          <w:szCs w:val="14"/>
          <w:color w:val="auto"/>
        </w:rPr>
        <w:t>The Company grants, or has granted, stock options and other stock and stock-based awards under the Company's 2020 Equity Incentive Plan (2020 Plan), which was approved by shareholders in March 2020. The 2020 Plan provides for the grant of up to 21.2 million shares of the Company’s common stock, which includes shares under the Company’s previous equity compensation plans, including the Amended and Restated 2006 Stock Incentive Plan, the Linear Technology Corporation Amended and Restated 2005 Equity Incentive Plan and the Amended and Restated 2010 Equity Incentive Plan. The 2020 Plan provides for the grant of incentive stock options intended to qualify under Section 422 of the Internal Revenue Code of 1986, as amended, non-statutory stock options, stock appreciation rights, restricted stock, restricted stock units and other stock-based awards. Employees, officers, directors, consultants and advisors of the Company and its subsidiaries are eligible to be granted awards under the 2020 Plan. No award may be made under the 2020 Plan after March 11, 2030, but awards previously granted may extend beyond that date. The Company does not intend to grant further equity awards under any previous legacy Analog Devices' and Linear Technology Corporation's equity compensation plans. In connection with the Acquisition, the Company assumed the Maxim 1996 Stock Incentive Plan (1996 Plan) and may grant stock options and other stock and stock-based awards under the 1996 Plan. As of October 30, 2021, a total of 18.2 million common shares were available for future grant under the 2020 Plan and 9.0 million common shares were available for future grant under the 1996 Plan.</w:t>
      </w:r>
    </w:p>
    <w:p>
      <w:pPr>
        <w:spacing w:after="0" w:line="76" w:lineRule="exact"/>
        <w:rPr>
          <w:sz w:val="20"/>
          <w:szCs w:val="20"/>
          <w:color w:val="auto"/>
        </w:rPr>
      </w:pPr>
    </w:p>
    <w:p>
      <w:pPr>
        <w:ind w:left="166"/>
        <w:spacing w:after="0"/>
        <w:rPr>
          <w:sz w:val="20"/>
          <w:szCs w:val="20"/>
          <w:color w:val="auto"/>
        </w:rPr>
      </w:pPr>
      <w:r>
        <w:rPr>
          <w:rFonts w:ascii="Arial" w:cs="Arial" w:eastAsia="Arial" w:hAnsi="Arial"/>
          <w:sz w:val="16"/>
          <w:szCs w:val="16"/>
          <w:i w:val="1"/>
          <w:iCs w:val="1"/>
          <w:u w:val="single" w:color="auto"/>
          <w:color w:val="auto"/>
        </w:rPr>
        <w:t>Maxim Replacement Awards</w:t>
      </w:r>
    </w:p>
    <w:p>
      <w:pPr>
        <w:spacing w:after="0" w:line="143" w:lineRule="exact"/>
        <w:rPr>
          <w:sz w:val="20"/>
          <w:szCs w:val="20"/>
          <w:color w:val="auto"/>
        </w:rPr>
      </w:pPr>
    </w:p>
    <w:p>
      <w:pPr>
        <w:ind w:left="6" w:firstLine="351"/>
        <w:spacing w:after="0" w:line="247" w:lineRule="auto"/>
        <w:rPr>
          <w:sz w:val="20"/>
          <w:szCs w:val="20"/>
          <w:color w:val="auto"/>
        </w:rPr>
      </w:pPr>
      <w:r>
        <w:rPr>
          <w:rFonts w:ascii="Arial" w:cs="Arial" w:eastAsia="Arial" w:hAnsi="Arial"/>
          <w:sz w:val="16"/>
          <w:szCs w:val="16"/>
          <w:color w:val="auto"/>
        </w:rPr>
        <w:t>In connection with the Acquisition, the Company issued equity awards, consisting of restricted stock awards and restricted stock units (replacement awards), to certain Maxim employees in replacement of Maxim equity awards. The replacement awards consist of restricted stock and restricted stock unit awards for approximately 3.7 million shares of the Company's common stock with a weighted average grant date fair value of $161.63. The terms and intrinsic value of these replacement awards are substantially the same as the converted Maxim awards. The fair value of the replacement awards associated with services rendered through the Acquisition Date was recognized as a component of the total acquisition consideration, and the remaining fair value of the replacement awards associated with post-Acquisition services will be recognized as an expense on a straight-line basis over the remaining vesting period.</w:t>
      </w:r>
    </w:p>
    <w:p>
      <w:pPr>
        <w:spacing w:after="0" w:line="200" w:lineRule="exact"/>
        <w:rPr>
          <w:sz w:val="20"/>
          <w:szCs w:val="20"/>
          <w:color w:val="auto"/>
        </w:rPr>
      </w:pPr>
    </w:p>
    <w:p>
      <w:pPr>
        <w:spacing w:after="0" w:line="301"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23"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Arial" w:cs="Arial" w:eastAsia="Arial" w:hAnsi="Arial"/>
          <w:sz w:val="16"/>
          <w:szCs w:val="16"/>
          <w:i w:val="1"/>
          <w:iCs w:val="1"/>
          <w:u w:val="single" w:color="auto"/>
          <w:color w:val="auto"/>
        </w:rPr>
        <w:t>Modification of Awards</w:t>
      </w:r>
    </w:p>
    <w:p>
      <w:pPr>
        <w:spacing w:after="0" w:line="120" w:lineRule="exact"/>
        <w:rPr>
          <w:sz w:val="20"/>
          <w:szCs w:val="20"/>
          <w:color w:val="auto"/>
        </w:rPr>
      </w:pPr>
    </w:p>
    <w:p>
      <w:pPr>
        <w:ind w:right="200" w:firstLine="351"/>
        <w:spacing w:after="0" w:line="263" w:lineRule="auto"/>
        <w:rPr>
          <w:sz w:val="20"/>
          <w:szCs w:val="20"/>
          <w:color w:val="auto"/>
        </w:rPr>
      </w:pPr>
      <w:r>
        <w:rPr>
          <w:rFonts w:ascii="Arial" w:cs="Arial" w:eastAsia="Arial" w:hAnsi="Arial"/>
          <w:sz w:val="16"/>
          <w:szCs w:val="16"/>
          <w:color w:val="auto"/>
        </w:rPr>
        <w:t>The Company has, from time to time, modified the terms of its equity awards to employees and directors. The modifications made to the Company’s equity awards in fiscal 2021, fiscal 2020 and fiscal 2019 did not result in significant incremental compensation costs, either individually or in the aggregate.</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6"/>
          <w:szCs w:val="16"/>
          <w:i w:val="1"/>
          <w:iCs w:val="1"/>
          <w:u w:val="single" w:color="auto"/>
          <w:color w:val="auto"/>
        </w:rPr>
        <w:t>Grant-Date Fair Value of Stock Options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Information pertaining to the Company’s stock option awards and the related estimated weighted-average assumptions to calculate the fair value of stock options using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Black-Scholes valuation model granted in fiscal 2021, fiscal 2020 and fiscal 2019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2021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2020</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2019</w:t>
            </w:r>
          </w:p>
        </w:tc>
        <w:tc>
          <w:tcPr>
            <w:tcW w:w="380" w:type="dxa"/>
            <w:vAlign w:val="bottom"/>
            <w:tcBorders>
              <w:bottom w:val="single" w:sz="8" w:color="auto"/>
            </w:tcBorders>
          </w:tcPr>
          <w:p>
            <w:pPr>
              <w:spacing w:after="0"/>
              <w:rPr>
                <w:sz w:val="14"/>
                <w:szCs w:val="14"/>
                <w:color w:val="auto"/>
              </w:rPr>
            </w:pPr>
          </w:p>
        </w:tc>
      </w:tr>
      <w:tr>
        <w:trPr>
          <w:trHeight w:val="196"/>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Options granted (in thousands)</w:t>
            </w:r>
          </w:p>
        </w:tc>
        <w:tc>
          <w:tcPr>
            <w:tcW w:w="144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644</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359</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454</w:t>
            </w:r>
          </w:p>
        </w:tc>
        <w:tc>
          <w:tcPr>
            <w:tcW w:w="380" w:type="dxa"/>
            <w:vAlign w:val="bottom"/>
            <w:shd w:val="clear" w:color="auto" w:fill="CCEEFF"/>
          </w:tcPr>
          <w:p>
            <w:pPr>
              <w:spacing w:after="0"/>
              <w:rPr>
                <w:sz w:val="17"/>
                <w:szCs w:val="17"/>
                <w:color w:val="auto"/>
              </w:rPr>
            </w:pPr>
          </w:p>
        </w:tc>
      </w:tr>
      <w:tr>
        <w:trPr>
          <w:trHeight w:val="199"/>
        </w:trPr>
        <w:tc>
          <w:tcPr>
            <w:tcW w:w="5620" w:type="dxa"/>
            <w:vAlign w:val="bottom"/>
          </w:tcPr>
          <w:p>
            <w:pPr>
              <w:ind w:left="360"/>
              <w:spacing w:after="0"/>
              <w:rPr>
                <w:sz w:val="20"/>
                <w:szCs w:val="20"/>
                <w:color w:val="auto"/>
              </w:rPr>
            </w:pPr>
            <w:r>
              <w:rPr>
                <w:rFonts w:ascii="Arial" w:cs="Arial" w:eastAsia="Arial" w:hAnsi="Arial"/>
                <w:sz w:val="16"/>
                <w:szCs w:val="16"/>
                <w:color w:val="auto"/>
              </w:rPr>
              <w:t>Weighted-average exercise price</w:t>
            </w:r>
          </w:p>
        </w:tc>
        <w:tc>
          <w:tcPr>
            <w:tcW w:w="1440" w:type="dxa"/>
            <w:vAlign w:val="bottom"/>
          </w:tcPr>
          <w:p>
            <w:pPr>
              <w:jc w:val="right"/>
              <w:ind w:right="104"/>
              <w:spacing w:after="0"/>
              <w:rPr>
                <w:sz w:val="20"/>
                <w:szCs w:val="20"/>
                <w:color w:val="auto"/>
              </w:rPr>
            </w:pPr>
            <w:r>
              <w:rPr>
                <w:rFonts w:ascii="Arial" w:cs="Arial" w:eastAsia="Arial" w:hAnsi="Arial"/>
                <w:sz w:val="16"/>
                <w:szCs w:val="16"/>
                <w:color w:val="auto"/>
              </w:rPr>
              <w:t>$145.04</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84"/>
              <w:spacing w:after="0"/>
              <w:rPr>
                <w:sz w:val="20"/>
                <w:szCs w:val="20"/>
                <w:color w:val="auto"/>
              </w:rPr>
            </w:pPr>
            <w:r>
              <w:rPr>
                <w:rFonts w:ascii="Arial" w:cs="Arial" w:eastAsia="Arial" w:hAnsi="Arial"/>
                <w:sz w:val="16"/>
                <w:szCs w:val="16"/>
                <w:color w:val="auto"/>
              </w:rPr>
              <w:t>$94.41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84"/>
              <w:spacing w:after="0"/>
              <w:rPr>
                <w:sz w:val="20"/>
                <w:szCs w:val="20"/>
                <w:color w:val="auto"/>
              </w:rPr>
            </w:pPr>
            <w:r>
              <w:rPr>
                <w:rFonts w:ascii="Arial" w:cs="Arial" w:eastAsia="Arial" w:hAnsi="Arial"/>
                <w:sz w:val="16"/>
                <w:szCs w:val="16"/>
                <w:color w:val="auto"/>
              </w:rPr>
              <w:t>$107.11</w:t>
            </w:r>
          </w:p>
        </w:tc>
        <w:tc>
          <w:tcPr>
            <w:tcW w:w="380" w:type="dxa"/>
            <w:vAlign w:val="bottom"/>
          </w:tcPr>
          <w:p>
            <w:pPr>
              <w:spacing w:after="0"/>
              <w:rPr>
                <w:sz w:val="17"/>
                <w:szCs w:val="17"/>
                <w:color w:val="auto"/>
              </w:rPr>
            </w:pPr>
          </w:p>
        </w:tc>
      </w:tr>
      <w:tr>
        <w:trPr>
          <w:trHeight w:val="199"/>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Weighted-average grant-date fair value</w:t>
            </w:r>
          </w:p>
        </w:tc>
        <w:tc>
          <w:tcPr>
            <w:tcW w:w="144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$33.35</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$18.81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$23.29</w:t>
            </w:r>
          </w:p>
        </w:tc>
        <w:tc>
          <w:tcPr>
            <w:tcW w:w="380" w:type="dxa"/>
            <w:vAlign w:val="bottom"/>
            <w:shd w:val="clear" w:color="auto" w:fill="CCEEFF"/>
          </w:tcPr>
          <w:p>
            <w:pPr>
              <w:spacing w:after="0"/>
              <w:rPr>
                <w:sz w:val="17"/>
                <w:szCs w:val="17"/>
                <w:color w:val="auto"/>
              </w:rPr>
            </w:pPr>
          </w:p>
        </w:tc>
      </w:tr>
      <w:tr>
        <w:trPr>
          <w:trHeight w:val="199"/>
        </w:trPr>
        <w:tc>
          <w:tcPr>
            <w:tcW w:w="5620" w:type="dxa"/>
            <w:vAlign w:val="bottom"/>
          </w:tcPr>
          <w:p>
            <w:pPr>
              <w:ind w:left="360"/>
              <w:spacing w:after="0"/>
              <w:rPr>
                <w:sz w:val="20"/>
                <w:szCs w:val="20"/>
                <w:color w:val="auto"/>
              </w:rPr>
            </w:pPr>
            <w:r>
              <w:rPr>
                <w:rFonts w:ascii="Arial" w:cs="Arial" w:eastAsia="Arial" w:hAnsi="Arial"/>
                <w:sz w:val="16"/>
                <w:szCs w:val="16"/>
                <w:color w:val="auto"/>
              </w:rPr>
              <w:t>Assumptions:</w:t>
            </w: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9"/>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Weighted-average expected volatility</w:t>
            </w:r>
          </w:p>
        </w:tc>
        <w:tc>
          <w:tcPr>
            <w:tcW w:w="144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35.3</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29.5</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26.4</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5620" w:type="dxa"/>
            <w:vAlign w:val="bottom"/>
          </w:tcPr>
          <w:p>
            <w:pPr>
              <w:ind w:left="360"/>
              <w:spacing w:after="0"/>
              <w:rPr>
                <w:sz w:val="20"/>
                <w:szCs w:val="20"/>
                <w:color w:val="auto"/>
              </w:rPr>
            </w:pPr>
            <w:r>
              <w:rPr>
                <w:rFonts w:ascii="Arial" w:cs="Arial" w:eastAsia="Arial" w:hAnsi="Arial"/>
                <w:sz w:val="16"/>
                <w:szCs w:val="16"/>
                <w:color w:val="auto"/>
              </w:rPr>
              <w:t>Weighted-average expected term (in years)</w:t>
            </w:r>
          </w:p>
        </w:tc>
        <w:tc>
          <w:tcPr>
            <w:tcW w:w="1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9"/>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Weighted-average risk-free interest rate</w:t>
            </w:r>
          </w:p>
        </w:tc>
        <w:tc>
          <w:tcPr>
            <w:tcW w:w="144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0.8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0.7</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2.4</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5620" w:type="dxa"/>
            <w:vAlign w:val="bottom"/>
          </w:tcPr>
          <w:p>
            <w:pPr>
              <w:ind w:left="360"/>
              <w:spacing w:after="0"/>
              <w:rPr>
                <w:sz w:val="20"/>
                <w:szCs w:val="20"/>
                <w:color w:val="auto"/>
              </w:rPr>
            </w:pPr>
            <w:r>
              <w:rPr>
                <w:rFonts w:ascii="Arial" w:cs="Arial" w:eastAsia="Arial" w:hAnsi="Arial"/>
                <w:sz w:val="16"/>
                <w:szCs w:val="16"/>
                <w:color w:val="auto"/>
              </w:rPr>
              <w:t>Weighted-average expected dividend yield</w:t>
            </w:r>
          </w:p>
        </w:tc>
        <w:tc>
          <w:tcPr>
            <w:tcW w:w="1440" w:type="dxa"/>
            <w:vAlign w:val="bottom"/>
          </w:tcPr>
          <w:p>
            <w:pPr>
              <w:jc w:val="right"/>
              <w:ind w:right="104"/>
              <w:spacing w:after="0"/>
              <w:rPr>
                <w:sz w:val="20"/>
                <w:szCs w:val="20"/>
                <w:color w:val="auto"/>
              </w:rPr>
            </w:pPr>
            <w:r>
              <w:rPr>
                <w:rFonts w:ascii="Arial" w:cs="Arial" w:eastAsia="Arial" w:hAnsi="Arial"/>
                <w:sz w:val="16"/>
                <w:szCs w:val="16"/>
                <w:color w:val="auto"/>
              </w:rPr>
              <w:t>1.9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20" w:type="dxa"/>
            <w:vAlign w:val="bottom"/>
          </w:tcPr>
          <w:p>
            <w:pPr>
              <w:jc w:val="right"/>
              <w:ind w:right="84"/>
              <w:spacing w:after="0"/>
              <w:rPr>
                <w:sz w:val="20"/>
                <w:szCs w:val="20"/>
                <w:color w:val="auto"/>
              </w:rPr>
            </w:pPr>
            <w:r>
              <w:rPr>
                <w:rFonts w:ascii="Arial" w:cs="Arial" w:eastAsia="Arial" w:hAnsi="Arial"/>
                <w:sz w:val="16"/>
                <w:szCs w:val="16"/>
                <w:color w:val="auto"/>
              </w:rPr>
              <w:t>2.6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40" w:type="dxa"/>
            <w:vAlign w:val="bottom"/>
          </w:tcPr>
          <w:p>
            <w:pPr>
              <w:jc w:val="right"/>
              <w:ind w:right="84"/>
              <w:spacing w:after="0"/>
              <w:rPr>
                <w:sz w:val="20"/>
                <w:szCs w:val="20"/>
                <w:color w:val="auto"/>
              </w:rPr>
            </w:pPr>
            <w:r>
              <w:rPr>
                <w:rFonts w:ascii="Arial" w:cs="Arial" w:eastAsia="Arial" w:hAnsi="Arial"/>
                <w:sz w:val="16"/>
                <w:szCs w:val="16"/>
                <w:color w:val="auto"/>
              </w:rPr>
              <w:t>2.0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74" w:lineRule="exact"/>
        <w:rPr>
          <w:sz w:val="20"/>
          <w:szCs w:val="20"/>
          <w:color w:val="auto"/>
        </w:rPr>
      </w:pPr>
    </w:p>
    <w:p>
      <w:pPr>
        <w:ind w:right="120" w:firstLine="386"/>
        <w:spacing w:after="0" w:line="290" w:lineRule="auto"/>
        <w:rPr>
          <w:sz w:val="20"/>
          <w:szCs w:val="20"/>
          <w:color w:val="auto"/>
        </w:rPr>
      </w:pPr>
      <w:r>
        <w:rPr>
          <w:rFonts w:ascii="Arial" w:cs="Arial" w:eastAsia="Arial" w:hAnsi="Arial"/>
          <w:sz w:val="14"/>
          <w:szCs w:val="14"/>
          <w:i w:val="1"/>
          <w:iCs w:val="1"/>
          <w:color w:val="auto"/>
        </w:rPr>
        <w:t xml:space="preserve">Expected volatility </w:t>
      </w:r>
      <w:r>
        <w:rPr>
          <w:rFonts w:ascii="Arial" w:cs="Arial" w:eastAsia="Arial" w:hAnsi="Arial"/>
          <w:sz w:val="14"/>
          <w:szCs w:val="14"/>
          <w:color w:val="auto"/>
        </w:rPr>
        <w:t>— The Company is responsible for estimating volatility and has considered a number of factors, including third-party estimates. The Company currently</w:t>
      </w:r>
      <w:r>
        <w:rPr>
          <w:rFonts w:ascii="Arial" w:cs="Arial" w:eastAsia="Arial" w:hAnsi="Arial"/>
          <w:sz w:val="14"/>
          <w:szCs w:val="14"/>
          <w:i w:val="1"/>
          <w:iCs w:val="1"/>
          <w:color w:val="auto"/>
        </w:rPr>
        <w:t xml:space="preserve"> </w:t>
      </w:r>
      <w:r>
        <w:rPr>
          <w:rFonts w:ascii="Arial" w:cs="Arial" w:eastAsia="Arial" w:hAnsi="Arial"/>
          <w:sz w:val="14"/>
          <w:szCs w:val="14"/>
          <w:color w:val="auto"/>
        </w:rPr>
        <w:t>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w:t>
      </w:r>
    </w:p>
    <w:p>
      <w:pPr>
        <w:spacing w:after="0" w:line="72" w:lineRule="exact"/>
        <w:rPr>
          <w:sz w:val="20"/>
          <w:szCs w:val="20"/>
          <w:color w:val="auto"/>
        </w:rPr>
      </w:pPr>
    </w:p>
    <w:p>
      <w:pPr>
        <w:ind w:right="400" w:firstLine="386"/>
        <w:spacing w:after="0" w:line="253"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Company uses historical employee exercise and option expiration data to estimate the expected term assumption for the Black-Scholes grant-date</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The Company believes that this historical data is currently the best estimate of the expected term of a new option, and that generally its employees exhibit similar exercise behavior.</w:t>
      </w:r>
    </w:p>
    <w:p>
      <w:pPr>
        <w:spacing w:after="0" w:line="85" w:lineRule="exact"/>
        <w:rPr>
          <w:sz w:val="20"/>
          <w:szCs w:val="20"/>
          <w:color w:val="auto"/>
        </w:rPr>
      </w:pPr>
    </w:p>
    <w:p>
      <w:pPr>
        <w:ind w:right="400" w:firstLine="386"/>
        <w:spacing w:after="0" w:line="263"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 The yield on zero-coupon U.S. Treasury securities for a period that is commensurate with the expected term assumption is used as the risk-free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w:t>
      </w:r>
    </w:p>
    <w:p>
      <w:pPr>
        <w:spacing w:after="0" w:line="76" w:lineRule="exact"/>
        <w:rPr>
          <w:sz w:val="20"/>
          <w:szCs w:val="20"/>
          <w:color w:val="auto"/>
        </w:rPr>
      </w:pPr>
    </w:p>
    <w:p>
      <w:pPr>
        <w:ind w:right="20" w:firstLine="386"/>
        <w:spacing w:after="0" w:line="293" w:lineRule="auto"/>
        <w:rPr>
          <w:sz w:val="20"/>
          <w:szCs w:val="20"/>
          <w:color w:val="auto"/>
        </w:rPr>
      </w:pPr>
      <w:r>
        <w:rPr>
          <w:rFonts w:ascii="Arial" w:cs="Arial" w:eastAsia="Arial" w:hAnsi="Arial"/>
          <w:sz w:val="14"/>
          <w:szCs w:val="14"/>
          <w:i w:val="1"/>
          <w:iCs w:val="1"/>
          <w:color w:val="auto"/>
        </w:rPr>
        <w:t xml:space="preserve">Expected dividend yield </w:t>
      </w:r>
      <w:r>
        <w:rPr>
          <w:rFonts w:ascii="Arial" w:cs="Arial" w:eastAsia="Arial" w:hAnsi="Arial"/>
          <w:sz w:val="14"/>
          <w:szCs w:val="14"/>
          <w:color w:val="auto"/>
        </w:rPr>
        <w:t>— Expected dividend yield is calculated by annualizing the cash dividend declared by the Company’s Board of Directors for the current quarter and</w:t>
      </w:r>
      <w:r>
        <w:rPr>
          <w:rFonts w:ascii="Arial" w:cs="Arial" w:eastAsia="Arial" w:hAnsi="Arial"/>
          <w:sz w:val="14"/>
          <w:szCs w:val="14"/>
          <w:i w:val="1"/>
          <w:iCs w:val="1"/>
          <w:color w:val="auto"/>
        </w:rPr>
        <w:t xml:space="preserve"> </w:t>
      </w:r>
      <w:r>
        <w:rPr>
          <w:rFonts w:ascii="Arial" w:cs="Arial" w:eastAsia="Arial" w:hAnsi="Arial"/>
          <w:sz w:val="14"/>
          <w:szCs w:val="14"/>
          <w:color w:val="auto"/>
        </w:rPr>
        <w:t>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replacement awards or restricted stock units. In connection with the acquisition of Linear, the Company granted restricted stock awards to replace outstanding restricted stock awards of Linear employees. These restricted stock awards specific to legacy Linear awards entitle recipients to voting and nonforfeitable dividend rights from the date of grant.</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i w:val="1"/>
          <w:iCs w:val="1"/>
          <w:u w:val="single" w:color="auto"/>
          <w:color w:val="auto"/>
        </w:rPr>
        <w:t>Stock-Based Compensation Expense</w:t>
      </w:r>
    </w:p>
    <w:p>
      <w:pPr>
        <w:spacing w:after="0" w:line="120" w:lineRule="exact"/>
        <w:rPr>
          <w:sz w:val="20"/>
          <w:szCs w:val="20"/>
          <w:color w:val="auto"/>
        </w:rPr>
      </w:pPr>
    </w:p>
    <w:p>
      <w:pPr>
        <w:ind w:right="60" w:firstLine="386"/>
        <w:spacing w:after="0" w:line="293" w:lineRule="auto"/>
        <w:rPr>
          <w:sz w:val="20"/>
          <w:szCs w:val="20"/>
          <w:color w:val="auto"/>
        </w:rPr>
      </w:pPr>
      <w:r>
        <w:rPr>
          <w:rFonts w:ascii="Arial" w:cs="Arial" w:eastAsia="Arial" w:hAnsi="Arial"/>
          <w:sz w:val="14"/>
          <w:szCs w:val="14"/>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5.0% to all unvested stock-based awards as of October 30, 2021. This analysis will be re-evaluated annually and the forfeiture rate will be adjusted as necessary. Ultimately, the actual expense recognized over the vesting period will only be for those awards that vest.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7" w:name="page68"/>
    <w:bookmarkEnd w:id="67"/>
    <w:p>
      <w:pPr>
        <w:jc w:val="center"/>
        <w:ind w:right="-5"/>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Total stock-based compensation expense recognized is as follows:</w:t>
      </w:r>
    </w:p>
    <w:p>
      <w:pPr>
        <w:spacing w:after="0" w:line="31"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61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5"/>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5"/>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25"/>
              <w:spacing w:after="0"/>
              <w:rPr>
                <w:sz w:val="20"/>
                <w:szCs w:val="20"/>
                <w:color w:val="auto"/>
              </w:rPr>
            </w:pPr>
            <w:r>
              <w:rPr>
                <w:rFonts w:ascii="Arial" w:cs="Arial" w:eastAsia="Arial" w:hAnsi="Arial"/>
                <w:sz w:val="12"/>
                <w:szCs w:val="12"/>
                <w:b w:val="1"/>
                <w:bCs w:val="1"/>
                <w:color w:val="auto"/>
              </w:rPr>
              <w:t>2019</w:t>
            </w:r>
          </w:p>
        </w:tc>
      </w:tr>
      <w:tr>
        <w:trPr>
          <w:trHeight w:val="196"/>
        </w:trPr>
        <w:tc>
          <w:tcPr>
            <w:tcW w:w="61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Cost of sales</w:t>
            </w:r>
          </w:p>
        </w:tc>
        <w:tc>
          <w:tcPr>
            <w:tcW w:w="6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22,028</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17,684</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w:t>
            </w:r>
          </w:p>
        </w:tc>
      </w:tr>
      <w:tr>
        <w:trPr>
          <w:trHeight w:val="199"/>
        </w:trPr>
        <w:tc>
          <w:tcPr>
            <w:tcW w:w="6180" w:type="dxa"/>
            <w:vAlign w:val="bottom"/>
          </w:tcPr>
          <w:p>
            <w:pPr>
              <w:ind w:left="400"/>
              <w:spacing w:after="0"/>
              <w:rPr>
                <w:sz w:val="20"/>
                <w:szCs w:val="20"/>
                <w:color w:val="auto"/>
              </w:rPr>
            </w:pPr>
            <w:r>
              <w:rPr>
                <w:rFonts w:ascii="Arial" w:cs="Arial" w:eastAsia="Arial" w:hAnsi="Arial"/>
                <w:sz w:val="16"/>
                <w:szCs w:val="16"/>
                <w:color w:val="auto"/>
              </w:rPr>
              <w:t>Research and development</w:t>
            </w:r>
          </w:p>
        </w:tc>
        <w:tc>
          <w:tcPr>
            <w:tcW w:w="6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86,820</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73,366</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75,305</w:t>
            </w:r>
          </w:p>
        </w:tc>
      </w:tr>
      <w:tr>
        <w:trPr>
          <w:trHeight w:val="199"/>
        </w:trPr>
        <w:tc>
          <w:tcPr>
            <w:tcW w:w="61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Selling, marketing, general and administrative</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80,099</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56,838</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51,829</w:t>
            </w:r>
          </w:p>
        </w:tc>
      </w:tr>
      <w:tr>
        <w:trPr>
          <w:trHeight w:val="199"/>
        </w:trPr>
        <w:tc>
          <w:tcPr>
            <w:tcW w:w="61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Special charges</w:t>
            </w: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54,664</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w:t>
            </w:r>
          </w:p>
        </w:tc>
      </w:tr>
      <w:tr>
        <w:trPr>
          <w:trHeight w:val="215"/>
        </w:trPr>
        <w:tc>
          <w:tcPr>
            <w:tcW w:w="61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Total stock-based compensation expense</w:t>
            </w:r>
          </w:p>
        </w:tc>
        <w:tc>
          <w:tcPr>
            <w:tcW w:w="6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243,611</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149,518</w:t>
            </w:r>
          </w:p>
        </w:tc>
        <w:tc>
          <w:tcPr>
            <w:tcW w:w="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150,300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86"/>
        <w:spacing w:after="0"/>
        <w:rPr>
          <w:sz w:val="20"/>
          <w:szCs w:val="20"/>
          <w:color w:val="auto"/>
        </w:rPr>
      </w:pPr>
      <w:r>
        <w:rPr>
          <w:rFonts w:ascii="Arial" w:cs="Arial" w:eastAsia="Arial" w:hAnsi="Arial"/>
          <w:sz w:val="14"/>
          <w:szCs w:val="14"/>
          <w:color w:val="auto"/>
        </w:rPr>
        <w:t>As of October 30, 2021 and October 31, 2020, the Company capitalized $8.7 million and $5.8 million, respectively, of stock-based compensation in inventory.</w:t>
      </w:r>
    </w:p>
    <w:p>
      <w:pPr>
        <w:spacing w:after="0" w:line="143" w:lineRule="exact"/>
        <w:rPr>
          <w:sz w:val="20"/>
          <w:szCs w:val="20"/>
          <w:color w:val="auto"/>
        </w:rPr>
      </w:pPr>
    </w:p>
    <w:p>
      <w:pPr>
        <w:ind w:left="206"/>
        <w:spacing w:after="0"/>
        <w:rPr>
          <w:sz w:val="20"/>
          <w:szCs w:val="20"/>
          <w:color w:val="auto"/>
        </w:rPr>
      </w:pPr>
      <w:r>
        <w:rPr>
          <w:rFonts w:ascii="Arial" w:cs="Arial" w:eastAsia="Arial" w:hAnsi="Arial"/>
          <w:sz w:val="16"/>
          <w:szCs w:val="16"/>
          <w:i w:val="1"/>
          <w:iCs w:val="1"/>
          <w:u w:val="single" w:color="auto"/>
          <w:color w:val="auto"/>
        </w:rPr>
        <w:t>Stock-Based Compensation Activity</w:t>
      </w:r>
    </w:p>
    <w:p>
      <w:pPr>
        <w:spacing w:after="0" w:line="108" w:lineRule="exact"/>
        <w:rPr>
          <w:sz w:val="20"/>
          <w:szCs w:val="20"/>
          <w:color w:val="auto"/>
        </w:rPr>
      </w:pPr>
    </w:p>
    <w:p>
      <w:pPr>
        <w:ind w:left="386"/>
        <w:spacing w:after="0"/>
        <w:rPr>
          <w:sz w:val="20"/>
          <w:szCs w:val="20"/>
          <w:color w:val="auto"/>
        </w:rPr>
      </w:pPr>
      <w:r>
        <w:rPr>
          <w:rFonts w:ascii="Arial" w:cs="Arial" w:eastAsia="Arial" w:hAnsi="Arial"/>
          <w:sz w:val="14"/>
          <w:szCs w:val="14"/>
          <w:color w:val="auto"/>
        </w:rPr>
        <w:t>A summary of the activity under the Company’s stock option plans as of October 30, 2021 and changes during the fiscal year then ended is presented below:</w:t>
      </w:r>
    </w:p>
    <w:p>
      <w:pPr>
        <w:spacing w:after="0" w:line="41"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5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ind w:left="580"/>
              <w:spacing w:after="0"/>
              <w:rPr>
                <w:sz w:val="20"/>
                <w:szCs w:val="20"/>
                <w:color w:val="auto"/>
              </w:rPr>
            </w:pPr>
            <w:r>
              <w:rPr>
                <w:rFonts w:ascii="Arial" w:cs="Arial" w:eastAsia="Arial" w:hAnsi="Arial"/>
                <w:sz w:val="12"/>
                <w:szCs w:val="12"/>
                <w:b w:val="1"/>
                <w:bCs w:val="1"/>
                <w:color w:val="auto"/>
              </w:rPr>
              <w:t>Weighted-</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580" w:type="dxa"/>
            <w:vAlign w:val="bottom"/>
          </w:tcPr>
          <w:p>
            <w:pPr>
              <w:spacing w:after="0"/>
              <w:rPr>
                <w:sz w:val="10"/>
                <w:szCs w:val="10"/>
                <w:color w:val="auto"/>
              </w:rPr>
            </w:pPr>
          </w:p>
        </w:tc>
        <w:tc>
          <w:tcPr>
            <w:tcW w:w="142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Options</w:t>
            </w:r>
          </w:p>
        </w:tc>
        <w:tc>
          <w:tcPr>
            <w:tcW w:w="120" w:type="dxa"/>
            <w:vAlign w:val="bottom"/>
          </w:tcPr>
          <w:p>
            <w:pPr>
              <w:spacing w:after="0"/>
              <w:rPr>
                <w:sz w:val="10"/>
                <w:szCs w:val="10"/>
                <w:color w:val="auto"/>
              </w:rPr>
            </w:pPr>
          </w:p>
        </w:tc>
        <w:tc>
          <w:tcPr>
            <w:tcW w:w="1520" w:type="dxa"/>
            <w:vAlign w:val="bottom"/>
            <w:gridSpan w:val="2"/>
            <w:vMerge w:val="restart"/>
          </w:tcPr>
          <w:p>
            <w:pPr>
              <w:ind w:left="620"/>
              <w:spacing w:after="0"/>
              <w:rPr>
                <w:sz w:val="20"/>
                <w:szCs w:val="20"/>
                <w:color w:val="auto"/>
              </w:rPr>
            </w:pPr>
            <w:r>
              <w:rPr>
                <w:rFonts w:ascii="Arial" w:cs="Arial" w:eastAsia="Arial" w:hAnsi="Arial"/>
                <w:sz w:val="12"/>
                <w:szCs w:val="12"/>
                <w:b w:val="1"/>
                <w:bCs w:val="1"/>
                <w:color w:val="auto"/>
              </w:rPr>
              <w:t>Weighted-</w:t>
            </w:r>
          </w:p>
        </w:tc>
        <w:tc>
          <w:tcPr>
            <w:tcW w:w="142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2"/>
              </w:rPr>
              <w:t>Average</w:t>
            </w:r>
          </w:p>
        </w:tc>
        <w:tc>
          <w:tcPr>
            <w:tcW w:w="1200" w:type="dxa"/>
            <w:vAlign w:val="bottom"/>
            <w:vMerge w:val="restart"/>
          </w:tcPr>
          <w:p>
            <w:pPr>
              <w:jc w:val="right"/>
              <w:ind w:right="7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17"/>
        </w:trPr>
        <w:tc>
          <w:tcPr>
            <w:tcW w:w="55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420" w:type="dxa"/>
            <w:vAlign w:val="bottom"/>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4"/>
              </w:rPr>
              <w:t>Remaining</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580" w:type="dxa"/>
            <w:vAlign w:val="bottom"/>
          </w:tcPr>
          <w:p>
            <w:pPr>
              <w:spacing w:after="0"/>
              <w:rPr>
                <w:sz w:val="10"/>
                <w:szCs w:val="10"/>
                <w:color w:val="auto"/>
              </w:rPr>
            </w:pPr>
          </w:p>
        </w:tc>
        <w:tc>
          <w:tcPr>
            <w:tcW w:w="1420" w:type="dxa"/>
            <w:vAlign w:val="bottom"/>
          </w:tcPr>
          <w:p>
            <w:pPr>
              <w:jc w:val="right"/>
              <w:ind w:right="306"/>
              <w:spacing w:after="0" w:line="117" w:lineRule="exact"/>
              <w:rPr>
                <w:sz w:val="20"/>
                <w:szCs w:val="20"/>
                <w:color w:val="auto"/>
              </w:rPr>
            </w:pPr>
            <w:r>
              <w:rPr>
                <w:rFonts w:ascii="Arial" w:cs="Arial" w:eastAsia="Arial" w:hAnsi="Arial"/>
                <w:sz w:val="12"/>
                <w:szCs w:val="12"/>
                <w:b w:val="1"/>
                <w:bCs w:val="1"/>
                <w:color w:val="auto"/>
              </w:rPr>
              <w:t>Outstanding</w:t>
            </w:r>
          </w:p>
        </w:tc>
        <w:tc>
          <w:tcPr>
            <w:tcW w:w="120" w:type="dxa"/>
            <w:vAlign w:val="bottom"/>
          </w:tcPr>
          <w:p>
            <w:pPr>
              <w:spacing w:after="0"/>
              <w:rPr>
                <w:sz w:val="10"/>
                <w:szCs w:val="10"/>
                <w:color w:val="auto"/>
              </w:rPr>
            </w:pPr>
          </w:p>
        </w:tc>
        <w:tc>
          <w:tcPr>
            <w:tcW w:w="152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89"/>
              </w:rPr>
              <w:t>Average Exercise</w:t>
            </w:r>
          </w:p>
        </w:tc>
        <w:tc>
          <w:tcPr>
            <w:tcW w:w="142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5"/>
              </w:rPr>
              <w:t>Contractual</w:t>
            </w:r>
          </w:p>
        </w:tc>
        <w:tc>
          <w:tcPr>
            <w:tcW w:w="1200" w:type="dxa"/>
            <w:vAlign w:val="bottom"/>
          </w:tcPr>
          <w:p>
            <w:pPr>
              <w:jc w:val="right"/>
              <w:ind w:right="310"/>
              <w:spacing w:after="0" w:line="117"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420" w:type="dxa"/>
            <w:vAlign w:val="bottom"/>
          </w:tcPr>
          <w:p>
            <w:pPr>
              <w:jc w:val="right"/>
              <w:ind w:right="246"/>
              <w:spacing w:after="0"/>
              <w:rPr>
                <w:sz w:val="20"/>
                <w:szCs w:val="20"/>
                <w:color w:val="auto"/>
              </w:rPr>
            </w:pPr>
            <w:r>
              <w:rPr>
                <w:rFonts w:ascii="Arial" w:cs="Arial" w:eastAsia="Arial" w:hAnsi="Arial"/>
                <w:sz w:val="12"/>
                <w:szCs w:val="12"/>
                <w:b w:val="1"/>
                <w:bCs w:val="1"/>
                <w:color w:val="auto"/>
              </w:rPr>
              <w:t>(in thousands)</w:t>
            </w:r>
          </w:p>
        </w:tc>
        <w:tc>
          <w:tcPr>
            <w:tcW w:w="12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Price Per Share</w:t>
            </w:r>
          </w:p>
        </w:tc>
        <w:tc>
          <w:tcPr>
            <w:tcW w:w="14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3"/>
              </w:rPr>
              <w:t>Term in Years</w:t>
            </w:r>
          </w:p>
        </w:tc>
        <w:tc>
          <w:tcPr>
            <w:tcW w:w="1200" w:type="dxa"/>
            <w:vAlign w:val="bottom"/>
          </w:tcPr>
          <w:p>
            <w:pPr>
              <w:jc w:val="right"/>
              <w:ind w:right="390"/>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92"/>
        </w:trPr>
        <w:tc>
          <w:tcPr>
            <w:tcW w:w="55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Options outstanding at October 31, 2020</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4,192</w:t>
            </w:r>
          </w:p>
        </w:tc>
        <w:tc>
          <w:tcPr>
            <w:tcW w:w="1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$70.73</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80" w:type="dxa"/>
            <w:vAlign w:val="bottom"/>
          </w:tcPr>
          <w:p>
            <w:pPr>
              <w:ind w:left="680"/>
              <w:spacing w:after="0"/>
              <w:rPr>
                <w:sz w:val="20"/>
                <w:szCs w:val="20"/>
                <w:color w:val="auto"/>
              </w:rPr>
            </w:pPr>
            <w:r>
              <w:rPr>
                <w:rFonts w:ascii="Arial" w:cs="Arial" w:eastAsia="Arial" w:hAnsi="Arial"/>
                <w:sz w:val="16"/>
                <w:szCs w:val="16"/>
                <w:color w:val="auto"/>
              </w:rPr>
              <w:t>Options 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644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$145.04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Options 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$62.86</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80" w:type="dxa"/>
            <w:vAlign w:val="bottom"/>
          </w:tcPr>
          <w:p>
            <w:pPr>
              <w:ind w:left="680"/>
              <w:spacing w:after="0"/>
              <w:rPr>
                <w:sz w:val="20"/>
                <w:szCs w:val="20"/>
                <w:color w:val="auto"/>
              </w:rPr>
            </w:pPr>
            <w:r>
              <w:rPr>
                <w:rFonts w:ascii="Arial" w:cs="Arial" w:eastAsia="Arial" w:hAnsi="Arial"/>
                <w:sz w:val="16"/>
                <w:szCs w:val="16"/>
                <w:color w:val="auto"/>
              </w:rPr>
              <w:t>Options forfeited</w:t>
            </w:r>
          </w:p>
        </w:tc>
        <w:tc>
          <w:tcPr>
            <w:tcW w:w="1420" w:type="dxa"/>
            <w:vAlign w:val="bottom"/>
          </w:tcPr>
          <w:p>
            <w:pPr>
              <w:jc w:val="right"/>
              <w:spacing w:after="0"/>
              <w:rPr>
                <w:sz w:val="20"/>
                <w:szCs w:val="20"/>
                <w:color w:val="auto"/>
              </w:rPr>
            </w:pPr>
            <w:r>
              <w:rPr>
                <w:rFonts w:ascii="Arial" w:cs="Arial" w:eastAsia="Arial" w:hAnsi="Arial"/>
                <w:sz w:val="16"/>
                <w:szCs w:val="16"/>
                <w:color w:val="auto"/>
              </w:rPr>
              <w:t>(81)</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$91.39</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Options 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$40.69</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80" w:type="dxa"/>
            <w:vAlign w:val="bottom"/>
          </w:tcPr>
          <w:p>
            <w:pPr>
              <w:ind w:left="400"/>
              <w:spacing w:after="0" w:line="183" w:lineRule="exact"/>
              <w:rPr>
                <w:sz w:val="20"/>
                <w:szCs w:val="20"/>
                <w:color w:val="auto"/>
              </w:rPr>
            </w:pPr>
            <w:r>
              <w:rPr>
                <w:rFonts w:ascii="Arial" w:cs="Arial" w:eastAsia="Arial" w:hAnsi="Arial"/>
                <w:sz w:val="16"/>
                <w:szCs w:val="16"/>
                <w:b w:val="1"/>
                <w:bCs w:val="1"/>
                <w:color w:val="auto"/>
              </w:rPr>
              <w:t>Options outstanding at October 30,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$85.22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$330,652</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tcBorders>
              <w:bottom w:val="single" w:sz="8" w:color="CCEEFF"/>
            </w:tcBorders>
            <w:shd w:val="clear" w:color="auto" w:fill="CCEEFF"/>
          </w:tcPr>
          <w:p>
            <w:pPr>
              <w:ind w:left="400"/>
              <w:spacing w:after="0" w:line="183" w:lineRule="exact"/>
              <w:rPr>
                <w:sz w:val="20"/>
                <w:szCs w:val="20"/>
                <w:color w:val="auto"/>
              </w:rPr>
            </w:pPr>
            <w:r>
              <w:rPr>
                <w:rFonts w:ascii="Arial" w:cs="Arial" w:eastAsia="Arial" w:hAnsi="Arial"/>
                <w:sz w:val="16"/>
                <w:szCs w:val="16"/>
                <w:b w:val="1"/>
                <w:bCs w:val="1"/>
                <w:color w:val="auto"/>
              </w:rPr>
              <w:t>Options exercisable at October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$66.44</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$255,955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6"/>
                <w:szCs w:val="16"/>
                <w:b w:val="1"/>
                <w:bCs w:val="1"/>
                <w:color w:val="auto"/>
              </w:rPr>
              <w:t>Options vested or expected to vest at October 30, 2021 (1)</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80" w:type="dxa"/>
            <w:vAlign w:val="bottom"/>
            <w:vMerge w:val="continue"/>
          </w:tcPr>
          <w:p>
            <w:pPr>
              <w:spacing w:after="0"/>
              <w:rPr>
                <w:sz w:val="14"/>
                <w:szCs w:val="14"/>
                <w:color w:val="auto"/>
              </w:rPr>
            </w:pPr>
          </w:p>
        </w:tc>
        <w:tc>
          <w:tcPr>
            <w:tcW w:w="142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3,661</w:t>
            </w:r>
          </w:p>
        </w:tc>
        <w:tc>
          <w:tcPr>
            <w:tcW w:w="154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$84.23</w:t>
            </w:r>
          </w:p>
        </w:tc>
        <w:tc>
          <w:tcPr>
            <w:tcW w:w="100" w:type="dxa"/>
            <w:vAlign w:val="bottom"/>
          </w:tcPr>
          <w:p>
            <w:pPr>
              <w:spacing w:after="0"/>
              <w:rPr>
                <w:sz w:val="14"/>
                <w:szCs w:val="14"/>
                <w:color w:val="auto"/>
              </w:rPr>
            </w:pPr>
          </w:p>
        </w:tc>
        <w:tc>
          <w:tcPr>
            <w:tcW w:w="1300" w:type="dxa"/>
            <w:vAlign w:val="bottom"/>
          </w:tcPr>
          <w:p>
            <w:pPr>
              <w:jc w:val="right"/>
              <w:spacing w:after="0" w:line="165" w:lineRule="exact"/>
              <w:rPr>
                <w:sz w:val="20"/>
                <w:szCs w:val="20"/>
                <w:color w:val="auto"/>
              </w:rPr>
            </w:pPr>
            <w:r>
              <w:rPr>
                <w:rFonts w:ascii="Arial" w:cs="Arial" w:eastAsia="Arial" w:hAnsi="Arial"/>
                <w:sz w:val="16"/>
                <w:szCs w:val="16"/>
                <w:color w:val="auto"/>
              </w:rPr>
              <w:t>5.5</w:t>
            </w:r>
          </w:p>
        </w:tc>
        <w:tc>
          <w:tcPr>
            <w:tcW w:w="120" w:type="dxa"/>
            <w:vAlign w:val="bottom"/>
          </w:tcPr>
          <w:p>
            <w:pPr>
              <w:spacing w:after="0"/>
              <w:rPr>
                <w:sz w:val="14"/>
                <w:szCs w:val="14"/>
                <w:color w:val="auto"/>
              </w:rPr>
            </w:pPr>
          </w:p>
        </w:tc>
        <w:tc>
          <w:tcPr>
            <w:tcW w:w="1200" w:type="dxa"/>
            <w:vAlign w:val="bottom"/>
          </w:tcPr>
          <w:p>
            <w:pPr>
              <w:jc w:val="right"/>
              <w:spacing w:after="0" w:line="165" w:lineRule="exact"/>
              <w:rPr>
                <w:sz w:val="20"/>
                <w:szCs w:val="20"/>
                <w:color w:val="auto"/>
              </w:rPr>
            </w:pPr>
            <w:r>
              <w:rPr>
                <w:rFonts w:ascii="Arial" w:cs="Arial" w:eastAsia="Arial" w:hAnsi="Arial"/>
                <w:sz w:val="16"/>
                <w:szCs w:val="16"/>
                <w:color w:val="auto"/>
              </w:rPr>
              <w:t>$326,809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_______________________________________</w:t>
      </w:r>
    </w:p>
    <w:p>
      <w:pPr>
        <w:spacing w:after="0" w:line="15" w:lineRule="exact"/>
        <w:rPr>
          <w:sz w:val="20"/>
          <w:szCs w:val="20"/>
          <w:color w:val="auto"/>
        </w:rPr>
      </w:pPr>
    </w:p>
    <w:p>
      <w:pPr>
        <w:ind w:left="286" w:right="220" w:hanging="286"/>
        <w:spacing w:after="0" w:line="253" w:lineRule="auto"/>
        <w:tabs>
          <w:tab w:leader="none" w:pos="286"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77" w:lineRule="exact"/>
        <w:rPr>
          <w:sz w:val="20"/>
          <w:szCs w:val="20"/>
          <w:color w:val="auto"/>
        </w:rPr>
      </w:pPr>
    </w:p>
    <w:p>
      <w:pPr>
        <w:ind w:left="6" w:right="40" w:firstLine="386"/>
        <w:spacing w:after="0" w:line="263" w:lineRule="auto"/>
        <w:rPr>
          <w:sz w:val="20"/>
          <w:szCs w:val="20"/>
          <w:color w:val="auto"/>
        </w:rPr>
      </w:pPr>
      <w:r>
        <w:rPr>
          <w:rFonts w:ascii="Arial" w:cs="Arial" w:eastAsia="Arial" w:hAnsi="Arial"/>
          <w:sz w:val="16"/>
          <w:szCs w:val="16"/>
          <w:color w:val="auto"/>
        </w:rPr>
        <w:t>The total intrinsic value of options exercised (i.e., the difference between the market price at exercise and the price paid by the employee to exercise the options) during fiscal 2021, fiscal 2020 and fiscal 2019 was $93.2 million, $76.3 million and $132.3 million, respectively.</w:t>
      </w:r>
    </w:p>
    <w:p>
      <w:pPr>
        <w:spacing w:after="0" w:line="76" w:lineRule="exact"/>
        <w:rPr>
          <w:sz w:val="20"/>
          <w:szCs w:val="20"/>
          <w:color w:val="auto"/>
        </w:rPr>
      </w:pPr>
    </w:p>
    <w:p>
      <w:pPr>
        <w:ind w:left="386"/>
        <w:spacing w:after="0"/>
        <w:rPr>
          <w:sz w:val="20"/>
          <w:szCs w:val="20"/>
          <w:color w:val="auto"/>
        </w:rPr>
      </w:pPr>
      <w:r>
        <w:rPr>
          <w:rFonts w:ascii="Arial" w:cs="Arial" w:eastAsia="Arial" w:hAnsi="Arial"/>
          <w:sz w:val="14"/>
          <w:szCs w:val="14"/>
          <w:color w:val="auto"/>
        </w:rPr>
        <w:t>A summary of the Company’s restricted stock unit and award activity as of October 30, 2021 and changes during the fiscal year then ended is presented below:</w:t>
      </w:r>
    </w:p>
    <w:p>
      <w:pPr>
        <w:spacing w:after="0" w:line="41"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8280" w:type="dxa"/>
            <w:vAlign w:val="bottom"/>
          </w:tcPr>
          <w:p>
            <w:pPr>
              <w:spacing w:after="0"/>
              <w:rPr>
                <w:sz w:val="12"/>
                <w:szCs w:val="12"/>
                <w:color w:val="auto"/>
              </w:rPr>
            </w:pPr>
          </w:p>
        </w:tc>
        <w:tc>
          <w:tcPr>
            <w:tcW w:w="1420" w:type="dxa"/>
            <w:vAlign w:val="bottom"/>
          </w:tcPr>
          <w:p>
            <w:pPr>
              <w:jc w:val="right"/>
              <w:ind w:right="169"/>
              <w:spacing w:after="0"/>
              <w:rPr>
                <w:sz w:val="20"/>
                <w:szCs w:val="20"/>
                <w:color w:val="auto"/>
              </w:rPr>
            </w:pPr>
            <w:r>
              <w:rPr>
                <w:rFonts w:ascii="Arial" w:cs="Arial" w:eastAsia="Arial" w:hAnsi="Arial"/>
                <w:sz w:val="12"/>
                <w:szCs w:val="12"/>
                <w:b w:val="1"/>
                <w:bCs w:val="1"/>
                <w:color w:val="auto"/>
              </w:rPr>
              <w:t>Restricted</w:t>
            </w:r>
          </w:p>
        </w:tc>
        <w:tc>
          <w:tcPr>
            <w:tcW w:w="100" w:type="dxa"/>
            <w:vAlign w:val="bottom"/>
          </w:tcPr>
          <w:p>
            <w:pPr>
              <w:spacing w:after="0"/>
              <w:rPr>
                <w:sz w:val="12"/>
                <w:szCs w:val="12"/>
                <w:color w:val="auto"/>
              </w:rPr>
            </w:pPr>
          </w:p>
        </w:tc>
        <w:tc>
          <w:tcPr>
            <w:tcW w:w="1440" w:type="dxa"/>
            <w:vAlign w:val="bottom"/>
          </w:tcPr>
          <w:p>
            <w:pPr>
              <w:jc w:val="right"/>
              <w:ind w:right="195"/>
              <w:spacing w:after="0"/>
              <w:rPr>
                <w:sz w:val="20"/>
                <w:szCs w:val="20"/>
                <w:color w:val="auto"/>
              </w:rPr>
            </w:pPr>
            <w:r>
              <w:rPr>
                <w:rFonts w:ascii="Arial" w:cs="Arial" w:eastAsia="Arial" w:hAnsi="Arial"/>
                <w:sz w:val="12"/>
                <w:szCs w:val="12"/>
                <w:b w:val="1"/>
                <w:bCs w:val="1"/>
                <w:color w:val="auto"/>
              </w:rPr>
              <w:t>Weighted-</w:t>
            </w:r>
          </w:p>
        </w:tc>
      </w:tr>
      <w:tr>
        <w:trPr>
          <w:trHeight w:val="117"/>
        </w:trPr>
        <w:tc>
          <w:tcPr>
            <w:tcW w:w="8280" w:type="dxa"/>
            <w:vAlign w:val="bottom"/>
          </w:tcPr>
          <w:p>
            <w:pPr>
              <w:spacing w:after="0"/>
              <w:rPr>
                <w:sz w:val="10"/>
                <w:szCs w:val="10"/>
                <w:color w:val="auto"/>
              </w:rPr>
            </w:pPr>
          </w:p>
        </w:tc>
        <w:tc>
          <w:tcPr>
            <w:tcW w:w="14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4"/>
              </w:rPr>
              <w:t>Stock Units/Awards</w:t>
            </w:r>
          </w:p>
        </w:tc>
        <w:tc>
          <w:tcPr>
            <w:tcW w:w="100" w:type="dxa"/>
            <w:vAlign w:val="bottom"/>
          </w:tcPr>
          <w:p>
            <w:pPr>
              <w:spacing w:after="0"/>
              <w:rPr>
                <w:sz w:val="10"/>
                <w:szCs w:val="10"/>
                <w:color w:val="auto"/>
              </w:rPr>
            </w:pPr>
          </w:p>
        </w:tc>
        <w:tc>
          <w:tcPr>
            <w:tcW w:w="14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6"/>
              </w:rPr>
              <w:t>Average Grant-</w:t>
            </w:r>
          </w:p>
        </w:tc>
      </w:tr>
      <w:tr>
        <w:trPr>
          <w:trHeight w:val="117"/>
        </w:trPr>
        <w:tc>
          <w:tcPr>
            <w:tcW w:w="8280" w:type="dxa"/>
            <w:vAlign w:val="bottom"/>
          </w:tcPr>
          <w:p>
            <w:pPr>
              <w:spacing w:after="0"/>
              <w:rPr>
                <w:sz w:val="10"/>
                <w:szCs w:val="10"/>
                <w:color w:val="auto"/>
              </w:rPr>
            </w:pPr>
          </w:p>
        </w:tc>
        <w:tc>
          <w:tcPr>
            <w:tcW w:w="142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3"/>
              </w:rPr>
              <w:t>Outstanding</w:t>
            </w:r>
          </w:p>
        </w:tc>
        <w:tc>
          <w:tcPr>
            <w:tcW w:w="100" w:type="dxa"/>
            <w:vAlign w:val="bottom"/>
          </w:tcPr>
          <w:p>
            <w:pPr>
              <w:spacing w:after="0"/>
              <w:rPr>
                <w:sz w:val="10"/>
                <w:szCs w:val="10"/>
                <w:color w:val="auto"/>
              </w:rPr>
            </w:pPr>
          </w:p>
        </w:tc>
        <w:tc>
          <w:tcPr>
            <w:tcW w:w="14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6"/>
              </w:rPr>
              <w:t>Date Fair Value</w:t>
            </w:r>
          </w:p>
        </w:tc>
      </w:tr>
      <w:tr>
        <w:trPr>
          <w:trHeight w:val="162"/>
        </w:trPr>
        <w:tc>
          <w:tcPr>
            <w:tcW w:w="828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(in thousands)</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Per Share</w:t>
            </w:r>
          </w:p>
        </w:tc>
      </w:tr>
      <w:tr>
        <w:trPr>
          <w:trHeight w:val="192"/>
        </w:trPr>
        <w:tc>
          <w:tcPr>
            <w:tcW w:w="828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Restricted stock units/awards outstanding at October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6"/>
                <w:szCs w:val="16"/>
                <w:color w:val="auto"/>
              </w:rPr>
              <w:t>$91.54</w:t>
            </w:r>
          </w:p>
        </w:tc>
      </w:tr>
      <w:tr>
        <w:trPr>
          <w:trHeight w:val="199"/>
        </w:trPr>
        <w:tc>
          <w:tcPr>
            <w:tcW w:w="8280" w:type="dxa"/>
            <w:vAlign w:val="bottom"/>
          </w:tcPr>
          <w:p>
            <w:pPr>
              <w:ind w:left="680"/>
              <w:spacing w:after="0"/>
              <w:rPr>
                <w:sz w:val="20"/>
                <w:szCs w:val="20"/>
                <w:color w:val="auto"/>
              </w:rPr>
            </w:pPr>
            <w:r>
              <w:rPr>
                <w:rFonts w:ascii="Arial" w:cs="Arial" w:eastAsia="Arial" w:hAnsi="Arial"/>
                <w:sz w:val="16"/>
                <w:szCs w:val="16"/>
                <w:color w:val="auto"/>
              </w:rPr>
              <w:t>Units/Awards 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4,826</w:t>
            </w:r>
          </w:p>
        </w:tc>
        <w:tc>
          <w:tcPr>
            <w:tcW w:w="1540" w:type="dxa"/>
            <w:vAlign w:val="bottom"/>
            <w:gridSpan w:val="2"/>
          </w:tcPr>
          <w:p>
            <w:pPr>
              <w:jc w:val="right"/>
              <w:ind w:right="15"/>
              <w:spacing w:after="0"/>
              <w:rPr>
                <w:sz w:val="20"/>
                <w:szCs w:val="20"/>
                <w:color w:val="auto"/>
              </w:rPr>
            </w:pPr>
            <w:r>
              <w:rPr>
                <w:rFonts w:ascii="Arial" w:cs="Arial" w:eastAsia="Arial" w:hAnsi="Arial"/>
                <w:sz w:val="16"/>
                <w:szCs w:val="16"/>
                <w:color w:val="auto"/>
              </w:rPr>
              <w:t>$157.56</w:t>
            </w:r>
          </w:p>
        </w:tc>
      </w:tr>
      <w:tr>
        <w:trPr>
          <w:trHeight w:val="199"/>
        </w:trPr>
        <w:tc>
          <w:tcPr>
            <w:tcW w:w="8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Restrictions lapsed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540" w:type="dxa"/>
            <w:vAlign w:val="bottom"/>
            <w:gridSpan w:val="2"/>
            <w:shd w:val="clear" w:color="auto" w:fill="CCEEFF"/>
          </w:tcPr>
          <w:p>
            <w:pPr>
              <w:jc w:val="right"/>
              <w:ind w:right="15"/>
              <w:spacing w:after="0"/>
              <w:rPr>
                <w:sz w:val="20"/>
                <w:szCs w:val="20"/>
                <w:color w:val="auto"/>
              </w:rPr>
            </w:pPr>
            <w:r>
              <w:rPr>
                <w:rFonts w:ascii="Arial" w:cs="Arial" w:eastAsia="Arial" w:hAnsi="Arial"/>
                <w:sz w:val="16"/>
                <w:szCs w:val="16"/>
                <w:color w:val="auto"/>
              </w:rPr>
              <w:t>$111.95</w:t>
            </w:r>
          </w:p>
        </w:tc>
      </w:tr>
      <w:tr>
        <w:trPr>
          <w:trHeight w:val="199"/>
        </w:trPr>
        <w:tc>
          <w:tcPr>
            <w:tcW w:w="82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540" w:type="dxa"/>
            <w:vAlign w:val="bottom"/>
            <w:tcBorders>
              <w:bottom w:val="single" w:sz="8" w:color="CCEEFF"/>
            </w:tcBorders>
            <w:gridSpan w:val="2"/>
          </w:tcPr>
          <w:p>
            <w:pPr>
              <w:jc w:val="right"/>
              <w:ind w:right="15"/>
              <w:spacing w:after="0"/>
              <w:rPr>
                <w:sz w:val="20"/>
                <w:szCs w:val="20"/>
                <w:color w:val="auto"/>
              </w:rPr>
            </w:pPr>
            <w:r>
              <w:rPr>
                <w:rFonts w:ascii="Arial" w:cs="Arial" w:eastAsia="Arial" w:hAnsi="Arial"/>
                <w:sz w:val="16"/>
                <w:szCs w:val="16"/>
                <w:color w:val="auto"/>
              </w:rPr>
              <w:t>$113.25</w:t>
            </w:r>
          </w:p>
        </w:tc>
      </w:tr>
      <w:tr>
        <w:trPr>
          <w:trHeight w:val="215"/>
        </w:trPr>
        <w:tc>
          <w:tcPr>
            <w:tcW w:w="8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Restricted stock units/awards outstanding at October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5,924</w:t>
            </w:r>
          </w:p>
        </w:tc>
        <w:tc>
          <w:tcPr>
            <w:tcW w:w="154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6"/>
                <w:szCs w:val="16"/>
                <w:color w:val="auto"/>
              </w:rPr>
              <w:t>$132.59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6" w:firstLine="386"/>
        <w:spacing w:after="0" w:line="307" w:lineRule="auto"/>
        <w:rPr>
          <w:sz w:val="20"/>
          <w:szCs w:val="20"/>
          <w:color w:val="auto"/>
        </w:rPr>
      </w:pPr>
      <w:r>
        <w:rPr>
          <w:rFonts w:ascii="Arial" w:cs="Arial" w:eastAsia="Arial" w:hAnsi="Arial"/>
          <w:sz w:val="14"/>
          <w:szCs w:val="14"/>
          <w:color w:val="auto"/>
        </w:rPr>
        <w:t>As of October 30, 2021, there was $560.6 million of total unrecognized compensation cost related to unvested stock-based awards comprised of stock options, restricted stock awards and restricted stock unit awards. That cost is expected to be recognized over a weighted-average period of 1.4 years. The total grant-date fair value of awards that vested during fiscal 2021, fiscal 2020 and fiscal 2019 was approximately $207.0 million, $174.1 million and $150.6 million, respectively.</w:t>
      </w:r>
    </w:p>
    <w:p>
      <w:pPr>
        <w:spacing w:after="0" w:line="200" w:lineRule="exact"/>
        <w:rPr>
          <w:sz w:val="20"/>
          <w:szCs w:val="20"/>
          <w:color w:val="auto"/>
        </w:rPr>
      </w:pPr>
    </w:p>
    <w:p>
      <w:pPr>
        <w:spacing w:after="0" w:line="258"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68" w:name="page69"/>
    <w:bookmarkEnd w:id="68"/>
    <w:p>
      <w:pPr>
        <w:jc w:val="center"/>
        <w:ind w:right="-65"/>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6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left="206"/>
        <w:spacing w:after="0"/>
        <w:rPr>
          <w:sz w:val="20"/>
          <w:szCs w:val="20"/>
          <w:color w:val="auto"/>
        </w:rPr>
      </w:pPr>
      <w:r>
        <w:rPr>
          <w:rFonts w:ascii="Arial" w:cs="Arial" w:eastAsia="Arial" w:hAnsi="Arial"/>
          <w:sz w:val="16"/>
          <w:szCs w:val="16"/>
          <w:i w:val="1"/>
          <w:iCs w:val="1"/>
          <w:u w:val="single" w:color="auto"/>
          <w:color w:val="auto"/>
        </w:rPr>
        <w:t>Common Stock Repurchases</w:t>
      </w:r>
    </w:p>
    <w:p>
      <w:pPr>
        <w:spacing w:after="0" w:line="120" w:lineRule="exact"/>
        <w:rPr>
          <w:sz w:val="20"/>
          <w:szCs w:val="20"/>
          <w:color w:val="auto"/>
        </w:rPr>
      </w:pPr>
    </w:p>
    <w:p>
      <w:pPr>
        <w:ind w:left="6" w:firstLine="210"/>
        <w:spacing w:after="0" w:line="248" w:lineRule="auto"/>
        <w:rPr>
          <w:sz w:val="20"/>
          <w:szCs w:val="20"/>
          <w:color w:val="auto"/>
        </w:rPr>
      </w:pPr>
      <w:r>
        <w:rPr>
          <w:rFonts w:ascii="Arial" w:cs="Arial" w:eastAsia="Arial" w:hAnsi="Arial"/>
          <w:sz w:val="16"/>
          <w:szCs w:val="16"/>
          <w:color w:val="auto"/>
        </w:rPr>
        <w:t>In September 2021, the Company entered into accelerated share repurchase agreements (ASR) with third party financial institutions to repurchase $2.5 billion of the Company's common stock. The Company paid $2.5 billion and received an initial delivery of 12.3 million shares of common stock, which represented approximately 80% of the notional amount of the ASR. The Company recorded the remaining 20%, or $500.0 million, within Prepaid expenses and other current assets on the Consolidated Balance Sheet. The average price paid for all of the shares delivered under the ASR through October 30, 2021 was $163.27 per share. The final settlement of the transaction under the ASR is expected to occur in the first half of fiscal 2022.</w:t>
      </w:r>
    </w:p>
    <w:p>
      <w:pPr>
        <w:spacing w:after="0" w:line="90" w:lineRule="exact"/>
        <w:rPr>
          <w:sz w:val="20"/>
          <w:szCs w:val="20"/>
          <w:color w:val="auto"/>
        </w:rPr>
      </w:pPr>
    </w:p>
    <w:p>
      <w:pPr>
        <w:ind w:left="386"/>
        <w:spacing w:after="0"/>
        <w:rPr>
          <w:sz w:val="20"/>
          <w:szCs w:val="20"/>
          <w:color w:val="auto"/>
        </w:rPr>
      </w:pPr>
      <w:r>
        <w:rPr>
          <w:rFonts w:ascii="Arial" w:cs="Arial" w:eastAsia="Arial" w:hAnsi="Arial"/>
          <w:sz w:val="14"/>
          <w:szCs w:val="14"/>
          <w:color w:val="auto"/>
        </w:rPr>
        <w:t>The Company’s share repurchase program has been in place since August 2004. In the aggregate, the Board of Directors has authorized the Company to repurchase $16.7</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4"/>
          <w:szCs w:val="14"/>
          <w:color w:val="auto"/>
        </w:rPr>
        <w:t>billion of the Company’s common stock under the program, which includes the $8.5 billion authorization approved by the Board of Directors on August 25, 2021. The Company</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4"/>
          <w:szCs w:val="14"/>
          <w:color w:val="auto"/>
        </w:rPr>
        <w:t>may repurchase outstanding shares of its common stock from time to time in the open market and through privately negotiated transactions. Unless terminated earlier by resolution</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4"/>
          <w:szCs w:val="14"/>
          <w:color w:val="auto"/>
        </w:rPr>
        <w:t>of the Company’s Board of Directors, the repurchase program will expire when the Company has repurchased all shares authorized under the program. As of October 30, 2021, the</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4"/>
          <w:szCs w:val="14"/>
          <w:color w:val="auto"/>
        </w:rPr>
        <w:t>Company had repurchased a total of approximately 171.6 million shares of its common stock for approximately $8.8 billion under this program, excluding the $500.0 million</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4"/>
          <w:szCs w:val="14"/>
          <w:color w:val="auto"/>
        </w:rPr>
        <w:t>within Prepaid expenses and other current assets noted above. $7.4 billion remains available for repurchase of shares under the current authorized program in addition to the</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3"/>
          <w:szCs w:val="13"/>
          <w:color w:val="auto"/>
        </w:rPr>
        <w:t>$500.0 million advance payment under the ASR. The repurchased shares are held as authorized but unissued shares of common stock. Future repurchases of common stock will be</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6"/>
          <w:szCs w:val="16"/>
          <w:color w:val="auto"/>
        </w:rPr>
        <w:t>dependent upon the Company's financial position, results of operations, outlook, liquidity, and other factors deemed relevant by the Company.</w:t>
      </w:r>
    </w:p>
    <w:p>
      <w:pPr>
        <w:spacing w:after="0" w:line="132" w:lineRule="exact"/>
        <w:rPr>
          <w:sz w:val="20"/>
          <w:szCs w:val="20"/>
          <w:color w:val="auto"/>
        </w:rPr>
      </w:pPr>
    </w:p>
    <w:p>
      <w:pPr>
        <w:ind w:left="6" w:right="80" w:firstLine="386"/>
        <w:spacing w:after="0" w:line="307" w:lineRule="auto"/>
        <w:rPr>
          <w:sz w:val="20"/>
          <w:szCs w:val="20"/>
          <w:color w:val="auto"/>
        </w:rPr>
      </w:pPr>
      <w:r>
        <w:rPr>
          <w:rFonts w:ascii="Arial" w:cs="Arial" w:eastAsia="Arial" w:hAnsi="Arial"/>
          <w:sz w:val="14"/>
          <w:szCs w:val="14"/>
          <w:color w:val="auto"/>
        </w:rPr>
        <w:t>The Company also, from time to time, repurchases shares in settlement of employee tax withholding obligations due upon the vesting of restricted stock units/awards or the exercise of stock options. The withholding amount is based on the employee's minimum statutory withholding requirement. Any future common stock repurchases will be dependent upon several factors, including the Company's financial performance, outlook, liquidity and the amount of cash the Company has available in the United States.</w:t>
      </w:r>
    </w:p>
    <w:p>
      <w:pPr>
        <w:spacing w:after="0" w:line="84" w:lineRule="exact"/>
        <w:rPr>
          <w:sz w:val="20"/>
          <w:szCs w:val="20"/>
          <w:color w:val="auto"/>
        </w:rPr>
      </w:pPr>
    </w:p>
    <w:p>
      <w:pPr>
        <w:ind w:left="206"/>
        <w:spacing w:after="0"/>
        <w:rPr>
          <w:sz w:val="20"/>
          <w:szCs w:val="20"/>
          <w:color w:val="auto"/>
        </w:rPr>
      </w:pPr>
      <w:r>
        <w:rPr>
          <w:rFonts w:ascii="Arial" w:cs="Arial" w:eastAsia="Arial" w:hAnsi="Arial"/>
          <w:sz w:val="16"/>
          <w:szCs w:val="16"/>
          <w:i w:val="1"/>
          <w:iCs w:val="1"/>
          <w:u w:val="single" w:color="auto"/>
          <w:color w:val="auto"/>
        </w:rPr>
        <w:t>Analog Devices Foundation</w:t>
      </w:r>
    </w:p>
    <w:p>
      <w:pPr>
        <w:spacing w:after="0" w:line="143" w:lineRule="exact"/>
        <w:rPr>
          <w:sz w:val="20"/>
          <w:szCs w:val="20"/>
          <w:color w:val="auto"/>
        </w:rPr>
      </w:pPr>
    </w:p>
    <w:p>
      <w:pPr>
        <w:ind w:left="6" w:right="100" w:firstLine="386"/>
        <w:spacing w:after="0" w:line="253" w:lineRule="auto"/>
        <w:rPr>
          <w:sz w:val="20"/>
          <w:szCs w:val="20"/>
          <w:color w:val="auto"/>
        </w:rPr>
      </w:pPr>
      <w:r>
        <w:rPr>
          <w:rFonts w:ascii="Arial" w:cs="Arial" w:eastAsia="Arial" w:hAnsi="Arial"/>
          <w:sz w:val="16"/>
          <w:szCs w:val="16"/>
          <w:color w:val="auto"/>
        </w:rPr>
        <w:t>During the first quarter of fiscal 2020, the Company contributed 335,654 shares of its common stock to the Analog Devices Foundation. As of the date of the charitable contribution, the shares had a fair value of approximately $40.0 million. This expense was recorded in Selling, marketing, general and administrative expense in the Consolidated Statement of Income.</w:t>
      </w:r>
    </w:p>
    <w:p>
      <w:pPr>
        <w:spacing w:after="0" w:line="120" w:lineRule="exact"/>
        <w:rPr>
          <w:sz w:val="20"/>
          <w:szCs w:val="20"/>
          <w:color w:val="auto"/>
        </w:rPr>
      </w:pPr>
    </w:p>
    <w:p>
      <w:pPr>
        <w:ind w:left="206"/>
        <w:spacing w:after="0"/>
        <w:rPr>
          <w:sz w:val="20"/>
          <w:szCs w:val="20"/>
          <w:color w:val="auto"/>
        </w:rPr>
      </w:pPr>
      <w:r>
        <w:rPr>
          <w:rFonts w:ascii="Arial" w:cs="Arial" w:eastAsia="Arial" w:hAnsi="Arial"/>
          <w:sz w:val="16"/>
          <w:szCs w:val="16"/>
          <w:i w:val="1"/>
          <w:iCs w:val="1"/>
          <w:u w:val="single" w:color="auto"/>
          <w:color w:val="auto"/>
        </w:rPr>
        <w:t>Preferred Stock</w:t>
      </w:r>
    </w:p>
    <w:p>
      <w:pPr>
        <w:spacing w:after="0" w:line="108" w:lineRule="exact"/>
        <w:rPr>
          <w:sz w:val="20"/>
          <w:szCs w:val="20"/>
          <w:color w:val="auto"/>
        </w:rPr>
      </w:pPr>
    </w:p>
    <w:p>
      <w:pPr>
        <w:ind w:left="6" w:right="660" w:firstLine="351"/>
        <w:spacing w:after="0" w:line="263" w:lineRule="auto"/>
        <w:rPr>
          <w:sz w:val="20"/>
          <w:szCs w:val="20"/>
          <w:color w:val="auto"/>
        </w:rPr>
      </w:pPr>
      <w:r>
        <w:rPr>
          <w:rFonts w:ascii="Arial" w:cs="Arial" w:eastAsia="Arial" w:hAnsi="Arial"/>
          <w:sz w:val="16"/>
          <w:szCs w:val="16"/>
          <w:color w:val="auto"/>
        </w:rPr>
        <w:t>The Company has 471,934 authorized shares of $1.00 par value preferred stock, none of which is issued or outstanding. The Board of Directors is authorized to fix designations, relative rights, preferences and limitations on the preferred stock at the time of issuance.</w:t>
      </w:r>
    </w:p>
    <w:p>
      <w:pPr>
        <w:spacing w:after="0" w:line="177" w:lineRule="exact"/>
        <w:rPr>
          <w:sz w:val="20"/>
          <w:szCs w:val="20"/>
          <w:color w:val="auto"/>
        </w:rPr>
      </w:pPr>
    </w:p>
    <w:p>
      <w:pPr>
        <w:ind w:left="306" w:hanging="306"/>
        <w:spacing w:after="0"/>
        <w:tabs>
          <w:tab w:leader="none" w:pos="306"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Industry, Segment and Geographic Information</w:t>
      </w:r>
    </w:p>
    <w:p>
      <w:pPr>
        <w:spacing w:after="0" w:line="124" w:lineRule="exact"/>
        <w:rPr>
          <w:sz w:val="20"/>
          <w:szCs w:val="20"/>
          <w:color w:val="auto"/>
        </w:rPr>
      </w:pPr>
    </w:p>
    <w:p>
      <w:pPr>
        <w:ind w:left="6" w:right="40" w:firstLine="386"/>
        <w:spacing w:after="0" w:line="250" w:lineRule="auto"/>
        <w:rPr>
          <w:sz w:val="20"/>
          <w:szCs w:val="20"/>
          <w:color w:val="auto"/>
        </w:rPr>
      </w:pPr>
      <w:r>
        <w:rPr>
          <w:rFonts w:ascii="Arial" w:cs="Arial" w:eastAsia="Arial" w:hAnsi="Arial"/>
          <w:sz w:val="16"/>
          <w:szCs w:val="16"/>
          <w:color w:val="auto"/>
        </w:rPr>
        <w:t>The Company operates and tracks its results in one reportable segment based on the aggregation of its operating segments. The Company designs, develops, manufactures and markets a broad range of integrated circuits (ICs). The Chief Executive Officer has been identified as the Company's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spacing w:after="0" w:line="52" w:lineRule="exact"/>
        <w:rPr>
          <w:sz w:val="20"/>
          <w:szCs w:val="20"/>
          <w:color w:val="auto"/>
        </w:rPr>
      </w:pPr>
    </w:p>
    <w:p>
      <w:pPr>
        <w:ind w:left="566" w:hanging="181"/>
        <w:spacing w:after="0"/>
        <w:tabs>
          <w:tab w:leader="none" w:pos="56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primary source of revenue for each operating segment is the sale of ICs.</w:t>
      </w:r>
    </w:p>
    <w:p>
      <w:pPr>
        <w:spacing w:after="0" w:line="84" w:lineRule="exact"/>
        <w:rPr>
          <w:rFonts w:ascii="Arial" w:cs="Arial" w:eastAsia="Arial" w:hAnsi="Arial"/>
          <w:sz w:val="16"/>
          <w:szCs w:val="16"/>
          <w:color w:val="auto"/>
        </w:rPr>
      </w:pPr>
    </w:p>
    <w:p>
      <w:pPr>
        <w:ind w:left="6" w:right="500" w:firstLine="379"/>
        <w:spacing w:after="0" w:line="263" w:lineRule="auto"/>
        <w:tabs>
          <w:tab w:leader="none" w:pos="56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ICs sold by each of the Company's operating segments are manufactured using similar semiconductor manufacturing processes and raw materials in either the Company’s own production facilities or by third-party wafer fabricators using proprietary processes.</w:t>
      </w:r>
    </w:p>
    <w:p>
      <w:pPr>
        <w:spacing w:after="0" w:line="52" w:lineRule="exact"/>
        <w:rPr>
          <w:rFonts w:ascii="Arial" w:cs="Arial" w:eastAsia="Arial" w:hAnsi="Arial"/>
          <w:sz w:val="16"/>
          <w:szCs w:val="16"/>
          <w:color w:val="auto"/>
        </w:rPr>
      </w:pPr>
    </w:p>
    <w:p>
      <w:pPr>
        <w:ind w:left="6" w:right="160" w:firstLine="379"/>
        <w:spacing w:after="0" w:line="263" w:lineRule="auto"/>
        <w:tabs>
          <w:tab w:leader="none" w:pos="56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sells its products to tens of thousands of customers worldwide. Many of these customers use products spanning all operating segments in a wide range of applications.</w:t>
      </w:r>
    </w:p>
    <w:p>
      <w:pPr>
        <w:spacing w:after="0" w:line="41" w:lineRule="exact"/>
        <w:rPr>
          <w:rFonts w:ascii="Arial" w:cs="Arial" w:eastAsia="Arial" w:hAnsi="Arial"/>
          <w:sz w:val="16"/>
          <w:szCs w:val="16"/>
          <w:color w:val="auto"/>
        </w:rPr>
      </w:pPr>
    </w:p>
    <w:p>
      <w:pPr>
        <w:ind w:left="6" w:right="160" w:firstLine="379"/>
        <w:spacing w:after="0" w:line="263" w:lineRule="auto"/>
        <w:tabs>
          <w:tab w:leader="none" w:pos="56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ICs marketed by each of the Company's operating segments are sold globally through a direct sales force, third-party distributors, independent sales representatives and via the Company's website to the same types of customers.</w:t>
      </w:r>
    </w:p>
    <w:p>
      <w:pPr>
        <w:spacing w:after="0" w:line="53" w:lineRule="exact"/>
        <w:rPr>
          <w:sz w:val="20"/>
          <w:szCs w:val="20"/>
          <w:color w:val="auto"/>
        </w:rPr>
      </w:pPr>
    </w:p>
    <w:p>
      <w:pPr>
        <w:jc w:val="both"/>
        <w:ind w:left="6" w:right="100" w:firstLine="386"/>
        <w:spacing w:after="0" w:line="253" w:lineRule="auto"/>
        <w:rPr>
          <w:sz w:val="20"/>
          <w:szCs w:val="20"/>
          <w:color w:val="auto"/>
        </w:rPr>
      </w:pPr>
      <w:r>
        <w:rPr>
          <w:rFonts w:ascii="Arial" w:cs="Arial" w:eastAsia="Arial" w:hAnsi="Arial"/>
          <w:sz w:val="16"/>
          <w:szCs w:val="16"/>
          <w:color w:val="auto"/>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w:t>
      </w:r>
    </w:p>
    <w:p>
      <w:pPr>
        <w:spacing w:after="0" w:line="200" w:lineRule="exact"/>
        <w:rPr>
          <w:sz w:val="20"/>
          <w:szCs w:val="20"/>
          <w:color w:val="auto"/>
        </w:rPr>
      </w:pPr>
    </w:p>
    <w:p>
      <w:pPr>
        <w:spacing w:after="0" w:line="294" w:lineRule="exact"/>
        <w:rPr>
          <w:sz w:val="20"/>
          <w:szCs w:val="20"/>
          <w:color w:val="auto"/>
        </w:rPr>
      </w:pPr>
    </w:p>
    <w:p>
      <w:pPr>
        <w:jc w:val="center"/>
        <w:ind w:right="-65"/>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6"/>
          </w:cols>
          <w:pgMar w:left="314" w:top="123" w:right="39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51" w:lineRule="exact"/>
        <w:rPr>
          <w:sz w:val="20"/>
          <w:szCs w:val="20"/>
          <w:color w:val="auto"/>
        </w:rPr>
      </w:pPr>
    </w:p>
    <w:p>
      <w:pPr>
        <w:ind w:right="200"/>
        <w:spacing w:after="0" w:line="335" w:lineRule="auto"/>
        <w:rPr>
          <w:sz w:val="20"/>
          <w:szCs w:val="20"/>
          <w:color w:val="auto"/>
        </w:rPr>
      </w:pPr>
      <w:r>
        <w:rPr>
          <w:rFonts w:ascii="Arial" w:cs="Arial" w:eastAsia="Arial" w:hAnsi="Arial"/>
          <w:sz w:val="14"/>
          <w:szCs w:val="14"/>
          <w:color w:val="auto"/>
        </w:rPr>
        <w:t>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proportionally similar for each operating segment.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Trends by End Market</w:t>
      </w:r>
    </w:p>
    <w:p>
      <w:pPr>
        <w:spacing w:after="0" w:line="73" w:lineRule="exact"/>
        <w:rPr>
          <w:sz w:val="20"/>
          <w:szCs w:val="20"/>
          <w:color w:val="auto"/>
        </w:rPr>
      </w:pPr>
    </w:p>
    <w:p>
      <w:pPr>
        <w:ind w:right="60" w:firstLine="386"/>
        <w:spacing w:after="0" w:line="248"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2021</w:t>
            </w: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2020</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jc w:val="right"/>
              <w:ind w:right="28"/>
              <w:spacing w:after="0" w:line="114" w:lineRule="exact"/>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8"/>
              <w:spacing w:after="0" w:line="114" w:lineRule="exact"/>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jc w:val="right"/>
              <w:ind w:right="28"/>
              <w:spacing w:after="0" w:line="114" w:lineRule="exact"/>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00" w:type="dxa"/>
            <w:vAlign w:val="bottom"/>
            <w:gridSpan w:val="3"/>
            <w:vMerge w:val="restart"/>
          </w:tcPr>
          <w:p>
            <w:pPr>
              <w:jc w:val="right"/>
              <w:ind w:right="700"/>
              <w:spacing w:after="0"/>
              <w:rPr>
                <w:sz w:val="20"/>
                <w:szCs w:val="20"/>
                <w:color w:val="auto"/>
              </w:rPr>
            </w:pPr>
            <w:r>
              <w:rPr>
                <w:rFonts w:ascii="Arial" w:cs="Arial" w:eastAsia="Arial" w:hAnsi="Arial"/>
                <w:sz w:val="12"/>
                <w:szCs w:val="12"/>
                <w:b w:val="1"/>
                <w:bCs w:val="1"/>
                <w:color w:val="auto"/>
              </w:rPr>
              <w:t>Revenue</w:t>
            </w:r>
          </w:p>
        </w:tc>
        <w:tc>
          <w:tcPr>
            <w:tcW w:w="860" w:type="dxa"/>
            <w:vAlign w:val="bottom"/>
          </w:tcPr>
          <w:p>
            <w:pPr>
              <w:jc w:val="right"/>
              <w:ind w:right="208"/>
              <w:spacing w:after="0" w:line="117" w:lineRule="exact"/>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gridSpan w:val="3"/>
            <w:vMerge w:val="restart"/>
          </w:tcPr>
          <w:p>
            <w:pPr>
              <w:jc w:val="right"/>
              <w:ind w:right="700"/>
              <w:spacing w:after="0"/>
              <w:rPr>
                <w:sz w:val="20"/>
                <w:szCs w:val="20"/>
                <w:color w:val="auto"/>
              </w:rPr>
            </w:pPr>
            <w:r>
              <w:rPr>
                <w:rFonts w:ascii="Arial" w:cs="Arial" w:eastAsia="Arial" w:hAnsi="Arial"/>
                <w:sz w:val="12"/>
                <w:szCs w:val="12"/>
                <w:b w:val="1"/>
                <w:bCs w:val="1"/>
                <w:color w:val="auto"/>
              </w:rPr>
              <w:t>Revenue</w:t>
            </w:r>
          </w:p>
        </w:tc>
        <w:tc>
          <w:tcPr>
            <w:tcW w:w="840" w:type="dxa"/>
            <w:vAlign w:val="bottom"/>
          </w:tcPr>
          <w:p>
            <w:pPr>
              <w:jc w:val="right"/>
              <w:ind w:right="208"/>
              <w:spacing w:after="0" w:line="117" w:lineRule="exact"/>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00" w:type="dxa"/>
            <w:vAlign w:val="bottom"/>
            <w:gridSpan w:val="3"/>
            <w:vMerge w:val="restart"/>
          </w:tcPr>
          <w:p>
            <w:pPr>
              <w:jc w:val="right"/>
              <w:ind w:right="700"/>
              <w:spacing w:after="0"/>
              <w:rPr>
                <w:sz w:val="20"/>
                <w:szCs w:val="20"/>
                <w:color w:val="auto"/>
              </w:rPr>
            </w:pPr>
            <w:r>
              <w:rPr>
                <w:rFonts w:ascii="Arial" w:cs="Arial" w:eastAsia="Arial" w:hAnsi="Arial"/>
                <w:sz w:val="12"/>
                <w:szCs w:val="12"/>
                <w:b w:val="1"/>
                <w:bCs w:val="1"/>
                <w:color w:val="auto"/>
              </w:rPr>
              <w:t>Revenue</w:t>
            </w:r>
          </w:p>
        </w:tc>
        <w:tc>
          <w:tcPr>
            <w:tcW w:w="860" w:type="dxa"/>
            <w:vAlign w:val="bottom"/>
          </w:tcPr>
          <w:p>
            <w:pPr>
              <w:jc w:val="right"/>
              <w:ind w:right="208"/>
              <w:spacing w:after="0" w:line="117" w:lineRule="exact"/>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2"/>
                <w:szCs w:val="12"/>
                <w:b w:val="1"/>
                <w:bCs w:val="1"/>
                <w:color w:val="auto"/>
              </w:rPr>
              <w:t>Revenue (1)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2"/>
                <w:szCs w:val="12"/>
                <w:b w:val="1"/>
                <w:bCs w:val="1"/>
                <w:color w:val="auto"/>
              </w:rPr>
              <w:t>Revenue (1)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2"/>
                <w:szCs w:val="12"/>
                <w:b w:val="1"/>
                <w:bCs w:val="1"/>
                <w:color w:val="auto"/>
              </w:rPr>
              <w:t>Revenue (1)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Industrial</w:t>
            </w:r>
          </w:p>
        </w:tc>
        <w:tc>
          <w:tcPr>
            <w:tcW w:w="6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4,011,485</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6"/>
                <w:szCs w:val="16"/>
                <w:color w:val="auto"/>
              </w:rPr>
              <w:t>55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2,998,259</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6"/>
                <w:szCs w:val="16"/>
                <w:color w:val="auto"/>
              </w:rPr>
              <w:t>54</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3,014,890</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6"/>
                <w:szCs w:val="16"/>
                <w:color w:val="auto"/>
              </w:rPr>
              <w:t>50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980" w:type="dxa"/>
            <w:vAlign w:val="bottom"/>
          </w:tcPr>
          <w:p>
            <w:pPr>
              <w:ind w:left="400"/>
              <w:spacing w:after="0"/>
              <w:rPr>
                <w:sz w:val="20"/>
                <w:szCs w:val="20"/>
                <w:color w:val="auto"/>
              </w:rPr>
            </w:pPr>
            <w:r>
              <w:rPr>
                <w:rFonts w:ascii="Arial" w:cs="Arial" w:eastAsia="Arial" w:hAnsi="Arial"/>
                <w:sz w:val="16"/>
                <w:szCs w:val="16"/>
                <w:color w:val="auto"/>
              </w:rPr>
              <w:t>Automotive</w:t>
            </w:r>
          </w:p>
        </w:tc>
        <w:tc>
          <w:tcPr>
            <w:tcW w:w="640" w:type="dxa"/>
            <w:vAlign w:val="bottom"/>
          </w:tcPr>
          <w:p>
            <w:pPr>
              <w:spacing w:after="0"/>
              <w:rPr>
                <w:sz w:val="17"/>
                <w:szCs w:val="17"/>
                <w:color w:val="auto"/>
              </w:rPr>
            </w:pPr>
          </w:p>
        </w:tc>
        <w:tc>
          <w:tcPr>
            <w:tcW w:w="1020" w:type="dxa"/>
            <w:vAlign w:val="bottom"/>
          </w:tcPr>
          <w:p>
            <w:pPr>
              <w:jc w:val="right"/>
              <w:ind w:right="7"/>
              <w:spacing w:after="0"/>
              <w:rPr>
                <w:sz w:val="20"/>
                <w:szCs w:val="20"/>
                <w:color w:val="auto"/>
              </w:rPr>
            </w:pPr>
            <w:r>
              <w:rPr>
                <w:rFonts w:ascii="Arial" w:cs="Arial" w:eastAsia="Arial" w:hAnsi="Arial"/>
                <w:sz w:val="16"/>
                <w:szCs w:val="16"/>
                <w:color w:val="auto"/>
              </w:rPr>
              <w:t>1,248,635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268"/>
              <w:spacing w:after="0"/>
              <w:rPr>
                <w:sz w:val="20"/>
                <w:szCs w:val="20"/>
                <w:color w:val="auto"/>
              </w:rPr>
            </w:pPr>
            <w:r>
              <w:rPr>
                <w:rFonts w:ascii="Arial" w:cs="Arial" w:eastAsia="Arial" w:hAnsi="Arial"/>
                <w:sz w:val="16"/>
                <w:szCs w:val="16"/>
                <w:color w:val="auto"/>
              </w:rPr>
              <w:t>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778,297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68"/>
              <w:spacing w:after="0"/>
              <w:rPr>
                <w:sz w:val="20"/>
                <w:szCs w:val="20"/>
                <w:color w:val="auto"/>
              </w:rPr>
            </w:pPr>
            <w:r>
              <w:rPr>
                <w:rFonts w:ascii="Arial" w:cs="Arial" w:eastAsia="Arial" w:hAnsi="Arial"/>
                <w:sz w:val="16"/>
                <w:szCs w:val="16"/>
                <w:color w:val="auto"/>
              </w:rPr>
              <w:t>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ind w:right="7"/>
              <w:spacing w:after="0"/>
              <w:rPr>
                <w:sz w:val="20"/>
                <w:szCs w:val="20"/>
                <w:color w:val="auto"/>
              </w:rPr>
            </w:pPr>
            <w:r>
              <w:rPr>
                <w:rFonts w:ascii="Arial" w:cs="Arial" w:eastAsia="Arial" w:hAnsi="Arial"/>
                <w:sz w:val="16"/>
                <w:szCs w:val="16"/>
                <w:color w:val="auto"/>
              </w:rPr>
              <w:t>929,671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268"/>
              <w:spacing w:after="0"/>
              <w:rPr>
                <w:sz w:val="20"/>
                <w:szCs w:val="20"/>
                <w:color w:val="auto"/>
              </w:rPr>
            </w:pPr>
            <w:r>
              <w:rPr>
                <w:rFonts w:ascii="Arial" w:cs="Arial" w:eastAsia="Arial" w:hAnsi="Arial"/>
                <w:sz w:val="16"/>
                <w:szCs w:val="16"/>
                <w:color w:val="auto"/>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Communications</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1,198,461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68"/>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1,191,169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68"/>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1,294,233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68"/>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9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Consumer</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859,705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635,331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752,271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9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revenue</w:t>
            </w:r>
          </w:p>
        </w:tc>
        <w:tc>
          <w:tcPr>
            <w:tcW w:w="6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7,318,286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5,603,056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5,991,065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10"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sum of the individual percentages may not equal the total due to rounding.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by Sales Channel</w:t>
      </w:r>
    </w:p>
    <w:p>
      <w:pPr>
        <w:spacing w:after="0" w:line="85" w:lineRule="exact"/>
        <w:rPr>
          <w:sz w:val="20"/>
          <w:szCs w:val="20"/>
          <w:color w:val="auto"/>
        </w:rPr>
      </w:pPr>
    </w:p>
    <w:p>
      <w:pPr>
        <w:ind w:right="120" w:firstLine="351"/>
        <w:spacing w:after="0" w:line="250" w:lineRule="auto"/>
        <w:rPr>
          <w:sz w:val="20"/>
          <w:szCs w:val="20"/>
          <w:color w:val="auto"/>
        </w:rPr>
      </w:pPr>
      <w:r>
        <w:rPr>
          <w:rFonts w:ascii="Arial" w:cs="Arial" w:eastAsia="Arial" w:hAnsi="Arial"/>
          <w:sz w:val="16"/>
          <w:szCs w:val="16"/>
          <w:color w:val="auto"/>
        </w:rPr>
        <w:t>The following tables summarize revenue by sales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2021</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2020</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2019</w:t>
            </w: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jc w:val="right"/>
              <w:ind w:right="29"/>
              <w:spacing w:after="0" w:line="114" w:lineRule="exact"/>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jc w:val="right"/>
              <w:ind w:right="49"/>
              <w:spacing w:after="0" w:line="114" w:lineRule="exact"/>
              <w:rPr>
                <w:sz w:val="20"/>
                <w:szCs w:val="20"/>
                <w:color w:val="auto"/>
              </w:rPr>
            </w:pPr>
            <w:r>
              <w:rPr>
                <w:rFonts w:ascii="Arial" w:cs="Arial" w:eastAsia="Arial" w:hAnsi="Arial"/>
                <w:sz w:val="12"/>
                <w:szCs w:val="12"/>
                <w:b w:val="1"/>
                <w:bCs w:val="1"/>
                <w:color w:val="auto"/>
              </w:rPr>
              <w:t>% of</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ind w:right="29"/>
              <w:spacing w:after="0" w:line="114" w:lineRule="exact"/>
              <w:rPr>
                <w:sz w:val="20"/>
                <w:szCs w:val="20"/>
                <w:color w:val="auto"/>
              </w:rPr>
            </w:pPr>
            <w:r>
              <w:rPr>
                <w:rFonts w:ascii="Arial" w:cs="Arial" w:eastAsia="Arial" w:hAnsi="Arial"/>
                <w:sz w:val="12"/>
                <w:szCs w:val="12"/>
                <w:b w:val="1"/>
                <w:bCs w:val="1"/>
                <w:color w:val="auto"/>
              </w:rPr>
              <w:t>% of</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gridSpan w:val="3"/>
            <w:vMerge w:val="restart"/>
          </w:tcPr>
          <w:p>
            <w:pPr>
              <w:jc w:val="right"/>
              <w:ind w:right="680"/>
              <w:spacing w:after="0"/>
              <w:rPr>
                <w:sz w:val="20"/>
                <w:szCs w:val="20"/>
                <w:color w:val="auto"/>
              </w:rPr>
            </w:pPr>
            <w:r>
              <w:rPr>
                <w:rFonts w:ascii="Arial" w:cs="Arial" w:eastAsia="Arial" w:hAnsi="Arial"/>
                <w:sz w:val="12"/>
                <w:szCs w:val="12"/>
                <w:b w:val="1"/>
                <w:bCs w:val="1"/>
                <w:color w:val="auto"/>
              </w:rPr>
              <w:t>Revenue</w:t>
            </w:r>
          </w:p>
        </w:tc>
        <w:tc>
          <w:tcPr>
            <w:tcW w:w="840" w:type="dxa"/>
            <w:vAlign w:val="bottom"/>
          </w:tcPr>
          <w:p>
            <w:pPr>
              <w:jc w:val="right"/>
              <w:ind w:right="189"/>
              <w:spacing w:after="0" w:line="117" w:lineRule="exact"/>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20" w:type="dxa"/>
            <w:vAlign w:val="bottom"/>
            <w:gridSpan w:val="3"/>
            <w:vMerge w:val="restart"/>
          </w:tcPr>
          <w:p>
            <w:pPr>
              <w:jc w:val="right"/>
              <w:ind w:right="700"/>
              <w:spacing w:after="0"/>
              <w:rPr>
                <w:sz w:val="20"/>
                <w:szCs w:val="20"/>
                <w:color w:val="auto"/>
              </w:rPr>
            </w:pPr>
            <w:r>
              <w:rPr>
                <w:rFonts w:ascii="Arial" w:cs="Arial" w:eastAsia="Arial" w:hAnsi="Arial"/>
                <w:sz w:val="12"/>
                <w:szCs w:val="12"/>
                <w:b w:val="1"/>
                <w:bCs w:val="1"/>
                <w:color w:val="auto"/>
              </w:rPr>
              <w:t>Revenue</w:t>
            </w:r>
          </w:p>
        </w:tc>
        <w:tc>
          <w:tcPr>
            <w:tcW w:w="860" w:type="dxa"/>
            <w:vAlign w:val="bottom"/>
          </w:tcPr>
          <w:p>
            <w:pPr>
              <w:jc w:val="right"/>
              <w:ind w:right="209"/>
              <w:spacing w:after="0" w:line="117" w:lineRule="exact"/>
              <w:rPr>
                <w:sz w:val="20"/>
                <w:szCs w:val="20"/>
                <w:color w:val="auto"/>
              </w:rPr>
            </w:pPr>
            <w:r>
              <w:rPr>
                <w:rFonts w:ascii="Arial" w:cs="Arial" w:eastAsia="Arial" w:hAnsi="Arial"/>
                <w:sz w:val="12"/>
                <w:szCs w:val="12"/>
                <w:b w:val="1"/>
                <w:bCs w:val="1"/>
                <w:color w:val="auto"/>
              </w:rPr>
              <w:t>Total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gridSpan w:val="3"/>
            <w:vMerge w:val="restart"/>
          </w:tcPr>
          <w:p>
            <w:pPr>
              <w:jc w:val="right"/>
              <w:ind w:right="700"/>
              <w:spacing w:after="0"/>
              <w:rPr>
                <w:sz w:val="20"/>
                <w:szCs w:val="20"/>
                <w:color w:val="auto"/>
              </w:rPr>
            </w:pPr>
            <w:r>
              <w:rPr>
                <w:rFonts w:ascii="Arial" w:cs="Arial" w:eastAsia="Arial" w:hAnsi="Arial"/>
                <w:sz w:val="12"/>
                <w:szCs w:val="12"/>
                <w:b w:val="1"/>
                <w:bCs w:val="1"/>
                <w:color w:val="auto"/>
              </w:rPr>
              <w:t>Revenue</w:t>
            </w:r>
          </w:p>
        </w:tc>
        <w:tc>
          <w:tcPr>
            <w:tcW w:w="840" w:type="dxa"/>
            <w:vAlign w:val="bottom"/>
          </w:tcPr>
          <w:p>
            <w:pPr>
              <w:jc w:val="right"/>
              <w:ind w:right="209"/>
              <w:spacing w:after="0" w:line="117" w:lineRule="exact"/>
              <w:rPr>
                <w:sz w:val="20"/>
                <w:szCs w:val="20"/>
                <w:color w:val="auto"/>
              </w:rPr>
            </w:pPr>
            <w:r>
              <w:rPr>
                <w:rFonts w:ascii="Arial" w:cs="Arial" w:eastAsia="Arial" w:hAnsi="Arial"/>
                <w:sz w:val="12"/>
                <w:szCs w:val="12"/>
                <w:b w:val="1"/>
                <w:bCs w:val="1"/>
                <w:color w:val="auto"/>
              </w:rPr>
              <w:t>Total</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40" w:type="dxa"/>
            <w:vAlign w:val="bottom"/>
          </w:tcPr>
          <w:p>
            <w:pPr>
              <w:jc w:val="right"/>
              <w:ind w:right="9"/>
              <w:spacing w:after="0"/>
              <w:rPr>
                <w:sz w:val="20"/>
                <w:szCs w:val="20"/>
                <w:color w:val="auto"/>
              </w:rPr>
            </w:pPr>
            <w:r>
              <w:rPr>
                <w:rFonts w:ascii="Arial" w:cs="Arial" w:eastAsia="Arial" w:hAnsi="Arial"/>
                <w:sz w:val="12"/>
                <w:szCs w:val="12"/>
                <w:b w:val="1"/>
                <w:bCs w:val="1"/>
                <w:color w:val="auto"/>
              </w:rPr>
              <w:t>Revenue (1)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60" w:type="dxa"/>
            <w:vAlign w:val="bottom"/>
          </w:tcPr>
          <w:p>
            <w:pPr>
              <w:jc w:val="right"/>
              <w:ind w:right="29"/>
              <w:spacing w:after="0"/>
              <w:rPr>
                <w:sz w:val="20"/>
                <w:szCs w:val="20"/>
                <w:color w:val="auto"/>
              </w:rPr>
            </w:pPr>
            <w:r>
              <w:rPr>
                <w:rFonts w:ascii="Arial" w:cs="Arial" w:eastAsia="Arial" w:hAnsi="Arial"/>
                <w:sz w:val="12"/>
                <w:szCs w:val="12"/>
                <w:b w:val="1"/>
                <w:bCs w:val="1"/>
                <w:color w:val="auto"/>
              </w:rPr>
              <w:t>Revenue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840" w:type="dxa"/>
            <w:vAlign w:val="bottom"/>
          </w:tcPr>
          <w:p>
            <w:pPr>
              <w:jc w:val="right"/>
              <w:ind w:right="29"/>
              <w:spacing w:after="0"/>
              <w:rPr>
                <w:sz w:val="20"/>
                <w:szCs w:val="20"/>
                <w:color w:val="auto"/>
              </w:rPr>
            </w:pPr>
            <w:r>
              <w:rPr>
                <w:rFonts w:ascii="Arial" w:cs="Arial" w:eastAsia="Arial" w:hAnsi="Arial"/>
                <w:sz w:val="12"/>
                <w:szCs w:val="12"/>
                <w:b w:val="1"/>
                <w:bCs w:val="1"/>
                <w:color w:val="auto"/>
              </w:rPr>
              <w:t>Revenue (1)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Distributors</w:t>
            </w:r>
          </w:p>
        </w:tc>
        <w:tc>
          <w:tcPr>
            <w:tcW w:w="6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4,589,944</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6"/>
                <w:szCs w:val="16"/>
                <w:color w:val="auto"/>
              </w:rPr>
              <w:t>63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3,216,302</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6"/>
                <w:szCs w:val="16"/>
                <w:color w:val="auto"/>
              </w:rPr>
              <w:t>57</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3,409,161</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229"/>
              <w:spacing w:after="0"/>
              <w:rPr>
                <w:sz w:val="20"/>
                <w:szCs w:val="20"/>
                <w:color w:val="auto"/>
              </w:rPr>
            </w:pPr>
            <w:r>
              <w:rPr>
                <w:rFonts w:ascii="Arial" w:cs="Arial" w:eastAsia="Arial" w:hAnsi="Arial"/>
                <w:sz w:val="16"/>
                <w:szCs w:val="16"/>
                <w:color w:val="auto"/>
              </w:rPr>
              <w:t>57</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20" w:type="dxa"/>
            <w:vAlign w:val="bottom"/>
          </w:tcPr>
          <w:p>
            <w:pPr>
              <w:ind w:left="360"/>
              <w:spacing w:after="0"/>
              <w:rPr>
                <w:sz w:val="20"/>
                <w:szCs w:val="20"/>
                <w:color w:val="auto"/>
              </w:rPr>
            </w:pPr>
            <w:r>
              <w:rPr>
                <w:rFonts w:ascii="Arial" w:cs="Arial" w:eastAsia="Arial" w:hAnsi="Arial"/>
                <w:sz w:val="16"/>
                <w:szCs w:val="16"/>
                <w:color w:val="auto"/>
              </w:rPr>
              <w:t>Direct customers</w:t>
            </w:r>
          </w:p>
        </w:tc>
        <w:tc>
          <w:tcPr>
            <w:tcW w:w="6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2,600,353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229"/>
              <w:spacing w:after="0"/>
              <w:rPr>
                <w:sz w:val="20"/>
                <w:szCs w:val="20"/>
                <w:color w:val="auto"/>
              </w:rPr>
            </w:pPr>
            <w:r>
              <w:rPr>
                <w:rFonts w:ascii="Arial" w:cs="Arial" w:eastAsia="Arial" w:hAnsi="Arial"/>
                <w:sz w:val="16"/>
                <w:szCs w:val="16"/>
                <w:color w:val="auto"/>
              </w:rPr>
              <w:t>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2,300,493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249"/>
              <w:spacing w:after="0"/>
              <w:rPr>
                <w:sz w:val="20"/>
                <w:szCs w:val="20"/>
                <w:color w:val="auto"/>
              </w:rPr>
            </w:pPr>
            <w:r>
              <w:rPr>
                <w:rFonts w:ascii="Arial" w:cs="Arial" w:eastAsia="Arial" w:hAnsi="Arial"/>
                <w:sz w:val="16"/>
                <w:szCs w:val="16"/>
                <w:color w:val="auto"/>
              </w:rPr>
              <w:t>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2,506,065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29"/>
              <w:spacing w:after="0"/>
              <w:rPr>
                <w:sz w:val="20"/>
                <w:szCs w:val="20"/>
                <w:color w:val="auto"/>
              </w:rPr>
            </w:pPr>
            <w:r>
              <w:rPr>
                <w:rFonts w:ascii="Arial" w:cs="Arial" w:eastAsia="Arial" w:hAnsi="Arial"/>
                <w:sz w:val="16"/>
                <w:szCs w:val="16"/>
                <w:color w:val="auto"/>
              </w:rPr>
              <w:t>42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127,989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86,261</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75,839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20" w:type="dxa"/>
            <w:vAlign w:val="bottom"/>
          </w:tcPr>
          <w:p>
            <w:pPr>
              <w:ind w:left="360"/>
              <w:spacing w:after="0"/>
              <w:rPr>
                <w:sz w:val="20"/>
                <w:szCs w:val="20"/>
                <w:color w:val="auto"/>
              </w:rPr>
            </w:pPr>
            <w:r>
              <w:rPr>
                <w:rFonts w:ascii="Arial" w:cs="Arial" w:eastAsia="Arial" w:hAnsi="Arial"/>
                <w:sz w:val="16"/>
                <w:szCs w:val="16"/>
                <w:color w:val="auto"/>
              </w:rPr>
              <w:t>Total revenue</w:t>
            </w: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7,318,286</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5,603,056</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9"/>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5,991,065</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9"/>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10"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sum of the individual percentages may not equal the total due to rounding.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0" w:name="page71"/>
    <w:bookmarkEnd w:id="70"/>
    <w:p>
      <w:pPr>
        <w:jc w:val="center"/>
        <w:ind w:right="-5"/>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10"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Geographic Information</w:t>
      </w:r>
    </w:p>
    <w:p>
      <w:pPr>
        <w:spacing w:after="0" w:line="85" w:lineRule="exact"/>
        <w:rPr>
          <w:sz w:val="20"/>
          <w:szCs w:val="20"/>
          <w:color w:val="auto"/>
        </w:rPr>
      </w:pPr>
    </w:p>
    <w:p>
      <w:pPr>
        <w:ind w:left="6" w:right="20" w:firstLine="351"/>
        <w:spacing w:after="0" w:line="250" w:lineRule="auto"/>
        <w:rPr>
          <w:sz w:val="20"/>
          <w:szCs w:val="20"/>
          <w:color w:val="auto"/>
        </w:rPr>
      </w:pPr>
      <w:r>
        <w:rPr>
          <w:rFonts w:ascii="Arial" w:cs="Arial" w:eastAsia="Arial" w:hAnsi="Arial"/>
          <w:sz w:val="16"/>
          <w:szCs w:val="16"/>
          <w:color w:val="auto"/>
        </w:rPr>
        <w:t>Geographic revenue information for fiscal 2021, fiscal 2020 and fiscal 2019 reflects the geographic location of the distributors or OEMs who purchased the Company's products. This may differ from the geographic location of the end customers. In all periods presented, the predominant countries comprising “Rest of North and South America” are Canada and Mexico; the predominant countries comprising “Europe” are Germany, Sweden, and the Netherlands; and the predominant countries comprising “Rest of Asia” are Taiwan, Malaysia, South Korea and Singapore.</w:t>
      </w:r>
    </w:p>
    <w:p>
      <w:pPr>
        <w:spacing w:after="0" w:line="10"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55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3"/>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Revenue</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United States</w:t>
            </w: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2,389,439</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1,887,443</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2,020,886</w:t>
            </w:r>
          </w:p>
        </w:tc>
        <w:tc>
          <w:tcPr>
            <w:tcW w:w="0" w:type="dxa"/>
            <w:vAlign w:val="bottom"/>
          </w:tcPr>
          <w:p>
            <w:pPr>
              <w:spacing w:after="0"/>
              <w:rPr>
                <w:sz w:val="1"/>
                <w:szCs w:val="1"/>
                <w:color w:val="auto"/>
              </w:rPr>
            </w:pPr>
          </w:p>
        </w:tc>
      </w:tr>
      <w:tr>
        <w:trPr>
          <w:trHeight w:val="190"/>
        </w:trPr>
        <w:tc>
          <w:tcPr>
            <w:tcW w:w="5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Rest of North and South America</w:t>
            </w: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42,830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55,059</w:t>
            </w:r>
          </w:p>
        </w:tc>
        <w:tc>
          <w:tcPr>
            <w:tcW w:w="0" w:type="dxa"/>
            <w:vAlign w:val="bottom"/>
          </w:tcPr>
          <w:p>
            <w:pPr>
              <w:spacing w:after="0"/>
              <w:rPr>
                <w:sz w:val="1"/>
                <w:szCs w:val="1"/>
                <w:color w:val="auto"/>
              </w:rPr>
            </w:pPr>
          </w:p>
        </w:tc>
      </w:tr>
      <w:tr>
        <w:trPr>
          <w:trHeight w:val="199"/>
        </w:trPr>
        <w:tc>
          <w:tcPr>
            <w:tcW w:w="5580" w:type="dxa"/>
            <w:vAlign w:val="bottom"/>
          </w:tcPr>
          <w:p>
            <w:pPr>
              <w:ind w:left="460"/>
              <w:spacing w:after="0"/>
              <w:rPr>
                <w:sz w:val="20"/>
                <w:szCs w:val="20"/>
                <w:color w:val="auto"/>
              </w:rPr>
            </w:pPr>
            <w:r>
              <w:rPr>
                <w:rFonts w:ascii="Arial" w:cs="Arial" w:eastAsia="Arial" w:hAnsi="Arial"/>
                <w:sz w:val="16"/>
                <w:szCs w:val="16"/>
                <w:color w:val="auto"/>
              </w:rPr>
              <w:t>Europe</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1,592,989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1,245,695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1,374,673</w:t>
            </w:r>
          </w:p>
        </w:tc>
        <w:tc>
          <w:tcPr>
            <w:tcW w:w="0" w:type="dxa"/>
            <w:vAlign w:val="bottom"/>
          </w:tcPr>
          <w:p>
            <w:pPr>
              <w:spacing w:after="0"/>
              <w:rPr>
                <w:sz w:val="1"/>
                <w:szCs w:val="1"/>
                <w:color w:val="auto"/>
              </w:rPr>
            </w:pPr>
          </w:p>
        </w:tc>
      </w:tr>
      <w:tr>
        <w:trPr>
          <w:trHeight w:val="199"/>
        </w:trPr>
        <w:tc>
          <w:tcPr>
            <w:tcW w:w="5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Japan</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787,966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521,720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657,632</w:t>
            </w:r>
          </w:p>
        </w:tc>
        <w:tc>
          <w:tcPr>
            <w:tcW w:w="0" w:type="dxa"/>
            <w:vAlign w:val="bottom"/>
          </w:tcPr>
          <w:p>
            <w:pPr>
              <w:spacing w:after="0"/>
              <w:rPr>
                <w:sz w:val="1"/>
                <w:szCs w:val="1"/>
                <w:color w:val="auto"/>
              </w:rPr>
            </w:pPr>
          </w:p>
        </w:tc>
      </w:tr>
      <w:tr>
        <w:trPr>
          <w:trHeight w:val="199"/>
        </w:trPr>
        <w:tc>
          <w:tcPr>
            <w:tcW w:w="5580" w:type="dxa"/>
            <w:vAlign w:val="bottom"/>
          </w:tcPr>
          <w:p>
            <w:pPr>
              <w:ind w:left="460"/>
              <w:spacing w:after="0"/>
              <w:rPr>
                <w:sz w:val="20"/>
                <w:szCs w:val="20"/>
                <w:color w:val="auto"/>
              </w:rPr>
            </w:pPr>
            <w:r>
              <w:rPr>
                <w:rFonts w:ascii="Arial" w:cs="Arial" w:eastAsia="Arial" w:hAnsi="Arial"/>
                <w:sz w:val="16"/>
                <w:szCs w:val="16"/>
                <w:color w:val="auto"/>
              </w:rPr>
              <w:t>China</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1,614,396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1,348,011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1,316,275</w:t>
            </w:r>
          </w:p>
        </w:tc>
        <w:tc>
          <w:tcPr>
            <w:tcW w:w="0" w:type="dxa"/>
            <w:vAlign w:val="bottom"/>
          </w:tcPr>
          <w:p>
            <w:pPr>
              <w:spacing w:after="0"/>
              <w:rPr>
                <w:sz w:val="1"/>
                <w:szCs w:val="1"/>
                <w:color w:val="auto"/>
              </w:rPr>
            </w:pPr>
          </w:p>
        </w:tc>
      </w:tr>
      <w:tr>
        <w:trPr>
          <w:trHeight w:val="199"/>
        </w:trPr>
        <w:tc>
          <w:tcPr>
            <w:tcW w:w="5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Rest of Asia</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890,666</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558,937</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566,540</w:t>
            </w: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Subtotal all foreign countries</w:t>
            </w: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4,928,847</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3,715,613</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3,970,179</w:t>
            </w:r>
          </w:p>
        </w:tc>
        <w:tc>
          <w:tcPr>
            <w:tcW w:w="0" w:type="dxa"/>
            <w:vAlign w:val="bottom"/>
          </w:tcPr>
          <w:p>
            <w:pPr>
              <w:spacing w:after="0"/>
              <w:rPr>
                <w:sz w:val="1"/>
                <w:szCs w:val="1"/>
                <w:color w:val="auto"/>
              </w:rPr>
            </w:pPr>
          </w:p>
        </w:tc>
      </w:tr>
      <w:tr>
        <w:trPr>
          <w:trHeight w:val="215"/>
        </w:trPr>
        <w:tc>
          <w:tcPr>
            <w:tcW w:w="5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revenue</w:t>
            </w:r>
          </w:p>
        </w:tc>
        <w:tc>
          <w:tcPr>
            <w:tcW w:w="7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7,318,286</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5,603,056</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5,991,065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b w:val="1"/>
                <w:bCs w:val="1"/>
                <w:color w:val="auto"/>
              </w:rPr>
              <w:t>Property, plant and equipment</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United States</w:t>
            </w:r>
          </w:p>
        </w:tc>
        <w:tc>
          <w:tcPr>
            <w:tcW w:w="7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956,624</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579,755</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592,591</w:t>
            </w:r>
          </w:p>
        </w:tc>
        <w:tc>
          <w:tcPr>
            <w:tcW w:w="0" w:type="dxa"/>
            <w:vAlign w:val="bottom"/>
          </w:tcPr>
          <w:p>
            <w:pPr>
              <w:spacing w:after="0"/>
              <w:rPr>
                <w:sz w:val="1"/>
                <w:szCs w:val="1"/>
                <w:color w:val="auto"/>
              </w:rPr>
            </w:pPr>
          </w:p>
        </w:tc>
      </w:tr>
      <w:tr>
        <w:trPr>
          <w:trHeight w:val="190"/>
        </w:trPr>
        <w:tc>
          <w:tcPr>
            <w:tcW w:w="5580" w:type="dxa"/>
            <w:vAlign w:val="bottom"/>
          </w:tcPr>
          <w:p>
            <w:pPr>
              <w:ind w:left="460"/>
              <w:spacing w:after="0"/>
              <w:rPr>
                <w:sz w:val="20"/>
                <w:szCs w:val="20"/>
                <w:color w:val="auto"/>
              </w:rPr>
            </w:pPr>
            <w:r>
              <w:rPr>
                <w:rFonts w:ascii="Arial" w:cs="Arial" w:eastAsia="Arial" w:hAnsi="Arial"/>
                <w:sz w:val="16"/>
                <w:szCs w:val="16"/>
                <w:color w:val="auto"/>
              </w:rPr>
              <w:t>Ireland</w:t>
            </w: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206,353</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169,968</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184,791</w:t>
            </w:r>
          </w:p>
        </w:tc>
        <w:tc>
          <w:tcPr>
            <w:tcW w:w="0" w:type="dxa"/>
            <w:vAlign w:val="bottom"/>
          </w:tcPr>
          <w:p>
            <w:pPr>
              <w:spacing w:after="0"/>
              <w:rPr>
                <w:sz w:val="1"/>
                <w:szCs w:val="1"/>
                <w:color w:val="auto"/>
              </w:rPr>
            </w:pPr>
          </w:p>
        </w:tc>
      </w:tr>
      <w:tr>
        <w:trPr>
          <w:trHeight w:val="199"/>
        </w:trPr>
        <w:tc>
          <w:tcPr>
            <w:tcW w:w="5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Philippines</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524,128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256,470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247,823</w:t>
            </w:r>
          </w:p>
        </w:tc>
        <w:tc>
          <w:tcPr>
            <w:tcW w:w="0" w:type="dxa"/>
            <w:vAlign w:val="bottom"/>
          </w:tcPr>
          <w:p>
            <w:pPr>
              <w:spacing w:after="0"/>
              <w:rPr>
                <w:sz w:val="1"/>
                <w:szCs w:val="1"/>
                <w:color w:val="auto"/>
              </w:rPr>
            </w:pPr>
          </w:p>
        </w:tc>
      </w:tr>
      <w:tr>
        <w:trPr>
          <w:trHeight w:val="199"/>
        </w:trPr>
        <w:tc>
          <w:tcPr>
            <w:tcW w:w="5580" w:type="dxa"/>
            <w:vAlign w:val="bottom"/>
          </w:tcPr>
          <w:p>
            <w:pPr>
              <w:ind w:left="460"/>
              <w:spacing w:after="0"/>
              <w:rPr>
                <w:sz w:val="20"/>
                <w:szCs w:val="20"/>
                <w:color w:val="auto"/>
              </w:rPr>
            </w:pPr>
            <w:r>
              <w:rPr>
                <w:rFonts w:ascii="Arial" w:cs="Arial" w:eastAsia="Arial" w:hAnsi="Arial"/>
                <w:sz w:val="16"/>
                <w:szCs w:val="16"/>
                <w:color w:val="auto"/>
              </w:rPr>
              <w:t>Thailand</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126,040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Singapore (1)</w:t>
            </w:r>
          </w:p>
        </w:tc>
        <w:tc>
          <w:tcPr>
            <w:tcW w:w="7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88,385</w:t>
            </w:r>
          </w:p>
        </w:tc>
        <w:tc>
          <w:tcPr>
            <w:tcW w:w="0" w:type="dxa"/>
            <w:vAlign w:val="bottom"/>
          </w:tcPr>
          <w:p>
            <w:pPr>
              <w:spacing w:after="0"/>
              <w:rPr>
                <w:sz w:val="1"/>
                <w:szCs w:val="1"/>
                <w:color w:val="auto"/>
              </w:rPr>
            </w:pPr>
          </w:p>
        </w:tc>
      </w:tr>
      <w:tr>
        <w:trPr>
          <w:trHeight w:val="199"/>
        </w:trPr>
        <w:tc>
          <w:tcPr>
            <w:tcW w:w="5580" w:type="dxa"/>
            <w:vAlign w:val="bottom"/>
          </w:tcPr>
          <w:p>
            <w:pPr>
              <w:ind w:left="460"/>
              <w:spacing w:after="0"/>
              <w:rPr>
                <w:sz w:val="20"/>
                <w:szCs w:val="20"/>
                <w:color w:val="auto"/>
              </w:rPr>
            </w:pPr>
            <w:r>
              <w:rPr>
                <w:rFonts w:ascii="Arial" w:cs="Arial" w:eastAsia="Arial" w:hAnsi="Arial"/>
                <w:sz w:val="16"/>
                <w:szCs w:val="16"/>
                <w:color w:val="auto"/>
              </w:rPr>
              <w:t>Malaysia</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84,971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53,616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56,292</w:t>
            </w:r>
          </w:p>
        </w:tc>
        <w:tc>
          <w:tcPr>
            <w:tcW w:w="0" w:type="dxa"/>
            <w:vAlign w:val="bottom"/>
          </w:tcPr>
          <w:p>
            <w:pPr>
              <w:spacing w:after="0"/>
              <w:rPr>
                <w:sz w:val="1"/>
                <w:szCs w:val="1"/>
                <w:color w:val="auto"/>
              </w:rPr>
            </w:pPr>
          </w:p>
        </w:tc>
      </w:tr>
      <w:tr>
        <w:trPr>
          <w:trHeight w:val="199"/>
        </w:trPr>
        <w:tc>
          <w:tcPr>
            <w:tcW w:w="55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All other countries</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80,935</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42,234</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50,107</w:t>
            </w: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Subtotal all foreign countries</w:t>
            </w: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1,022,427</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540,806</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627,398</w:t>
            </w:r>
          </w:p>
        </w:tc>
        <w:tc>
          <w:tcPr>
            <w:tcW w:w="0" w:type="dxa"/>
            <w:vAlign w:val="bottom"/>
          </w:tcPr>
          <w:p>
            <w:pPr>
              <w:spacing w:after="0"/>
              <w:rPr>
                <w:sz w:val="1"/>
                <w:szCs w:val="1"/>
                <w:color w:val="auto"/>
              </w:rPr>
            </w:pPr>
          </w:p>
        </w:tc>
      </w:tr>
      <w:tr>
        <w:trPr>
          <w:trHeight w:val="215"/>
        </w:trPr>
        <w:tc>
          <w:tcPr>
            <w:tcW w:w="5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property, plant and equipment</w:t>
            </w:r>
          </w:p>
        </w:tc>
        <w:tc>
          <w:tcPr>
            <w:tcW w:w="7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1,979,051</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1,120,561</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1,219,989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6"/>
        <w:spacing w:after="0"/>
        <w:rPr>
          <w:sz w:val="20"/>
          <w:szCs w:val="20"/>
          <w:color w:val="auto"/>
        </w:rPr>
      </w:pPr>
      <w:r>
        <w:rPr>
          <w:rFonts w:ascii="Arial" w:cs="Arial" w:eastAsia="Arial" w:hAnsi="Arial"/>
          <w:sz w:val="12"/>
          <w:szCs w:val="12"/>
          <w:color w:val="auto"/>
        </w:rPr>
        <w:t>_______________________________________</w:t>
      </w:r>
    </w:p>
    <w:p>
      <w:pPr>
        <w:spacing w:after="0" w:line="19" w:lineRule="exact"/>
        <w:rPr>
          <w:sz w:val="20"/>
          <w:szCs w:val="20"/>
          <w:color w:val="auto"/>
        </w:rPr>
      </w:pPr>
    </w:p>
    <w:p>
      <w:pPr>
        <w:ind w:left="306" w:hanging="271"/>
        <w:spacing w:after="0"/>
        <w:tabs>
          <w:tab w:leader="none" w:pos="306" w:val="left"/>
        </w:tabs>
        <w:numPr>
          <w:ilvl w:val="1"/>
          <w:numId w:val="51"/>
        </w:numPr>
        <w:rPr>
          <w:rFonts w:ascii="Arial" w:cs="Arial" w:eastAsia="Arial" w:hAnsi="Arial"/>
          <w:sz w:val="14"/>
          <w:szCs w:val="14"/>
          <w:color w:val="auto"/>
        </w:rPr>
      </w:pPr>
      <w:r>
        <w:rPr>
          <w:rFonts w:ascii="Arial" w:cs="Arial" w:eastAsia="Arial" w:hAnsi="Arial"/>
          <w:sz w:val="14"/>
          <w:szCs w:val="14"/>
          <w:color w:val="auto"/>
        </w:rPr>
        <w:t xml:space="preserve">As further discussed in Note 5, </w:t>
      </w:r>
      <w:r>
        <w:rPr>
          <w:rFonts w:ascii="Arial" w:cs="Arial" w:eastAsia="Arial" w:hAnsi="Arial"/>
          <w:sz w:val="14"/>
          <w:szCs w:val="14"/>
          <w:i w:val="1"/>
          <w:iCs w:val="1"/>
          <w:color w:val="auto"/>
        </w:rPr>
        <w:t>Special Charges</w:t>
      </w:r>
      <w:r>
        <w:rPr>
          <w:rFonts w:ascii="Arial" w:cs="Arial" w:eastAsia="Arial" w:hAnsi="Arial"/>
          <w:sz w:val="14"/>
          <w:szCs w:val="14"/>
          <w:color w:val="auto"/>
        </w:rPr>
        <w:t>, of the Notes to Consolidated Financial Statements, the Company sold this facility in fiscal 2021.</w:t>
      </w:r>
    </w:p>
    <w:p>
      <w:pPr>
        <w:spacing w:after="0" w:line="289" w:lineRule="exact"/>
        <w:rPr>
          <w:rFonts w:ascii="Arial" w:cs="Arial" w:eastAsia="Arial" w:hAnsi="Arial"/>
          <w:sz w:val="14"/>
          <w:szCs w:val="14"/>
          <w:color w:val="auto"/>
        </w:rPr>
      </w:pPr>
    </w:p>
    <w:p>
      <w:pPr>
        <w:ind w:left="266" w:hanging="266"/>
        <w:spacing w:after="0"/>
        <w:tabs>
          <w:tab w:leader="none" w:pos="266"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Special Charges, net</w:t>
      </w:r>
    </w:p>
    <w:p>
      <w:pPr>
        <w:spacing w:after="0" w:line="124" w:lineRule="exact"/>
        <w:rPr>
          <w:sz w:val="20"/>
          <w:szCs w:val="20"/>
          <w:color w:val="auto"/>
        </w:rPr>
      </w:pPr>
    </w:p>
    <w:p>
      <w:pPr>
        <w:jc w:val="both"/>
        <w:ind w:left="6" w:firstLine="386"/>
        <w:spacing w:after="0" w:line="253" w:lineRule="auto"/>
        <w:rPr>
          <w:sz w:val="20"/>
          <w:szCs w:val="20"/>
          <w:color w:val="auto"/>
        </w:rPr>
      </w:pPr>
      <w:r>
        <w:rPr>
          <w:rFonts w:ascii="Arial" w:cs="Arial" w:eastAsia="Arial" w:hAnsi="Arial"/>
          <w:sz w:val="16"/>
          <w:szCs w:val="16"/>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actions resulting in special charges over the past several years.</w:t>
      </w:r>
    </w:p>
    <w:p>
      <w:pPr>
        <w:spacing w:after="0" w:line="85"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The following table summarizes activity included in special charges, net in the Company's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4"/>
          </w:tcPr>
          <w:p>
            <w:pPr>
              <w:jc w:val="right"/>
              <w:ind w:right="580"/>
              <w:spacing w:after="0"/>
              <w:rPr>
                <w:sz w:val="20"/>
                <w:szCs w:val="20"/>
                <w:color w:val="auto"/>
              </w:rPr>
            </w:pPr>
            <w:r>
              <w:rPr>
                <w:rFonts w:ascii="Arial" w:cs="Arial" w:eastAsia="Arial" w:hAnsi="Arial"/>
                <w:sz w:val="12"/>
                <w:szCs w:val="12"/>
                <w:b w:val="1"/>
                <w:bCs w:val="1"/>
                <w:color w:val="auto"/>
              </w:rPr>
              <w:t>Closure of</w:t>
            </w:r>
          </w:p>
        </w:tc>
        <w:tc>
          <w:tcPr>
            <w:tcW w:w="12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Repositioning Action</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ind w:right="63"/>
              <w:spacing w:after="0"/>
              <w:rPr>
                <w:sz w:val="20"/>
                <w:szCs w:val="20"/>
                <w:color w:val="auto"/>
              </w:rPr>
            </w:pPr>
            <w:r>
              <w:rPr>
                <w:rFonts w:ascii="Arial" w:cs="Arial" w:eastAsia="Arial" w:hAnsi="Arial"/>
                <w:sz w:val="12"/>
                <w:szCs w:val="12"/>
                <w:b w:val="1"/>
                <w:bCs w:val="1"/>
                <w:color w:val="auto"/>
                <w:w w:val="92"/>
              </w:rPr>
              <w:t>Special Charges, Net</w:t>
            </w:r>
          </w:p>
        </w:tc>
        <w:tc>
          <w:tcPr>
            <w:tcW w:w="0" w:type="dxa"/>
            <w:vAlign w:val="bottom"/>
          </w:tcPr>
          <w:p>
            <w:pPr>
              <w:spacing w:after="0"/>
              <w:rPr>
                <w:sz w:val="1"/>
                <w:szCs w:val="1"/>
                <w:color w:val="auto"/>
              </w:rPr>
            </w:pPr>
          </w:p>
        </w:tc>
      </w:tr>
      <w:tr>
        <w:trPr>
          <w:trHeight w:val="161"/>
        </w:trPr>
        <w:tc>
          <w:tcPr>
            <w:tcW w:w="5300" w:type="dxa"/>
            <w:vAlign w:val="bottom"/>
          </w:tcPr>
          <w:p>
            <w:pPr>
              <w:spacing w:after="0"/>
              <w:rPr>
                <w:sz w:val="14"/>
                <w:szCs w:val="14"/>
                <w:color w:val="auto"/>
              </w:rPr>
            </w:pP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Manufacturing Facilities</w:t>
            </w:r>
          </w:p>
        </w:tc>
        <w:tc>
          <w:tcPr>
            <w:tcW w:w="1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300" w:type="dxa"/>
            <w:vAlign w:val="bottom"/>
          </w:tcPr>
          <w:p>
            <w:pPr>
              <w:spacing w:after="0" w:line="181" w:lineRule="exact"/>
              <w:rPr>
                <w:sz w:val="20"/>
                <w:szCs w:val="20"/>
                <w:color w:val="auto"/>
              </w:rPr>
            </w:pPr>
            <w:r>
              <w:rPr>
                <w:rFonts w:ascii="Arial" w:cs="Arial" w:eastAsia="Arial" w:hAnsi="Arial"/>
                <w:sz w:val="16"/>
                <w:szCs w:val="16"/>
                <w:b w:val="1"/>
                <w:bCs w:val="1"/>
                <w:color w:val="auto"/>
              </w:rPr>
              <w:t>Fiscal 2019</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Employee severance and benefit costs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71,397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78,953</w:t>
            </w: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color w:val="auto"/>
              </w:rPr>
              <w:t>Employee equity acceleration charge</w:t>
            </w:r>
          </w:p>
        </w:tc>
        <w:tc>
          <w:tcPr>
            <w:tcW w:w="240" w:type="dxa"/>
            <w:vAlign w:val="bottom"/>
          </w:tcPr>
          <w:p>
            <w:pPr>
              <w:spacing w:after="0"/>
              <w:rPr>
                <w:sz w:val="17"/>
                <w:szCs w:val="17"/>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2,538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2,538</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24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14,168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14,168</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20"/>
                <w:szCs w:val="20"/>
                <w:color w:val="auto"/>
              </w:rPr>
            </w:pPr>
            <w:r>
              <w:rPr>
                <w:rFonts w:ascii="Arial" w:cs="Arial" w:eastAsia="Arial" w:hAnsi="Arial"/>
                <w:sz w:val="16"/>
                <w:szCs w:val="16"/>
                <w:color w:val="auto"/>
              </w:rPr>
              <w:t>Total special charges, net</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7,556</w:t>
            </w: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88,103</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95,659</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5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b w:val="1"/>
                <w:bCs w:val="1"/>
                <w:color w:val="auto"/>
              </w:rPr>
              <w:t>Fiscal 2020</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Employee severance and benefit costs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47,326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47,326</w:t>
            </w: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color w:val="auto"/>
              </w:rPr>
              <w:t>Employee equity acceleration charge</w:t>
            </w:r>
          </w:p>
        </w:tc>
        <w:tc>
          <w:tcPr>
            <w:tcW w:w="240" w:type="dxa"/>
            <w:vAlign w:val="bottom"/>
          </w:tcPr>
          <w:p>
            <w:pPr>
              <w:spacing w:after="0"/>
              <w:rPr>
                <w:sz w:val="17"/>
                <w:szCs w:val="17"/>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2,093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2,093</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Facility closure costs</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2,918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20"/>
                <w:szCs w:val="20"/>
                <w:color w:val="auto"/>
              </w:rPr>
            </w:pPr>
            <w:r>
              <w:rPr>
                <w:rFonts w:ascii="Arial" w:cs="Arial" w:eastAsia="Arial" w:hAnsi="Arial"/>
                <w:sz w:val="16"/>
                <w:szCs w:val="16"/>
                <w:color w:val="auto"/>
              </w:rPr>
              <w:t>Total special charges, net</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2,918</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49,419</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52,337</w:t>
            </w:r>
          </w:p>
        </w:tc>
        <w:tc>
          <w:tcPr>
            <w:tcW w:w="0" w:type="dxa"/>
            <w:vAlign w:val="bottom"/>
          </w:tcPr>
          <w:p>
            <w:pPr>
              <w:spacing w:after="0"/>
              <w:rPr>
                <w:sz w:val="1"/>
                <w:szCs w:val="1"/>
                <w:color w:val="auto"/>
              </w:rPr>
            </w:pPr>
          </w:p>
        </w:tc>
      </w:tr>
      <w:tr>
        <w:trPr>
          <w:trHeight w:val="70"/>
        </w:trPr>
        <w:tc>
          <w:tcPr>
            <w:tcW w:w="53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53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Fiscal 2021</w:t>
            </w: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Employee severance and benefit costs</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28,731</w:t>
            </w:r>
          </w:p>
        </w:tc>
        <w:tc>
          <w:tcPr>
            <w:tcW w:w="4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28,931</w:t>
            </w: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color w:val="auto"/>
              </w:rPr>
              <w:t>Employee equity acceleration charge</w:t>
            </w:r>
          </w:p>
        </w:tc>
        <w:tc>
          <w:tcPr>
            <w:tcW w:w="240" w:type="dxa"/>
            <w:vAlign w:val="bottom"/>
          </w:tcPr>
          <w:p>
            <w:pPr>
              <w:spacing w:after="0"/>
              <w:rPr>
                <w:sz w:val="17"/>
                <w:szCs w:val="17"/>
                <w:color w:val="auto"/>
              </w:rPr>
            </w:pPr>
          </w:p>
        </w:tc>
        <w:tc>
          <w:tcPr>
            <w:tcW w:w="128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54,664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54,664</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Facility closure costs</w:t>
            </w: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11,880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11,880</w:t>
            </w: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color w:val="auto"/>
              </w:rPr>
              <w:t>Fair value write-down of assets held for sale</w:t>
            </w:r>
          </w:p>
        </w:tc>
        <w:tc>
          <w:tcPr>
            <w:tcW w:w="2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2,538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2,538</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facility</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20"/>
                <w:szCs w:val="20"/>
                <w:color w:val="auto"/>
              </w:rPr>
            </w:pPr>
            <w:r>
              <w:rPr>
                <w:rFonts w:ascii="Arial" w:cs="Arial" w:eastAsia="Arial" w:hAnsi="Arial"/>
                <w:sz w:val="16"/>
                <w:szCs w:val="16"/>
                <w:color w:val="auto"/>
              </w:rPr>
              <w:t>Total special charges, net</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1,061</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83,395</w:t>
            </w: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84,456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9720" w:type="dxa"/>
            <w:vAlign w:val="bottom"/>
            <w:gridSpan w:val="14"/>
          </w:tcPr>
          <w:p>
            <w:pPr>
              <w:ind w:left="380"/>
              <w:spacing w:after="0"/>
              <w:rPr>
                <w:sz w:val="20"/>
                <w:szCs w:val="20"/>
                <w:color w:val="auto"/>
              </w:rPr>
            </w:pPr>
            <w:r>
              <w:rPr>
                <w:rFonts w:ascii="Arial" w:cs="Arial" w:eastAsia="Arial" w:hAnsi="Arial"/>
                <w:sz w:val="16"/>
                <w:szCs w:val="16"/>
                <w:color w:val="auto"/>
                <w:w w:val="92"/>
              </w:rPr>
              <w:t>Liabilities related to special charges, net are presented in Accrued Liabilities in the Consolidated Balance Sheets. The activity is detailed below:</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300" w:type="dxa"/>
            <w:vAlign w:val="bottom"/>
            <w:vMerge w:val="restart"/>
          </w:tcPr>
          <w:p>
            <w:pPr>
              <w:spacing w:after="0"/>
              <w:rPr>
                <w:sz w:val="20"/>
                <w:szCs w:val="20"/>
                <w:color w:val="auto"/>
              </w:rPr>
            </w:pPr>
            <w:r>
              <w:rPr>
                <w:rFonts w:ascii="Arial" w:cs="Arial" w:eastAsia="Arial" w:hAnsi="Arial"/>
                <w:sz w:val="12"/>
                <w:szCs w:val="12"/>
                <w:b w:val="1"/>
                <w:bCs w:val="1"/>
                <w:color w:val="auto"/>
              </w:rPr>
              <w:t>Accrued Special Charges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gridSpan w:val="6"/>
          </w:tcPr>
          <w:p>
            <w:pPr>
              <w:jc w:val="center"/>
              <w:ind w:right="120"/>
              <w:spacing w:after="0"/>
              <w:rPr>
                <w:sz w:val="20"/>
                <w:szCs w:val="20"/>
                <w:color w:val="auto"/>
              </w:rPr>
            </w:pPr>
            <w:r>
              <w:rPr>
                <w:rFonts w:ascii="Arial" w:cs="Arial" w:eastAsia="Arial" w:hAnsi="Arial"/>
                <w:sz w:val="12"/>
                <w:szCs w:val="12"/>
                <w:b w:val="1"/>
                <w:bCs w:val="1"/>
                <w:color w:val="auto"/>
                <w:w w:val="94"/>
              </w:rPr>
              <w:t>Closure of Manufacturing</w:t>
            </w:r>
          </w:p>
        </w:tc>
        <w:tc>
          <w:tcPr>
            <w:tcW w:w="160" w:type="dxa"/>
            <w:vAlign w:val="bottom"/>
          </w:tcPr>
          <w:p>
            <w:pPr>
              <w:spacing w:after="0"/>
              <w:rPr>
                <w:sz w:val="22"/>
                <w:szCs w:val="22"/>
                <w:color w:val="auto"/>
              </w:rPr>
            </w:pPr>
          </w:p>
        </w:tc>
        <w:tc>
          <w:tcPr>
            <w:tcW w:w="1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Repositioning Action</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vMerge w:val="restart"/>
          </w:tcPr>
          <w:p>
            <w:pPr>
              <w:jc w:val="right"/>
              <w:ind w:right="523"/>
              <w:spacing w:after="0"/>
              <w:rPr>
                <w:sz w:val="20"/>
                <w:szCs w:val="20"/>
                <w:color w:val="auto"/>
              </w:rPr>
            </w:pPr>
            <w:r>
              <w:rPr>
                <w:rFonts w:ascii="Arial" w:cs="Arial" w:eastAsia="Arial" w:hAnsi="Arial"/>
                <w:sz w:val="12"/>
                <w:szCs w:val="12"/>
                <w:b w:val="1"/>
                <w:bCs w:val="1"/>
                <w:color w:val="auto"/>
              </w:rPr>
              <w:t>Other</w:t>
            </w:r>
          </w:p>
        </w:tc>
        <w:tc>
          <w:tcPr>
            <w:tcW w:w="0" w:type="dxa"/>
            <w:vAlign w:val="bottom"/>
          </w:tcPr>
          <w:p>
            <w:pPr>
              <w:spacing w:after="0"/>
              <w:rPr>
                <w:sz w:val="1"/>
                <w:szCs w:val="1"/>
                <w:color w:val="auto"/>
              </w:rPr>
            </w:pPr>
          </w:p>
        </w:tc>
      </w:tr>
      <w:tr>
        <w:trPr>
          <w:trHeight w:val="162"/>
        </w:trPr>
        <w:tc>
          <w:tcPr>
            <w:tcW w:w="5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500"/>
              <w:spacing w:after="0"/>
              <w:rPr>
                <w:sz w:val="20"/>
                <w:szCs w:val="20"/>
                <w:color w:val="auto"/>
              </w:rPr>
            </w:pPr>
            <w:r>
              <w:rPr>
                <w:rFonts w:ascii="Arial" w:cs="Arial" w:eastAsia="Arial" w:hAnsi="Arial"/>
                <w:sz w:val="12"/>
                <w:szCs w:val="12"/>
                <w:b w:val="1"/>
                <w:bCs w:val="1"/>
                <w:color w:val="auto"/>
                <w:w w:val="93"/>
              </w:rPr>
              <w:t>Facilities</w:t>
            </w:r>
          </w:p>
        </w:tc>
        <w:tc>
          <w:tcPr>
            <w:tcW w:w="1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at November 3, 2018</w:t>
            </w: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42,974</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color w:val="auto"/>
              </w:rPr>
              <w:t>Employee severance and benefit costs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7,556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71,397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Severance and benefit payments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foreign currency on accrual</w:t>
            </w:r>
          </w:p>
        </w:tc>
        <w:tc>
          <w:tcPr>
            <w:tcW w:w="2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November 2, 2019</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50,401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58,895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color w:val="auto"/>
              </w:rPr>
              <w:t>Employee severance and benefit costs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47,326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Facility closure costs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color w:val="auto"/>
              </w:rPr>
              <w:t>Severance and benefit payments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(85,301)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Facility closure cost payments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foreign currency on accrual</w:t>
            </w:r>
          </w:p>
        </w:tc>
        <w:tc>
          <w:tcPr>
            <w:tcW w:w="2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5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October 31, 2020</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45,176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20,774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color w:val="auto"/>
              </w:rPr>
              <w:t>Employee severance and benefit costs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28,731</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Facility closure costs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color w:val="auto"/>
              </w:rPr>
              <w:t>Severance and benefit payments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(19,602)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(13,551)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(15,053)</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Facility closure cost payments</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300" w:type="dxa"/>
            <w:vAlign w:val="bottom"/>
          </w:tcPr>
          <w:p>
            <w:pPr>
              <w:spacing w:after="0"/>
              <w:rPr>
                <w:sz w:val="20"/>
                <w:szCs w:val="20"/>
                <w:color w:val="auto"/>
              </w:rPr>
            </w:pPr>
            <w:r>
              <w:rPr>
                <w:rFonts w:ascii="Arial" w:cs="Arial" w:eastAsia="Arial" w:hAnsi="Arial"/>
                <w:sz w:val="16"/>
                <w:szCs w:val="16"/>
                <w:color w:val="auto"/>
              </w:rPr>
              <w:t>Effect of foreign currency on accrual</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530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Arial" w:cs="Arial" w:eastAsia="Arial" w:hAnsi="Arial"/>
                <w:sz w:val="16"/>
                <w:szCs w:val="16"/>
                <w:b w:val="1"/>
                <w:bCs w:val="1"/>
                <w:color w:val="auto"/>
              </w:rPr>
              <w:t>Balance at October 30, 2021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line="167" w:lineRule="exact"/>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b w:val="1"/>
                <w:bCs w:val="1"/>
                <w:color w:val="auto"/>
              </w:rPr>
              <w:t>25,774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b w:val="1"/>
                <w:bCs w:val="1"/>
                <w:color w:val="auto"/>
              </w:rPr>
              <w:t>7,387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b w:val="1"/>
                <w:bCs w:val="1"/>
                <w:color w:val="auto"/>
                <w:w w:val="89"/>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6"/>
                <w:szCs w:val="16"/>
                <w:b w:val="1"/>
                <w:bCs w:val="1"/>
                <w:color w:val="auto"/>
              </w:rPr>
              <w:t>13,678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Closure of Manufacturing Facilities</w:t>
      </w:r>
    </w:p>
    <w:p>
      <w:pPr>
        <w:spacing w:after="0" w:line="85" w:lineRule="exact"/>
        <w:rPr>
          <w:sz w:val="20"/>
          <w:szCs w:val="20"/>
          <w:color w:val="auto"/>
        </w:rPr>
      </w:pPr>
    </w:p>
    <w:p>
      <w:pPr>
        <w:jc w:val="both"/>
        <w:ind w:right="40" w:firstLine="351"/>
        <w:spacing w:after="0" w:line="263" w:lineRule="auto"/>
        <w:rPr>
          <w:sz w:val="20"/>
          <w:szCs w:val="20"/>
          <w:color w:val="auto"/>
        </w:rPr>
      </w:pPr>
      <w:r>
        <w:rPr>
          <w:rFonts w:ascii="Arial" w:cs="Arial" w:eastAsia="Arial" w:hAnsi="Arial"/>
          <w:sz w:val="16"/>
          <w:szCs w:val="16"/>
          <w:color w:val="auto"/>
        </w:rPr>
        <w:t>The Company recorded special charges of $55.9 million on a cumulative basis through October 30, 2021 as a result of its decision to consolidate certain wafer and test facility operations acquired as part of the acquisition of Linear.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2" w:name="page73"/>
    <w:bookmarkEnd w:id="72"/>
    <w:p>
      <w:pPr>
        <w:jc w:val="center"/>
        <w:ind w:right="-5"/>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51" w:lineRule="exact"/>
        <w:rPr>
          <w:sz w:val="20"/>
          <w:szCs w:val="20"/>
          <w:color w:val="auto"/>
        </w:rPr>
      </w:pPr>
    </w:p>
    <w:p>
      <w:pPr>
        <w:ind w:left="6" w:right="60" w:firstLine="351"/>
        <w:spacing w:after="0" w:line="253" w:lineRule="auto"/>
        <w:rPr>
          <w:sz w:val="20"/>
          <w:szCs w:val="20"/>
          <w:color w:val="auto"/>
        </w:rPr>
      </w:pPr>
      <w:r>
        <w:rPr>
          <w:rFonts w:ascii="Arial" w:cs="Arial" w:eastAsia="Arial" w:hAnsi="Arial"/>
          <w:sz w:val="16"/>
          <w:szCs w:val="16"/>
          <w:color w:val="auto"/>
        </w:rPr>
        <w:t>The special charges include severance and fringe benefit costs, in accordance with the Company's ongoing benefit plan or statutory requirements at foreign locations and one-time termination benefits for the impacted employees and other exit costs. These one-time termination benefits are being recognized over the future service period required for employees to earn these benefits.</w:t>
      </w:r>
    </w:p>
    <w:p>
      <w:pPr>
        <w:spacing w:after="0" w:line="50" w:lineRule="exact"/>
        <w:rPr>
          <w:sz w:val="20"/>
          <w:szCs w:val="20"/>
          <w:color w:val="auto"/>
        </w:rPr>
      </w:pPr>
    </w:p>
    <w:p>
      <w:pPr>
        <w:ind w:left="6" w:right="180" w:firstLine="351"/>
        <w:spacing w:after="0" w:line="263" w:lineRule="auto"/>
        <w:rPr>
          <w:sz w:val="20"/>
          <w:szCs w:val="20"/>
          <w:color w:val="auto"/>
        </w:rPr>
      </w:pPr>
      <w:r>
        <w:rPr>
          <w:rFonts w:ascii="Arial" w:cs="Arial" w:eastAsia="Arial" w:hAnsi="Arial"/>
          <w:sz w:val="16"/>
          <w:szCs w:val="16"/>
          <w:color w:val="auto"/>
        </w:rPr>
        <w:t xml:space="preserve">During fiscal 2021, the Company ceased production at its Hillview wafer fabrication facility located in Milpitas, California and determined that this facility met the held for sale criteria specified in ASC 360. See Note 2e,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for amounts reclassified.</w:t>
      </w:r>
    </w:p>
    <w:p>
      <w:pPr>
        <w:spacing w:after="0" w:line="53" w:lineRule="exact"/>
        <w:rPr>
          <w:sz w:val="20"/>
          <w:szCs w:val="20"/>
          <w:color w:val="auto"/>
        </w:rPr>
      </w:pPr>
    </w:p>
    <w:p>
      <w:pPr>
        <w:ind w:left="346"/>
        <w:spacing w:after="0"/>
        <w:rPr>
          <w:sz w:val="20"/>
          <w:szCs w:val="20"/>
          <w:color w:val="auto"/>
        </w:rPr>
      </w:pPr>
      <w:r>
        <w:rPr>
          <w:rFonts w:ascii="Arial" w:cs="Arial" w:eastAsia="Arial" w:hAnsi="Arial"/>
          <w:sz w:val="14"/>
          <w:szCs w:val="14"/>
          <w:color w:val="auto"/>
        </w:rPr>
        <w:t>During fiscal 2021, the Company completed the sale of its facility and certain equipment in Singapore, which were previously classified as held for sale, for approximately</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4"/>
          <w:szCs w:val="14"/>
          <w:color w:val="auto"/>
        </w:rPr>
        <w:t>$35.7 million, which resulted in a gain of $13.6 million. Concurrent with the sale, the Company entered into a short-term lease agreement to leaseback a portion of the facility while</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4"/>
          <w:szCs w:val="14"/>
          <w:color w:val="auto"/>
        </w:rPr>
        <w:t>it completes its transition of related operations to its facilities in Penang, Malaysia and the Philippines, as well as to its outsourced assembly and test partners, which is expected to</w:t>
      </w:r>
    </w:p>
    <w:p>
      <w:pPr>
        <w:spacing w:after="0" w:line="26" w:lineRule="exact"/>
        <w:rPr>
          <w:sz w:val="20"/>
          <w:szCs w:val="20"/>
          <w:color w:val="auto"/>
        </w:rPr>
      </w:pPr>
    </w:p>
    <w:p>
      <w:pPr>
        <w:ind w:left="6"/>
        <w:spacing w:after="0"/>
        <w:rPr>
          <w:sz w:val="20"/>
          <w:szCs w:val="20"/>
          <w:color w:val="auto"/>
        </w:rPr>
      </w:pPr>
      <w:r>
        <w:rPr>
          <w:rFonts w:ascii="Arial" w:cs="Arial" w:eastAsia="Arial" w:hAnsi="Arial"/>
          <w:sz w:val="16"/>
          <w:szCs w:val="16"/>
          <w:color w:val="auto"/>
        </w:rPr>
        <w:t>be competed in the fiscal 2022.</w:t>
      </w:r>
    </w:p>
    <w:p>
      <w:pPr>
        <w:spacing w:after="0" w:line="73" w:lineRule="exact"/>
        <w:rPr>
          <w:sz w:val="20"/>
          <w:szCs w:val="20"/>
          <w:color w:val="auto"/>
        </w:rPr>
      </w:pPr>
    </w:p>
    <w:p>
      <w:pPr>
        <w:ind w:left="206"/>
        <w:spacing w:after="0"/>
        <w:rPr>
          <w:sz w:val="20"/>
          <w:szCs w:val="20"/>
          <w:color w:val="auto"/>
        </w:rPr>
      </w:pPr>
      <w:r>
        <w:rPr>
          <w:rFonts w:ascii="Arial" w:cs="Arial" w:eastAsia="Arial" w:hAnsi="Arial"/>
          <w:sz w:val="16"/>
          <w:szCs w:val="16"/>
          <w:i w:val="1"/>
          <w:iCs w:val="1"/>
          <w:color w:val="auto"/>
        </w:rPr>
        <w:t>Repositioning Actions</w:t>
      </w:r>
    </w:p>
    <w:p>
      <w:pPr>
        <w:spacing w:after="0" w:line="73" w:lineRule="exact"/>
        <w:rPr>
          <w:sz w:val="20"/>
          <w:szCs w:val="20"/>
          <w:color w:val="auto"/>
        </w:rPr>
      </w:pPr>
    </w:p>
    <w:p>
      <w:pPr>
        <w:jc w:val="both"/>
        <w:ind w:left="6" w:right="340" w:firstLine="351"/>
        <w:spacing w:after="0" w:line="307" w:lineRule="auto"/>
        <w:rPr>
          <w:sz w:val="20"/>
          <w:szCs w:val="20"/>
          <w:color w:val="auto"/>
        </w:rPr>
      </w:pPr>
      <w:r>
        <w:rPr>
          <w:rFonts w:ascii="Arial" w:cs="Arial" w:eastAsia="Arial" w:hAnsi="Arial"/>
          <w:sz w:val="14"/>
          <w:szCs w:val="14"/>
          <w:color w:val="auto"/>
        </w:rPr>
        <w:t>The Company recorded special charges of $137.5 million on a cumulative basis through October 30, 2021 as a result of organizational initiatives to better align its global workforce with its long-term strategic plan. The special charges include severance and fringe benefit costs, in accordance with the Company's ongoing benefit plan or statutory requirements at foreign locations, and the write-off of acquired intellectual property due to the Company's decision to discontinue certain product development strategies.</w:t>
      </w:r>
    </w:p>
    <w:p>
      <w:pPr>
        <w:spacing w:after="0" w:line="25" w:lineRule="exact"/>
        <w:rPr>
          <w:sz w:val="20"/>
          <w:szCs w:val="20"/>
          <w:color w:val="auto"/>
        </w:rPr>
      </w:pPr>
    </w:p>
    <w:p>
      <w:pPr>
        <w:ind w:left="206"/>
        <w:spacing w:after="0"/>
        <w:rPr>
          <w:sz w:val="20"/>
          <w:szCs w:val="20"/>
          <w:color w:val="auto"/>
        </w:rPr>
      </w:pPr>
      <w:r>
        <w:rPr>
          <w:rFonts w:ascii="Arial" w:cs="Arial" w:eastAsia="Arial" w:hAnsi="Arial"/>
          <w:sz w:val="16"/>
          <w:szCs w:val="16"/>
          <w:i w:val="1"/>
          <w:iCs w:val="1"/>
          <w:color w:val="auto"/>
        </w:rPr>
        <w:t>Other</w:t>
      </w:r>
    </w:p>
    <w:p>
      <w:pPr>
        <w:spacing w:after="0" w:line="85" w:lineRule="exact"/>
        <w:rPr>
          <w:sz w:val="20"/>
          <w:szCs w:val="20"/>
          <w:color w:val="auto"/>
        </w:rPr>
      </w:pPr>
    </w:p>
    <w:p>
      <w:pPr>
        <w:ind w:left="6" w:right="100" w:firstLine="210"/>
        <w:spacing w:after="0" w:line="263" w:lineRule="auto"/>
        <w:rPr>
          <w:sz w:val="20"/>
          <w:szCs w:val="20"/>
          <w:color w:val="auto"/>
        </w:rPr>
      </w:pPr>
      <w:r>
        <w:rPr>
          <w:rFonts w:ascii="Arial" w:cs="Arial" w:eastAsia="Arial" w:hAnsi="Arial"/>
          <w:sz w:val="16"/>
          <w:szCs w:val="16"/>
          <w:color w:val="auto"/>
        </w:rPr>
        <w:t>The other special charges of $83.4 million recognized during fiscal 2021 included severance and benefit costs as well as charges recorded from acceleration of equity awards in connection with the termination of a limited number of employees as part of the integration of the Acquisition.</w:t>
      </w:r>
    </w:p>
    <w:p>
      <w:pPr>
        <w:spacing w:after="0" w:line="72" w:lineRule="exact"/>
        <w:rPr>
          <w:sz w:val="20"/>
          <w:szCs w:val="20"/>
          <w:color w:val="auto"/>
        </w:rPr>
      </w:pPr>
    </w:p>
    <w:p>
      <w:pPr>
        <w:ind w:left="306" w:hanging="306"/>
        <w:spacing w:after="0"/>
        <w:tabs>
          <w:tab w:leader="none" w:pos="306"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w:t>
      </w:r>
    </w:p>
    <w:p>
      <w:pPr>
        <w:spacing w:after="0" w:line="89" w:lineRule="exact"/>
        <w:rPr>
          <w:sz w:val="20"/>
          <w:szCs w:val="20"/>
          <w:color w:val="auto"/>
        </w:rPr>
      </w:pPr>
    </w:p>
    <w:p>
      <w:pPr>
        <w:ind w:left="346"/>
        <w:spacing w:after="0"/>
        <w:rPr>
          <w:sz w:val="20"/>
          <w:szCs w:val="20"/>
          <w:color w:val="auto"/>
        </w:rPr>
      </w:pPr>
      <w:r>
        <w:rPr>
          <w:rFonts w:ascii="Arial" w:cs="Arial" w:eastAsia="Arial" w:hAnsi="Arial"/>
          <w:sz w:val="16"/>
          <w:szCs w:val="16"/>
          <w:i w:val="1"/>
          <w:iCs w:val="1"/>
          <w:color w:val="auto"/>
        </w:rPr>
        <w:t>Maxim Integrated Products, Inc.</w:t>
      </w:r>
    </w:p>
    <w:p>
      <w:pPr>
        <w:spacing w:after="0" w:line="73" w:lineRule="exact"/>
        <w:rPr>
          <w:sz w:val="20"/>
          <w:szCs w:val="20"/>
          <w:color w:val="auto"/>
        </w:rPr>
      </w:pPr>
    </w:p>
    <w:p>
      <w:pPr>
        <w:ind w:left="6" w:right="100" w:firstLine="351"/>
        <w:spacing w:after="0" w:line="288" w:lineRule="auto"/>
        <w:rPr>
          <w:sz w:val="20"/>
          <w:szCs w:val="20"/>
          <w:color w:val="auto"/>
        </w:rPr>
      </w:pPr>
      <w:r>
        <w:rPr>
          <w:rFonts w:ascii="Arial" w:cs="Arial" w:eastAsia="Arial" w:hAnsi="Arial"/>
          <w:sz w:val="14"/>
          <w:szCs w:val="14"/>
          <w:color w:val="auto"/>
        </w:rPr>
        <w:t>On the Acquisition Date, the Company completed its acquisition of all of the voting interests of Maxim, an independent manufacturer of innovative analog and mixed-signal products and technologies. Under the terms of the agreement pursuant to which the Company acquired Maxim (Merger Agreement), Maxim stockholders received, for each outstanding share of Maxim common stock, 0.6300 of a share of the Company's common stock at the closing. The Company believes the combination creates an expanded suite of top-performing mixed-signal and power management technology offerings and complements the Company's legacy offerings. The results of operations of Maxim from the Acquisition Date are included in the Company’s Consolidated Statement of Income, Consolidated Balance Sheet, Consolidated Statement of Cash Flows and Consolidated Statement of Shareholders’ Equity for fiscal 2021. The amount of revenue attributable to Maxim included in the Company's Consolidated Statement of Income for fiscal 2021 was $558.8 million. The amount of Maxim's earnings included in the Consolidated Statement of Income for fiscal 2021 is impracticable to calculate.</w:t>
      </w:r>
    </w:p>
    <w:p>
      <w:pPr>
        <w:spacing w:after="0" w:line="39"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9040" w:type="dxa"/>
            <w:vAlign w:val="bottom"/>
          </w:tcPr>
          <w:p>
            <w:pPr>
              <w:ind w:left="340"/>
              <w:spacing w:after="0"/>
              <w:rPr>
                <w:sz w:val="20"/>
                <w:szCs w:val="20"/>
                <w:color w:val="auto"/>
              </w:rPr>
            </w:pPr>
            <w:r>
              <w:rPr>
                <w:rFonts w:ascii="Arial" w:cs="Arial" w:eastAsia="Arial" w:hAnsi="Arial"/>
                <w:sz w:val="16"/>
                <w:szCs w:val="16"/>
                <w:color w:val="auto"/>
              </w:rPr>
              <w:t>The Acquisition Date fair value of the consideration transferred in the Acquisition consisted of the following:</w:t>
            </w: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71"/>
        </w:trPr>
        <w:tc>
          <w:tcPr>
            <w:tcW w:w="9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210"/>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Cash consideration (a)</w:t>
            </w: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5"/>
        </w:trPr>
        <w:tc>
          <w:tcPr>
            <w:tcW w:w="9040" w:type="dxa"/>
            <w:vAlign w:val="bottom"/>
          </w:tcPr>
          <w:p>
            <w:pPr>
              <w:spacing w:after="0"/>
              <w:rPr>
                <w:sz w:val="20"/>
                <w:szCs w:val="20"/>
                <w:color w:val="auto"/>
              </w:rPr>
            </w:pPr>
            <w:r>
              <w:rPr>
                <w:rFonts w:ascii="Arial" w:cs="Arial" w:eastAsia="Arial" w:hAnsi="Arial"/>
                <w:sz w:val="16"/>
                <w:szCs w:val="16"/>
                <w:color w:val="auto"/>
              </w:rPr>
              <w:t>Issuance of common stock (b)</w:t>
            </w:r>
          </w:p>
        </w:tc>
        <w:tc>
          <w:tcPr>
            <w:tcW w:w="7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27,754,161</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Fair value of partially vested restricted stock and restricted stock unit replacement awards (c)</w:t>
            </w:r>
          </w:p>
        </w:tc>
        <w:tc>
          <w:tcPr>
            <w:tcW w:w="7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194,890</w:t>
            </w:r>
          </w:p>
        </w:tc>
      </w:tr>
      <w:tr>
        <w:trPr>
          <w:trHeight w:val="196"/>
        </w:trPr>
        <w:tc>
          <w:tcPr>
            <w:tcW w:w="9040" w:type="dxa"/>
            <w:vAlign w:val="bottom"/>
          </w:tcPr>
          <w:p>
            <w:pPr>
              <w:spacing w:after="0" w:line="179" w:lineRule="exact"/>
              <w:rPr>
                <w:sz w:val="20"/>
                <w:szCs w:val="20"/>
                <w:color w:val="auto"/>
              </w:rPr>
            </w:pPr>
            <w:r>
              <w:rPr>
                <w:rFonts w:ascii="Arial" w:cs="Arial" w:eastAsia="Arial" w:hAnsi="Arial"/>
                <w:sz w:val="16"/>
                <w:szCs w:val="16"/>
                <w:color w:val="auto"/>
              </w:rPr>
              <w:t>Total purchase consideration</w:t>
            </w:r>
          </w:p>
        </w:tc>
        <w:tc>
          <w:tcPr>
            <w:tcW w:w="7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27,949,098</w:t>
            </w:r>
          </w:p>
        </w:tc>
      </w:tr>
      <w:tr>
        <w:trPr>
          <w:trHeight w:val="21"/>
        </w:trPr>
        <w:tc>
          <w:tcPr>
            <w:tcW w:w="9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6"/>
        <w:spacing w:after="0"/>
        <w:rPr>
          <w:sz w:val="20"/>
          <w:szCs w:val="20"/>
          <w:color w:val="auto"/>
        </w:rPr>
      </w:pPr>
      <w:r>
        <w:rPr>
          <w:rFonts w:ascii="Arial" w:cs="Arial" w:eastAsia="Arial" w:hAnsi="Arial"/>
          <w:sz w:val="16"/>
          <w:szCs w:val="16"/>
          <w:color w:val="auto"/>
        </w:rPr>
        <w:t>____________________</w:t>
      </w:r>
    </w:p>
    <w:p>
      <w:pPr>
        <w:spacing w:after="0" w:line="50" w:lineRule="exact"/>
        <w:rPr>
          <w:sz w:val="20"/>
          <w:szCs w:val="20"/>
          <w:color w:val="auto"/>
        </w:rPr>
      </w:pPr>
    </w:p>
    <w:p>
      <w:pPr>
        <w:ind w:left="546" w:hanging="196"/>
        <w:spacing w:after="0"/>
        <w:tabs>
          <w:tab w:leader="none" w:pos="546" w:val="left"/>
        </w:tabs>
        <w:numPr>
          <w:ilvl w:val="0"/>
          <w:numId w:val="54"/>
        </w:numPr>
        <w:rPr>
          <w:rFonts w:ascii="Arial" w:cs="Arial" w:eastAsia="Arial" w:hAnsi="Arial"/>
          <w:sz w:val="14"/>
          <w:szCs w:val="14"/>
          <w:color w:val="auto"/>
        </w:rPr>
      </w:pPr>
      <w:r>
        <w:rPr>
          <w:rFonts w:ascii="Arial" w:cs="Arial" w:eastAsia="Arial" w:hAnsi="Arial"/>
          <w:sz w:val="16"/>
          <w:szCs w:val="16"/>
          <w:color w:val="auto"/>
        </w:rPr>
        <w:t>This reflects the cash paid for fractional shares of the Company’s common stock in respect of shares of Maxim common stock outstanding.</w:t>
      </w:r>
    </w:p>
    <w:p>
      <w:pPr>
        <w:spacing w:after="0" w:line="49" w:lineRule="exact"/>
        <w:rPr>
          <w:rFonts w:ascii="Arial" w:cs="Arial" w:eastAsia="Arial" w:hAnsi="Arial"/>
          <w:sz w:val="14"/>
          <w:szCs w:val="14"/>
          <w:color w:val="auto"/>
        </w:rPr>
      </w:pPr>
    </w:p>
    <w:p>
      <w:pPr>
        <w:ind w:left="546" w:hanging="196"/>
        <w:spacing w:after="0"/>
        <w:tabs>
          <w:tab w:leader="none" w:pos="546"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fair value is based on the issuance of approximately 169.2 million shares of the Company's common stock with a per share value of $164.00 on the Acquisition Date.</w:t>
      </w:r>
    </w:p>
    <w:p>
      <w:pPr>
        <w:spacing w:after="0" w:line="72" w:lineRule="exact"/>
        <w:rPr>
          <w:rFonts w:ascii="Arial" w:cs="Arial" w:eastAsia="Arial" w:hAnsi="Arial"/>
          <w:sz w:val="14"/>
          <w:szCs w:val="14"/>
          <w:color w:val="auto"/>
        </w:rPr>
      </w:pPr>
    </w:p>
    <w:p>
      <w:pPr>
        <w:ind w:left="566" w:right="20" w:hanging="216"/>
        <w:spacing w:after="0" w:line="297" w:lineRule="auto"/>
        <w:tabs>
          <w:tab w:leader="none" w:pos="564"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connection with the Acquisition, the Company issued equity awards, consisting of restricted stock and restricted stock units, to certain Maxim employees in replacement of Maxim equity awards that were cancelled at closing. The replacement awards consist of restricted stock and restricted stock unit awards for approximately 3.7 million shares of the Company's common stock with a weighted average grant date fair value of $161.63. This amount represents the portion of the fair value of the replacement equity awards associated with services rendered through the Acquisition Date and has been included as a component of the total purchase consideration.</w:t>
      </w:r>
    </w:p>
    <w:p>
      <w:pPr>
        <w:spacing w:after="0" w:line="200" w:lineRule="exact"/>
        <w:rPr>
          <w:sz w:val="20"/>
          <w:szCs w:val="20"/>
          <w:color w:val="auto"/>
        </w:rPr>
      </w:pPr>
    </w:p>
    <w:p>
      <w:pPr>
        <w:spacing w:after="0" w:line="26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3"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51" w:lineRule="exact"/>
        <w:rPr>
          <w:sz w:val="20"/>
          <w:szCs w:val="20"/>
          <w:color w:val="auto"/>
        </w:rPr>
      </w:pPr>
    </w:p>
    <w:p>
      <w:pPr>
        <w:ind w:right="40" w:firstLine="351"/>
        <w:spacing w:after="0" w:line="290" w:lineRule="auto"/>
        <w:rPr>
          <w:sz w:val="20"/>
          <w:szCs w:val="20"/>
          <w:color w:val="auto"/>
        </w:rPr>
      </w:pPr>
      <w:r>
        <w:rPr>
          <w:rFonts w:ascii="Arial" w:cs="Arial" w:eastAsia="Arial" w:hAnsi="Arial"/>
          <w:sz w:val="14"/>
          <w:szCs w:val="14"/>
          <w:color w:val="auto"/>
        </w:rPr>
        <w:t>The preliminary fair values of assets acquired and liabilities assumed as of the Acquisition Date are set forth in the table below. The excess of the purchase consideration over the aggregate Acquisition Date value of identifiable net assets acquired was recorded as goodwill. Substantially all of the goodwill is not expected to be deductible for tax purposes. These preliminary Acquisition Date values were generally determined through established and generally accepted valuation techniques and are subject to change during the measurement period as valuations are finalized. As a result, the Acquisition accounting is not complete and additional information that existed at the Acquisition Date may become known to the Company during the remainder of the measurement period. As of the filing date of this Annual Report on Form 10-K, the Company is still in the process of valuing Maxim's assets, including inventory, fixed assets, intangible assets, and liabilities, including related income tax accounting.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66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2,450,597</w:t>
            </w:r>
          </w:p>
        </w:tc>
      </w:tr>
      <w:tr>
        <w:trPr>
          <w:trHeight w:val="205"/>
        </w:trPr>
        <w:tc>
          <w:tcPr>
            <w:tcW w:w="9240" w:type="dxa"/>
            <w:vAlign w:val="bottom"/>
          </w:tcPr>
          <w:p>
            <w:pPr>
              <w:spacing w:after="0"/>
              <w:rPr>
                <w:sz w:val="20"/>
                <w:szCs w:val="20"/>
                <w:color w:val="auto"/>
              </w:rPr>
            </w:pPr>
            <w:r>
              <w:rPr>
                <w:rFonts w:ascii="Arial" w:cs="Arial" w:eastAsia="Arial" w:hAnsi="Arial"/>
                <w:sz w:val="16"/>
                <w:szCs w:val="16"/>
                <w:color w:val="auto"/>
              </w:rPr>
              <w:t>Accounts receivable</w:t>
            </w: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609,245</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6"/>
                <w:szCs w:val="16"/>
                <w:color w:val="auto"/>
              </w:rPr>
              <w:t>Inventories</w:t>
            </w: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858,300</w:t>
            </w:r>
          </w:p>
        </w:tc>
      </w:tr>
      <w:tr>
        <w:trPr>
          <w:trHeight w:val="205"/>
        </w:trPr>
        <w:tc>
          <w:tcPr>
            <w:tcW w:w="924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59,310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759,544</w:t>
            </w:r>
          </w:p>
        </w:tc>
      </w:tr>
      <w:tr>
        <w:trPr>
          <w:trHeight w:val="205"/>
        </w:trPr>
        <w:tc>
          <w:tcPr>
            <w:tcW w:w="9240" w:type="dxa"/>
            <w:vAlign w:val="bottom"/>
          </w:tcPr>
          <w:p>
            <w:pPr>
              <w:spacing w:after="0"/>
              <w:rPr>
                <w:sz w:val="20"/>
                <w:szCs w:val="20"/>
                <w:color w:val="auto"/>
              </w:rPr>
            </w:pPr>
            <w:r>
              <w:rPr>
                <w:rFonts w:ascii="Arial" w:cs="Arial" w:eastAsia="Arial" w:hAnsi="Arial"/>
                <w:sz w:val="16"/>
                <w:szCs w:val="16"/>
                <w:color w:val="auto"/>
              </w:rPr>
              <w:t>Intangible assets (Note 2f)</w:t>
            </w: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12,429,100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6"/>
                <w:szCs w:val="16"/>
                <w:color w:val="auto"/>
              </w:rPr>
              <w:t>Goodwill (Note 2f)</w:t>
            </w: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14,645,076</w:t>
            </w:r>
          </w:p>
        </w:tc>
      </w:tr>
      <w:tr>
        <w:trPr>
          <w:trHeight w:val="205"/>
        </w:trPr>
        <w:tc>
          <w:tcPr>
            <w:tcW w:w="92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assets</w:t>
            </w:r>
          </w:p>
        </w:tc>
        <w:tc>
          <w:tcPr>
            <w:tcW w:w="6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80,373</w:t>
            </w:r>
          </w:p>
        </w:tc>
      </w:tr>
      <w:tr>
        <w:trPr>
          <w:trHeight w:val="208"/>
        </w:trPr>
        <w:tc>
          <w:tcPr>
            <w:tcW w:w="92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31,891,545</w:t>
            </w:r>
          </w:p>
        </w:tc>
      </w:tr>
      <w:tr>
        <w:trPr>
          <w:trHeight w:val="196"/>
        </w:trPr>
        <w:tc>
          <w:tcPr>
            <w:tcW w:w="9240" w:type="dxa"/>
            <w:vAlign w:val="bottom"/>
          </w:tcPr>
          <w:p>
            <w:pPr>
              <w:spacing w:after="0" w:line="179" w:lineRule="exact"/>
              <w:rPr>
                <w:sz w:val="20"/>
                <w:szCs w:val="20"/>
                <w:color w:val="auto"/>
              </w:rPr>
            </w:pPr>
            <w:r>
              <w:rPr>
                <w:rFonts w:ascii="Arial" w:cs="Arial" w:eastAsia="Arial" w:hAnsi="Arial"/>
                <w:sz w:val="16"/>
                <w:szCs w:val="16"/>
                <w:color w:val="auto"/>
              </w:rPr>
              <w:t>Accounts payable</w:t>
            </w: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112,828</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137,590</w:t>
            </w:r>
          </w:p>
        </w:tc>
      </w:tr>
      <w:tr>
        <w:trPr>
          <w:trHeight w:val="205"/>
        </w:trPr>
        <w:tc>
          <w:tcPr>
            <w:tcW w:w="9240" w:type="dxa"/>
            <w:vAlign w:val="bottom"/>
          </w:tcPr>
          <w:p>
            <w:pPr>
              <w:spacing w:after="0"/>
              <w:rPr>
                <w:sz w:val="20"/>
                <w:szCs w:val="20"/>
                <w:color w:val="auto"/>
              </w:rPr>
            </w:pPr>
            <w:r>
              <w:rPr>
                <w:rFonts w:ascii="Arial" w:cs="Arial" w:eastAsia="Arial" w:hAnsi="Arial"/>
                <w:sz w:val="16"/>
                <w:szCs w:val="16"/>
                <w:color w:val="auto"/>
              </w:rPr>
              <w:t>Accrued liabilities</w:t>
            </w: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590,855</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1,072,150</w:t>
            </w:r>
          </w:p>
        </w:tc>
      </w:tr>
      <w:tr>
        <w:trPr>
          <w:trHeight w:val="205"/>
        </w:trPr>
        <w:tc>
          <w:tcPr>
            <w:tcW w:w="9240" w:type="dxa"/>
            <w:vAlign w:val="bottom"/>
          </w:tcPr>
          <w:p>
            <w:pPr>
              <w:spacing w:after="0"/>
              <w:rPr>
                <w:sz w:val="20"/>
                <w:szCs w:val="20"/>
                <w:color w:val="auto"/>
              </w:rPr>
            </w:pPr>
            <w:r>
              <w:rPr>
                <w:rFonts w:ascii="Arial" w:cs="Arial" w:eastAsia="Arial" w:hAnsi="Arial"/>
                <w:sz w:val="16"/>
                <w:szCs w:val="16"/>
                <w:color w:val="auto"/>
              </w:rPr>
              <w:t>Deferred income taxes</w:t>
            </w:r>
          </w:p>
        </w:tc>
        <w:tc>
          <w:tcPr>
            <w:tcW w:w="6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1,665,356</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6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363,668</w:t>
            </w:r>
          </w:p>
        </w:tc>
      </w:tr>
      <w:tr>
        <w:trPr>
          <w:trHeight w:val="196"/>
        </w:trPr>
        <w:tc>
          <w:tcPr>
            <w:tcW w:w="9240" w:type="dxa"/>
            <w:vAlign w:val="bottom"/>
            <w:tcBorders>
              <w:bottom w:val="single" w:sz="8" w:color="CCEEFF"/>
            </w:tcBorders>
          </w:tcPr>
          <w:p>
            <w:pPr>
              <w:spacing w:after="0" w:line="179" w:lineRule="exact"/>
              <w:rPr>
                <w:sz w:val="20"/>
                <w:szCs w:val="20"/>
                <w:color w:val="auto"/>
              </w:rPr>
            </w:pPr>
            <w:r>
              <w:rPr>
                <w:rFonts w:ascii="Arial" w:cs="Arial" w:eastAsia="Arial" w:hAnsi="Arial"/>
                <w:sz w:val="16"/>
                <w:szCs w:val="16"/>
                <w:color w:val="auto"/>
              </w:rPr>
              <w:t>Total liabilities</w:t>
            </w: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3,942,447</w:t>
            </w:r>
          </w:p>
        </w:tc>
      </w:tr>
      <w:tr>
        <w:trPr>
          <w:trHeight w:val="227"/>
        </w:trPr>
        <w:tc>
          <w:tcPr>
            <w:tcW w:w="9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purchase consideration</w:t>
            </w: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27,949,098</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51"/>
        <w:spacing w:after="0" w:line="236" w:lineRule="auto"/>
        <w:rPr>
          <w:sz w:val="20"/>
          <w:szCs w:val="20"/>
          <w:color w:val="auto"/>
        </w:rPr>
      </w:pPr>
      <w:r>
        <w:rPr>
          <w:rFonts w:ascii="Arial" w:cs="Arial" w:eastAsia="Arial" w:hAnsi="Arial"/>
          <w:sz w:val="16"/>
          <w:szCs w:val="16"/>
          <w:color w:val="auto"/>
        </w:rPr>
        <w:t>The acquired intangible assets consisted of the following, which are being amortized on a straight-line basis over their estimated useful lives or on an accelerated method of amortization that is expected to reflect the estimated pattern of economic use.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7"/>
              </w:rPr>
              <w:t>Weighted Average Useful</w:t>
            </w:r>
          </w:p>
        </w:tc>
      </w:tr>
      <w:tr>
        <w:trPr>
          <w:trHeight w:val="164"/>
        </w:trPr>
        <w:tc>
          <w:tcPr>
            <w:tcW w:w="7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jc w:val="center"/>
              <w:ind w:right="460"/>
              <w:spacing w:after="0" w:line="164" w:lineRule="exact"/>
              <w:rPr>
                <w:sz w:val="20"/>
                <w:szCs w:val="20"/>
                <w:color w:val="auto"/>
              </w:rPr>
            </w:pPr>
            <w:r>
              <w:rPr>
                <w:rFonts w:ascii="Arial" w:cs="Arial" w:eastAsia="Arial" w:hAnsi="Arial"/>
                <w:sz w:val="16"/>
                <w:szCs w:val="16"/>
                <w:b w:val="1"/>
                <w:bCs w:val="1"/>
                <w:color w:val="auto"/>
                <w:w w:val="91"/>
              </w:rPr>
              <w:t>Fair Value</w:t>
            </w:r>
          </w:p>
        </w:tc>
        <w:tc>
          <w:tcPr>
            <w:tcW w:w="194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w w:val="98"/>
              </w:rPr>
              <w:t>Life</w:t>
            </w:r>
          </w:p>
        </w:tc>
      </w:tr>
      <w:tr>
        <w:trPr>
          <w:trHeight w:val="209"/>
        </w:trPr>
        <w:tc>
          <w:tcPr>
            <w:tcW w:w="7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5"/>
              </w:rPr>
              <w:t>(in thousands)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7"/>
              </w:rPr>
              <w:t>(in Years)</w:t>
            </w:r>
          </w:p>
        </w:tc>
      </w:tr>
      <w:tr>
        <w:trPr>
          <w:trHeight w:val="208"/>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5,642,100</w:t>
            </w:r>
          </w:p>
        </w:tc>
        <w:tc>
          <w:tcPr>
            <w:tcW w:w="16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14</w:t>
            </w:r>
          </w:p>
        </w:tc>
      </w:tr>
      <w:tr>
        <w:trPr>
          <w:trHeight w:val="205"/>
        </w:trPr>
        <w:tc>
          <w:tcPr>
            <w:tcW w:w="7220" w:type="dxa"/>
            <w:vAlign w:val="bottom"/>
          </w:tcPr>
          <w:p>
            <w:pPr>
              <w:spacing w:after="0"/>
              <w:rPr>
                <w:sz w:val="20"/>
                <w:szCs w:val="20"/>
                <w:color w:val="auto"/>
              </w:rPr>
            </w:pPr>
            <w:r>
              <w:rPr>
                <w:rFonts w:ascii="Arial" w:cs="Arial" w:eastAsia="Arial" w:hAnsi="Arial"/>
                <w:sz w:val="16"/>
                <w:szCs w:val="16"/>
                <w:color w:val="auto"/>
              </w:rPr>
              <w:t>Developed technology</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6,425,800</w:t>
            </w:r>
          </w:p>
        </w:tc>
        <w:tc>
          <w:tcPr>
            <w:tcW w:w="1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9"/>
              </w:rPr>
              <w:t>8</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6"/>
                <w:szCs w:val="16"/>
                <w:color w:val="auto"/>
              </w:rPr>
              <w:t>Backlog</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361,200</w:t>
            </w:r>
          </w:p>
        </w:tc>
        <w:tc>
          <w:tcPr>
            <w:tcW w:w="16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7220" w:type="dxa"/>
            <w:vAlign w:val="bottom"/>
          </w:tcPr>
          <w:p>
            <w:pPr>
              <w:spacing w:after="0" w:line="179" w:lineRule="exact"/>
              <w:rPr>
                <w:sz w:val="20"/>
                <w:szCs w:val="20"/>
                <w:color w:val="auto"/>
              </w:rPr>
            </w:pPr>
            <w:r>
              <w:rPr>
                <w:rFonts w:ascii="Arial" w:cs="Arial" w:eastAsia="Arial" w:hAnsi="Arial"/>
                <w:sz w:val="16"/>
                <w:szCs w:val="16"/>
                <w:color w:val="auto"/>
              </w:rPr>
              <w:t>Total amortizable intangible assets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12,429,100</w:t>
            </w:r>
          </w:p>
        </w:tc>
        <w:tc>
          <w:tcPr>
            <w:tcW w:w="16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89"/>
              </w:rPr>
              <w:t>10</w:t>
            </w:r>
          </w:p>
        </w:tc>
      </w:tr>
    </w:tbl>
    <w:p>
      <w:pPr>
        <w:spacing w:after="0" w:line="186" w:lineRule="exact"/>
        <w:rPr>
          <w:sz w:val="20"/>
          <w:szCs w:val="20"/>
          <w:color w:val="auto"/>
        </w:rPr>
      </w:pPr>
    </w:p>
    <w:p>
      <w:pPr>
        <w:ind w:right="260" w:firstLine="351"/>
        <w:spacing w:after="0" w:line="263" w:lineRule="auto"/>
        <w:rPr>
          <w:sz w:val="20"/>
          <w:szCs w:val="20"/>
          <w:color w:val="auto"/>
        </w:rPr>
      </w:pPr>
      <w:r>
        <w:rPr>
          <w:rFonts w:ascii="Arial" w:cs="Arial" w:eastAsia="Arial" w:hAnsi="Arial"/>
          <w:sz w:val="16"/>
          <w:szCs w:val="16"/>
          <w:color w:val="auto"/>
        </w:rPr>
        <w:t>The fair value of the intangible assets was determined through discounted cash flow models. The significant assumptions used to estimate the value of the intangible assets included annual revenue growth rates, developed technology obsolescence rates, customer attrition rates and discount rates.</w:t>
      </w:r>
    </w:p>
    <w:p>
      <w:pPr>
        <w:spacing w:after="0" w:line="53" w:lineRule="exact"/>
        <w:rPr>
          <w:sz w:val="20"/>
          <w:szCs w:val="20"/>
          <w:color w:val="auto"/>
        </w:rPr>
      </w:pPr>
    </w:p>
    <w:p>
      <w:pPr>
        <w:ind w:right="40" w:firstLine="351"/>
        <w:spacing w:after="0" w:line="253" w:lineRule="auto"/>
        <w:rPr>
          <w:sz w:val="20"/>
          <w:szCs w:val="20"/>
          <w:color w:val="auto"/>
        </w:rPr>
      </w:pPr>
      <w:r>
        <w:rPr>
          <w:rFonts w:ascii="Arial" w:cs="Arial" w:eastAsia="Arial" w:hAnsi="Arial"/>
          <w:sz w:val="16"/>
          <w:szCs w:val="16"/>
          <w:color w:val="auto"/>
        </w:rPr>
        <w:t>The goodwill recognized is attributable to synergies which are expected to enhance and expand the Company’s overall product portfolio and opportunities in new and existing markets, future technologies that have yet to be determined and Maxim’s assembled workforce. Future technologies do not meet the criteria for recognition separately from goodwill because they are part of future development and growth of the business.</w:t>
      </w:r>
    </w:p>
    <w:p>
      <w:pPr>
        <w:spacing w:after="0" w:line="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significant contingencies assumed as part of the Acquisition.</w:t>
      </w:r>
    </w:p>
    <w:p>
      <w:pPr>
        <w:spacing w:after="0" w:line="73" w:lineRule="exact"/>
        <w:rPr>
          <w:sz w:val="20"/>
          <w:szCs w:val="20"/>
          <w:color w:val="auto"/>
        </w:rPr>
      </w:pPr>
    </w:p>
    <w:p>
      <w:pPr>
        <w:ind w:right="340" w:firstLine="351"/>
        <w:spacing w:after="0" w:line="263" w:lineRule="auto"/>
        <w:rPr>
          <w:sz w:val="20"/>
          <w:szCs w:val="20"/>
          <w:color w:val="auto"/>
        </w:rPr>
      </w:pPr>
      <w:r>
        <w:rPr>
          <w:rFonts w:ascii="Arial" w:cs="Arial" w:eastAsia="Arial" w:hAnsi="Arial"/>
          <w:sz w:val="16"/>
          <w:szCs w:val="16"/>
          <w:color w:val="auto"/>
        </w:rPr>
        <w:t>The Company recognized $132.9 million of transaction-related costs, including legal, accounting and other related fees that were expensed in fiscal 2021 and fiscal 2020. These costs are included in the Consolidated Statements of Income in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51"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color w:val="auto"/>
        </w:rPr>
        <w:t>operating expenses within Selling, marketing, general and administrative expenses (SMG&amp;A). The Company may incur additional transaction-related costs in the future related to the Acquisition that will be expensed as incurred.</w:t>
      </w:r>
    </w:p>
    <w:p>
      <w:pPr>
        <w:spacing w:after="0" w:line="41" w:lineRule="exact"/>
        <w:rPr>
          <w:sz w:val="20"/>
          <w:szCs w:val="20"/>
          <w:color w:val="auto"/>
        </w:rPr>
      </w:pPr>
    </w:p>
    <w:p>
      <w:pPr>
        <w:ind w:firstLine="351"/>
        <w:spacing w:after="0" w:line="283" w:lineRule="auto"/>
        <w:rPr>
          <w:sz w:val="20"/>
          <w:szCs w:val="20"/>
          <w:color w:val="auto"/>
        </w:rPr>
      </w:pPr>
      <w:r>
        <w:rPr>
          <w:rFonts w:ascii="Arial" w:cs="Arial" w:eastAsia="Arial" w:hAnsi="Arial"/>
          <w:sz w:val="14"/>
          <w:szCs w:val="14"/>
          <w:color w:val="auto"/>
        </w:rPr>
        <w:t>The following unaudited pro forma consolidated financial information for the twelve months ended October 30, 2021 combines the results of the Company for the year ended October 30, 2021 and the unaudited results of Maxim for the corresponding period through the Acquisition Date. The following unaudited pro forma consolidated financial information for the twelve months ended October 31, 2020 combines the results of the Company for fiscal 2020 and the unaudited results of Maxim for the corresponding period. The unaudited pro forma consolidated financial information assumes that the Acquisition, which closed on August 26, 2021, was completed on November 3, 2019 (the first day of fiscal 2020). The pro forma consolidated financial information has been calculated after applying the Company’s accounting policies and includes adjustments for amortization expense of acquired intangible assets, fair value adjustments for acquired inventory, property, plant and equipment and long-term debt and compensation expense for ongoing share-based compensation arrangements that were replaced in conjunction with the Acquisition, together with the consequential tax effects. For fiscal 2020, non-recurring pro forma adjustments directly attributable to the Acquisition included pre-tax amounts of $602.5 million related to the acquisition accounting effect of inventories acquired and $54.2 million of accelerated stock-based compensation expense, together with the consequential tax effects. Additionally, $309.0 million of pre-tax transaction costs, together with the consequential tax effects, that were incurred related to the Acquisition are reflected in the pro forma results for fiscal 2020. These pro forma results have been prepared for comparative purposes only and do not purport to be indicative of the operating results of the Company that would have been achieved had the Acquisition actually taken place on November 3, 2019.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75" w:lineRule="exact"/>
        <w:rPr>
          <w:sz w:val="20"/>
          <w:szCs w:val="20"/>
          <w:color w:val="auto"/>
        </w:rPr>
      </w:pPr>
    </w:p>
    <w:p>
      <w:pPr>
        <w:jc w:val="center"/>
        <w:ind w:left="7640"/>
        <w:spacing w:after="0"/>
        <w:rPr>
          <w:sz w:val="20"/>
          <w:szCs w:val="20"/>
          <w:color w:val="auto"/>
        </w:rPr>
      </w:pPr>
      <w:r>
        <w:rPr>
          <w:rFonts w:ascii="Arial" w:cs="Arial" w:eastAsia="Arial" w:hAnsi="Arial"/>
          <w:sz w:val="16"/>
          <w:szCs w:val="16"/>
          <w:b w:val="1"/>
          <w:bCs w:val="1"/>
          <w:color w:val="auto"/>
        </w:rPr>
        <w:t>Pro Forma Twelve Months Ended</w:t>
      </w:r>
    </w:p>
    <w:p>
      <w:pPr>
        <w:jc w:val="center"/>
        <w:ind w:left="7640"/>
        <w:spacing w:after="0"/>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October 30, 2021</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3"/>
              </w:rPr>
              <w:t>October 31, 2020</w:t>
            </w:r>
          </w:p>
        </w:tc>
      </w:tr>
      <w:tr>
        <w:trPr>
          <w:trHeight w:val="194"/>
        </w:trPr>
        <w:tc>
          <w:tcPr>
            <w:tcW w:w="7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Revenue</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9,580,488</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7,896,855</w:t>
            </w:r>
          </w:p>
        </w:tc>
      </w:tr>
      <w:tr>
        <w:trPr>
          <w:trHeight w:val="210"/>
        </w:trPr>
        <w:tc>
          <w:tcPr>
            <w:tcW w:w="7640" w:type="dxa"/>
            <w:vAlign w:val="bottom"/>
          </w:tcPr>
          <w:p>
            <w:pPr>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1,578,274</w:t>
            </w:r>
          </w:p>
        </w:tc>
        <w:tc>
          <w:tcPr>
            <w:tcW w:w="14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(144,198)</w:t>
            </w:r>
          </w:p>
        </w:tc>
      </w:tr>
      <w:tr>
        <w:trPr>
          <w:trHeight w:val="211"/>
        </w:trPr>
        <w:tc>
          <w:tcPr>
            <w:tcW w:w="7640" w:type="dxa"/>
            <w:vAlign w:val="bottom"/>
            <w:shd w:val="clear" w:color="auto" w:fill="CCEEFF"/>
          </w:tcPr>
          <w:p>
            <w:pPr>
              <w:spacing w:after="0"/>
              <w:rPr>
                <w:sz w:val="20"/>
                <w:szCs w:val="20"/>
                <w:color w:val="auto"/>
              </w:rPr>
            </w:pPr>
            <w:r>
              <w:rPr>
                <w:rFonts w:ascii="Arial" w:cs="Arial" w:eastAsia="Arial" w:hAnsi="Arial"/>
                <w:sz w:val="16"/>
                <w:szCs w:val="16"/>
                <w:color w:val="auto"/>
              </w:rPr>
              <w:t>Basic net income (loss) per common share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r>
      <w:tr>
        <w:trPr>
          <w:trHeight w:val="210"/>
        </w:trPr>
        <w:tc>
          <w:tcPr>
            <w:tcW w:w="7640" w:type="dxa"/>
            <w:vAlign w:val="bottom"/>
          </w:tcPr>
          <w:p>
            <w:pPr>
              <w:spacing w:after="0"/>
              <w:rPr>
                <w:sz w:val="20"/>
                <w:szCs w:val="20"/>
                <w:color w:val="auto"/>
              </w:rPr>
            </w:pPr>
            <w:r>
              <w:rPr>
                <w:rFonts w:ascii="Arial" w:cs="Arial" w:eastAsia="Arial" w:hAnsi="Arial"/>
                <w:sz w:val="16"/>
                <w:szCs w:val="16"/>
                <w:color w:val="auto"/>
              </w:rPr>
              <w:t>Diluted net income (loss) per common share</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2.91</w:t>
            </w:r>
          </w:p>
        </w:tc>
        <w:tc>
          <w:tcPr>
            <w:tcW w:w="14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(0.27)</w:t>
            </w:r>
          </w:p>
        </w:tc>
      </w:tr>
    </w:tbl>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Other Acquisitions</w:t>
      </w:r>
    </w:p>
    <w:p>
      <w:pPr>
        <w:spacing w:after="0" w:line="85" w:lineRule="exact"/>
        <w:rPr>
          <w:sz w:val="20"/>
          <w:szCs w:val="20"/>
          <w:color w:val="auto"/>
        </w:rPr>
      </w:pPr>
    </w:p>
    <w:p>
      <w:pPr>
        <w:ind w:firstLine="351"/>
        <w:spacing w:after="0" w:line="253" w:lineRule="auto"/>
        <w:rPr>
          <w:sz w:val="20"/>
          <w:szCs w:val="20"/>
          <w:color w:val="auto"/>
        </w:rPr>
      </w:pPr>
      <w:r>
        <w:rPr>
          <w:rFonts w:ascii="Arial" w:cs="Arial" w:eastAsia="Arial" w:hAnsi="Arial"/>
          <w:sz w:val="16"/>
          <w:szCs w:val="16"/>
          <w:color w:val="auto"/>
        </w:rPr>
        <w:t>The Company has not provided pro forma results of operations for any other acquisitions completed in fiscal 2021, fiscal 2020 or fiscal 2019 herein as they were not material to the Company on either an individual or an aggregate basis. The Company included the results of operations of each acquisition in its Consolidated Statements of Income from the closing date of each acquisition.</w:t>
      </w:r>
    </w:p>
    <w:p>
      <w:pPr>
        <w:spacing w:after="0" w:line="268"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4"/>
          <w:szCs w:val="14"/>
          <w:b w:val="1"/>
          <w:bCs w:val="1"/>
          <w:color w:val="auto"/>
        </w:rPr>
        <w:t>Other Investments</w:t>
      </w:r>
    </w:p>
    <w:p>
      <w:pPr>
        <w:spacing w:after="0" w:line="112" w:lineRule="exact"/>
        <w:rPr>
          <w:sz w:val="20"/>
          <w:szCs w:val="20"/>
          <w:color w:val="auto"/>
        </w:rPr>
      </w:pPr>
    </w:p>
    <w:p>
      <w:pPr>
        <w:ind w:right="120" w:firstLine="351"/>
        <w:spacing w:after="0" w:line="307" w:lineRule="auto"/>
        <w:rPr>
          <w:sz w:val="20"/>
          <w:szCs w:val="20"/>
          <w:color w:val="auto"/>
        </w:rPr>
      </w:pPr>
      <w:r>
        <w:rPr>
          <w:rFonts w:ascii="Arial" w:cs="Arial" w:eastAsia="Arial" w:hAnsi="Arial"/>
          <w:sz w:val="14"/>
          <w:szCs w:val="14"/>
          <w:color w:val="auto"/>
        </w:rPr>
        <w:t>Other investments consist of interests in venture capital funds and other long-term investments. Investments are accounted for using the equity method of accounting or cost, less any impairment, plus or minus changes resulting from observable price changes in orderly transactions for an identical or similar investment of the same issuer. For equity method investments, realized gains and losses are reflected in nonoperating (income) expense based upon the Company's ownership share of the investee's financial results.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66"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4"/>
          <w:szCs w:val="14"/>
          <w:b w:val="1"/>
          <w:bCs w:val="1"/>
          <w:color w:val="auto"/>
        </w:rPr>
        <w:t>Accrued Liabilities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liabilities at October 30, 2021 and October 31, 2020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5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2020</w:t>
            </w:r>
          </w:p>
        </w:tc>
      </w:tr>
      <w:tr>
        <w:trPr>
          <w:trHeight w:val="208"/>
        </w:trPr>
        <w:tc>
          <w:tcPr>
            <w:tcW w:w="7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Distributor price adjustments and other revenue reserves</w:t>
            </w: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664,198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257,343</w:t>
            </w:r>
          </w:p>
        </w:tc>
      </w:tr>
      <w:tr>
        <w:trPr>
          <w:trHeight w:val="199"/>
        </w:trPr>
        <w:tc>
          <w:tcPr>
            <w:tcW w:w="7580" w:type="dxa"/>
            <w:vAlign w:val="bottom"/>
          </w:tcPr>
          <w:p>
            <w:pPr>
              <w:ind w:left="400"/>
              <w:spacing w:after="0"/>
              <w:rPr>
                <w:sz w:val="20"/>
                <w:szCs w:val="20"/>
                <w:color w:val="auto"/>
              </w:rPr>
            </w:pPr>
            <w:r>
              <w:rPr>
                <w:rFonts w:ascii="Arial" w:cs="Arial" w:eastAsia="Arial" w:hAnsi="Arial"/>
                <w:sz w:val="16"/>
                <w:szCs w:val="16"/>
                <w:color w:val="auto"/>
              </w:rPr>
              <w:t>Accrued compensation and benefits</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381,678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203,675</w:t>
            </w:r>
          </w:p>
        </w:tc>
      </w:tr>
      <w:tr>
        <w:trPr>
          <w:trHeight w:val="199"/>
        </w:trPr>
        <w:tc>
          <w:tcPr>
            <w:tcW w:w="7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Interest rate swap</w:t>
            </w:r>
          </w:p>
        </w:tc>
        <w:tc>
          <w:tcPr>
            <w:tcW w:w="7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214,586</w:t>
            </w:r>
          </w:p>
        </w:tc>
      </w:tr>
      <w:tr>
        <w:trPr>
          <w:trHeight w:val="199"/>
        </w:trPr>
        <w:tc>
          <w:tcPr>
            <w:tcW w:w="7580" w:type="dxa"/>
            <w:vAlign w:val="bottom"/>
          </w:tcPr>
          <w:p>
            <w:pPr>
              <w:ind w:left="400"/>
              <w:spacing w:after="0"/>
              <w:rPr>
                <w:sz w:val="20"/>
                <w:szCs w:val="20"/>
                <w:color w:val="auto"/>
              </w:rPr>
            </w:pPr>
            <w:r>
              <w:rPr>
                <w:rFonts w:ascii="Arial" w:cs="Arial" w:eastAsia="Arial" w:hAnsi="Arial"/>
                <w:sz w:val="16"/>
                <w:szCs w:val="16"/>
                <w:color w:val="auto"/>
              </w:rPr>
              <w:t>Accrued professional fees</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152,689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2,077</w:t>
            </w:r>
          </w:p>
        </w:tc>
      </w:tr>
      <w:tr>
        <w:trPr>
          <w:trHeight w:val="199"/>
        </w:trPr>
        <w:tc>
          <w:tcPr>
            <w:tcW w:w="7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Accrued interest</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56,083</w:t>
            </w:r>
          </w:p>
        </w:tc>
      </w:tr>
      <w:tr>
        <w:trPr>
          <w:trHeight w:val="199"/>
        </w:trPr>
        <w:tc>
          <w:tcPr>
            <w:tcW w:w="7580" w:type="dxa"/>
            <w:vAlign w:val="bottom"/>
          </w:tcPr>
          <w:p>
            <w:pPr>
              <w:ind w:left="400"/>
              <w:spacing w:after="0"/>
              <w:rPr>
                <w:sz w:val="20"/>
                <w:szCs w:val="20"/>
                <w:color w:val="auto"/>
              </w:rPr>
            </w:pPr>
            <w:r>
              <w:rPr>
                <w:rFonts w:ascii="Arial" w:cs="Arial" w:eastAsia="Arial" w:hAnsi="Arial"/>
                <w:sz w:val="16"/>
                <w:szCs w:val="16"/>
                <w:color w:val="auto"/>
              </w:rPr>
              <w:t>Accrued special charges</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46,839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65,950</w:t>
            </w:r>
          </w:p>
        </w:tc>
      </w:tr>
      <w:tr>
        <w:trPr>
          <w:trHeight w:val="199"/>
        </w:trPr>
        <w:tc>
          <w:tcPr>
            <w:tcW w:w="75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Lease liabilities</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39,923</w:t>
            </w:r>
          </w:p>
        </w:tc>
      </w:tr>
      <w:tr>
        <w:trPr>
          <w:trHeight w:val="199"/>
        </w:trPr>
        <w:tc>
          <w:tcPr>
            <w:tcW w:w="75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150,189</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115,996</w:t>
            </w:r>
          </w:p>
        </w:tc>
      </w:tr>
      <w:tr>
        <w:trPr>
          <w:trHeight w:val="215"/>
        </w:trPr>
        <w:tc>
          <w:tcPr>
            <w:tcW w:w="7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accrued liabilities</w:t>
            </w:r>
          </w:p>
        </w:tc>
        <w:tc>
          <w:tcPr>
            <w:tcW w:w="7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1,477,530</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955,633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b w:val="1"/>
          <w:bCs w:val="1"/>
          <w:color w:val="auto"/>
        </w:rPr>
        <w:t>9.</w:t>
      </w:r>
      <w:r>
        <w:rPr>
          <w:sz w:val="20"/>
          <w:szCs w:val="20"/>
          <w:color w:val="auto"/>
        </w:rPr>
        <w:tab/>
      </w:r>
      <w:r>
        <w:rPr>
          <w:rFonts w:ascii="Arial" w:cs="Arial" w:eastAsia="Arial" w:hAnsi="Arial"/>
          <w:sz w:val="12"/>
          <w:szCs w:val="12"/>
          <w:b w:val="1"/>
          <w:bCs w:val="1"/>
          <w:color w:val="auto"/>
        </w:rPr>
        <w:t>Leases</w:t>
      </w:r>
    </w:p>
    <w:p>
      <w:pPr>
        <w:spacing w:after="0" w:line="147" w:lineRule="exact"/>
        <w:rPr>
          <w:sz w:val="20"/>
          <w:szCs w:val="20"/>
          <w:color w:val="auto"/>
        </w:rPr>
      </w:pPr>
    </w:p>
    <w:p>
      <w:pPr>
        <w:ind w:right="20" w:firstLine="351"/>
        <w:spacing w:after="0" w:line="283" w:lineRule="auto"/>
        <w:rPr>
          <w:sz w:val="20"/>
          <w:szCs w:val="20"/>
          <w:color w:val="auto"/>
        </w:rPr>
      </w:pPr>
      <w:r>
        <w:rPr>
          <w:rFonts w:ascii="Arial" w:cs="Arial" w:eastAsia="Arial" w:hAnsi="Arial"/>
          <w:sz w:val="14"/>
          <w:szCs w:val="14"/>
          <w:color w:val="auto"/>
        </w:rPr>
        <w:t>The Company enters into operating leases which primarily relate to certain facilities. The Company determines whether an arrangement is or contains a lease based on the unique facts and circumstances present at the inception of an arrangement. Lease assets represent the Company's right to use underlying assets for the lease term, and lease liabilities represent the obligation to make lease payments over the lease term. At lease commencement, leases are evaluated for classification, and assets and liabilities are recognized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at an amount equal to the lease payments in a similar economic environment. Certain adjustments to the right-of-use asset may be required for items such as initial direct costs paid or incentives received, such as construction allowances from landlords and/or rent abatements subsequent to taking possession of the leased property. The Company has agreements with lease and non-lease components, which are accounted for as a single lease component. Non-lease components may include real estate taxes, insurance, maintenance, parking and other operating costs. If these costs are variable costs they are not included in the measurement of the right-of-use assets and lease liabilities, but are expensed when the event determining the amount of variable consideration to be paid occurs. The Company’s leases have remaining lease terms of less than one year to approximately twenty-four years, some of which may include options to extend the initial term of the lease. These options are included in determining the initial lease term at lease commencement only if the Company is reasonably certain to exercise the option. Lease costs are recognized on a straight-line basis as lease expense over the lease term. For leases with terms of twelve months or less the Company recognizes the related lease payments as expense either on a straight-line basis over the lease term or as incurred depending on whether the lease payments are fixed or variable.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balance sheet information related to the Company's operating leases: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gridSpan w:val="2"/>
          </w:tcPr>
          <w:p>
            <w:pPr>
              <w:ind w:left="300"/>
              <w:spacing w:after="0"/>
              <w:rPr>
                <w:sz w:val="20"/>
                <w:szCs w:val="20"/>
                <w:color w:val="auto"/>
              </w:rPr>
            </w:pPr>
            <w:r>
              <w:rPr>
                <w:rFonts w:ascii="Arial" w:cs="Arial" w:eastAsia="Arial" w:hAnsi="Arial"/>
                <w:sz w:val="12"/>
                <w:szCs w:val="12"/>
                <w:b w:val="1"/>
                <w:bCs w:val="1"/>
                <w:color w:val="auto"/>
              </w:rPr>
              <w:t>October 30, 2021</w:t>
            </w:r>
          </w:p>
        </w:tc>
        <w:tc>
          <w:tcPr>
            <w:tcW w:w="380" w:type="dxa"/>
            <w:vAlign w:val="bottom"/>
          </w:tcPr>
          <w:p>
            <w:pPr>
              <w:spacing w:after="0"/>
              <w:rPr>
                <w:sz w:val="14"/>
                <w:szCs w:val="14"/>
                <w:color w:val="auto"/>
              </w:rPr>
            </w:pPr>
          </w:p>
        </w:tc>
        <w:tc>
          <w:tcPr>
            <w:tcW w:w="1920" w:type="dxa"/>
            <w:vAlign w:val="bottom"/>
          </w:tcPr>
          <w:p>
            <w:pPr>
              <w:jc w:val="right"/>
              <w:ind w:right="626"/>
              <w:spacing w:after="0"/>
              <w:rPr>
                <w:sz w:val="20"/>
                <w:szCs w:val="20"/>
                <w:color w:val="auto"/>
              </w:rPr>
            </w:pPr>
            <w:r>
              <w:rPr>
                <w:rFonts w:ascii="Arial" w:cs="Arial" w:eastAsia="Arial" w:hAnsi="Arial"/>
                <w:sz w:val="12"/>
                <w:szCs w:val="12"/>
                <w:b w:val="1"/>
                <w:bCs w:val="1"/>
                <w:color w:val="auto"/>
              </w:rPr>
              <w:t>October 31, 2020</w:t>
            </w:r>
          </w:p>
        </w:tc>
      </w:tr>
      <w:tr>
        <w:trPr>
          <w:trHeight w:val="184"/>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7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199"/>
        </w:trPr>
        <w:tc>
          <w:tcPr>
            <w:tcW w:w="4700" w:type="dxa"/>
            <w:vAlign w:val="bottom"/>
          </w:tcPr>
          <w:p>
            <w:pPr>
              <w:ind w:left="280"/>
              <w:spacing w:after="0"/>
              <w:rPr>
                <w:sz w:val="20"/>
                <w:szCs w:val="20"/>
                <w:color w:val="auto"/>
              </w:rPr>
            </w:pPr>
            <w:r>
              <w:rPr>
                <w:rFonts w:ascii="Arial" w:cs="Arial" w:eastAsia="Arial" w:hAnsi="Arial"/>
                <w:sz w:val="16"/>
                <w:szCs w:val="16"/>
                <w:color w:val="auto"/>
              </w:rPr>
              <w:t xml:space="preserve">Operating lease right-of-use assets in </w:t>
            </w:r>
            <w:r>
              <w:rPr>
                <w:rFonts w:ascii="Arial" w:cs="Arial" w:eastAsia="Arial" w:hAnsi="Arial"/>
                <w:sz w:val="16"/>
                <w:szCs w:val="16"/>
                <w:i w:val="1"/>
                <w:iCs w:val="1"/>
                <w:color w:val="auto"/>
              </w:rPr>
              <w:t>Other assets</w:t>
            </w:r>
          </w:p>
        </w:tc>
        <w:tc>
          <w:tcPr>
            <w:tcW w:w="2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279,542</w:t>
            </w:r>
          </w:p>
        </w:tc>
        <w:tc>
          <w:tcPr>
            <w:tcW w:w="24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256,625</w:t>
            </w:r>
          </w:p>
        </w:tc>
      </w:tr>
      <w:tr>
        <w:trPr>
          <w:trHeight w:val="199"/>
        </w:trPr>
        <w:tc>
          <w:tcPr>
            <w:tcW w:w="4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199"/>
        </w:trPr>
        <w:tc>
          <w:tcPr>
            <w:tcW w:w="4700" w:type="dxa"/>
            <w:vAlign w:val="bottom"/>
          </w:tcPr>
          <w:p>
            <w:pPr>
              <w:ind w:left="280"/>
              <w:spacing w:after="0"/>
              <w:rPr>
                <w:sz w:val="20"/>
                <w:szCs w:val="20"/>
                <w:color w:val="auto"/>
              </w:rPr>
            </w:pPr>
            <w:r>
              <w:rPr>
                <w:rFonts w:ascii="Arial" w:cs="Arial" w:eastAsia="Arial" w:hAnsi="Arial"/>
                <w:sz w:val="16"/>
                <w:szCs w:val="16"/>
                <w:color w:val="auto"/>
              </w:rPr>
              <w:t xml:space="preserve">Operating lease liabilities in </w:t>
            </w:r>
            <w:r>
              <w:rPr>
                <w:rFonts w:ascii="Arial" w:cs="Arial" w:eastAsia="Arial" w:hAnsi="Arial"/>
                <w:sz w:val="16"/>
                <w:szCs w:val="16"/>
                <w:i w:val="1"/>
                <w:iCs w:val="1"/>
                <w:color w:val="auto"/>
              </w:rPr>
              <w:t>Accrued liabilities</w:t>
            </w:r>
          </w:p>
        </w:tc>
        <w:tc>
          <w:tcPr>
            <w:tcW w:w="21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52,576</w:t>
            </w:r>
          </w:p>
        </w:tc>
        <w:tc>
          <w:tcPr>
            <w:tcW w:w="24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39,923</w:t>
            </w:r>
          </w:p>
        </w:tc>
      </w:tr>
      <w:tr>
        <w:trPr>
          <w:trHeight w:val="199"/>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Operating lease liabilities in </w:t>
            </w:r>
            <w:r>
              <w:rPr>
                <w:rFonts w:ascii="Arial" w:cs="Arial" w:eastAsia="Arial" w:hAnsi="Arial"/>
                <w:sz w:val="16"/>
                <w:szCs w:val="16"/>
                <w:i w:val="1"/>
                <w:iCs w:val="1"/>
                <w:color w:val="auto"/>
              </w:rPr>
              <w:t>Other non-current liabilities</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295,782</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288,492</w:t>
            </w:r>
          </w:p>
        </w:tc>
      </w:tr>
      <w:tr>
        <w:trPr>
          <w:trHeight w:val="783"/>
        </w:trPr>
        <w:tc>
          <w:tcPr>
            <w:tcW w:w="4700" w:type="dxa"/>
            <w:vAlign w:val="bottom"/>
          </w:tcPr>
          <w:p>
            <w:pPr>
              <w:spacing w:after="0"/>
              <w:rPr>
                <w:sz w:val="24"/>
                <w:szCs w:val="24"/>
                <w:color w:val="auto"/>
              </w:rPr>
            </w:pPr>
          </w:p>
        </w:tc>
        <w:tc>
          <w:tcPr>
            <w:tcW w:w="1720" w:type="dxa"/>
            <w:vAlign w:val="bottom"/>
          </w:tcPr>
          <w:p>
            <w:pPr>
              <w:jc w:val="right"/>
              <w:ind w:right="642"/>
              <w:spacing w:after="0"/>
              <w:rPr>
                <w:sz w:val="20"/>
                <w:szCs w:val="20"/>
                <w:color w:val="auto"/>
              </w:rPr>
            </w:pPr>
            <w:r>
              <w:rPr>
                <w:rFonts w:ascii="Arial" w:cs="Arial" w:eastAsia="Arial" w:hAnsi="Arial"/>
                <w:sz w:val="16"/>
                <w:szCs w:val="16"/>
                <w:color w:val="auto"/>
              </w:rPr>
              <w:t>74</w:t>
            </w: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98"/>
        </w:trPr>
        <w:tc>
          <w:tcPr>
            <w:tcW w:w="47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Details of the Company's operating leases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6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2"/>
                <w:szCs w:val="12"/>
                <w:b w:val="1"/>
                <w:bCs w:val="1"/>
                <w:color w:val="auto"/>
              </w:rPr>
              <w:t>October 30, 2021</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October 31, 2020</w:t>
            </w:r>
          </w:p>
        </w:tc>
      </w:tr>
      <w:tr>
        <w:trPr>
          <w:trHeight w:val="196"/>
        </w:trPr>
        <w:tc>
          <w:tcPr>
            <w:tcW w:w="60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Lease expense</w:t>
            </w:r>
          </w:p>
        </w:tc>
        <w:tc>
          <w:tcPr>
            <w:tcW w:w="1920" w:type="dxa"/>
            <w:vAlign w:val="bottom"/>
            <w:tcBorders>
              <w:top w:val="single" w:sz="8" w:color="auto"/>
            </w:tcBorders>
            <w:shd w:val="clear" w:color="auto" w:fill="CCEEFF"/>
          </w:tcPr>
          <w:p>
            <w:pPr>
              <w:jc w:val="right"/>
              <w:ind w:right="1406"/>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center"/>
              <w:ind w:left="42"/>
              <w:spacing w:after="0"/>
              <w:rPr>
                <w:sz w:val="20"/>
                <w:szCs w:val="20"/>
                <w:color w:val="auto"/>
              </w:rPr>
            </w:pPr>
            <w:r>
              <w:rPr>
                <w:rFonts w:ascii="Arial" w:cs="Arial" w:eastAsia="Arial" w:hAnsi="Arial"/>
                <w:sz w:val="16"/>
                <w:szCs w:val="16"/>
                <w:color w:val="auto"/>
                <w:w w:val="89"/>
              </w:rPr>
              <w:t>50,799</w:t>
            </w: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center"/>
              <w:ind w:left="1083"/>
              <w:spacing w:after="0"/>
              <w:rPr>
                <w:sz w:val="20"/>
                <w:szCs w:val="20"/>
                <w:color w:val="auto"/>
              </w:rPr>
            </w:pPr>
            <w:r>
              <w:rPr>
                <w:rFonts w:ascii="Arial" w:cs="Arial" w:eastAsia="Arial" w:hAnsi="Arial"/>
                <w:sz w:val="16"/>
                <w:szCs w:val="16"/>
                <w:color w:val="auto"/>
                <w:w w:val="89"/>
              </w:rPr>
              <w:t>45,892</w:t>
            </w:r>
          </w:p>
        </w:tc>
        <w:tc>
          <w:tcPr>
            <w:tcW w:w="140" w:type="dxa"/>
            <w:vAlign w:val="bottom"/>
          </w:tcPr>
          <w:p>
            <w:pPr>
              <w:spacing w:after="0"/>
              <w:rPr>
                <w:sz w:val="17"/>
                <w:szCs w:val="17"/>
                <w:color w:val="auto"/>
              </w:rPr>
            </w:pPr>
          </w:p>
        </w:tc>
      </w:tr>
      <w:tr>
        <w:trPr>
          <w:trHeight w:val="199"/>
        </w:trPr>
        <w:tc>
          <w:tcPr>
            <w:tcW w:w="6060" w:type="dxa"/>
            <w:vAlign w:val="bottom"/>
          </w:tcPr>
          <w:p>
            <w:pPr>
              <w:ind w:left="360"/>
              <w:spacing w:after="0"/>
              <w:rPr>
                <w:sz w:val="20"/>
                <w:szCs w:val="20"/>
                <w:color w:val="auto"/>
              </w:rPr>
            </w:pPr>
            <w:r>
              <w:rPr>
                <w:rFonts w:ascii="Arial" w:cs="Arial" w:eastAsia="Arial" w:hAnsi="Arial"/>
                <w:sz w:val="16"/>
                <w:szCs w:val="16"/>
                <w:b w:val="1"/>
                <w:bCs w:val="1"/>
                <w:color w:val="auto"/>
                <w:w w:val="92"/>
              </w:rPr>
              <w:t>Cash paid for amounts included in the measurement of operating lease liabilities</w:t>
            </w:r>
          </w:p>
        </w:tc>
        <w:tc>
          <w:tcPr>
            <w:tcW w:w="1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60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Operating cash flows from operating leases</w:t>
            </w:r>
          </w:p>
        </w:tc>
        <w:tc>
          <w:tcPr>
            <w:tcW w:w="1920" w:type="dxa"/>
            <w:vAlign w:val="bottom"/>
            <w:shd w:val="clear" w:color="auto" w:fill="CCEEFF"/>
          </w:tcPr>
          <w:p>
            <w:pPr>
              <w:jc w:val="right"/>
              <w:ind w:right="1406"/>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left="42"/>
              <w:spacing w:after="0"/>
              <w:rPr>
                <w:sz w:val="20"/>
                <w:szCs w:val="20"/>
                <w:color w:val="auto"/>
              </w:rPr>
            </w:pPr>
            <w:r>
              <w:rPr>
                <w:rFonts w:ascii="Arial" w:cs="Arial" w:eastAsia="Arial" w:hAnsi="Arial"/>
                <w:sz w:val="16"/>
                <w:szCs w:val="16"/>
                <w:color w:val="auto"/>
                <w:w w:val="89"/>
              </w:rPr>
              <w:t>53,724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center"/>
              <w:ind w:left="1083"/>
              <w:spacing w:after="0"/>
              <w:rPr>
                <w:sz w:val="20"/>
                <w:szCs w:val="20"/>
                <w:color w:val="auto"/>
              </w:rPr>
            </w:pPr>
            <w:r>
              <w:rPr>
                <w:rFonts w:ascii="Arial" w:cs="Arial" w:eastAsia="Arial" w:hAnsi="Arial"/>
                <w:sz w:val="16"/>
                <w:szCs w:val="16"/>
                <w:color w:val="auto"/>
                <w:w w:val="89"/>
              </w:rPr>
              <w:t>47,243</w:t>
            </w:r>
          </w:p>
        </w:tc>
        <w:tc>
          <w:tcPr>
            <w:tcW w:w="140" w:type="dxa"/>
            <w:vAlign w:val="bottom"/>
          </w:tcPr>
          <w:p>
            <w:pPr>
              <w:spacing w:after="0"/>
              <w:rPr>
                <w:sz w:val="17"/>
                <w:szCs w:val="17"/>
                <w:color w:val="auto"/>
              </w:rPr>
            </w:pPr>
          </w:p>
        </w:tc>
      </w:tr>
      <w:tr>
        <w:trPr>
          <w:trHeight w:val="199"/>
        </w:trPr>
        <w:tc>
          <w:tcPr>
            <w:tcW w:w="6060" w:type="dxa"/>
            <w:vAlign w:val="bottom"/>
          </w:tcPr>
          <w:p>
            <w:pPr>
              <w:ind w:left="360"/>
              <w:spacing w:after="0"/>
              <w:rPr>
                <w:sz w:val="20"/>
                <w:szCs w:val="20"/>
                <w:color w:val="auto"/>
              </w:rPr>
            </w:pPr>
            <w:r>
              <w:rPr>
                <w:rFonts w:ascii="Arial" w:cs="Arial" w:eastAsia="Arial" w:hAnsi="Arial"/>
                <w:sz w:val="16"/>
                <w:szCs w:val="16"/>
                <w:color w:val="auto"/>
              </w:rPr>
              <w:t>Lease assets obtained in exchange for new lease liabilities</w:t>
            </w:r>
          </w:p>
        </w:tc>
        <w:tc>
          <w:tcPr>
            <w:tcW w:w="1920" w:type="dxa"/>
            <w:vAlign w:val="bottom"/>
          </w:tcPr>
          <w:p>
            <w:pPr>
              <w:jc w:val="right"/>
              <w:ind w:right="1406"/>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left="42"/>
              <w:spacing w:after="0"/>
              <w:rPr>
                <w:sz w:val="20"/>
                <w:szCs w:val="20"/>
                <w:color w:val="auto"/>
              </w:rPr>
            </w:pPr>
            <w:r>
              <w:rPr>
                <w:rFonts w:ascii="Arial" w:cs="Arial" w:eastAsia="Arial" w:hAnsi="Arial"/>
                <w:sz w:val="16"/>
                <w:szCs w:val="16"/>
                <w:color w:val="auto"/>
                <w:w w:val="89"/>
              </w:rPr>
              <w:t>25,946</w:t>
            </w:r>
          </w:p>
        </w:tc>
        <w:tc>
          <w:tcPr>
            <w:tcW w:w="120" w:type="dxa"/>
            <w:vAlign w:val="bottom"/>
          </w:tcPr>
          <w:p>
            <w:pPr>
              <w:spacing w:after="0"/>
              <w:rPr>
                <w:sz w:val="17"/>
                <w:szCs w:val="17"/>
                <w:color w:val="auto"/>
              </w:rPr>
            </w:pPr>
          </w:p>
        </w:tc>
        <w:tc>
          <w:tcPr>
            <w:tcW w:w="6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720" w:type="dxa"/>
            <w:vAlign w:val="bottom"/>
          </w:tcPr>
          <w:p>
            <w:pPr>
              <w:jc w:val="center"/>
              <w:ind w:left="1083"/>
              <w:spacing w:after="0"/>
              <w:rPr>
                <w:sz w:val="20"/>
                <w:szCs w:val="20"/>
                <w:color w:val="auto"/>
              </w:rPr>
            </w:pPr>
            <w:r>
              <w:rPr>
                <w:rFonts w:ascii="Arial" w:cs="Arial" w:eastAsia="Arial" w:hAnsi="Arial"/>
                <w:sz w:val="16"/>
                <w:szCs w:val="16"/>
                <w:color w:val="auto"/>
                <w:w w:val="89"/>
              </w:rPr>
              <w:t>54,392</w:t>
            </w:r>
          </w:p>
        </w:tc>
        <w:tc>
          <w:tcPr>
            <w:tcW w:w="140" w:type="dxa"/>
            <w:vAlign w:val="bottom"/>
          </w:tcPr>
          <w:p>
            <w:pPr>
              <w:spacing w:after="0"/>
              <w:rPr>
                <w:sz w:val="17"/>
                <w:szCs w:val="17"/>
                <w:color w:val="auto"/>
              </w:rPr>
            </w:pPr>
          </w:p>
        </w:tc>
      </w:tr>
      <w:tr>
        <w:trPr>
          <w:trHeight w:val="199"/>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 average remaining lease term</w:t>
            </w:r>
          </w:p>
        </w:tc>
        <w:tc>
          <w:tcPr>
            <w:tcW w:w="19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7.9 years</w:t>
            </w:r>
          </w:p>
        </w:tc>
        <w:tc>
          <w:tcPr>
            <w:tcW w:w="62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9.2 years</w:t>
            </w:r>
          </w:p>
        </w:tc>
        <w:tc>
          <w:tcPr>
            <w:tcW w:w="140" w:type="dxa"/>
            <w:vAlign w:val="bottom"/>
          </w:tcPr>
          <w:p>
            <w:pPr>
              <w:spacing w:after="0"/>
              <w:rPr>
                <w:sz w:val="17"/>
                <w:szCs w:val="17"/>
                <w:color w:val="auto"/>
              </w:rPr>
            </w:pPr>
          </w:p>
        </w:tc>
      </w:tr>
      <w:tr>
        <w:trPr>
          <w:trHeight w:val="199"/>
        </w:trPr>
        <w:tc>
          <w:tcPr>
            <w:tcW w:w="6060" w:type="dxa"/>
            <w:vAlign w:val="bottom"/>
          </w:tcPr>
          <w:p>
            <w:pPr>
              <w:ind w:left="360"/>
              <w:spacing w:after="0"/>
              <w:rPr>
                <w:sz w:val="20"/>
                <w:szCs w:val="20"/>
                <w:color w:val="auto"/>
              </w:rPr>
            </w:pPr>
            <w:r>
              <w:rPr>
                <w:rFonts w:ascii="Arial" w:cs="Arial" w:eastAsia="Arial" w:hAnsi="Arial"/>
                <w:sz w:val="16"/>
                <w:szCs w:val="16"/>
                <w:color w:val="auto"/>
              </w:rPr>
              <w:t>Weighted average discount rate</w:t>
            </w:r>
          </w:p>
        </w:tc>
        <w:tc>
          <w:tcPr>
            <w:tcW w:w="1920" w:type="dxa"/>
            <w:vAlign w:val="bottom"/>
          </w:tcPr>
          <w:p>
            <w:pPr>
              <w:spacing w:after="0"/>
              <w:rPr>
                <w:sz w:val="17"/>
                <w:szCs w:val="17"/>
                <w:color w:val="auto"/>
              </w:rPr>
            </w:pPr>
          </w:p>
        </w:tc>
        <w:tc>
          <w:tcPr>
            <w:tcW w:w="680" w:type="dxa"/>
            <w:vAlign w:val="bottom"/>
          </w:tcPr>
          <w:p>
            <w:pPr>
              <w:jc w:val="center"/>
              <w:ind w:left="42"/>
              <w:spacing w:after="0"/>
              <w:rPr>
                <w:sz w:val="20"/>
                <w:szCs w:val="20"/>
                <w:color w:val="auto"/>
              </w:rPr>
            </w:pPr>
            <w:r>
              <w:rPr>
                <w:rFonts w:ascii="Arial" w:cs="Arial" w:eastAsia="Arial" w:hAnsi="Arial"/>
                <w:sz w:val="16"/>
                <w:szCs w:val="16"/>
                <w:color w:val="auto"/>
                <w:w w:val="87"/>
              </w:rPr>
              <w:t>2.9%</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20" w:type="dxa"/>
            <w:vAlign w:val="bottom"/>
          </w:tcPr>
          <w:p>
            <w:pPr>
              <w:jc w:val="center"/>
              <w:ind w:left="1083"/>
              <w:spacing w:after="0"/>
              <w:rPr>
                <w:sz w:val="20"/>
                <w:szCs w:val="20"/>
                <w:color w:val="auto"/>
              </w:rPr>
            </w:pPr>
            <w:r>
              <w:rPr>
                <w:rFonts w:ascii="Arial" w:cs="Arial" w:eastAsia="Arial" w:hAnsi="Arial"/>
                <w:sz w:val="16"/>
                <w:szCs w:val="16"/>
                <w:color w:val="auto"/>
                <w:w w:val="87"/>
              </w:rPr>
              <w:t>3.1%</w:t>
            </w:r>
          </w:p>
        </w:tc>
        <w:tc>
          <w:tcPr>
            <w:tcW w:w="140" w:type="dxa"/>
            <w:vAlign w:val="bottom"/>
          </w:tcPr>
          <w:p>
            <w:pPr>
              <w:spacing w:after="0"/>
              <w:rPr>
                <w:sz w:val="17"/>
                <w:szCs w:val="17"/>
                <w:color w:val="auto"/>
              </w:rPr>
            </w:pPr>
          </w:p>
        </w:tc>
      </w:tr>
      <w:tr>
        <w:trPr>
          <w:trHeight w:val="408"/>
        </w:trPr>
        <w:tc>
          <w:tcPr>
            <w:tcW w:w="7980" w:type="dxa"/>
            <w:vAlign w:val="bottom"/>
            <w:gridSpan w:val="2"/>
          </w:tcPr>
          <w:p>
            <w:pPr>
              <w:ind w:left="340"/>
              <w:spacing w:after="0"/>
              <w:rPr>
                <w:sz w:val="20"/>
                <w:szCs w:val="20"/>
                <w:color w:val="auto"/>
              </w:rPr>
            </w:pPr>
            <w:r>
              <w:rPr>
                <w:rFonts w:ascii="Arial" w:cs="Arial" w:eastAsia="Arial" w:hAnsi="Arial"/>
                <w:sz w:val="16"/>
                <w:szCs w:val="16"/>
                <w:color w:val="auto"/>
                <w:w w:val="97"/>
              </w:rPr>
              <w:t>The following table presents the maturities of the Company's operating lease liabilities as of October 30, 2021: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60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Fiscal year</w:t>
            </w:r>
          </w:p>
        </w:tc>
        <w:tc>
          <w:tcPr>
            <w:tcW w:w="1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w w:val="96"/>
              </w:rPr>
              <w:t>Operating Leases</w:t>
            </w:r>
          </w:p>
        </w:tc>
      </w:tr>
      <w:tr>
        <w:trPr>
          <w:trHeight w:val="191"/>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2022</w:t>
            </w:r>
          </w:p>
        </w:tc>
        <w:tc>
          <w:tcPr>
            <w:tcW w:w="1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61,855</w:t>
            </w:r>
          </w:p>
        </w:tc>
      </w:tr>
      <w:tr>
        <w:trPr>
          <w:trHeight w:val="199"/>
        </w:trPr>
        <w:tc>
          <w:tcPr>
            <w:tcW w:w="6060" w:type="dxa"/>
            <w:vAlign w:val="bottom"/>
          </w:tcPr>
          <w:p>
            <w:pPr>
              <w:ind w:left="360"/>
              <w:spacing w:after="0"/>
              <w:rPr>
                <w:sz w:val="20"/>
                <w:szCs w:val="20"/>
                <w:color w:val="auto"/>
              </w:rPr>
            </w:pPr>
            <w:r>
              <w:rPr>
                <w:rFonts w:ascii="Arial" w:cs="Arial" w:eastAsia="Arial" w:hAnsi="Arial"/>
                <w:sz w:val="16"/>
                <w:szCs w:val="16"/>
                <w:color w:val="auto"/>
              </w:rPr>
              <w:t>2023</w:t>
            </w:r>
          </w:p>
        </w:tc>
        <w:tc>
          <w:tcPr>
            <w:tcW w:w="1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53,964</w:t>
            </w:r>
          </w:p>
        </w:tc>
      </w:tr>
      <w:tr>
        <w:trPr>
          <w:trHeight w:val="199"/>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2024</w:t>
            </w:r>
          </w:p>
        </w:tc>
        <w:tc>
          <w:tcPr>
            <w:tcW w:w="1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49,454</w:t>
            </w:r>
          </w:p>
        </w:tc>
      </w:tr>
      <w:tr>
        <w:trPr>
          <w:trHeight w:val="199"/>
        </w:trPr>
        <w:tc>
          <w:tcPr>
            <w:tcW w:w="6060" w:type="dxa"/>
            <w:vAlign w:val="bottom"/>
          </w:tcPr>
          <w:p>
            <w:pPr>
              <w:ind w:left="360"/>
              <w:spacing w:after="0"/>
              <w:rPr>
                <w:sz w:val="20"/>
                <w:szCs w:val="20"/>
                <w:color w:val="auto"/>
              </w:rPr>
            </w:pPr>
            <w:r>
              <w:rPr>
                <w:rFonts w:ascii="Arial" w:cs="Arial" w:eastAsia="Arial" w:hAnsi="Arial"/>
                <w:sz w:val="16"/>
                <w:szCs w:val="16"/>
                <w:color w:val="auto"/>
              </w:rPr>
              <w:t>2025</w:t>
            </w:r>
          </w:p>
        </w:tc>
        <w:tc>
          <w:tcPr>
            <w:tcW w:w="1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6"/>
                <w:szCs w:val="16"/>
                <w:color w:val="auto"/>
              </w:rPr>
              <w:t>44,055</w:t>
            </w:r>
          </w:p>
        </w:tc>
      </w:tr>
      <w:tr>
        <w:trPr>
          <w:trHeight w:val="199"/>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2026</w:t>
            </w:r>
          </w:p>
        </w:tc>
        <w:tc>
          <w:tcPr>
            <w:tcW w:w="1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40,004</w:t>
            </w:r>
          </w:p>
        </w:tc>
      </w:tr>
      <w:tr>
        <w:trPr>
          <w:trHeight w:val="199"/>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Thereafter</w:t>
            </w:r>
          </w:p>
        </w:tc>
        <w:tc>
          <w:tcPr>
            <w:tcW w:w="19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143,670</w:t>
            </w:r>
          </w:p>
        </w:tc>
      </w:tr>
      <w:tr>
        <w:trPr>
          <w:trHeight w:val="190"/>
        </w:trPr>
        <w:tc>
          <w:tcPr>
            <w:tcW w:w="6060" w:type="dxa"/>
            <w:vAlign w:val="bottom"/>
            <w:shd w:val="clear" w:color="auto" w:fill="CCEEFF"/>
          </w:tcPr>
          <w:p>
            <w:pPr>
              <w:ind w:left="360"/>
              <w:spacing w:after="0" w:line="183" w:lineRule="exact"/>
              <w:rPr>
                <w:sz w:val="20"/>
                <w:szCs w:val="20"/>
                <w:color w:val="auto"/>
              </w:rPr>
            </w:pPr>
            <w:r>
              <w:rPr>
                <w:rFonts w:ascii="Arial" w:cs="Arial" w:eastAsia="Arial" w:hAnsi="Arial"/>
                <w:sz w:val="16"/>
                <w:szCs w:val="16"/>
                <w:b w:val="1"/>
                <w:bCs w:val="1"/>
                <w:color w:val="auto"/>
              </w:rPr>
              <w:t>Total future minimum operating lease payments</w:t>
            </w:r>
          </w:p>
        </w:tc>
        <w:tc>
          <w:tcPr>
            <w:tcW w:w="1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393,002</w:t>
            </w:r>
          </w:p>
        </w:tc>
      </w:tr>
      <w:tr>
        <w:trPr>
          <w:trHeight w:val="199"/>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imputed interest</w:t>
            </w:r>
          </w:p>
        </w:tc>
        <w:tc>
          <w:tcPr>
            <w:tcW w:w="19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(44,644)</w:t>
            </w:r>
          </w:p>
        </w:tc>
      </w:tr>
      <w:tr>
        <w:trPr>
          <w:trHeight w:val="215"/>
        </w:trPr>
        <w:tc>
          <w:tcPr>
            <w:tcW w:w="6060" w:type="dxa"/>
            <w:vAlign w:val="bottom"/>
            <w:tcBorders>
              <w:bottom w:val="single" w:sz="8" w:color="CCEEFF"/>
            </w:tcBorders>
            <w:shd w:val="clear" w:color="auto" w:fill="CCEEFF"/>
          </w:tcPr>
          <w:p>
            <w:pPr>
              <w:ind w:left="360"/>
              <w:spacing w:after="0" w:line="183" w:lineRule="exact"/>
              <w:rPr>
                <w:sz w:val="20"/>
                <w:szCs w:val="20"/>
                <w:color w:val="auto"/>
              </w:rPr>
            </w:pPr>
            <w:r>
              <w:rPr>
                <w:rFonts w:ascii="Arial" w:cs="Arial" w:eastAsia="Arial" w:hAnsi="Arial"/>
                <w:sz w:val="16"/>
                <w:szCs w:val="16"/>
                <w:b w:val="1"/>
                <w:bCs w:val="1"/>
                <w:color w:val="auto"/>
              </w:rPr>
              <w:t>Present value of operating lease liabilities</w:t>
            </w:r>
          </w:p>
        </w:tc>
        <w:tc>
          <w:tcPr>
            <w:tcW w:w="19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348,358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3"/>
          <w:szCs w:val="13"/>
          <w:b w:val="1"/>
          <w:bCs w:val="1"/>
          <w:color w:val="auto"/>
        </w:rPr>
        <w:t>Commitments and Contingencies</w:t>
      </w:r>
    </w:p>
    <w:p>
      <w:pPr>
        <w:spacing w:after="0" w:line="124" w:lineRule="exact"/>
        <w:rPr>
          <w:sz w:val="20"/>
          <w:szCs w:val="20"/>
          <w:color w:val="auto"/>
        </w:rPr>
      </w:pPr>
    </w:p>
    <w:p>
      <w:pPr>
        <w:ind w:right="100" w:firstLine="386"/>
        <w:spacing w:after="0" w:line="297" w:lineRule="auto"/>
        <w:rPr>
          <w:sz w:val="20"/>
          <w:szCs w:val="20"/>
          <w:color w:val="auto"/>
        </w:rPr>
      </w:pPr>
      <w:r>
        <w:rPr>
          <w:rFonts w:ascii="Arial" w:cs="Arial" w:eastAsia="Arial" w:hAnsi="Arial"/>
          <w:sz w:val="14"/>
          <w:szCs w:val="14"/>
          <w:color w:val="auto"/>
        </w:rPr>
        <w:t>From time to time, in the ordinary course of the Company’s business, various claims, charges and litigation are asserted or commenced against the Company arising from, or related to, among other things, contractual matters, acquisitions, patents, trademarks, personal injury, environmental matters, product liability, insurance coverage, employment or employment benefits. As to such claims and litigation, the Company can give no assurance that it will prevail. The Company does not believe that any current legal matters will have a material adverse effect on the Company’s financial position, results of operations or cash flows.</w:t>
      </w:r>
    </w:p>
    <w:p>
      <w:pPr>
        <w:spacing w:after="0" w:line="57" w:lineRule="exact"/>
        <w:rPr>
          <w:sz w:val="20"/>
          <w:szCs w:val="20"/>
          <w:color w:val="auto"/>
        </w:rPr>
      </w:pPr>
    </w:p>
    <w:p>
      <w:pPr>
        <w:ind w:right="180" w:firstLine="386"/>
        <w:spacing w:after="0" w:line="263" w:lineRule="auto"/>
        <w:rPr>
          <w:sz w:val="20"/>
          <w:szCs w:val="20"/>
          <w:color w:val="auto"/>
        </w:rPr>
      </w:pPr>
      <w:r>
        <w:rPr>
          <w:rFonts w:ascii="Arial" w:cs="Arial" w:eastAsia="Arial" w:hAnsi="Arial"/>
          <w:sz w:val="16"/>
          <w:szCs w:val="16"/>
          <w:color w:val="auto"/>
        </w:rPr>
        <w:t>In connection with the Acquisition, the Company acquired a supplier commitment of approximately $291.2 million for the purchase of materials and supplies in advance or with minimum purchase quantities through 2031.</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11.</w:t>
      </w:r>
      <w:r>
        <w:rPr>
          <w:sz w:val="20"/>
          <w:szCs w:val="20"/>
          <w:color w:val="auto"/>
        </w:rPr>
        <w:tab/>
      </w:r>
      <w:r>
        <w:rPr>
          <w:rFonts w:ascii="Arial" w:cs="Arial" w:eastAsia="Arial" w:hAnsi="Arial"/>
          <w:sz w:val="13"/>
          <w:szCs w:val="13"/>
          <w:b w:val="1"/>
          <w:bCs w:val="1"/>
          <w:color w:val="auto"/>
        </w:rPr>
        <w:t>Retirement Plans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and its subsidiaries have various savings and retirement plans covering substantially all employees.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Defined Contribution Plans</w:t>
      </w:r>
    </w:p>
    <w:p>
      <w:pPr>
        <w:spacing w:after="0" w:line="120" w:lineRule="exact"/>
        <w:rPr>
          <w:sz w:val="20"/>
          <w:szCs w:val="20"/>
          <w:color w:val="auto"/>
        </w:rPr>
      </w:pPr>
    </w:p>
    <w:p>
      <w:pPr>
        <w:ind w:right="160" w:firstLine="386"/>
        <w:spacing w:after="0" w:line="293" w:lineRule="auto"/>
        <w:rPr>
          <w:sz w:val="20"/>
          <w:szCs w:val="20"/>
          <w:color w:val="auto"/>
        </w:rPr>
      </w:pPr>
      <w:r>
        <w:rPr>
          <w:rFonts w:ascii="Arial" w:cs="Arial" w:eastAsia="Arial" w:hAnsi="Arial"/>
          <w:sz w:val="14"/>
          <w:szCs w:val="14"/>
          <w:color w:val="auto"/>
        </w:rPr>
        <w:t>The Company maintains a defined contribution plan for the benefit of its eligible U.S. employees. This plan provides for Company contributions of up to 5% of each participant’s total eligible compensation. In addition, the Company contributes an amount equal to each participant’s pre-tax contribution, if any, up to a maximum of 3% of each participant’s total eligible compensation. For former Maxim employees, the Company contributes an amount equal to each participant's pre-tax contribution, if any, up to a maximum of 3% of each participant's eligible compensation and an additional 50% match for the next 2% of each participant's eligible compensation. The total expense related to the defined contribution plans for all eligible U.S. employees was $52.1 million in fiscal 2021, $48.7 million in fiscal 2020 and $47.7 million in fiscal 2019.</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1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Non-Qualified Deferred Compensation Plan</w:t>
      </w:r>
    </w:p>
    <w:p>
      <w:pPr>
        <w:spacing w:after="0" w:line="108" w:lineRule="exact"/>
        <w:rPr>
          <w:sz w:val="20"/>
          <w:szCs w:val="20"/>
          <w:color w:val="auto"/>
        </w:rPr>
      </w:pPr>
    </w:p>
    <w:p>
      <w:pPr>
        <w:ind w:right="40" w:firstLine="386"/>
        <w:spacing w:after="0" w:line="286" w:lineRule="auto"/>
        <w:rPr>
          <w:sz w:val="20"/>
          <w:szCs w:val="20"/>
          <w:color w:val="auto"/>
        </w:rPr>
      </w:pPr>
      <w:r>
        <w:rPr>
          <w:rFonts w:ascii="Arial" w:cs="Arial" w:eastAsia="Arial" w:hAnsi="Arial"/>
          <w:sz w:val="14"/>
          <w:szCs w:val="14"/>
          <w:color w:val="auto"/>
        </w:rPr>
        <w:t xml:space="preserve">The Deferred Compensation Plan (DCP) allows certain members of management and other highly-compensated employees and non-employee directors to defer receipt of all or any portion of their compensation. The DCP was established to provide participants with the opportunity to defer receiving all or a portion of their compensation, which includes salary, bonus, commissions and director fees. Under the DCP, the Company provides all participants (other than non-employee directors) with Company contributions equal to 8% of eligible deferred contributions. The DCP is a non-qualified plan that is maintained in a rabbi trust. The fair value of the investments held in the rabbi trust are included within other investments, with the current portion of the investment included in prepaid expenses and other current assets in the Consolidated Balance Sheets. See Note 2j, </w:t>
      </w:r>
      <w:r>
        <w:rPr>
          <w:rFonts w:ascii="Arial" w:cs="Arial" w:eastAsia="Arial" w:hAnsi="Arial"/>
          <w:sz w:val="14"/>
          <w:szCs w:val="14"/>
          <w:i w:val="1"/>
          <w:iCs w:val="1"/>
          <w:color w:val="auto"/>
        </w:rPr>
        <w:t>Fair Value</w:t>
      </w:r>
      <w:r>
        <w:rPr>
          <w:rFonts w:ascii="Arial" w:cs="Arial" w:eastAsia="Arial" w:hAnsi="Arial"/>
          <w:sz w:val="14"/>
          <w:szCs w:val="14"/>
          <w:color w:val="auto"/>
        </w:rPr>
        <w:t>, of the Notes to Consolidated Financial Statements for further information on these investments. The deferred compensation obligation represents DCP participant accumulated deferrals and earnings thereon since the inception of the DCP net of withdrawals. The deferred compensation obligation is included within other non-current liabilities, with the current portion of the obligation in accrued liabilities in the Consolidated Balance Sheets. The Company’s liability under the DCP is an unsecured general obligation of the Company.</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Defined Benefit Pension and Post Retirement Benefit Plans</w:t>
      </w:r>
    </w:p>
    <w:p>
      <w:pPr>
        <w:spacing w:after="0" w:line="120" w:lineRule="exact"/>
        <w:rPr>
          <w:sz w:val="20"/>
          <w:szCs w:val="20"/>
          <w:color w:val="auto"/>
        </w:rPr>
      </w:pPr>
    </w:p>
    <w:p>
      <w:pPr>
        <w:ind w:right="100" w:firstLine="386"/>
        <w:spacing w:after="0" w:line="253" w:lineRule="auto"/>
        <w:rPr>
          <w:sz w:val="20"/>
          <w:szCs w:val="20"/>
          <w:color w:val="auto"/>
        </w:rPr>
      </w:pPr>
      <w:r>
        <w:rPr>
          <w:rFonts w:ascii="Arial" w:cs="Arial" w:eastAsia="Arial" w:hAnsi="Arial"/>
          <w:sz w:val="16"/>
          <w:szCs w:val="16"/>
          <w:color w:val="auto"/>
        </w:rPr>
        <w:t>The Company also has various defined benefit pension and other retirement plans for certain non-U.S. employees that are consistent with local statutory requirements and practices. The total expense related to the various defined benefit pension, contribution and other retirement plans for certain non-U.S. employees was $45.9 million in fiscal 2021, $37.6 million in fiscal 2020 and $35.8 million in fiscal 2019.</w:t>
      </w:r>
    </w:p>
    <w:p>
      <w:pPr>
        <w:spacing w:after="0" w:line="85" w:lineRule="exact"/>
        <w:rPr>
          <w:sz w:val="20"/>
          <w:szCs w:val="20"/>
          <w:color w:val="auto"/>
        </w:rPr>
      </w:pPr>
    </w:p>
    <w:p>
      <w:pPr>
        <w:ind w:right="220" w:firstLine="386"/>
        <w:spacing w:after="0" w:line="307" w:lineRule="auto"/>
        <w:rPr>
          <w:sz w:val="20"/>
          <w:szCs w:val="20"/>
          <w:color w:val="auto"/>
        </w:rPr>
      </w:pPr>
      <w:r>
        <w:rPr>
          <w:rFonts w:ascii="Arial" w:cs="Arial" w:eastAsia="Arial" w:hAnsi="Arial"/>
          <w:sz w:val="14"/>
          <w:szCs w:val="14"/>
          <w:color w:val="auto"/>
        </w:rPr>
        <w:t>The Company’s funding policy for its foreign defined benefit pension plans is consistent with the local requirements of each country. The plans’ assets consist primarily of U.S. and non-U.S. equity securities, bonds, property and cash. The Company has elected to measure defined benefit plan assets and obligations as of October 31, which is the month-end that is closest to its fiscal year-ends, which were October 30, 2021 for fiscal 2021 and October 31, 2020 for fiscal 2020.</w:t>
      </w:r>
    </w:p>
    <w:p>
      <w:pPr>
        <w:spacing w:after="0" w:line="49" w:lineRule="exact"/>
        <w:rPr>
          <w:sz w:val="20"/>
          <w:szCs w:val="20"/>
          <w:color w:val="auto"/>
        </w:rPr>
      </w:pPr>
    </w:p>
    <w:p>
      <w:pPr>
        <w:ind w:right="160" w:firstLine="386"/>
        <w:spacing w:after="0" w:line="263" w:lineRule="auto"/>
        <w:rPr>
          <w:sz w:val="20"/>
          <w:szCs w:val="20"/>
          <w:color w:val="auto"/>
        </w:rPr>
      </w:pPr>
      <w:r>
        <w:rPr>
          <w:rFonts w:ascii="Arial" w:cs="Arial" w:eastAsia="Arial" w:hAnsi="Arial"/>
          <w:sz w:val="16"/>
          <w:szCs w:val="16"/>
          <w:color w:val="auto"/>
        </w:rPr>
        <w:t>As a result of the Acquisition, the Company acquired a postretirement plan that provides postretirement medical expenses to certain former employees of a Maxim acquired company and certain former Maxim executives in the U.S.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Components of Net Periodic Benefit Cost</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annual periodic benefit cost of the Company’s pension and postretirement benefit plans for fiscal 2021, fiscal 2020 and fiscal 2019 is presented in the following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4"/>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4"/>
              <w:spacing w:after="0"/>
              <w:rPr>
                <w:sz w:val="20"/>
                <w:szCs w:val="20"/>
                <w:color w:val="auto"/>
              </w:rPr>
            </w:pPr>
            <w:r>
              <w:rPr>
                <w:rFonts w:ascii="Arial" w:cs="Arial" w:eastAsia="Arial" w:hAnsi="Arial"/>
                <w:sz w:val="12"/>
                <w:szCs w:val="12"/>
                <w:b w:val="1"/>
                <w:bCs w:val="1"/>
                <w:color w:val="auto"/>
              </w:rPr>
              <w:t>2019</w:t>
            </w:r>
          </w:p>
        </w:tc>
      </w:tr>
      <w:tr>
        <w:trPr>
          <w:trHeight w:val="196"/>
        </w:trPr>
        <w:tc>
          <w:tcPr>
            <w:tcW w:w="5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Service cost</w:t>
            </w:r>
          </w:p>
        </w:tc>
        <w:tc>
          <w:tcPr>
            <w:tcW w:w="1200" w:type="dxa"/>
            <w:vAlign w:val="bottom"/>
            <w:shd w:val="clear" w:color="auto" w:fill="CCEEFF"/>
          </w:tcPr>
          <w:p>
            <w:pPr>
              <w:jc w:val="right"/>
              <w:ind w:right="645"/>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8,587</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5,578</w:t>
            </w:r>
          </w:p>
        </w:tc>
      </w:tr>
      <w:tr>
        <w:trPr>
          <w:trHeight w:val="199"/>
        </w:trPr>
        <w:tc>
          <w:tcPr>
            <w:tcW w:w="5860" w:type="dxa"/>
            <w:vAlign w:val="bottom"/>
          </w:tcPr>
          <w:p>
            <w:pPr>
              <w:ind w:left="400"/>
              <w:spacing w:after="0"/>
              <w:rPr>
                <w:sz w:val="20"/>
                <w:szCs w:val="20"/>
                <w:color w:val="auto"/>
              </w:rPr>
            </w:pPr>
            <w:r>
              <w:rPr>
                <w:rFonts w:ascii="Arial" w:cs="Arial" w:eastAsia="Arial" w:hAnsi="Arial"/>
                <w:sz w:val="16"/>
                <w:szCs w:val="16"/>
                <w:color w:val="auto"/>
              </w:rPr>
              <w:t>Interest cost</w:t>
            </w:r>
          </w:p>
        </w:tc>
        <w:tc>
          <w:tcPr>
            <w:tcW w:w="1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4,071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4,079</w:t>
            </w:r>
          </w:p>
        </w:tc>
      </w:tr>
      <w:tr>
        <w:trPr>
          <w:trHeight w:val="199"/>
        </w:trPr>
        <w:tc>
          <w:tcPr>
            <w:tcW w:w="5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Expected return on plan assets</w:t>
            </w:r>
          </w:p>
        </w:tc>
        <w:tc>
          <w:tcPr>
            <w:tcW w:w="12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(3,759)</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(5,279)</w:t>
            </w:r>
          </w:p>
        </w:tc>
      </w:tr>
      <w:tr>
        <w:trPr>
          <w:trHeight w:val="199"/>
        </w:trPr>
        <w:tc>
          <w:tcPr>
            <w:tcW w:w="5860" w:type="dxa"/>
            <w:vAlign w:val="bottom"/>
          </w:tcPr>
          <w:p>
            <w:pPr>
              <w:ind w:left="400"/>
              <w:spacing w:after="0"/>
              <w:rPr>
                <w:sz w:val="20"/>
                <w:szCs w:val="20"/>
                <w:color w:val="auto"/>
              </w:rPr>
            </w:pPr>
            <w:r>
              <w:rPr>
                <w:rFonts w:ascii="Arial" w:cs="Arial" w:eastAsia="Arial" w:hAnsi="Arial"/>
                <w:sz w:val="16"/>
                <w:szCs w:val="16"/>
                <w:color w:val="auto"/>
              </w:rPr>
              <w:t>Amortization of prior service cost</w:t>
            </w:r>
          </w:p>
        </w:tc>
        <w:tc>
          <w:tcPr>
            <w:tcW w:w="120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w:t>
            </w:r>
          </w:p>
        </w:tc>
      </w:tr>
      <w:tr>
        <w:trPr>
          <w:trHeight w:val="199"/>
        </w:trPr>
        <w:tc>
          <w:tcPr>
            <w:tcW w:w="5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Recognized actuarial loss</w:t>
            </w:r>
          </w:p>
        </w:tc>
        <w:tc>
          <w:tcPr>
            <w:tcW w:w="12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1,000</w:t>
            </w:r>
          </w:p>
        </w:tc>
      </w:tr>
      <w:tr>
        <w:trPr>
          <w:trHeight w:val="190"/>
        </w:trPr>
        <w:tc>
          <w:tcPr>
            <w:tcW w:w="586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Subtotal</w:t>
            </w:r>
          </w:p>
        </w:tc>
        <w:tc>
          <w:tcPr>
            <w:tcW w:w="1200" w:type="dxa"/>
            <w:vAlign w:val="bottom"/>
            <w:tcBorders>
              <w:bottom w:val="single" w:sz="8" w:color="auto"/>
            </w:tcBorders>
          </w:tcPr>
          <w:p>
            <w:pPr>
              <w:jc w:val="right"/>
              <w:ind w:right="645"/>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12,492</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9,791</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5,381</w:t>
            </w:r>
          </w:p>
        </w:tc>
      </w:tr>
      <w:tr>
        <w:trPr>
          <w:trHeight w:val="190"/>
        </w:trPr>
        <w:tc>
          <w:tcPr>
            <w:tcW w:w="5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Curtailment impact</w:t>
            </w:r>
          </w:p>
        </w:tc>
        <w:tc>
          <w:tcPr>
            <w:tcW w:w="12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199"/>
        </w:trPr>
        <w:tc>
          <w:tcPr>
            <w:tcW w:w="5860" w:type="dxa"/>
            <w:vAlign w:val="bottom"/>
          </w:tcPr>
          <w:p>
            <w:pPr>
              <w:ind w:left="400"/>
              <w:spacing w:after="0"/>
              <w:rPr>
                <w:sz w:val="20"/>
                <w:szCs w:val="20"/>
                <w:color w:val="auto"/>
              </w:rPr>
            </w:pPr>
            <w:r>
              <w:rPr>
                <w:rFonts w:ascii="Arial" w:cs="Arial" w:eastAsia="Arial" w:hAnsi="Arial"/>
                <w:sz w:val="16"/>
                <w:szCs w:val="16"/>
                <w:color w:val="auto"/>
              </w:rPr>
              <w:t>Settlement impact</w:t>
            </w:r>
          </w:p>
        </w:tc>
        <w:tc>
          <w:tcPr>
            <w:tcW w:w="1200" w:type="dxa"/>
            <w:vAlign w:val="bottom"/>
          </w:tcPr>
          <w:p>
            <w:pPr>
              <w:jc w:val="right"/>
              <w:ind w:right="645"/>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7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15"/>
        </w:trPr>
        <w:tc>
          <w:tcPr>
            <w:tcW w:w="58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periodic benefit cost</w:t>
            </w:r>
          </w:p>
        </w:tc>
        <w:tc>
          <w:tcPr>
            <w:tcW w:w="12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12,486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5,381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6"/>
          <w:szCs w:val="16"/>
          <w:color w:val="auto"/>
        </w:rPr>
        <w:t>The service cost component of net periodic benefit cost above is recorded in Cost of sales, Research and development, Selling, marketing, general and administrative expenses within the Consolidated Statements of Income, while the remaining components are recorded to Other, net.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Benefit Obligations and Plan Assets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Obligation and asset data of the Company’s pension and postretirement benefit plans at October 30, 2021 and October 31, 2020 is presented in the following table: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Change in Benefit Obligation</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60" w:type="dxa"/>
            <w:vAlign w:val="bottom"/>
          </w:tcPr>
          <w:p>
            <w:pPr>
              <w:ind w:left="360"/>
              <w:spacing w:after="0"/>
              <w:rPr>
                <w:sz w:val="20"/>
                <w:szCs w:val="20"/>
                <w:color w:val="auto"/>
              </w:rPr>
            </w:pPr>
            <w:r>
              <w:rPr>
                <w:rFonts w:ascii="Arial" w:cs="Arial" w:eastAsia="Arial" w:hAnsi="Arial"/>
                <w:sz w:val="16"/>
                <w:szCs w:val="16"/>
                <w:color w:val="auto"/>
              </w:rPr>
              <w:t>Benefit obligation at beginning of year</w:t>
            </w:r>
          </w:p>
        </w:tc>
        <w:tc>
          <w:tcPr>
            <w:tcW w:w="6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186,735</w:t>
            </w:r>
          </w:p>
        </w:tc>
        <w:tc>
          <w:tcPr>
            <w:tcW w:w="100" w:type="dxa"/>
            <w:vAlign w:val="bottom"/>
          </w:tcPr>
          <w:p>
            <w:pPr>
              <w:spacing w:after="0"/>
              <w:rPr>
                <w:sz w:val="17"/>
                <w:szCs w:val="17"/>
                <w:color w:val="auto"/>
              </w:rPr>
            </w:pPr>
          </w:p>
        </w:tc>
        <w:tc>
          <w:tcPr>
            <w:tcW w:w="6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169,648</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Service cost</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8,587</w:t>
            </w:r>
          </w:p>
        </w:tc>
        <w:tc>
          <w:tcPr>
            <w:tcW w:w="0" w:type="dxa"/>
            <w:vAlign w:val="bottom"/>
          </w:tcPr>
          <w:p>
            <w:pPr>
              <w:spacing w:after="0"/>
              <w:rPr>
                <w:sz w:val="1"/>
                <w:szCs w:val="1"/>
                <w:color w:val="auto"/>
              </w:rPr>
            </w:pPr>
          </w:p>
        </w:tc>
      </w:tr>
      <w:tr>
        <w:trPr>
          <w:trHeight w:val="199"/>
        </w:trPr>
        <w:tc>
          <w:tcPr>
            <w:tcW w:w="7660" w:type="dxa"/>
            <w:vAlign w:val="bottom"/>
          </w:tcPr>
          <w:p>
            <w:pPr>
              <w:ind w:left="460"/>
              <w:spacing w:after="0"/>
              <w:rPr>
                <w:sz w:val="20"/>
                <w:szCs w:val="20"/>
                <w:color w:val="auto"/>
              </w:rPr>
            </w:pPr>
            <w:r>
              <w:rPr>
                <w:rFonts w:ascii="Arial" w:cs="Arial" w:eastAsia="Arial" w:hAnsi="Arial"/>
                <w:sz w:val="16"/>
                <w:szCs w:val="16"/>
                <w:color w:val="auto"/>
              </w:rPr>
              <w:t>Interest cost</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4,071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3,917</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Curtailment</w:t>
            </w:r>
          </w:p>
        </w:tc>
        <w:tc>
          <w:tcPr>
            <w:tcW w:w="6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199"/>
        </w:trPr>
        <w:tc>
          <w:tcPr>
            <w:tcW w:w="7660" w:type="dxa"/>
            <w:vAlign w:val="bottom"/>
          </w:tcPr>
          <w:p>
            <w:pPr>
              <w:ind w:left="460"/>
              <w:spacing w:after="0"/>
              <w:rPr>
                <w:sz w:val="20"/>
                <w:szCs w:val="20"/>
                <w:color w:val="auto"/>
              </w:rPr>
            </w:pPr>
            <w:r>
              <w:rPr>
                <w:rFonts w:ascii="Arial" w:cs="Arial" w:eastAsia="Arial" w:hAnsi="Arial"/>
                <w:sz w:val="16"/>
                <w:szCs w:val="16"/>
                <w:color w:val="auto"/>
              </w:rPr>
              <w:t>Settlement</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Acquisition of Maxim benefit obligation</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tcPr>
          <w:p>
            <w:pPr>
              <w:ind w:left="460"/>
              <w:spacing w:after="0"/>
              <w:rPr>
                <w:sz w:val="20"/>
                <w:szCs w:val="20"/>
                <w:color w:val="auto"/>
              </w:rPr>
            </w:pPr>
            <w:r>
              <w:rPr>
                <w:rFonts w:ascii="Arial" w:cs="Arial" w:eastAsia="Arial" w:hAnsi="Arial"/>
                <w:sz w:val="16"/>
                <w:szCs w:val="16"/>
                <w:color w:val="auto"/>
              </w:rPr>
              <w:t>Actuarial (gain) loss</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Benefits paid</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199"/>
        </w:trPr>
        <w:tc>
          <w:tcPr>
            <w:tcW w:w="76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Exchange rate adjustment</w:t>
            </w: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5,033</w:t>
            </w:r>
          </w:p>
        </w:tc>
        <w:tc>
          <w:tcPr>
            <w:tcW w:w="0" w:type="dxa"/>
            <w:vAlign w:val="bottom"/>
          </w:tcPr>
          <w:p>
            <w:pPr>
              <w:spacing w:after="0"/>
              <w:rPr>
                <w:sz w:val="1"/>
                <w:szCs w:val="1"/>
                <w:color w:val="auto"/>
              </w:rPr>
            </w:pPr>
          </w:p>
        </w:tc>
      </w:tr>
      <w:tr>
        <w:trPr>
          <w:trHeight w:val="215"/>
        </w:trPr>
        <w:tc>
          <w:tcPr>
            <w:tcW w:w="7660" w:type="dxa"/>
            <w:vAlign w:val="bottom"/>
            <w:tcBorders>
              <w:bottom w:val="single" w:sz="8" w:color="CCEEFF"/>
            </w:tcBorders>
            <w:shd w:val="clear" w:color="auto" w:fill="CCEEFF"/>
          </w:tcPr>
          <w:p>
            <w:pPr>
              <w:ind w:left="360"/>
              <w:spacing w:after="0" w:line="179" w:lineRule="exact"/>
              <w:rPr>
                <w:sz w:val="20"/>
                <w:szCs w:val="20"/>
                <w:color w:val="auto"/>
              </w:rPr>
            </w:pPr>
            <w:r>
              <w:rPr>
                <w:rFonts w:ascii="Arial" w:cs="Arial" w:eastAsia="Arial" w:hAnsi="Arial"/>
                <w:sz w:val="16"/>
                <w:szCs w:val="16"/>
                <w:color w:val="auto"/>
              </w:rPr>
              <w:t>Benefit obligation at end of year</w:t>
            </w:r>
          </w:p>
        </w:tc>
        <w:tc>
          <w:tcPr>
            <w:tcW w:w="6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242,593</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186,735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b w:val="1"/>
                <w:bCs w:val="1"/>
                <w:color w:val="auto"/>
              </w:rPr>
              <w:t>Change in Plan Assets</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Fair value of plan assets at beginning of year</w:t>
            </w:r>
          </w:p>
        </w:tc>
        <w:tc>
          <w:tcPr>
            <w:tcW w:w="6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107,505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99,939</w:t>
            </w:r>
          </w:p>
        </w:tc>
        <w:tc>
          <w:tcPr>
            <w:tcW w:w="0" w:type="dxa"/>
            <w:vAlign w:val="bottom"/>
          </w:tcPr>
          <w:p>
            <w:pPr>
              <w:spacing w:after="0"/>
              <w:rPr>
                <w:sz w:val="1"/>
                <w:szCs w:val="1"/>
                <w:color w:val="auto"/>
              </w:rPr>
            </w:pPr>
          </w:p>
        </w:tc>
      </w:tr>
      <w:tr>
        <w:trPr>
          <w:trHeight w:val="199"/>
        </w:trPr>
        <w:tc>
          <w:tcPr>
            <w:tcW w:w="7660" w:type="dxa"/>
            <w:vAlign w:val="bottom"/>
          </w:tcPr>
          <w:p>
            <w:pPr>
              <w:ind w:left="460"/>
              <w:spacing w:after="0"/>
              <w:rPr>
                <w:sz w:val="20"/>
                <w:szCs w:val="20"/>
                <w:color w:val="auto"/>
              </w:rPr>
            </w:pPr>
            <w:r>
              <w:rPr>
                <w:rFonts w:ascii="Arial" w:cs="Arial" w:eastAsia="Arial" w:hAnsi="Arial"/>
                <w:sz w:val="16"/>
                <w:szCs w:val="16"/>
                <w:color w:val="auto"/>
              </w:rPr>
              <w:t>Actual return on plan assets</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10,637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Employer contributions</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6,943</w:t>
            </w:r>
          </w:p>
        </w:tc>
        <w:tc>
          <w:tcPr>
            <w:tcW w:w="0" w:type="dxa"/>
            <w:vAlign w:val="bottom"/>
          </w:tcPr>
          <w:p>
            <w:pPr>
              <w:spacing w:after="0"/>
              <w:rPr>
                <w:sz w:val="1"/>
                <w:szCs w:val="1"/>
                <w:color w:val="auto"/>
              </w:rPr>
            </w:pPr>
          </w:p>
        </w:tc>
      </w:tr>
      <w:tr>
        <w:trPr>
          <w:trHeight w:val="199"/>
        </w:trPr>
        <w:tc>
          <w:tcPr>
            <w:tcW w:w="7660" w:type="dxa"/>
            <w:vAlign w:val="bottom"/>
          </w:tcPr>
          <w:p>
            <w:pPr>
              <w:ind w:left="460"/>
              <w:spacing w:after="0"/>
              <w:rPr>
                <w:sz w:val="20"/>
                <w:szCs w:val="20"/>
                <w:color w:val="auto"/>
              </w:rPr>
            </w:pPr>
            <w:r>
              <w:rPr>
                <w:rFonts w:ascii="Arial" w:cs="Arial" w:eastAsia="Arial" w:hAnsi="Arial"/>
                <w:sz w:val="16"/>
                <w:szCs w:val="16"/>
                <w:color w:val="auto"/>
              </w:rPr>
              <w:t>Settlements</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Benefits paid</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199"/>
        </w:trPr>
        <w:tc>
          <w:tcPr>
            <w:tcW w:w="7660" w:type="dxa"/>
            <w:vAlign w:val="bottom"/>
          </w:tcPr>
          <w:p>
            <w:pPr>
              <w:ind w:left="460"/>
              <w:spacing w:after="0"/>
              <w:rPr>
                <w:sz w:val="20"/>
                <w:szCs w:val="20"/>
                <w:color w:val="auto"/>
              </w:rPr>
            </w:pPr>
            <w:r>
              <w:rPr>
                <w:rFonts w:ascii="Arial" w:cs="Arial" w:eastAsia="Arial" w:hAnsi="Arial"/>
                <w:sz w:val="16"/>
                <w:szCs w:val="16"/>
                <w:color w:val="auto"/>
              </w:rPr>
              <w:t>Acquisitions</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Exchange rate adjustment</w:t>
            </w:r>
          </w:p>
        </w:tc>
        <w:tc>
          <w:tcPr>
            <w:tcW w:w="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2,246</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190"/>
        </w:trPr>
        <w:tc>
          <w:tcPr>
            <w:tcW w:w="7660" w:type="dxa"/>
            <w:vAlign w:val="bottom"/>
          </w:tcPr>
          <w:p>
            <w:pPr>
              <w:ind w:left="360"/>
              <w:spacing w:after="0" w:line="179" w:lineRule="exact"/>
              <w:rPr>
                <w:sz w:val="20"/>
                <w:szCs w:val="20"/>
                <w:color w:val="auto"/>
              </w:rPr>
            </w:pPr>
            <w:r>
              <w:rPr>
                <w:rFonts w:ascii="Arial" w:cs="Arial" w:eastAsia="Arial" w:hAnsi="Arial"/>
                <w:sz w:val="16"/>
                <w:szCs w:val="16"/>
                <w:color w:val="auto"/>
              </w:rPr>
              <w:t>Fair value of plan assets at end of year</w:t>
            </w: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128,283</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107,505</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60" w:type="dxa"/>
            <w:vAlign w:val="bottom"/>
            <w:shd w:val="clear" w:color="auto" w:fill="CCEEFF"/>
          </w:tcPr>
          <w:p>
            <w:pPr>
              <w:ind w:left="360"/>
              <w:spacing w:after="0" w:line="183" w:lineRule="exact"/>
              <w:rPr>
                <w:sz w:val="20"/>
                <w:szCs w:val="20"/>
                <w:color w:val="auto"/>
              </w:rPr>
            </w:pPr>
            <w:r>
              <w:rPr>
                <w:rFonts w:ascii="Arial" w:cs="Arial" w:eastAsia="Arial" w:hAnsi="Arial"/>
                <w:sz w:val="16"/>
                <w:szCs w:val="16"/>
                <w:b w:val="1"/>
                <w:bCs w:val="1"/>
                <w:color w:val="auto"/>
              </w:rPr>
              <w:t>Reconciliation of Funded Status</w:t>
            </w: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660" w:type="dxa"/>
            <w:vAlign w:val="bottom"/>
          </w:tcPr>
          <w:p>
            <w:pPr>
              <w:ind w:left="360"/>
              <w:spacing w:after="0"/>
              <w:rPr>
                <w:sz w:val="20"/>
                <w:szCs w:val="20"/>
                <w:color w:val="auto"/>
              </w:rPr>
            </w:pPr>
            <w:r>
              <w:rPr>
                <w:rFonts w:ascii="Arial" w:cs="Arial" w:eastAsia="Arial" w:hAnsi="Arial"/>
                <w:sz w:val="16"/>
                <w:szCs w:val="16"/>
                <w:color w:val="auto"/>
              </w:rPr>
              <w:t>Funded status</w:t>
            </w: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(114,310)</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(79,230)</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660" w:type="dxa"/>
            <w:vAlign w:val="bottom"/>
            <w:shd w:val="clear" w:color="auto" w:fill="CCEEFF"/>
          </w:tcPr>
          <w:p>
            <w:pPr>
              <w:ind w:left="360"/>
              <w:spacing w:after="0" w:line="183" w:lineRule="exact"/>
              <w:rPr>
                <w:sz w:val="20"/>
                <w:szCs w:val="20"/>
                <w:color w:val="auto"/>
              </w:rPr>
            </w:pPr>
            <w:r>
              <w:rPr>
                <w:rFonts w:ascii="Arial" w:cs="Arial" w:eastAsia="Arial" w:hAnsi="Arial"/>
                <w:sz w:val="16"/>
                <w:szCs w:val="16"/>
                <w:b w:val="1"/>
                <w:bCs w:val="1"/>
                <w:color w:val="auto"/>
              </w:rPr>
              <w:t>Amounts Recognized in the Balance Sheet</w:t>
            </w: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660" w:type="dxa"/>
            <w:vAlign w:val="bottom"/>
          </w:tcPr>
          <w:p>
            <w:pPr>
              <w:ind w:left="360"/>
              <w:spacing w:after="0"/>
              <w:rPr>
                <w:sz w:val="20"/>
                <w:szCs w:val="20"/>
                <w:color w:val="auto"/>
              </w:rPr>
            </w:pPr>
            <w:r>
              <w:rPr>
                <w:rFonts w:ascii="Arial" w:cs="Arial" w:eastAsia="Arial" w:hAnsi="Arial"/>
                <w:sz w:val="16"/>
                <w:szCs w:val="16"/>
                <w:color w:val="auto"/>
              </w:rPr>
              <w:t>Non-current assets</w:t>
            </w:r>
          </w:p>
        </w:tc>
        <w:tc>
          <w:tcPr>
            <w:tcW w:w="6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17"/>
                <w:szCs w:val="17"/>
                <w:color w:val="auto"/>
              </w:rPr>
            </w:pPr>
          </w:p>
        </w:tc>
        <w:tc>
          <w:tcPr>
            <w:tcW w:w="68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liabilities</w:t>
            </w:r>
          </w:p>
        </w:tc>
        <w:tc>
          <w:tcPr>
            <w:tcW w:w="6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199"/>
        </w:trPr>
        <w:tc>
          <w:tcPr>
            <w:tcW w:w="7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Non-current liabilities</w:t>
            </w: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(113,289)</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(78,257)</w:t>
            </w:r>
          </w:p>
        </w:tc>
        <w:tc>
          <w:tcPr>
            <w:tcW w:w="0" w:type="dxa"/>
            <w:vAlign w:val="bottom"/>
          </w:tcPr>
          <w:p>
            <w:pPr>
              <w:spacing w:after="0"/>
              <w:rPr>
                <w:sz w:val="1"/>
                <w:szCs w:val="1"/>
                <w:color w:val="auto"/>
              </w:rPr>
            </w:pPr>
          </w:p>
        </w:tc>
      </w:tr>
      <w:tr>
        <w:trPr>
          <w:trHeight w:val="215"/>
        </w:trPr>
        <w:tc>
          <w:tcPr>
            <w:tcW w:w="7660" w:type="dxa"/>
            <w:vAlign w:val="bottom"/>
            <w:tcBorders>
              <w:bottom w:val="single" w:sz="8" w:color="CCEEFF"/>
            </w:tcBorders>
            <w:shd w:val="clear" w:color="auto" w:fill="CCEEFF"/>
          </w:tcPr>
          <w:p>
            <w:pPr>
              <w:ind w:left="640"/>
              <w:spacing w:after="0" w:line="179" w:lineRule="exact"/>
              <w:rPr>
                <w:sz w:val="20"/>
                <w:szCs w:val="20"/>
                <w:color w:val="auto"/>
              </w:rPr>
            </w:pPr>
            <w:r>
              <w:rPr>
                <w:rFonts w:ascii="Arial" w:cs="Arial" w:eastAsia="Arial" w:hAnsi="Arial"/>
                <w:sz w:val="16"/>
                <w:szCs w:val="16"/>
                <w:color w:val="auto"/>
              </w:rPr>
              <w:t>Net amount recognized</w:t>
            </w:r>
          </w:p>
        </w:tc>
        <w:tc>
          <w:tcPr>
            <w:tcW w:w="6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(114,310)</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(79,230)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3"/>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93"/>
        </w:trPr>
        <w:tc>
          <w:tcPr>
            <w:tcW w:w="8280" w:type="dxa"/>
            <w:vAlign w:val="bottom"/>
          </w:tcPr>
          <w:p>
            <w:pPr>
              <w:spacing w:after="0"/>
              <w:rPr>
                <w:sz w:val="20"/>
                <w:szCs w:val="20"/>
                <w:color w:val="auto"/>
              </w:rPr>
            </w:pPr>
            <w:r>
              <w:rPr>
                <w:rFonts w:ascii="Arial" w:cs="Arial" w:eastAsia="Arial" w:hAnsi="Arial"/>
                <w:sz w:val="16"/>
                <w:szCs w:val="16"/>
                <w:b w:val="1"/>
                <w:bCs w:val="1"/>
                <w:color w:val="auto"/>
              </w:rPr>
              <w:t>Reconciliation of Amounts Recognized in the Statement of Financial Position</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Prior service credit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9"/>
        </w:trPr>
        <w:tc>
          <w:tcPr>
            <w:tcW w:w="8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(43,662)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(55,942)</w:t>
            </w:r>
          </w:p>
        </w:tc>
        <w:tc>
          <w:tcPr>
            <w:tcW w:w="0" w:type="dxa"/>
            <w:vAlign w:val="bottom"/>
          </w:tcPr>
          <w:p>
            <w:pPr>
              <w:spacing w:after="0"/>
              <w:rPr>
                <w:sz w:val="1"/>
                <w:szCs w:val="1"/>
                <w:color w:val="auto"/>
              </w:rPr>
            </w:pPr>
          </w:p>
        </w:tc>
      </w:tr>
      <w:tr>
        <w:trPr>
          <w:trHeight w:val="190"/>
        </w:trPr>
        <w:tc>
          <w:tcPr>
            <w:tcW w:w="82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(55,986)</w:t>
            </w:r>
          </w:p>
        </w:tc>
        <w:tc>
          <w:tcPr>
            <w:tcW w:w="0" w:type="dxa"/>
            <w:vAlign w:val="bottom"/>
          </w:tcPr>
          <w:p>
            <w:pPr>
              <w:spacing w:after="0"/>
              <w:rPr>
                <w:sz w:val="1"/>
                <w:szCs w:val="1"/>
                <w:color w:val="auto"/>
              </w:rPr>
            </w:pPr>
          </w:p>
        </w:tc>
      </w:tr>
      <w:tr>
        <w:trPr>
          <w:trHeight w:val="199"/>
        </w:trPr>
        <w:tc>
          <w:tcPr>
            <w:tcW w:w="8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contributions less than net periodic benefit cost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(70,610)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(23,244)</w:t>
            </w:r>
          </w:p>
        </w:tc>
        <w:tc>
          <w:tcPr>
            <w:tcW w:w="0" w:type="dxa"/>
            <w:vAlign w:val="bottom"/>
          </w:tcPr>
          <w:p>
            <w:pPr>
              <w:spacing w:after="0"/>
              <w:rPr>
                <w:sz w:val="1"/>
                <w:szCs w:val="1"/>
                <w:color w:val="auto"/>
              </w:rPr>
            </w:pPr>
          </w:p>
        </w:tc>
      </w:tr>
      <w:tr>
        <w:trPr>
          <w:trHeight w:val="215"/>
        </w:trPr>
        <w:tc>
          <w:tcPr>
            <w:tcW w:w="8280" w:type="dxa"/>
            <w:vAlign w:val="bottom"/>
            <w:tcBorders>
              <w:bottom w:val="single" w:sz="8" w:color="CCEEFF"/>
            </w:tcBorders>
            <w:shd w:val="clear" w:color="auto" w:fill="CCEEFF"/>
          </w:tcPr>
          <w:p>
            <w:pPr>
              <w:ind w:left="280"/>
              <w:spacing w:after="0" w:line="179" w:lineRule="exact"/>
              <w:rPr>
                <w:sz w:val="20"/>
                <w:szCs w:val="20"/>
                <w:color w:val="auto"/>
              </w:rPr>
            </w:pPr>
            <w:r>
              <w:rPr>
                <w:rFonts w:ascii="Arial" w:cs="Arial" w:eastAsia="Arial" w:hAnsi="Arial"/>
                <w:sz w:val="16"/>
                <w:szCs w:val="16"/>
                <w:color w:val="auto"/>
              </w:rPr>
              <w:t>Net amount recognized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(79,230)</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Changes Recognized in Other Comprehensive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Changes in plan assets and benefit obligations recognized in other comprehensive income (loss)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280" w:type="dxa"/>
            <w:vAlign w:val="bottom"/>
          </w:tcPr>
          <w:p>
            <w:pPr>
              <w:spacing w:after="0"/>
              <w:rPr>
                <w:sz w:val="20"/>
                <w:szCs w:val="20"/>
                <w:color w:val="auto"/>
              </w:rPr>
            </w:pPr>
            <w:r>
              <w:rPr>
                <w:rFonts w:ascii="Arial" w:cs="Arial" w:eastAsia="Arial" w:hAnsi="Arial"/>
                <w:sz w:val="16"/>
                <w:szCs w:val="16"/>
                <w:color w:val="auto"/>
              </w:rPr>
              <w:t>Net gain/loss arising during the year</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(10,884)</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6,342</w:t>
            </w: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rates on amounts included in AOCI</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199"/>
        </w:trPr>
        <w:tc>
          <w:tcPr>
            <w:tcW w:w="8280" w:type="dxa"/>
            <w:vAlign w:val="bottom"/>
          </w:tcPr>
          <w:p>
            <w:pPr>
              <w:spacing w:after="0"/>
              <w:rPr>
                <w:sz w:val="20"/>
                <w:szCs w:val="20"/>
                <w:color w:val="auto"/>
              </w:rPr>
            </w:pPr>
            <w:r>
              <w:rPr>
                <w:rFonts w:ascii="Arial" w:cs="Arial" w:eastAsia="Arial" w:hAnsi="Arial"/>
                <w:sz w:val="16"/>
                <w:szCs w:val="16"/>
                <w:i w:val="1"/>
                <w:iCs w:val="1"/>
                <w:color w:val="auto"/>
              </w:rPr>
              <w:t>Amounts recognized as a component of net periodic benefit cost</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or settlement recognition of net loss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ind w:left="280"/>
              <w:spacing w:after="0" w:line="179" w:lineRule="exact"/>
              <w:rPr>
                <w:sz w:val="20"/>
                <w:szCs w:val="20"/>
                <w:color w:val="auto"/>
              </w:rPr>
            </w:pPr>
            <w:r>
              <w:rPr>
                <w:rFonts w:ascii="Arial" w:cs="Arial" w:eastAsia="Arial" w:hAnsi="Arial"/>
                <w:sz w:val="16"/>
                <w:szCs w:val="16"/>
                <w:color w:val="auto"/>
              </w:rPr>
              <w:t>Total recognized in other comprehensive gain/loss</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5,064</w:t>
            </w:r>
          </w:p>
        </w:tc>
        <w:tc>
          <w:tcPr>
            <w:tcW w:w="0" w:type="dxa"/>
            <w:vAlign w:val="bottom"/>
          </w:tcPr>
          <w:p>
            <w:pPr>
              <w:spacing w:after="0"/>
              <w:rPr>
                <w:sz w:val="1"/>
                <w:szCs w:val="1"/>
                <w:color w:val="auto"/>
              </w:rPr>
            </w:pPr>
          </w:p>
        </w:tc>
      </w:tr>
      <w:tr>
        <w:trPr>
          <w:trHeight w:val="215"/>
        </w:trPr>
        <w:tc>
          <w:tcPr>
            <w:tcW w:w="8280" w:type="dxa"/>
            <w:vAlign w:val="bottom"/>
            <w:tcBorders>
              <w:bottom w:val="single" w:sz="8" w:color="CCEEFF"/>
            </w:tcBorders>
            <w:shd w:val="clear" w:color="auto" w:fill="CCEEFF"/>
          </w:tcPr>
          <w:p>
            <w:pPr>
              <w:ind w:left="280"/>
              <w:spacing w:after="0" w:line="179" w:lineRule="exact"/>
              <w:rPr>
                <w:sz w:val="20"/>
                <w:szCs w:val="20"/>
                <w:color w:val="auto"/>
              </w:rPr>
            </w:pPr>
            <w:r>
              <w:rPr>
                <w:rFonts w:ascii="Arial" w:cs="Arial" w:eastAsia="Arial" w:hAnsi="Arial"/>
                <w:sz w:val="16"/>
                <w:szCs w:val="16"/>
                <w:color w:val="auto"/>
              </w:rPr>
              <w:t>Total recognized in net periodic cost and other comprehensive loss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14,652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Estimated amounts that will be amortized from AOCI over the next fiscal year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20" w:firstLine="386"/>
        <w:spacing w:after="0" w:line="263" w:lineRule="auto"/>
        <w:rPr>
          <w:sz w:val="20"/>
          <w:szCs w:val="20"/>
          <w:color w:val="auto"/>
        </w:rPr>
      </w:pPr>
      <w:r>
        <w:rPr>
          <w:rFonts w:ascii="Arial" w:cs="Arial" w:eastAsia="Arial" w:hAnsi="Arial"/>
          <w:sz w:val="16"/>
          <w:szCs w:val="16"/>
          <w:color w:val="auto"/>
        </w:rPr>
        <w:t>The accumulated benefit obligation for the Company’s pension and postretirement benefit plans was $178.2 million and $155.5 million at October 30, 2021 and October 31, 2020, respectively.</w:t>
      </w:r>
    </w:p>
    <w:p>
      <w:pPr>
        <w:spacing w:after="0" w:line="76" w:lineRule="exact"/>
        <w:rPr>
          <w:sz w:val="20"/>
          <w:szCs w:val="20"/>
          <w:color w:val="auto"/>
        </w:rPr>
      </w:pPr>
    </w:p>
    <w:p>
      <w:pPr>
        <w:ind w:right="740" w:firstLine="386"/>
        <w:spacing w:after="0" w:line="262" w:lineRule="auto"/>
        <w:rPr>
          <w:sz w:val="20"/>
          <w:szCs w:val="20"/>
          <w:color w:val="auto"/>
        </w:rPr>
      </w:pPr>
      <w:r>
        <w:rPr>
          <w:rFonts w:ascii="Arial" w:cs="Arial" w:eastAsia="Arial" w:hAnsi="Arial"/>
          <w:sz w:val="16"/>
          <w:szCs w:val="16"/>
          <w:color w:val="auto"/>
        </w:rPr>
        <w:t>Information relating to the Company’s pension and postretirement benefit plans with projected benefit obligations in excess of plan assets and accumulated benefit obligations in excess of plan assets at October 30, 2021 and October 31, 2020 is presented in the following table:</w:t>
      </w:r>
    </w:p>
    <w:tbl>
      <w:tblPr>
        <w:tblLayout w:type="fixed"/>
        <w:tblInd w:w="0" w:type="dxa"/>
        <w:tblCellMar>
          <w:top w:w="0" w:type="dxa"/>
          <w:left w:w="0" w:type="dxa"/>
          <w:bottom w:w="0" w:type="dxa"/>
          <w:right w:w="0" w:type="dxa"/>
        </w:tblCellMar>
      </w:tblPr>
      <w:tr>
        <w:trPr>
          <w:trHeight w:val="166"/>
        </w:trPr>
        <w:tc>
          <w:tcPr>
            <w:tcW w:w="76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2020</w:t>
            </w:r>
          </w:p>
        </w:tc>
      </w:tr>
      <w:tr>
        <w:trPr>
          <w:trHeight w:val="196"/>
        </w:trPr>
        <w:tc>
          <w:tcPr>
            <w:tcW w:w="760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Plans with projected benefit obligations in excess of plan assets:</w:t>
            </w: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9"/>
        </w:trPr>
        <w:tc>
          <w:tcPr>
            <w:tcW w:w="7600" w:type="dxa"/>
            <w:vAlign w:val="bottom"/>
          </w:tcPr>
          <w:p>
            <w:pPr>
              <w:ind w:left="400"/>
              <w:spacing w:after="0"/>
              <w:rPr>
                <w:sz w:val="20"/>
                <w:szCs w:val="20"/>
                <w:color w:val="auto"/>
              </w:rPr>
            </w:pPr>
            <w:r>
              <w:rPr>
                <w:rFonts w:ascii="Arial" w:cs="Arial" w:eastAsia="Arial" w:hAnsi="Arial"/>
                <w:sz w:val="16"/>
                <w:szCs w:val="16"/>
                <w:color w:val="auto"/>
              </w:rPr>
              <w:t>Projected benefit obligation</w:t>
            </w:r>
          </w:p>
        </w:tc>
        <w:tc>
          <w:tcPr>
            <w:tcW w:w="7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161,803</w:t>
            </w:r>
          </w:p>
        </w:tc>
        <w:tc>
          <w:tcPr>
            <w:tcW w:w="100" w:type="dxa"/>
            <w:vAlign w:val="bottom"/>
          </w:tcPr>
          <w:p>
            <w:pPr>
              <w:spacing w:after="0"/>
              <w:rPr>
                <w:sz w:val="17"/>
                <w:szCs w:val="17"/>
                <w:color w:val="auto"/>
              </w:rPr>
            </w:pPr>
          </w:p>
        </w:tc>
        <w:tc>
          <w:tcPr>
            <w:tcW w:w="7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186,735</w:t>
            </w:r>
          </w:p>
        </w:tc>
      </w:tr>
      <w:tr>
        <w:trPr>
          <w:trHeight w:val="199"/>
        </w:trPr>
        <w:tc>
          <w:tcPr>
            <w:tcW w:w="76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Fair value of plan assets</w:t>
            </w: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107,505</w:t>
            </w:r>
          </w:p>
        </w:tc>
      </w:tr>
      <w:tr>
        <w:trPr>
          <w:trHeight w:val="199"/>
        </w:trPr>
        <w:tc>
          <w:tcPr>
            <w:tcW w:w="7600" w:type="dxa"/>
            <w:vAlign w:val="bottom"/>
          </w:tcPr>
          <w:p>
            <w:pPr>
              <w:ind w:left="400"/>
              <w:spacing w:after="0"/>
              <w:rPr>
                <w:sz w:val="20"/>
                <w:szCs w:val="20"/>
                <w:color w:val="auto"/>
              </w:rPr>
            </w:pPr>
            <w:r>
              <w:rPr>
                <w:rFonts w:ascii="Arial" w:cs="Arial" w:eastAsia="Arial" w:hAnsi="Arial"/>
                <w:sz w:val="16"/>
                <w:szCs w:val="16"/>
                <w:b w:val="1"/>
                <w:bCs w:val="1"/>
                <w:color w:val="auto"/>
              </w:rPr>
              <w:t>Plans with accumulated benefit obligations in excess of plan assets:</w:t>
            </w: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76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Projected benefit obligation</w:t>
            </w: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94,038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141,982</w:t>
            </w:r>
          </w:p>
        </w:tc>
      </w:tr>
      <w:tr>
        <w:trPr>
          <w:trHeight w:val="199"/>
        </w:trPr>
        <w:tc>
          <w:tcPr>
            <w:tcW w:w="7600" w:type="dxa"/>
            <w:vAlign w:val="bottom"/>
          </w:tcPr>
          <w:p>
            <w:pPr>
              <w:ind w:left="400"/>
              <w:spacing w:after="0"/>
              <w:rPr>
                <w:sz w:val="20"/>
                <w:szCs w:val="20"/>
                <w:color w:val="auto"/>
              </w:rPr>
            </w:pPr>
            <w:r>
              <w:rPr>
                <w:rFonts w:ascii="Arial" w:cs="Arial" w:eastAsia="Arial" w:hAnsi="Arial"/>
                <w:sz w:val="16"/>
                <w:szCs w:val="16"/>
                <w:color w:val="auto"/>
              </w:rPr>
              <w:t>Accumulated benefit obligation</w:t>
            </w:r>
          </w:p>
        </w:tc>
        <w:tc>
          <w:tcPr>
            <w:tcW w:w="7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77,337</w:t>
            </w:r>
          </w:p>
        </w:tc>
        <w:tc>
          <w:tcPr>
            <w:tcW w:w="100" w:type="dxa"/>
            <w:vAlign w:val="bottom"/>
          </w:tcPr>
          <w:p>
            <w:pPr>
              <w:spacing w:after="0"/>
              <w:rPr>
                <w:sz w:val="17"/>
                <w:szCs w:val="17"/>
                <w:color w:val="auto"/>
              </w:rPr>
            </w:pPr>
          </w:p>
        </w:tc>
        <w:tc>
          <w:tcPr>
            <w:tcW w:w="7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132,517</w:t>
            </w:r>
          </w:p>
        </w:tc>
      </w:tr>
      <w:tr>
        <w:trPr>
          <w:trHeight w:val="199"/>
        </w:trPr>
        <w:tc>
          <w:tcPr>
            <w:tcW w:w="76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Fair value of plan assets</w:t>
            </w: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69,250</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w:t>
      </w:r>
    </w:p>
    <w:p>
      <w:pPr>
        <w:spacing w:after="0" w:line="108" w:lineRule="exact"/>
        <w:rPr>
          <w:sz w:val="20"/>
          <w:szCs w:val="20"/>
          <w:color w:val="auto"/>
        </w:rPr>
      </w:pPr>
    </w:p>
    <w:p>
      <w:pPr>
        <w:jc w:val="both"/>
        <w:ind w:right="100" w:firstLine="386"/>
        <w:spacing w:after="0" w:line="263" w:lineRule="auto"/>
        <w:rPr>
          <w:sz w:val="20"/>
          <w:szCs w:val="20"/>
          <w:color w:val="auto"/>
        </w:rPr>
      </w:pPr>
      <w:r>
        <w:rPr>
          <w:rFonts w:ascii="Arial" w:cs="Arial" w:eastAsia="Arial" w:hAnsi="Arial"/>
          <w:sz w:val="16"/>
          <w:szCs w:val="16"/>
          <w:color w:val="auto"/>
        </w:rPr>
        <w:t>The range of assumptions used for the Company’s pension and postretirement benefit plans reflects the different economic environments within the various countries as well as the differences in the attributes of the participants.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projected benefit obligation was determined using the following weighted-average assumptions: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3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73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Discount rate</w:t>
            </w:r>
          </w:p>
        </w:tc>
        <w:tc>
          <w:tcPr>
            <w:tcW w:w="15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2.77</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2.15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9"/>
        </w:trPr>
        <w:tc>
          <w:tcPr>
            <w:tcW w:w="7380" w:type="dxa"/>
            <w:vAlign w:val="bottom"/>
          </w:tcPr>
          <w:p>
            <w:pPr>
              <w:ind w:left="400"/>
              <w:spacing w:after="0"/>
              <w:rPr>
                <w:sz w:val="20"/>
                <w:szCs w:val="20"/>
                <w:color w:val="auto"/>
              </w:rPr>
            </w:pPr>
            <w:r>
              <w:rPr>
                <w:rFonts w:ascii="Arial" w:cs="Arial" w:eastAsia="Arial" w:hAnsi="Arial"/>
                <w:sz w:val="16"/>
                <w:szCs w:val="16"/>
                <w:color w:val="auto"/>
              </w:rPr>
              <w:t>Rate of increase in compensation levels</w:t>
            </w:r>
          </w:p>
        </w:tc>
        <w:tc>
          <w:tcPr>
            <w:tcW w:w="1520" w:type="dxa"/>
            <w:vAlign w:val="bottom"/>
          </w:tcPr>
          <w:p>
            <w:pPr>
              <w:ind w:left="1020"/>
              <w:spacing w:after="0"/>
              <w:rPr>
                <w:sz w:val="20"/>
                <w:szCs w:val="20"/>
                <w:color w:val="auto"/>
              </w:rPr>
            </w:pPr>
            <w:r>
              <w:rPr>
                <w:rFonts w:ascii="Arial" w:cs="Arial" w:eastAsia="Arial" w:hAnsi="Arial"/>
                <w:sz w:val="16"/>
                <w:szCs w:val="16"/>
                <w:color w:val="auto"/>
              </w:rPr>
              <w:t>3.70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20" w:type="dxa"/>
            <w:vAlign w:val="bottom"/>
          </w:tcPr>
          <w:p>
            <w:pPr>
              <w:ind w:left="1020"/>
              <w:spacing w:after="0"/>
              <w:rPr>
                <w:sz w:val="20"/>
                <w:szCs w:val="20"/>
                <w:color w:val="auto"/>
              </w:rPr>
            </w:pPr>
            <w:r>
              <w:rPr>
                <w:rFonts w:ascii="Arial" w:cs="Arial" w:eastAsia="Arial" w:hAnsi="Arial"/>
                <w:sz w:val="16"/>
                <w:szCs w:val="16"/>
                <w:color w:val="auto"/>
              </w:rPr>
              <w:t>3.19</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408"/>
        </w:trPr>
        <w:tc>
          <w:tcPr>
            <w:tcW w:w="7380" w:type="dxa"/>
            <w:vAlign w:val="bottom"/>
          </w:tcPr>
          <w:p>
            <w:pPr>
              <w:ind w:left="380"/>
              <w:spacing w:after="0"/>
              <w:rPr>
                <w:sz w:val="20"/>
                <w:szCs w:val="20"/>
                <w:color w:val="auto"/>
              </w:rPr>
            </w:pPr>
            <w:r>
              <w:rPr>
                <w:rFonts w:ascii="Arial" w:cs="Arial" w:eastAsia="Arial" w:hAnsi="Arial"/>
                <w:sz w:val="16"/>
                <w:szCs w:val="16"/>
                <w:color w:val="auto"/>
                <w:w w:val="98"/>
              </w:rPr>
              <w:t>Net annual periodic benefit cost was determined using the following weighted average assumptions:</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2"/>
        </w:trPr>
        <w:tc>
          <w:tcPr>
            <w:tcW w:w="73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2020</w:t>
            </w:r>
          </w:p>
        </w:tc>
        <w:tc>
          <w:tcPr>
            <w:tcW w:w="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73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Discount rate</w:t>
            </w:r>
          </w:p>
        </w:tc>
        <w:tc>
          <w:tcPr>
            <w:tcW w:w="15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2.15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2.45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9"/>
        </w:trPr>
        <w:tc>
          <w:tcPr>
            <w:tcW w:w="7380" w:type="dxa"/>
            <w:vAlign w:val="bottom"/>
          </w:tcPr>
          <w:p>
            <w:pPr>
              <w:ind w:left="400"/>
              <w:spacing w:after="0"/>
              <w:rPr>
                <w:sz w:val="20"/>
                <w:szCs w:val="20"/>
                <w:color w:val="auto"/>
              </w:rPr>
            </w:pPr>
            <w:r>
              <w:rPr>
                <w:rFonts w:ascii="Arial" w:cs="Arial" w:eastAsia="Arial" w:hAnsi="Arial"/>
                <w:sz w:val="16"/>
                <w:szCs w:val="16"/>
                <w:color w:val="auto"/>
              </w:rPr>
              <w:t>Expected long-term return on plan assets</w:t>
            </w:r>
          </w:p>
        </w:tc>
        <w:tc>
          <w:tcPr>
            <w:tcW w:w="1520" w:type="dxa"/>
            <w:vAlign w:val="bottom"/>
          </w:tcPr>
          <w:p>
            <w:pPr>
              <w:ind w:left="1020"/>
              <w:spacing w:after="0"/>
              <w:rPr>
                <w:sz w:val="20"/>
                <w:szCs w:val="20"/>
                <w:color w:val="auto"/>
              </w:rPr>
            </w:pPr>
            <w:r>
              <w:rPr>
                <w:rFonts w:ascii="Arial" w:cs="Arial" w:eastAsia="Arial" w:hAnsi="Arial"/>
                <w:sz w:val="16"/>
                <w:szCs w:val="16"/>
                <w:color w:val="auto"/>
              </w:rPr>
              <w:t>3.32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520" w:type="dxa"/>
            <w:vAlign w:val="bottom"/>
          </w:tcPr>
          <w:p>
            <w:pPr>
              <w:ind w:left="1020"/>
              <w:spacing w:after="0"/>
              <w:rPr>
                <w:sz w:val="20"/>
                <w:szCs w:val="20"/>
                <w:color w:val="auto"/>
              </w:rPr>
            </w:pPr>
            <w:r>
              <w:rPr>
                <w:rFonts w:ascii="Arial" w:cs="Arial" w:eastAsia="Arial" w:hAnsi="Arial"/>
                <w:sz w:val="16"/>
                <w:szCs w:val="16"/>
                <w:color w:val="auto"/>
              </w:rPr>
              <w:t>5.22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9"/>
        </w:trPr>
        <w:tc>
          <w:tcPr>
            <w:tcW w:w="73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Rate of increase in compensation levels</w:t>
            </w:r>
          </w:p>
        </w:tc>
        <w:tc>
          <w:tcPr>
            <w:tcW w:w="15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3.19</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3.38</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783"/>
        </w:trPr>
        <w:tc>
          <w:tcPr>
            <w:tcW w:w="7380" w:type="dxa"/>
            <w:vAlign w:val="bottom"/>
          </w:tcPr>
          <w:p>
            <w:pPr>
              <w:ind w:left="5540"/>
              <w:spacing w:after="0"/>
              <w:rPr>
                <w:sz w:val="20"/>
                <w:szCs w:val="20"/>
                <w:color w:val="auto"/>
              </w:rPr>
            </w:pPr>
            <w:r>
              <w:rPr>
                <w:rFonts w:ascii="Arial" w:cs="Arial" w:eastAsia="Arial" w:hAnsi="Arial"/>
                <w:sz w:val="16"/>
                <w:szCs w:val="16"/>
                <w:color w:val="auto"/>
              </w:rPr>
              <w:t>78</w:t>
            </w: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73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right="260" w:firstLine="386"/>
        <w:spacing w:after="0" w:line="248" w:lineRule="auto"/>
        <w:rPr>
          <w:sz w:val="20"/>
          <w:szCs w:val="20"/>
          <w:color w:val="auto"/>
        </w:rPr>
      </w:pPr>
      <w:r>
        <w:rPr>
          <w:rFonts w:ascii="Arial" w:cs="Arial" w:eastAsia="Arial" w:hAnsi="Arial"/>
          <w:sz w:val="16"/>
          <w:szCs w:val="16"/>
          <w:color w:val="auto"/>
        </w:rPr>
        <w:t>The expected long-term rate of return on assets is a weighted-average of the long-term rates of return selected for the various countries where the Company has funded pension plans. The expected long-term rate of return on assets assumption is selected based on the facts and circumstances that exist as of the measurement date and the specific portfolio mix of plan assets. Management, in conjunction with its actuaries, reviewed anticipated future long-term performance of individual asset categories and considered the asset allocation strategy adopted by the Company and/or the trustees of the plans. While the review considered recent fund performance and historical returns, the assumption is primarily a long-term prospective rate.</w:t>
      </w:r>
    </w:p>
    <w:p>
      <w:pPr>
        <w:spacing w:after="0" w:line="102" w:lineRule="exact"/>
        <w:rPr>
          <w:sz w:val="20"/>
          <w:szCs w:val="20"/>
          <w:color w:val="auto"/>
        </w:rPr>
      </w:pPr>
    </w:p>
    <w:p>
      <w:pPr>
        <w:ind w:right="80" w:firstLine="386"/>
        <w:spacing w:after="0" w:line="248" w:lineRule="auto"/>
        <w:rPr>
          <w:sz w:val="20"/>
          <w:szCs w:val="20"/>
          <w:color w:val="auto"/>
        </w:rPr>
      </w:pPr>
      <w:r>
        <w:rPr>
          <w:rFonts w:ascii="Arial" w:cs="Arial" w:eastAsia="Arial" w:hAnsi="Arial"/>
          <w:sz w:val="16"/>
          <w:szCs w:val="16"/>
          <w:color w:val="auto"/>
        </w:rPr>
        <w:t>The Company’s investment strategy is based on an expectation that equity securities will outperform debt securities over the long term. Investments within each asset class are diversified to reduce the impact of losses in single investments. The use of derivative instruments is permitted where appropriate and necessary to achieve overall investment policy objectives and asset class targets. The Company establishes strategic asset allocation percentage targets and appropriate benchmarks for each significant asset class to obtain a prudent balance between return and risk. The interaction between plan assets and benefit obligations is periodically studied by the Company and its actuaries to assist in the establishment of strategic asset allocation targets.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Fair value of plan assets</w:t>
      </w:r>
    </w:p>
    <w:p>
      <w:pPr>
        <w:spacing w:after="0" w:line="108" w:lineRule="exact"/>
        <w:rPr>
          <w:sz w:val="20"/>
          <w:szCs w:val="20"/>
          <w:color w:val="auto"/>
        </w:rPr>
      </w:pPr>
    </w:p>
    <w:p>
      <w:pPr>
        <w:ind w:right="300" w:firstLine="386"/>
        <w:spacing w:after="0" w:line="262" w:lineRule="auto"/>
        <w:rPr>
          <w:sz w:val="20"/>
          <w:szCs w:val="20"/>
          <w:color w:val="auto"/>
        </w:rPr>
      </w:pPr>
      <w:r>
        <w:rPr>
          <w:rFonts w:ascii="Arial" w:cs="Arial" w:eastAsia="Arial" w:hAnsi="Arial"/>
          <w:sz w:val="16"/>
          <w:szCs w:val="16"/>
          <w:color w:val="auto"/>
        </w:rPr>
        <w:t xml:space="preserve">The following table presents plan assets measured at fair value on a recurring basis by investment categories as of October 30, 2021 and October 31, 2020 using the same three-level hierarchy described in Note 2j, </w:t>
      </w:r>
      <w:r>
        <w:rPr>
          <w:rFonts w:ascii="Arial" w:cs="Arial" w:eastAsia="Arial" w:hAnsi="Arial"/>
          <w:sz w:val="16"/>
          <w:szCs w:val="16"/>
          <w:i w:val="1"/>
          <w:iCs w:val="1"/>
          <w:color w:val="auto"/>
        </w:rPr>
        <w:t>Fair Value</w:t>
      </w:r>
      <w:r>
        <w:rPr>
          <w:rFonts w:ascii="Arial" w:cs="Arial" w:eastAsia="Arial" w:hAnsi="Arial"/>
          <w:sz w:val="16"/>
          <w:szCs w:val="16"/>
          <w:color w:val="auto"/>
        </w:rPr>
        <w:t>, of the Notes to Consolidated Financial Statements:</w:t>
      </w: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6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auto"/>
                <w:w w:val="93"/>
              </w:rPr>
              <w:t>October 30, 2021</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gridSpan w:val="4"/>
          </w:tcPr>
          <w:p>
            <w:pPr>
              <w:jc w:val="center"/>
              <w:ind w:left="333"/>
              <w:spacing w:after="0"/>
              <w:rPr>
                <w:sz w:val="20"/>
                <w:szCs w:val="20"/>
                <w:color w:val="auto"/>
              </w:rPr>
            </w:pPr>
            <w:r>
              <w:rPr>
                <w:rFonts w:ascii="Arial" w:cs="Arial" w:eastAsia="Arial" w:hAnsi="Arial"/>
                <w:sz w:val="12"/>
                <w:szCs w:val="12"/>
                <w:b w:val="1"/>
                <w:bCs w:val="1"/>
                <w:color w:val="auto"/>
                <w:w w:val="93"/>
              </w:rPr>
              <w:t>October 31, 2020</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3160" w:type="dxa"/>
            <w:vAlign w:val="bottom"/>
            <w:gridSpan w:val="6"/>
            <w:vMerge w:val="restart"/>
          </w:tcPr>
          <w:p>
            <w:pPr>
              <w:jc w:val="center"/>
              <w:ind w:left="315"/>
              <w:spacing w:after="0"/>
              <w:rPr>
                <w:sz w:val="20"/>
                <w:szCs w:val="20"/>
                <w:color w:val="auto"/>
              </w:rPr>
            </w:pPr>
            <w:r>
              <w:rPr>
                <w:rFonts w:ascii="Arial" w:cs="Arial" w:eastAsia="Arial" w:hAnsi="Arial"/>
                <w:sz w:val="12"/>
                <w:szCs w:val="12"/>
                <w:b w:val="1"/>
                <w:bCs w:val="1"/>
                <w:color w:val="auto"/>
                <w:w w:val="95"/>
              </w:rPr>
              <w:t>Fair Value Measurement at Reporting Date Using:</w:t>
            </w:r>
          </w:p>
        </w:tc>
        <w:tc>
          <w:tcPr>
            <w:tcW w:w="80" w:type="dxa"/>
            <w:vAlign w:val="bottom"/>
            <w:vMerge w:val="restart"/>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60" w:type="dxa"/>
            <w:vAlign w:val="bottom"/>
            <w:gridSpan w:val="6"/>
          </w:tcPr>
          <w:p>
            <w:pPr>
              <w:jc w:val="center"/>
              <w:ind w:right="180"/>
              <w:spacing w:after="0" w:line="128" w:lineRule="exact"/>
              <w:rPr>
                <w:sz w:val="20"/>
                <w:szCs w:val="20"/>
                <w:color w:val="auto"/>
              </w:rPr>
            </w:pPr>
            <w:r>
              <w:rPr>
                <w:rFonts w:ascii="Arial" w:cs="Arial" w:eastAsia="Arial" w:hAnsi="Arial"/>
                <w:sz w:val="12"/>
                <w:szCs w:val="12"/>
                <w:b w:val="1"/>
                <w:bCs w:val="1"/>
                <w:color w:val="auto"/>
                <w:w w:val="96"/>
              </w:rPr>
              <w:t>Fair Value Measurement at Reporting Date</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3160" w:type="dxa"/>
            <w:vAlign w:val="bottom"/>
            <w:tcBorders>
              <w:bottom w:val="single" w:sz="8" w:color="auto"/>
            </w:tcBorders>
            <w:gridSpan w:val="6"/>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880"/>
              <w:spacing w:after="0"/>
              <w:rPr>
                <w:sz w:val="20"/>
                <w:szCs w:val="20"/>
                <w:color w:val="auto"/>
              </w:rPr>
            </w:pPr>
            <w:r>
              <w:rPr>
                <w:rFonts w:ascii="Arial" w:cs="Arial" w:eastAsia="Arial" w:hAnsi="Arial"/>
                <w:sz w:val="12"/>
                <w:szCs w:val="12"/>
                <w:b w:val="1"/>
                <w:bCs w:val="1"/>
                <w:color w:val="auto"/>
              </w:rPr>
              <w:t>Using:</w:t>
            </w: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Quoted Prices in</w:t>
            </w:r>
          </w:p>
        </w:tc>
        <w:tc>
          <w:tcPr>
            <w:tcW w:w="460" w:type="dxa"/>
            <w:vAlign w:val="bottom"/>
          </w:tcPr>
          <w:p>
            <w:pPr>
              <w:spacing w:after="0"/>
              <w:rPr>
                <w:sz w:val="9"/>
                <w:szCs w:val="9"/>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Significant Other</w:t>
            </w: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Quoted Prices in</w:t>
            </w:r>
          </w:p>
        </w:tc>
        <w:tc>
          <w:tcPr>
            <w:tcW w:w="1380" w:type="dxa"/>
            <w:vAlign w:val="bottom"/>
            <w:gridSpan w:val="3"/>
            <w:vMerge w:val="restart"/>
          </w:tcPr>
          <w:p>
            <w:pPr>
              <w:ind w:left="280"/>
              <w:spacing w:after="0"/>
              <w:rPr>
                <w:sz w:val="20"/>
                <w:szCs w:val="20"/>
                <w:color w:val="auto"/>
              </w:rPr>
            </w:pPr>
            <w:r>
              <w:rPr>
                <w:rFonts w:ascii="Arial" w:cs="Arial" w:eastAsia="Arial" w:hAnsi="Arial"/>
                <w:sz w:val="12"/>
                <w:szCs w:val="12"/>
                <w:b w:val="1"/>
                <w:bCs w:val="1"/>
                <w:color w:val="auto"/>
              </w:rPr>
              <w:t>Significant Other</w:t>
            </w: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560" w:type="dxa"/>
            <w:vAlign w:val="bottom"/>
            <w:gridSpan w:val="3"/>
          </w:tcPr>
          <w:p>
            <w:pPr>
              <w:jc w:val="center"/>
              <w:ind w:right="100"/>
              <w:spacing w:after="0" w:line="117" w:lineRule="exact"/>
              <w:rPr>
                <w:sz w:val="20"/>
                <w:szCs w:val="20"/>
                <w:color w:val="auto"/>
              </w:rPr>
            </w:pPr>
            <w:r>
              <w:rPr>
                <w:rFonts w:ascii="Arial" w:cs="Arial" w:eastAsia="Arial" w:hAnsi="Arial"/>
                <w:sz w:val="12"/>
                <w:szCs w:val="12"/>
                <w:b w:val="1"/>
                <w:bCs w:val="1"/>
                <w:color w:val="auto"/>
                <w:w w:val="98"/>
              </w:rPr>
              <w:t>Active Markets for</w:t>
            </w:r>
          </w:p>
        </w:tc>
        <w:tc>
          <w:tcPr>
            <w:tcW w:w="46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4"/>
          </w:tcPr>
          <w:p>
            <w:pPr>
              <w:jc w:val="center"/>
              <w:ind w:right="280"/>
              <w:spacing w:after="0" w:line="117" w:lineRule="exact"/>
              <w:rPr>
                <w:sz w:val="20"/>
                <w:szCs w:val="20"/>
                <w:color w:val="auto"/>
              </w:rPr>
            </w:pPr>
            <w:r>
              <w:rPr>
                <w:rFonts w:ascii="Arial" w:cs="Arial" w:eastAsia="Arial" w:hAnsi="Arial"/>
                <w:sz w:val="12"/>
                <w:szCs w:val="12"/>
                <w:b w:val="1"/>
                <w:bCs w:val="1"/>
                <w:color w:val="auto"/>
                <w:w w:val="98"/>
              </w:rPr>
              <w:t>Active Markets for</w:t>
            </w:r>
          </w:p>
        </w:tc>
        <w:tc>
          <w:tcPr>
            <w:tcW w:w="138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1560" w:type="dxa"/>
            <w:vAlign w:val="bottom"/>
            <w:gridSpan w:val="3"/>
          </w:tcPr>
          <w:p>
            <w:pPr>
              <w:jc w:val="center"/>
              <w:ind w:right="100"/>
              <w:spacing w:after="0" w:line="117" w:lineRule="exact"/>
              <w:rPr>
                <w:sz w:val="20"/>
                <w:szCs w:val="20"/>
                <w:color w:val="auto"/>
              </w:rPr>
            </w:pPr>
            <w:r>
              <w:rPr>
                <w:rFonts w:ascii="Arial" w:cs="Arial" w:eastAsia="Arial" w:hAnsi="Arial"/>
                <w:sz w:val="12"/>
                <w:szCs w:val="12"/>
                <w:b w:val="1"/>
                <w:bCs w:val="1"/>
                <w:color w:val="auto"/>
                <w:w w:val="89"/>
              </w:rPr>
              <w:t>Identical Assets</w:t>
            </w:r>
          </w:p>
        </w:tc>
        <w:tc>
          <w:tcPr>
            <w:tcW w:w="1680" w:type="dxa"/>
            <w:vAlign w:val="bottom"/>
            <w:gridSpan w:val="4"/>
          </w:tcPr>
          <w:p>
            <w:pPr>
              <w:ind w:left="260"/>
              <w:spacing w:after="0" w:line="117" w:lineRule="exact"/>
              <w:rPr>
                <w:sz w:val="20"/>
                <w:szCs w:val="20"/>
                <w:color w:val="auto"/>
              </w:rPr>
            </w:pPr>
            <w:r>
              <w:rPr>
                <w:rFonts w:ascii="Arial" w:cs="Arial" w:eastAsia="Arial" w:hAnsi="Arial"/>
                <w:sz w:val="12"/>
                <w:szCs w:val="12"/>
                <w:b w:val="1"/>
                <w:bCs w:val="1"/>
                <w:color w:val="auto"/>
              </w:rPr>
              <w:t>Observable Inputs</w:t>
            </w:r>
          </w:p>
        </w:tc>
        <w:tc>
          <w:tcPr>
            <w:tcW w:w="640" w:type="dxa"/>
            <w:vAlign w:val="bottom"/>
          </w:tcPr>
          <w:p>
            <w:pPr>
              <w:spacing w:after="0"/>
              <w:rPr>
                <w:sz w:val="10"/>
                <w:szCs w:val="10"/>
                <w:color w:val="auto"/>
              </w:rPr>
            </w:pPr>
          </w:p>
        </w:tc>
        <w:tc>
          <w:tcPr>
            <w:tcW w:w="820" w:type="dxa"/>
            <w:vAlign w:val="bottom"/>
            <w:vMerge w:val="restart"/>
          </w:tcPr>
          <w:p>
            <w:pPr>
              <w:jc w:val="right"/>
              <w:ind w:right="331"/>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10"/>
                <w:szCs w:val="10"/>
                <w:color w:val="auto"/>
              </w:rPr>
            </w:pPr>
          </w:p>
        </w:tc>
        <w:tc>
          <w:tcPr>
            <w:tcW w:w="1740" w:type="dxa"/>
            <w:vAlign w:val="bottom"/>
            <w:gridSpan w:val="4"/>
          </w:tcPr>
          <w:p>
            <w:pPr>
              <w:jc w:val="center"/>
              <w:ind w:right="280"/>
              <w:spacing w:after="0" w:line="117" w:lineRule="exact"/>
              <w:rPr>
                <w:sz w:val="20"/>
                <w:szCs w:val="20"/>
                <w:color w:val="auto"/>
              </w:rPr>
            </w:pPr>
            <w:r>
              <w:rPr>
                <w:rFonts w:ascii="Arial" w:cs="Arial" w:eastAsia="Arial" w:hAnsi="Arial"/>
                <w:sz w:val="12"/>
                <w:szCs w:val="12"/>
                <w:b w:val="1"/>
                <w:bCs w:val="1"/>
                <w:color w:val="auto"/>
                <w:w w:val="89"/>
              </w:rPr>
              <w:t>Identical Assets</w:t>
            </w:r>
          </w:p>
        </w:tc>
        <w:tc>
          <w:tcPr>
            <w:tcW w:w="1380" w:type="dxa"/>
            <w:vAlign w:val="bottom"/>
            <w:gridSpan w:val="3"/>
          </w:tcPr>
          <w:p>
            <w:pPr>
              <w:ind w:left="60"/>
              <w:spacing w:after="0" w:line="117" w:lineRule="exact"/>
              <w:rPr>
                <w:sz w:val="20"/>
                <w:szCs w:val="20"/>
                <w:color w:val="auto"/>
              </w:rPr>
            </w:pPr>
            <w:r>
              <w:rPr>
                <w:rFonts w:ascii="Arial" w:cs="Arial" w:eastAsia="Arial" w:hAnsi="Arial"/>
                <w:sz w:val="12"/>
                <w:szCs w:val="12"/>
                <w:b w:val="1"/>
                <w:bCs w:val="1"/>
                <w:color w:val="auto"/>
              </w:rPr>
              <w:t>Observable Inputs</w:t>
            </w:r>
          </w:p>
        </w:tc>
        <w:tc>
          <w:tcPr>
            <w:tcW w:w="640" w:type="dxa"/>
            <w:vAlign w:val="bottom"/>
          </w:tcPr>
          <w:p>
            <w:pPr>
              <w:spacing w:after="0"/>
              <w:rPr>
                <w:sz w:val="10"/>
                <w:szCs w:val="10"/>
                <w:color w:val="auto"/>
              </w:rPr>
            </w:pPr>
          </w:p>
        </w:tc>
        <w:tc>
          <w:tcPr>
            <w:tcW w:w="820" w:type="dxa"/>
            <w:vAlign w:val="bottom"/>
            <w:vMerge w:val="restart"/>
          </w:tcPr>
          <w:p>
            <w:pPr>
              <w:jc w:val="right"/>
              <w:ind w:right="33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18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13"/>
              <w:spacing w:after="0"/>
              <w:rPr>
                <w:sz w:val="20"/>
                <w:szCs w:val="20"/>
                <w:color w:val="auto"/>
              </w:rPr>
            </w:pPr>
            <w:r>
              <w:rPr>
                <w:rFonts w:ascii="Arial" w:cs="Arial" w:eastAsia="Arial" w:hAnsi="Arial"/>
                <w:sz w:val="12"/>
                <w:szCs w:val="12"/>
                <w:b w:val="1"/>
                <w:bCs w:val="1"/>
                <w:color w:val="auto"/>
                <w:w w:val="94"/>
              </w:rPr>
              <w:t>(Level 1)</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2"/>
                <w:szCs w:val="12"/>
                <w:b w:val="1"/>
                <w:bCs w:val="1"/>
                <w:color w:val="auto"/>
              </w:rPr>
              <w:t>(Level 2)</w:t>
            </w:r>
          </w:p>
        </w:tc>
        <w:tc>
          <w:tcPr>
            <w:tcW w:w="180" w:type="dxa"/>
            <w:vAlign w:val="bottom"/>
            <w:tcBorders>
              <w:bottom w:val="single" w:sz="8" w:color="CCEEFF"/>
            </w:tcBorders>
            <w:gridSpan w:val="2"/>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93"/>
              <w:spacing w:after="0"/>
              <w:rPr>
                <w:sz w:val="20"/>
                <w:szCs w:val="20"/>
                <w:color w:val="auto"/>
              </w:rPr>
            </w:pPr>
            <w:r>
              <w:rPr>
                <w:rFonts w:ascii="Arial" w:cs="Arial" w:eastAsia="Arial" w:hAnsi="Arial"/>
                <w:sz w:val="12"/>
                <w:szCs w:val="12"/>
                <w:b w:val="1"/>
                <w:bCs w:val="1"/>
                <w:color w:val="auto"/>
                <w:w w:val="94"/>
              </w:rPr>
              <w:t>(Level 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2)</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Unit trust funds(1)</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75"/>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5,510</w:t>
            </w:r>
          </w:p>
        </w:tc>
        <w:tc>
          <w:tcPr>
            <w:tcW w:w="0" w:type="dxa"/>
            <w:vAlign w:val="bottom"/>
          </w:tcPr>
          <w:p>
            <w:pPr>
              <w:spacing w:after="0"/>
              <w:rPr>
                <w:sz w:val="1"/>
                <w:szCs w:val="1"/>
                <w:color w:val="auto"/>
              </w:rPr>
            </w:pPr>
          </w:p>
        </w:tc>
      </w:tr>
      <w:tr>
        <w:trPr>
          <w:trHeight w:val="185"/>
        </w:trPr>
        <w:tc>
          <w:tcPr>
            <w:tcW w:w="1880" w:type="dxa"/>
            <w:vAlign w:val="bottom"/>
          </w:tcPr>
          <w:p>
            <w:pPr>
              <w:ind w:left="500"/>
              <w:spacing w:after="0"/>
              <w:rPr>
                <w:sz w:val="20"/>
                <w:szCs w:val="20"/>
                <w:color w:val="auto"/>
              </w:rPr>
            </w:pPr>
            <w:r>
              <w:rPr>
                <w:rFonts w:ascii="Arial" w:cs="Arial" w:eastAsia="Arial" w:hAnsi="Arial"/>
                <w:sz w:val="14"/>
                <w:szCs w:val="14"/>
                <w:color w:val="auto"/>
              </w:rPr>
              <w:t>Equities(1)</w:t>
            </w: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8,010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24,613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12,733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19,867</w:t>
            </w:r>
          </w:p>
        </w:tc>
        <w:tc>
          <w:tcPr>
            <w:tcW w:w="0" w:type="dxa"/>
            <w:vAlign w:val="bottom"/>
          </w:tcPr>
          <w:p>
            <w:pPr>
              <w:spacing w:after="0"/>
              <w:rPr>
                <w:sz w:val="1"/>
                <w:szCs w:val="1"/>
                <w:color w:val="auto"/>
              </w:rPr>
            </w:pPr>
          </w:p>
        </w:tc>
      </w:tr>
      <w:tr>
        <w:trPr>
          <w:trHeight w:val="146"/>
        </w:trPr>
        <w:tc>
          <w:tcPr>
            <w:tcW w:w="1880" w:type="dxa"/>
            <w:vAlign w:val="bottom"/>
            <w:shd w:val="clear" w:color="auto" w:fill="CCEEFF"/>
          </w:tcPr>
          <w:p>
            <w:pPr>
              <w:ind w:left="500"/>
              <w:spacing w:after="0" w:line="146" w:lineRule="exact"/>
              <w:rPr>
                <w:sz w:val="20"/>
                <w:szCs w:val="20"/>
                <w:color w:val="auto"/>
              </w:rPr>
            </w:pPr>
            <w:r>
              <w:rPr>
                <w:rFonts w:ascii="Arial" w:cs="Arial" w:eastAsia="Arial" w:hAnsi="Arial"/>
                <w:sz w:val="14"/>
                <w:szCs w:val="14"/>
                <w:color w:val="auto"/>
              </w:rPr>
              <w:t>Fixed income</w:t>
            </w:r>
          </w:p>
        </w:tc>
        <w:tc>
          <w:tcPr>
            <w:tcW w:w="4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29,957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8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24,636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24,636</w:t>
            </w:r>
          </w:p>
        </w:tc>
        <w:tc>
          <w:tcPr>
            <w:tcW w:w="0" w:type="dxa"/>
            <w:vAlign w:val="bottom"/>
          </w:tcPr>
          <w:p>
            <w:pPr>
              <w:spacing w:after="0"/>
              <w:rPr>
                <w:sz w:val="1"/>
                <w:szCs w:val="1"/>
                <w:color w:val="auto"/>
              </w:rPr>
            </w:pPr>
          </w:p>
        </w:tc>
      </w:tr>
      <w:tr>
        <w:trPr>
          <w:trHeight w:val="184"/>
        </w:trPr>
        <w:tc>
          <w:tcPr>
            <w:tcW w:w="1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securities(2)</w:t>
            </w:r>
          </w:p>
        </w:tc>
        <w:tc>
          <w:tcPr>
            <w:tcW w:w="4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80" w:type="dxa"/>
            <w:vAlign w:val="bottom"/>
            <w:gridSpan w:val="3"/>
            <w:vMerge w:val="continue"/>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880" w:type="dxa"/>
            <w:vAlign w:val="bottom"/>
          </w:tcPr>
          <w:p>
            <w:pPr>
              <w:ind w:left="500"/>
              <w:spacing w:after="0"/>
              <w:rPr>
                <w:sz w:val="20"/>
                <w:szCs w:val="20"/>
                <w:color w:val="auto"/>
              </w:rPr>
            </w:pPr>
            <w:r>
              <w:rPr>
                <w:rFonts w:ascii="Arial" w:cs="Arial" w:eastAsia="Arial" w:hAnsi="Arial"/>
                <w:sz w:val="14"/>
                <w:szCs w:val="14"/>
                <w:color w:val="auto"/>
              </w:rPr>
              <w:t>Property (3)</w:t>
            </w:r>
          </w:p>
        </w:tc>
        <w:tc>
          <w:tcPr>
            <w:tcW w:w="4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5,431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8,034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8,034</w:t>
            </w:r>
          </w:p>
        </w:tc>
        <w:tc>
          <w:tcPr>
            <w:tcW w:w="0" w:type="dxa"/>
            <w:vAlign w:val="bottom"/>
          </w:tcPr>
          <w:p>
            <w:pPr>
              <w:spacing w:after="0"/>
              <w:rPr>
                <w:sz w:val="1"/>
                <w:szCs w:val="1"/>
                <w:color w:val="auto"/>
              </w:rPr>
            </w:pPr>
          </w:p>
        </w:tc>
      </w:tr>
      <w:tr>
        <w:trPr>
          <w:trHeight w:val="189"/>
        </w:trPr>
        <w:tc>
          <w:tcPr>
            <w:tcW w:w="18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Investment Funds (4)</w:t>
            </w:r>
          </w:p>
        </w:tc>
        <w:tc>
          <w:tcPr>
            <w:tcW w:w="4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52,380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21,960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21,960</w:t>
            </w:r>
          </w:p>
        </w:tc>
        <w:tc>
          <w:tcPr>
            <w:tcW w:w="0" w:type="dxa"/>
            <w:vAlign w:val="bottom"/>
          </w:tcPr>
          <w:p>
            <w:pPr>
              <w:spacing w:after="0"/>
              <w:rPr>
                <w:sz w:val="1"/>
                <w:szCs w:val="1"/>
                <w:color w:val="auto"/>
              </w:rPr>
            </w:pPr>
          </w:p>
        </w:tc>
      </w:tr>
      <w:tr>
        <w:trPr>
          <w:trHeight w:val="144"/>
        </w:trPr>
        <w:tc>
          <w:tcPr>
            <w:tcW w:w="1880" w:type="dxa"/>
            <w:vAlign w:val="bottom"/>
          </w:tcPr>
          <w:p>
            <w:pPr>
              <w:ind w:left="500"/>
              <w:spacing w:after="0" w:line="144" w:lineRule="exact"/>
              <w:rPr>
                <w:sz w:val="20"/>
                <w:szCs w:val="20"/>
                <w:color w:val="auto"/>
              </w:rPr>
            </w:pPr>
            <w:r>
              <w:rPr>
                <w:rFonts w:ascii="Arial" w:cs="Arial" w:eastAsia="Arial" w:hAnsi="Arial"/>
                <w:sz w:val="14"/>
                <w:szCs w:val="14"/>
                <w:color w:val="auto"/>
              </w:rPr>
              <w:t>Cash and cash</w:t>
            </w:r>
          </w:p>
        </w:tc>
        <w:tc>
          <w:tcPr>
            <w:tcW w:w="4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27,498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27,498</w:t>
            </w:r>
          </w:p>
        </w:tc>
        <w:tc>
          <w:tcPr>
            <w:tcW w:w="0" w:type="dxa"/>
            <w:vAlign w:val="bottom"/>
          </w:tcPr>
          <w:p>
            <w:pPr>
              <w:spacing w:after="0"/>
              <w:rPr>
                <w:sz w:val="1"/>
                <w:szCs w:val="1"/>
                <w:color w:val="auto"/>
              </w:rPr>
            </w:pPr>
          </w:p>
        </w:tc>
      </w:tr>
      <w:tr>
        <w:trPr>
          <w:trHeight w:val="181"/>
        </w:trPr>
        <w:tc>
          <w:tcPr>
            <w:tcW w:w="1880" w:type="dxa"/>
            <w:vAlign w:val="bottom"/>
          </w:tcPr>
          <w:p>
            <w:pPr>
              <w:ind w:left="120"/>
              <w:spacing w:after="0"/>
              <w:rPr>
                <w:sz w:val="20"/>
                <w:szCs w:val="20"/>
                <w:color w:val="auto"/>
              </w:rPr>
            </w:pPr>
            <w:r>
              <w:rPr>
                <w:rFonts w:ascii="Arial" w:cs="Arial" w:eastAsia="Arial" w:hAnsi="Arial"/>
                <w:sz w:val="14"/>
                <w:szCs w:val="14"/>
                <w:color w:val="auto"/>
              </w:rPr>
              <w:t>equivalents</w:t>
            </w: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1880" w:type="dxa"/>
            <w:vAlign w:val="bottom"/>
            <w:tcBorders>
              <w:top w:val="single" w:sz="8" w:color="CCEEFF"/>
            </w:tcBorders>
            <w:shd w:val="clear" w:color="auto" w:fill="CCEEFF"/>
          </w:tcPr>
          <w:p>
            <w:pPr>
              <w:ind w:left="400"/>
              <w:spacing w:after="0" w:line="123" w:lineRule="exact"/>
              <w:rPr>
                <w:sz w:val="20"/>
                <w:szCs w:val="20"/>
                <w:color w:val="auto"/>
              </w:rPr>
            </w:pPr>
            <w:r>
              <w:rPr>
                <w:rFonts w:ascii="Arial" w:cs="Arial" w:eastAsia="Arial" w:hAnsi="Arial"/>
                <w:sz w:val="14"/>
                <w:szCs w:val="14"/>
                <w:b w:val="1"/>
                <w:bCs w:val="1"/>
                <w:color w:val="auto"/>
                <w:w w:val="87"/>
              </w:rPr>
              <w:t>Total assets measured at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10,028</w:t>
            </w: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118,255</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128,283</w:t>
            </w:r>
          </w:p>
        </w:tc>
        <w:tc>
          <w:tcPr>
            <w:tcW w:w="1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34,632</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vMerge w:val="restart"/>
            <w:shd w:val="clear" w:color="auto" w:fill="CCEEFF"/>
          </w:tcPr>
          <w:p>
            <w:pPr>
              <w:jc w:val="right"/>
              <w:ind w:right="475"/>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72,873</w:t>
            </w: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107,505</w:t>
            </w:r>
          </w:p>
        </w:tc>
        <w:tc>
          <w:tcPr>
            <w:tcW w:w="0" w:type="dxa"/>
            <w:vAlign w:val="bottom"/>
          </w:tcPr>
          <w:p>
            <w:pPr>
              <w:spacing w:after="0"/>
              <w:rPr>
                <w:sz w:val="1"/>
                <w:szCs w:val="1"/>
                <w:color w:val="auto"/>
              </w:rPr>
            </w:pPr>
          </w:p>
        </w:tc>
      </w:tr>
      <w:tr>
        <w:trPr>
          <w:trHeight w:val="184"/>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fair value</w:t>
            </w: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9" w:lineRule="exact"/>
        <w:rPr>
          <w:sz w:val="20"/>
          <w:szCs w:val="20"/>
          <w:color w:val="auto"/>
        </w:rPr>
      </w:pPr>
    </w:p>
    <w:p>
      <w:pPr>
        <w:ind w:left="300" w:right="80" w:hanging="271"/>
        <w:spacing w:after="0" w:line="274" w:lineRule="auto"/>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majority of the assets in these categories are invested in a mix of equities, including those from North America, Europe and Asia. The funds are valued using the net asset value method in which an average of the market prices for underlying investments is used to value the fund. Due to the nature of the underlying assets of these funds, changes in market conditions and the economic environment may significantly impact the net asset value of these investments and, consequently, the fair value of the investments. These investments are redeemable at net asset value to the extent provided in the documentation governing the investments. However, these redemption rights may be restricted in accordance with governing documents. Publicly traded securities are valued at the last trade or closing price reported in the active market in which the individual securities are traded.</w:t>
      </w:r>
    </w:p>
    <w:p>
      <w:pPr>
        <w:spacing w:after="0" w:line="11" w:lineRule="exact"/>
        <w:rPr>
          <w:rFonts w:ascii="Arial" w:cs="Arial" w:eastAsia="Arial" w:hAnsi="Arial"/>
          <w:sz w:val="13"/>
          <w:szCs w:val="13"/>
          <w:color w:val="auto"/>
        </w:rPr>
      </w:pPr>
    </w:p>
    <w:p>
      <w:pPr>
        <w:ind w:left="300" w:right="40" w:hanging="271"/>
        <w:spacing w:after="0" w:line="270" w:lineRule="auto"/>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funds primarily concentrated in non-U.S. debt instruments. The funds are valued using the net asset value method in which an average of the market prices for underlying investments is used to value the fund.</w:t>
      </w:r>
    </w:p>
    <w:p>
      <w:pPr>
        <w:spacing w:after="0" w:line="11" w:lineRule="exact"/>
        <w:rPr>
          <w:rFonts w:ascii="Arial" w:cs="Arial" w:eastAsia="Arial" w:hAnsi="Arial"/>
          <w:sz w:val="14"/>
          <w:szCs w:val="14"/>
          <w:color w:val="auto"/>
        </w:rPr>
      </w:pPr>
    </w:p>
    <w:p>
      <w:pPr>
        <w:ind w:left="300" w:right="40" w:hanging="271"/>
        <w:spacing w:after="0" w:line="244" w:lineRule="auto"/>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funds that primarily invest in global real estate and infrastructure funds. The funds are valued using the net asset value method in which an average of the market prices for underlying investments is used to value the fund.</w:t>
      </w:r>
    </w:p>
    <w:p>
      <w:pPr>
        <w:jc w:val="both"/>
        <w:ind w:left="300" w:right="320" w:hanging="271"/>
        <w:spacing w:after="0" w:line="234" w:lineRule="auto"/>
        <w:tabs>
          <w:tab w:leader="none" w:pos="3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liability driven investment funds that may hold a range of low-risk hedging instruments including but not limited to government bonds, interest rate and inflation swaps, physical inflation-linked and nominal gilts, synthetic gilts, cash and money market instruments. The investment funds are valued at the closing price reported if traded on an active market or at yields currently available on comparable securities of issuers with similar credit ratings.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3"/>
        </w:trPr>
        <w:tc>
          <w:tcPr>
            <w:tcW w:w="9020" w:type="dxa"/>
            <w:vAlign w:val="bottom"/>
          </w:tcPr>
          <w:p>
            <w:pPr>
              <w:ind w:left="4720"/>
              <w:spacing w:after="0"/>
              <w:rPr>
                <w:sz w:val="20"/>
                <w:szCs w:val="20"/>
                <w:color w:val="auto"/>
              </w:rPr>
            </w:pPr>
            <w:r>
              <w:rPr>
                <w:rFonts w:ascii="Arial" w:cs="Arial" w:eastAsia="Arial" w:hAnsi="Arial"/>
                <w:sz w:val="16"/>
                <w:szCs w:val="16"/>
                <w:b w:val="1"/>
                <w:bCs w:val="1"/>
                <w:color w:val="auto"/>
              </w:rPr>
              <w:t>ANALOG DEVICES, INC.</w:t>
            </w: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92"/>
        </w:trPr>
        <w:tc>
          <w:tcPr>
            <w:tcW w:w="9020" w:type="dxa"/>
            <w:vAlign w:val="bottom"/>
          </w:tcPr>
          <w:p>
            <w:pPr>
              <w:ind w:left="3060"/>
              <w:spacing w:after="0"/>
              <w:rPr>
                <w:sz w:val="20"/>
                <w:szCs w:val="20"/>
                <w:color w:val="auto"/>
              </w:rPr>
            </w:pPr>
            <w:r>
              <w:rPr>
                <w:rFonts w:ascii="Arial" w:cs="Arial" w:eastAsia="Arial" w:hAnsi="Arial"/>
                <w:sz w:val="16"/>
                <w:szCs w:val="16"/>
                <w:b w:val="1"/>
                <w:bCs w:val="1"/>
                <w:color w:val="auto"/>
              </w:rPr>
              <w:t>NOTES TO CONSOLIDATED FINANCIAL STATEMENTS — (Continued)</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55"/>
        </w:trPr>
        <w:tc>
          <w:tcPr>
            <w:tcW w:w="9020" w:type="dxa"/>
            <w:vAlign w:val="bottom"/>
          </w:tcPr>
          <w:p>
            <w:pPr>
              <w:spacing w:after="0"/>
              <w:rPr>
                <w:sz w:val="20"/>
                <w:szCs w:val="20"/>
                <w:color w:val="auto"/>
              </w:rPr>
            </w:pPr>
            <w:r>
              <w:rPr>
                <w:rFonts w:ascii="Arial" w:cs="Arial" w:eastAsia="Arial" w:hAnsi="Arial"/>
                <w:sz w:val="16"/>
                <w:szCs w:val="16"/>
                <w:i w:val="1"/>
                <w:iCs w:val="1"/>
                <w:color w:val="auto"/>
              </w:rPr>
              <w:t>Estimated future cash flows</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4"/>
        </w:trPr>
        <w:tc>
          <w:tcPr>
            <w:tcW w:w="9020" w:type="dxa"/>
            <w:vAlign w:val="bottom"/>
          </w:tcPr>
          <w:p>
            <w:pPr>
              <w:ind w:left="380"/>
              <w:spacing w:after="0"/>
              <w:rPr>
                <w:sz w:val="20"/>
                <w:szCs w:val="20"/>
                <w:color w:val="auto"/>
              </w:rPr>
            </w:pPr>
            <w:r>
              <w:rPr>
                <w:rFonts w:ascii="Arial" w:cs="Arial" w:eastAsia="Arial" w:hAnsi="Arial"/>
                <w:sz w:val="16"/>
                <w:szCs w:val="16"/>
                <w:color w:val="auto"/>
              </w:rPr>
              <w:t>Expected fiscal 2022 Company contributions and estimated future benefit payments are as follows:</w:t>
            </w: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
        </w:trPr>
        <w:tc>
          <w:tcPr>
            <w:tcW w:w="90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9"/>
        </w:trPr>
        <w:tc>
          <w:tcPr>
            <w:tcW w:w="902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Expected Company Contributions</w:t>
            </w:r>
          </w:p>
        </w:tc>
        <w:tc>
          <w:tcPr>
            <w:tcW w:w="1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9"/>
        </w:trPr>
        <w:tc>
          <w:tcPr>
            <w:tcW w:w="9020" w:type="dxa"/>
            <w:vAlign w:val="bottom"/>
          </w:tcPr>
          <w:p>
            <w:pPr>
              <w:ind w:left="680"/>
              <w:spacing w:after="0"/>
              <w:rPr>
                <w:sz w:val="20"/>
                <w:szCs w:val="20"/>
                <w:color w:val="auto"/>
              </w:rPr>
            </w:pPr>
            <w:r>
              <w:rPr>
                <w:rFonts w:ascii="Arial" w:cs="Arial" w:eastAsia="Arial" w:hAnsi="Arial"/>
                <w:sz w:val="16"/>
                <w:szCs w:val="16"/>
                <w:color w:val="auto"/>
              </w:rPr>
              <w:t>2022</w:t>
            </w:r>
          </w:p>
        </w:tc>
        <w:tc>
          <w:tcPr>
            <w:tcW w:w="132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12,108</w:t>
            </w:r>
          </w:p>
        </w:tc>
      </w:tr>
      <w:tr>
        <w:trPr>
          <w:trHeight w:val="199"/>
        </w:trPr>
        <w:tc>
          <w:tcPr>
            <w:tcW w:w="902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Expected Benefit Payments</w:t>
            </w:r>
          </w:p>
        </w:tc>
        <w:tc>
          <w:tcPr>
            <w:tcW w:w="1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9"/>
        </w:trPr>
        <w:tc>
          <w:tcPr>
            <w:tcW w:w="9020" w:type="dxa"/>
            <w:vAlign w:val="bottom"/>
          </w:tcPr>
          <w:p>
            <w:pPr>
              <w:ind w:left="680"/>
              <w:spacing w:after="0"/>
              <w:rPr>
                <w:sz w:val="20"/>
                <w:szCs w:val="20"/>
                <w:color w:val="auto"/>
              </w:rPr>
            </w:pPr>
            <w:r>
              <w:rPr>
                <w:rFonts w:ascii="Arial" w:cs="Arial" w:eastAsia="Arial" w:hAnsi="Arial"/>
                <w:sz w:val="16"/>
                <w:szCs w:val="16"/>
                <w:color w:val="auto"/>
              </w:rPr>
              <w:t>2023</w:t>
            </w:r>
          </w:p>
        </w:tc>
        <w:tc>
          <w:tcPr>
            <w:tcW w:w="132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5,655</w:t>
            </w:r>
          </w:p>
        </w:tc>
      </w:tr>
      <w:tr>
        <w:trPr>
          <w:trHeight w:val="199"/>
        </w:trPr>
        <w:tc>
          <w:tcPr>
            <w:tcW w:w="9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2024</w:t>
            </w:r>
          </w:p>
        </w:tc>
        <w:tc>
          <w:tcPr>
            <w:tcW w:w="13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5,783</w:t>
            </w:r>
          </w:p>
        </w:tc>
      </w:tr>
      <w:tr>
        <w:trPr>
          <w:trHeight w:val="199"/>
        </w:trPr>
        <w:tc>
          <w:tcPr>
            <w:tcW w:w="9020" w:type="dxa"/>
            <w:vAlign w:val="bottom"/>
          </w:tcPr>
          <w:p>
            <w:pPr>
              <w:ind w:left="680"/>
              <w:spacing w:after="0"/>
              <w:rPr>
                <w:sz w:val="20"/>
                <w:szCs w:val="20"/>
                <w:color w:val="auto"/>
              </w:rPr>
            </w:pPr>
            <w:r>
              <w:rPr>
                <w:rFonts w:ascii="Arial" w:cs="Arial" w:eastAsia="Arial" w:hAnsi="Arial"/>
                <w:sz w:val="16"/>
                <w:szCs w:val="16"/>
                <w:color w:val="auto"/>
              </w:rPr>
              <w:t>2025</w:t>
            </w:r>
          </w:p>
        </w:tc>
        <w:tc>
          <w:tcPr>
            <w:tcW w:w="132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5,897</w:t>
            </w:r>
          </w:p>
        </w:tc>
      </w:tr>
      <w:tr>
        <w:trPr>
          <w:trHeight w:val="199"/>
        </w:trPr>
        <w:tc>
          <w:tcPr>
            <w:tcW w:w="9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2026</w:t>
            </w:r>
          </w:p>
        </w:tc>
        <w:tc>
          <w:tcPr>
            <w:tcW w:w="13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6,369</w:t>
            </w:r>
          </w:p>
        </w:tc>
      </w:tr>
      <w:tr>
        <w:trPr>
          <w:trHeight w:val="199"/>
        </w:trPr>
        <w:tc>
          <w:tcPr>
            <w:tcW w:w="9020" w:type="dxa"/>
            <w:vAlign w:val="bottom"/>
          </w:tcPr>
          <w:p>
            <w:pPr>
              <w:ind w:left="680"/>
              <w:spacing w:after="0"/>
              <w:rPr>
                <w:sz w:val="20"/>
                <w:szCs w:val="20"/>
                <w:color w:val="auto"/>
              </w:rPr>
            </w:pPr>
            <w:r>
              <w:rPr>
                <w:rFonts w:ascii="Arial" w:cs="Arial" w:eastAsia="Arial" w:hAnsi="Arial"/>
                <w:sz w:val="16"/>
                <w:szCs w:val="16"/>
                <w:color w:val="auto"/>
              </w:rPr>
              <w:t>2027</w:t>
            </w:r>
          </w:p>
        </w:tc>
        <w:tc>
          <w:tcPr>
            <w:tcW w:w="132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7,190</w:t>
            </w:r>
          </w:p>
        </w:tc>
      </w:tr>
      <w:tr>
        <w:trPr>
          <w:trHeight w:val="199"/>
        </w:trPr>
        <w:tc>
          <w:tcPr>
            <w:tcW w:w="90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2028 through 2032</w:t>
            </w:r>
          </w:p>
        </w:tc>
        <w:tc>
          <w:tcPr>
            <w:tcW w:w="132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48,160</w:t>
            </w:r>
          </w:p>
        </w:tc>
      </w:tr>
    </w:tbl>
    <w:p>
      <w:pPr>
        <w:spacing w:after="0" w:line="26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3"/>
          <w:szCs w:val="13"/>
          <w:b w:val="1"/>
          <w:bCs w:val="1"/>
          <w:color w:val="auto"/>
        </w:rPr>
        <w:t>Income Taxes</w:t>
      </w:r>
    </w:p>
    <w:p>
      <w:pPr>
        <w:spacing w:after="0" w:line="124" w:lineRule="exact"/>
        <w:rPr>
          <w:sz w:val="20"/>
          <w:szCs w:val="20"/>
          <w:color w:val="auto"/>
        </w:rPr>
      </w:pPr>
    </w:p>
    <w:p>
      <w:pPr>
        <w:ind w:right="520" w:firstLine="386"/>
        <w:spacing w:after="0" w:line="299" w:lineRule="auto"/>
        <w:rPr>
          <w:sz w:val="20"/>
          <w:szCs w:val="20"/>
          <w:color w:val="auto"/>
        </w:rPr>
      </w:pPr>
      <w:r>
        <w:rPr>
          <w:rFonts w:ascii="Arial" w:cs="Arial" w:eastAsia="Arial" w:hAnsi="Arial"/>
          <w:sz w:val="14"/>
          <w:szCs w:val="14"/>
          <w:color w:val="auto"/>
        </w:rPr>
        <w:t>The Company's effective tax rate reflects the applicable tax rate in effect in the various tax jurisdictions around the world where the Company's income is earned. The reconciliation of income tax computed at the U.S. federal statutory rates to income tax expense for fiscal 2021, fiscal 2020 and fiscal 2019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2"/>
                <w:szCs w:val="12"/>
                <w:b w:val="1"/>
                <w:bCs w:val="1"/>
                <w:color w:val="auto"/>
              </w:rPr>
              <w:t>2021</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03"/>
              <w:spacing w:after="0"/>
              <w:rPr>
                <w:sz w:val="20"/>
                <w:szCs w:val="20"/>
                <w:color w:val="auto"/>
              </w:rPr>
            </w:pPr>
            <w:r>
              <w:rPr>
                <w:rFonts w:ascii="Arial" w:cs="Arial" w:eastAsia="Arial" w:hAnsi="Arial"/>
                <w:sz w:val="12"/>
                <w:szCs w:val="12"/>
                <w:b w:val="1"/>
                <w:bCs w:val="1"/>
                <w:color w:val="auto"/>
              </w:rPr>
              <w:t>2020</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2"/>
                <w:szCs w:val="12"/>
                <w:b w:val="1"/>
                <w:bCs w:val="1"/>
                <w:color w:val="auto"/>
              </w:rPr>
              <w:t>2019</w:t>
            </w:r>
          </w:p>
        </w:tc>
        <w:tc>
          <w:tcPr>
            <w:tcW w:w="360" w:type="dxa"/>
            <w:vAlign w:val="bottom"/>
            <w:tcBorders>
              <w:bottom w:val="single" w:sz="8" w:color="auto"/>
            </w:tcBorders>
          </w:tcPr>
          <w:p>
            <w:pPr>
              <w:spacing w:after="0"/>
              <w:rPr>
                <w:sz w:val="14"/>
                <w:szCs w:val="14"/>
                <w:color w:val="auto"/>
              </w:rPr>
            </w:pPr>
          </w:p>
        </w:tc>
      </w:tr>
      <w:tr>
        <w:trPr>
          <w:trHeight w:val="196"/>
        </w:trPr>
        <w:tc>
          <w:tcPr>
            <w:tcW w:w="45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U.S. federal statutory tax rate</w:t>
            </w:r>
          </w:p>
        </w:tc>
        <w:tc>
          <w:tcPr>
            <w:tcW w:w="7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2"/>
              <w:spacing w:after="0"/>
              <w:rPr>
                <w:sz w:val="20"/>
                <w:szCs w:val="20"/>
                <w:color w:val="auto"/>
              </w:rPr>
            </w:pPr>
            <w:r>
              <w:rPr>
                <w:rFonts w:ascii="Arial" w:cs="Arial" w:eastAsia="Arial" w:hAnsi="Arial"/>
                <w:sz w:val="16"/>
                <w:szCs w:val="16"/>
                <w:color w:val="auto"/>
              </w:rPr>
              <w:t>21.0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21.0</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21.0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520" w:type="dxa"/>
            <w:vAlign w:val="bottom"/>
          </w:tcPr>
          <w:p>
            <w:pPr>
              <w:ind w:left="400"/>
              <w:spacing w:after="0"/>
              <w:rPr>
                <w:sz w:val="20"/>
                <w:szCs w:val="20"/>
                <w:color w:val="auto"/>
              </w:rPr>
            </w:pPr>
            <w:r>
              <w:rPr>
                <w:rFonts w:ascii="Arial" w:cs="Arial" w:eastAsia="Arial" w:hAnsi="Arial"/>
                <w:sz w:val="16"/>
                <w:szCs w:val="16"/>
                <w:b w:val="1"/>
                <w:bCs w:val="1"/>
                <w:color w:val="auto"/>
              </w:rPr>
              <w:t>Income tax provision reconciliation: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9"/>
        </w:trPr>
        <w:tc>
          <w:tcPr>
            <w:tcW w:w="4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Tax at statutory rate</w:t>
            </w:r>
          </w:p>
        </w:tc>
        <w:tc>
          <w:tcPr>
            <w:tcW w:w="7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2"/>
              <w:spacing w:after="0"/>
              <w:rPr>
                <w:sz w:val="20"/>
                <w:szCs w:val="20"/>
                <w:color w:val="auto"/>
              </w:rPr>
            </w:pPr>
            <w:r>
              <w:rPr>
                <w:rFonts w:ascii="Arial" w:cs="Arial" w:eastAsia="Arial" w:hAnsi="Arial"/>
                <w:sz w:val="16"/>
                <w:szCs w:val="16"/>
                <w:color w:val="auto"/>
              </w:rPr>
              <w:t>279,030</w:t>
            </w:r>
          </w:p>
        </w:tc>
        <w:tc>
          <w:tcPr>
            <w:tcW w:w="1100" w:type="dxa"/>
            <w:vAlign w:val="bottom"/>
            <w:gridSpan w:val="3"/>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275,439</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312,003</w:t>
            </w:r>
          </w:p>
        </w:tc>
        <w:tc>
          <w:tcPr>
            <w:tcW w:w="360" w:type="dxa"/>
            <w:vAlign w:val="bottom"/>
            <w:shd w:val="clear" w:color="auto" w:fill="CCEEFF"/>
          </w:tcPr>
          <w:p>
            <w:pPr>
              <w:spacing w:after="0"/>
              <w:rPr>
                <w:sz w:val="17"/>
                <w:szCs w:val="17"/>
                <w:color w:val="auto"/>
              </w:rPr>
            </w:pPr>
          </w:p>
        </w:tc>
      </w:tr>
      <w:tr>
        <w:trPr>
          <w:trHeight w:val="199"/>
        </w:trPr>
        <w:tc>
          <w:tcPr>
            <w:tcW w:w="4520" w:type="dxa"/>
            <w:vAlign w:val="bottom"/>
          </w:tcPr>
          <w:p>
            <w:pPr>
              <w:ind w:left="500"/>
              <w:spacing w:after="0"/>
              <w:rPr>
                <w:sz w:val="20"/>
                <w:szCs w:val="20"/>
                <w:color w:val="auto"/>
              </w:rPr>
            </w:pPr>
            <w:r>
              <w:rPr>
                <w:rFonts w:ascii="Arial" w:cs="Arial" w:eastAsia="Arial" w:hAnsi="Arial"/>
                <w:sz w:val="16"/>
                <w:szCs w:val="16"/>
                <w:color w:val="auto"/>
              </w:rPr>
              <w:t>Net foreign income subject to lower tax rate</w:t>
            </w:r>
          </w:p>
        </w:tc>
        <w:tc>
          <w:tcPr>
            <w:tcW w:w="760" w:type="dxa"/>
            <w:vAlign w:val="bottom"/>
          </w:tcPr>
          <w:p>
            <w:pPr>
              <w:spacing w:after="0"/>
              <w:rPr>
                <w:sz w:val="17"/>
                <w:szCs w:val="17"/>
                <w:color w:val="auto"/>
              </w:rPr>
            </w:pPr>
          </w:p>
        </w:tc>
        <w:tc>
          <w:tcPr>
            <w:tcW w:w="1100" w:type="dxa"/>
            <w:vAlign w:val="bottom"/>
            <w:gridSpan w:val="2"/>
          </w:tcPr>
          <w:p>
            <w:pPr>
              <w:jc w:val="right"/>
              <w:ind w:right="142"/>
              <w:spacing w:after="0"/>
              <w:rPr>
                <w:sz w:val="20"/>
                <w:szCs w:val="20"/>
                <w:color w:val="auto"/>
              </w:rPr>
            </w:pPr>
            <w:r>
              <w:rPr>
                <w:rFonts w:ascii="Arial" w:cs="Arial" w:eastAsia="Arial" w:hAnsi="Arial"/>
                <w:sz w:val="16"/>
                <w:szCs w:val="16"/>
                <w:color w:val="auto"/>
              </w:rPr>
              <w:t>(227,470)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(225,937)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104"/>
              <w:spacing w:after="0"/>
              <w:rPr>
                <w:sz w:val="20"/>
                <w:szCs w:val="20"/>
                <w:color w:val="auto"/>
              </w:rPr>
            </w:pPr>
            <w:r>
              <w:rPr>
                <w:rFonts w:ascii="Arial" w:cs="Arial" w:eastAsia="Arial" w:hAnsi="Arial"/>
                <w:sz w:val="16"/>
                <w:szCs w:val="16"/>
                <w:color w:val="auto"/>
                <w:w w:val="96"/>
              </w:rPr>
              <w:t>(242,893)</w:t>
            </w:r>
          </w:p>
        </w:tc>
        <w:tc>
          <w:tcPr>
            <w:tcW w:w="360" w:type="dxa"/>
            <w:vAlign w:val="bottom"/>
          </w:tcPr>
          <w:p>
            <w:pPr>
              <w:spacing w:after="0"/>
              <w:rPr>
                <w:sz w:val="17"/>
                <w:szCs w:val="17"/>
                <w:color w:val="auto"/>
              </w:rPr>
            </w:pPr>
          </w:p>
        </w:tc>
      </w:tr>
      <w:tr>
        <w:trPr>
          <w:trHeight w:val="199"/>
        </w:trPr>
        <w:tc>
          <w:tcPr>
            <w:tcW w:w="4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State income taxes, net of federal benefit</w:t>
            </w:r>
          </w:p>
        </w:tc>
        <w:tc>
          <w:tcPr>
            <w:tcW w:w="7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(28,052)</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(23,537)</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(31,265)</w:t>
            </w:r>
          </w:p>
        </w:tc>
        <w:tc>
          <w:tcPr>
            <w:tcW w:w="360" w:type="dxa"/>
            <w:vAlign w:val="bottom"/>
            <w:shd w:val="clear" w:color="auto" w:fill="CCEEFF"/>
          </w:tcPr>
          <w:p>
            <w:pPr>
              <w:spacing w:after="0"/>
              <w:rPr>
                <w:sz w:val="17"/>
                <w:szCs w:val="17"/>
                <w:color w:val="auto"/>
              </w:rPr>
            </w:pPr>
          </w:p>
        </w:tc>
      </w:tr>
      <w:tr>
        <w:trPr>
          <w:trHeight w:val="199"/>
        </w:trPr>
        <w:tc>
          <w:tcPr>
            <w:tcW w:w="4520" w:type="dxa"/>
            <w:vAlign w:val="bottom"/>
          </w:tcPr>
          <w:p>
            <w:pPr>
              <w:ind w:left="500"/>
              <w:spacing w:after="0"/>
              <w:rPr>
                <w:sz w:val="20"/>
                <w:szCs w:val="20"/>
                <w:color w:val="auto"/>
              </w:rPr>
            </w:pPr>
            <w:r>
              <w:rPr>
                <w:rFonts w:ascii="Arial" w:cs="Arial" w:eastAsia="Arial" w:hAnsi="Arial"/>
                <w:sz w:val="16"/>
                <w:szCs w:val="16"/>
                <w:color w:val="auto"/>
              </w:rPr>
              <w:t>Valuation allowance</w:t>
            </w:r>
          </w:p>
        </w:tc>
        <w:tc>
          <w:tcPr>
            <w:tcW w:w="760" w:type="dxa"/>
            <w:vAlign w:val="bottom"/>
          </w:tcPr>
          <w:p>
            <w:pPr>
              <w:spacing w:after="0"/>
              <w:rPr>
                <w:sz w:val="17"/>
                <w:szCs w:val="17"/>
                <w:color w:val="auto"/>
              </w:rPr>
            </w:pPr>
          </w:p>
        </w:tc>
        <w:tc>
          <w:tcPr>
            <w:tcW w:w="1100" w:type="dxa"/>
            <w:vAlign w:val="bottom"/>
            <w:gridSpan w:val="2"/>
          </w:tcPr>
          <w:p>
            <w:pPr>
              <w:jc w:val="right"/>
              <w:ind w:right="182"/>
              <w:spacing w:after="0"/>
              <w:rPr>
                <w:sz w:val="20"/>
                <w:szCs w:val="20"/>
                <w:color w:val="auto"/>
              </w:rPr>
            </w:pPr>
            <w:r>
              <w:rPr>
                <w:rFonts w:ascii="Arial" w:cs="Arial" w:eastAsia="Arial" w:hAnsi="Arial"/>
                <w:sz w:val="16"/>
                <w:szCs w:val="16"/>
                <w:color w:val="auto"/>
              </w:rPr>
              <w:t>13,263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13,655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34,069</w:t>
            </w:r>
          </w:p>
        </w:tc>
        <w:tc>
          <w:tcPr>
            <w:tcW w:w="360" w:type="dxa"/>
            <w:vAlign w:val="bottom"/>
          </w:tcPr>
          <w:p>
            <w:pPr>
              <w:spacing w:after="0"/>
              <w:rPr>
                <w:sz w:val="17"/>
                <w:szCs w:val="17"/>
                <w:color w:val="auto"/>
              </w:rPr>
            </w:pPr>
          </w:p>
        </w:tc>
      </w:tr>
      <w:tr>
        <w:trPr>
          <w:trHeight w:val="199"/>
        </w:trPr>
        <w:tc>
          <w:tcPr>
            <w:tcW w:w="4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Federal research and development tax credits</w:t>
            </w:r>
          </w:p>
        </w:tc>
        <w:tc>
          <w:tcPr>
            <w:tcW w:w="7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(37,902)</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(50,769)</w:t>
            </w:r>
          </w:p>
        </w:tc>
        <w:tc>
          <w:tcPr>
            <w:tcW w:w="360" w:type="dxa"/>
            <w:vAlign w:val="bottom"/>
            <w:shd w:val="clear" w:color="auto" w:fill="CCEEFF"/>
          </w:tcPr>
          <w:p>
            <w:pPr>
              <w:spacing w:after="0"/>
              <w:rPr>
                <w:sz w:val="17"/>
                <w:szCs w:val="17"/>
                <w:color w:val="auto"/>
              </w:rPr>
            </w:pPr>
          </w:p>
        </w:tc>
      </w:tr>
      <w:tr>
        <w:trPr>
          <w:trHeight w:val="199"/>
        </w:trPr>
        <w:tc>
          <w:tcPr>
            <w:tcW w:w="4520" w:type="dxa"/>
            <w:vAlign w:val="bottom"/>
          </w:tcPr>
          <w:p>
            <w:pPr>
              <w:ind w:left="500"/>
              <w:spacing w:after="0"/>
              <w:rPr>
                <w:sz w:val="20"/>
                <w:szCs w:val="20"/>
                <w:color w:val="auto"/>
              </w:rPr>
            </w:pPr>
            <w:r>
              <w:rPr>
                <w:rFonts w:ascii="Arial" w:cs="Arial" w:eastAsia="Arial" w:hAnsi="Arial"/>
                <w:sz w:val="16"/>
                <w:szCs w:val="16"/>
                <w:color w:val="auto"/>
              </w:rPr>
              <w:t>Change in uncertain tax positions</w:t>
            </w:r>
          </w:p>
        </w:tc>
        <w:tc>
          <w:tcPr>
            <w:tcW w:w="760" w:type="dxa"/>
            <w:vAlign w:val="bottom"/>
          </w:tcPr>
          <w:p>
            <w:pPr>
              <w:spacing w:after="0"/>
              <w:rPr>
                <w:sz w:val="17"/>
                <w:szCs w:val="17"/>
                <w:color w:val="auto"/>
              </w:rPr>
            </w:pPr>
          </w:p>
        </w:tc>
        <w:tc>
          <w:tcPr>
            <w:tcW w:w="1100" w:type="dxa"/>
            <w:vAlign w:val="bottom"/>
            <w:gridSpan w:val="2"/>
          </w:tcPr>
          <w:p>
            <w:pPr>
              <w:jc w:val="right"/>
              <w:ind w:right="142"/>
              <w:spacing w:after="0"/>
              <w:rPr>
                <w:sz w:val="20"/>
                <w:szCs w:val="20"/>
                <w:color w:val="auto"/>
              </w:rPr>
            </w:pPr>
            <w:r>
              <w:rPr>
                <w:rFonts w:ascii="Arial" w:cs="Arial" w:eastAsia="Arial" w:hAnsi="Arial"/>
                <w:sz w:val="16"/>
                <w:szCs w:val="16"/>
                <w:color w:val="auto"/>
              </w:rPr>
              <w:t>(1,061)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(13,304)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7,233</w:t>
            </w:r>
          </w:p>
        </w:tc>
        <w:tc>
          <w:tcPr>
            <w:tcW w:w="360" w:type="dxa"/>
            <w:vAlign w:val="bottom"/>
          </w:tcPr>
          <w:p>
            <w:pPr>
              <w:spacing w:after="0"/>
              <w:rPr>
                <w:sz w:val="17"/>
                <w:szCs w:val="17"/>
                <w:color w:val="auto"/>
              </w:rPr>
            </w:pPr>
          </w:p>
        </w:tc>
      </w:tr>
      <w:tr>
        <w:trPr>
          <w:trHeight w:val="199"/>
        </w:trPr>
        <w:tc>
          <w:tcPr>
            <w:tcW w:w="4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Amortization of purchased intangibles</w:t>
            </w:r>
          </w:p>
        </w:tc>
        <w:tc>
          <w:tcPr>
            <w:tcW w:w="7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2"/>
              <w:spacing w:after="0"/>
              <w:rPr>
                <w:sz w:val="20"/>
                <w:szCs w:val="20"/>
                <w:color w:val="auto"/>
              </w:rPr>
            </w:pPr>
            <w:r>
              <w:rPr>
                <w:rFonts w:ascii="Arial" w:cs="Arial" w:eastAsia="Arial" w:hAnsi="Arial"/>
                <w:sz w:val="16"/>
                <w:szCs w:val="16"/>
                <w:color w:val="auto"/>
              </w:rPr>
              <w:t>146,094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101,906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111,547</w:t>
            </w:r>
          </w:p>
        </w:tc>
        <w:tc>
          <w:tcPr>
            <w:tcW w:w="360" w:type="dxa"/>
            <w:vAlign w:val="bottom"/>
            <w:shd w:val="clear" w:color="auto" w:fill="CCEEFF"/>
          </w:tcPr>
          <w:p>
            <w:pPr>
              <w:spacing w:after="0"/>
              <w:rPr>
                <w:sz w:val="17"/>
                <w:szCs w:val="17"/>
                <w:color w:val="auto"/>
              </w:rPr>
            </w:pPr>
          </w:p>
        </w:tc>
      </w:tr>
      <w:tr>
        <w:trPr>
          <w:trHeight w:val="199"/>
        </w:trPr>
        <w:tc>
          <w:tcPr>
            <w:tcW w:w="4520" w:type="dxa"/>
            <w:vAlign w:val="bottom"/>
          </w:tcPr>
          <w:p>
            <w:pPr>
              <w:ind w:left="500"/>
              <w:spacing w:after="0"/>
              <w:rPr>
                <w:sz w:val="20"/>
                <w:szCs w:val="20"/>
                <w:color w:val="auto"/>
              </w:rPr>
            </w:pPr>
            <w:r>
              <w:rPr>
                <w:rFonts w:ascii="Arial" w:cs="Arial" w:eastAsia="Arial" w:hAnsi="Arial"/>
                <w:sz w:val="16"/>
                <w:szCs w:val="16"/>
                <w:color w:val="auto"/>
              </w:rPr>
              <w:t>Acquisition and integration costs</w:t>
            </w:r>
          </w:p>
        </w:tc>
        <w:tc>
          <w:tcPr>
            <w:tcW w:w="760" w:type="dxa"/>
            <w:vAlign w:val="bottom"/>
          </w:tcPr>
          <w:p>
            <w:pPr>
              <w:spacing w:after="0"/>
              <w:rPr>
                <w:sz w:val="17"/>
                <w:szCs w:val="17"/>
                <w:color w:val="auto"/>
              </w:rPr>
            </w:pPr>
          </w:p>
        </w:tc>
        <w:tc>
          <w:tcPr>
            <w:tcW w:w="1100" w:type="dxa"/>
            <w:vAlign w:val="bottom"/>
            <w:gridSpan w:val="2"/>
          </w:tcPr>
          <w:p>
            <w:pPr>
              <w:jc w:val="right"/>
              <w:ind w:right="182"/>
              <w:spacing w:after="0"/>
              <w:rPr>
                <w:sz w:val="20"/>
                <w:szCs w:val="20"/>
                <w:color w:val="auto"/>
              </w:rPr>
            </w:pPr>
            <w:r>
              <w:rPr>
                <w:rFonts w:ascii="Arial" w:cs="Arial" w:eastAsia="Arial" w:hAnsi="Arial"/>
                <w:sz w:val="16"/>
                <w:szCs w:val="16"/>
                <w:color w:val="auto"/>
              </w:rPr>
              <w:t>11,367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1,714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r>
      <w:tr>
        <w:trPr>
          <w:trHeight w:val="199"/>
        </w:trPr>
        <w:tc>
          <w:tcPr>
            <w:tcW w:w="4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Taxes attributable to the Tax Cuts and Jobs Act of 2017</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(7,500)</w:t>
            </w:r>
          </w:p>
        </w:tc>
        <w:tc>
          <w:tcPr>
            <w:tcW w:w="360" w:type="dxa"/>
            <w:vAlign w:val="bottom"/>
            <w:shd w:val="clear" w:color="auto" w:fill="CCEEFF"/>
          </w:tcPr>
          <w:p>
            <w:pPr>
              <w:spacing w:after="0"/>
              <w:rPr>
                <w:sz w:val="17"/>
                <w:szCs w:val="17"/>
                <w:color w:val="auto"/>
              </w:rPr>
            </w:pPr>
          </w:p>
        </w:tc>
      </w:tr>
      <w:tr>
        <w:trPr>
          <w:trHeight w:val="199"/>
        </w:trPr>
        <w:tc>
          <w:tcPr>
            <w:tcW w:w="4520" w:type="dxa"/>
            <w:vAlign w:val="bottom"/>
          </w:tcPr>
          <w:p>
            <w:pPr>
              <w:ind w:left="500"/>
              <w:spacing w:after="0"/>
              <w:rPr>
                <w:sz w:val="20"/>
                <w:szCs w:val="20"/>
                <w:color w:val="auto"/>
              </w:rPr>
            </w:pPr>
            <w:r>
              <w:rPr>
                <w:rFonts w:ascii="Arial" w:cs="Arial" w:eastAsia="Arial" w:hAnsi="Arial"/>
                <w:sz w:val="16"/>
                <w:szCs w:val="16"/>
                <w:color w:val="auto"/>
              </w:rPr>
              <w:t>U.S. effects of international operations</w:t>
            </w:r>
          </w:p>
        </w:tc>
        <w:tc>
          <w:tcPr>
            <w:tcW w:w="760" w:type="dxa"/>
            <w:vAlign w:val="bottom"/>
          </w:tcPr>
          <w:p>
            <w:pPr>
              <w:spacing w:after="0"/>
              <w:rPr>
                <w:sz w:val="17"/>
                <w:szCs w:val="17"/>
                <w:color w:val="auto"/>
              </w:rPr>
            </w:pPr>
          </w:p>
        </w:tc>
        <w:tc>
          <w:tcPr>
            <w:tcW w:w="1100" w:type="dxa"/>
            <w:vAlign w:val="bottom"/>
            <w:gridSpan w:val="2"/>
          </w:tcPr>
          <w:p>
            <w:pPr>
              <w:jc w:val="right"/>
              <w:ind w:right="142"/>
              <w:spacing w:after="0"/>
              <w:rPr>
                <w:sz w:val="20"/>
                <w:szCs w:val="20"/>
                <w:color w:val="auto"/>
              </w:rPr>
            </w:pPr>
            <w:r>
              <w:rPr>
                <w:rFonts w:ascii="Arial" w:cs="Arial" w:eastAsia="Arial" w:hAnsi="Arial"/>
                <w:sz w:val="16"/>
                <w:szCs w:val="16"/>
                <w:color w:val="auto"/>
              </w:rPr>
              <w:t>(24,624)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11,903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19,782</w:t>
            </w:r>
          </w:p>
        </w:tc>
        <w:tc>
          <w:tcPr>
            <w:tcW w:w="360" w:type="dxa"/>
            <w:vAlign w:val="bottom"/>
          </w:tcPr>
          <w:p>
            <w:pPr>
              <w:spacing w:after="0"/>
              <w:rPr>
                <w:sz w:val="17"/>
                <w:szCs w:val="17"/>
                <w:color w:val="auto"/>
              </w:rPr>
            </w:pPr>
          </w:p>
        </w:tc>
      </w:tr>
      <w:tr>
        <w:trPr>
          <w:trHeight w:val="199"/>
        </w:trPr>
        <w:tc>
          <w:tcPr>
            <w:tcW w:w="4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Windfalls (under ASU 2016-09)</w:t>
            </w:r>
          </w:p>
        </w:tc>
        <w:tc>
          <w:tcPr>
            <w:tcW w:w="7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(26,365)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(28,677)</w:t>
            </w:r>
          </w:p>
        </w:tc>
        <w:tc>
          <w:tcPr>
            <w:tcW w:w="360" w:type="dxa"/>
            <w:vAlign w:val="bottom"/>
            <w:shd w:val="clear" w:color="auto" w:fill="CCEEFF"/>
          </w:tcPr>
          <w:p>
            <w:pPr>
              <w:spacing w:after="0"/>
              <w:rPr>
                <w:sz w:val="17"/>
                <w:szCs w:val="17"/>
                <w:color w:val="auto"/>
              </w:rPr>
            </w:pPr>
          </w:p>
        </w:tc>
      </w:tr>
      <w:tr>
        <w:trPr>
          <w:trHeight w:val="199"/>
        </w:trPr>
        <w:tc>
          <w:tcPr>
            <w:tcW w:w="4520" w:type="dxa"/>
            <w:vAlign w:val="bottom"/>
          </w:tcPr>
          <w:p>
            <w:pPr>
              <w:ind w:left="500"/>
              <w:spacing w:after="0"/>
              <w:rPr>
                <w:sz w:val="20"/>
                <w:szCs w:val="20"/>
                <w:color w:val="auto"/>
              </w:rPr>
            </w:pPr>
            <w:r>
              <w:rPr>
                <w:rFonts w:ascii="Arial" w:cs="Arial" w:eastAsia="Arial" w:hAnsi="Arial"/>
                <w:sz w:val="16"/>
                <w:szCs w:val="16"/>
                <w:color w:val="auto"/>
              </w:rPr>
              <w:t>Intra-entity transfer of intangible assets</w:t>
            </w:r>
          </w:p>
        </w:tc>
        <w:tc>
          <w:tcPr>
            <w:tcW w:w="760" w:type="dxa"/>
            <w:vAlign w:val="bottom"/>
          </w:tcPr>
          <w:p>
            <w:pPr>
              <w:spacing w:after="0"/>
              <w:rPr>
                <w:sz w:val="17"/>
                <w:szCs w:val="17"/>
                <w:color w:val="auto"/>
              </w:rPr>
            </w:pPr>
          </w:p>
        </w:tc>
        <w:tc>
          <w:tcPr>
            <w:tcW w:w="1100" w:type="dxa"/>
            <w:vAlign w:val="bottom"/>
            <w:gridSpan w:val="2"/>
          </w:tcPr>
          <w:p>
            <w:pPr>
              <w:jc w:val="right"/>
              <w:ind w:right="142"/>
              <w:spacing w:after="0"/>
              <w:rPr>
                <w:sz w:val="20"/>
                <w:szCs w:val="20"/>
                <w:color w:val="auto"/>
              </w:rPr>
            </w:pPr>
            <w:r>
              <w:rPr>
                <w:rFonts w:ascii="Arial" w:cs="Arial" w:eastAsia="Arial" w:hAnsi="Arial"/>
                <w:sz w:val="16"/>
                <w:szCs w:val="16"/>
                <w:color w:val="auto"/>
              </w:rPr>
              <w:t>(188,804)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144"/>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r>
      <w:tr>
        <w:trPr>
          <w:trHeight w:val="199"/>
        </w:trPr>
        <w:tc>
          <w:tcPr>
            <w:tcW w:w="4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net</w:t>
            </w:r>
          </w:p>
        </w:tc>
        <w:tc>
          <w:tcPr>
            <w:tcW w:w="7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ind w:right="182"/>
              <w:spacing w:after="0"/>
              <w:rPr>
                <w:sz w:val="20"/>
                <w:szCs w:val="20"/>
                <w:color w:val="auto"/>
              </w:rPr>
            </w:pPr>
            <w:r>
              <w:rPr>
                <w:rFonts w:ascii="Arial" w:cs="Arial" w:eastAsia="Arial" w:hAnsi="Arial"/>
                <w:sz w:val="16"/>
                <w:szCs w:val="16"/>
                <w:color w:val="auto"/>
              </w:rPr>
              <w:t>22,816</w:t>
            </w:r>
          </w:p>
        </w:tc>
        <w:tc>
          <w:tcPr>
            <w:tcW w:w="3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(3,688)</w:t>
            </w:r>
          </w:p>
        </w:tc>
        <w:tc>
          <w:tcPr>
            <w:tcW w:w="4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(813)</w:t>
            </w:r>
          </w:p>
        </w:tc>
        <w:tc>
          <w:tcPr>
            <w:tcW w:w="360" w:type="dxa"/>
            <w:vAlign w:val="bottom"/>
            <w:tcBorders>
              <w:bottom w:val="single" w:sz="8" w:color="auto"/>
            </w:tcBorders>
            <w:shd w:val="clear" w:color="auto" w:fill="CCEEFF"/>
          </w:tcPr>
          <w:p>
            <w:pPr>
              <w:spacing w:after="0"/>
              <w:rPr>
                <w:sz w:val="17"/>
                <w:szCs w:val="17"/>
                <w:color w:val="auto"/>
              </w:rPr>
            </w:pPr>
          </w:p>
        </w:tc>
      </w:tr>
      <w:tr>
        <w:trPr>
          <w:trHeight w:val="190"/>
        </w:trPr>
        <w:tc>
          <w:tcPr>
            <w:tcW w:w="4520" w:type="dxa"/>
            <w:vAlign w:val="bottom"/>
          </w:tcPr>
          <w:p>
            <w:pPr>
              <w:ind w:left="680"/>
              <w:spacing w:after="0"/>
              <w:rPr>
                <w:sz w:val="20"/>
                <w:szCs w:val="20"/>
                <w:color w:val="auto"/>
              </w:rPr>
            </w:pPr>
            <w:r>
              <w:rPr>
                <w:rFonts w:ascii="Arial" w:cs="Arial" w:eastAsia="Arial" w:hAnsi="Arial"/>
                <w:sz w:val="16"/>
                <w:szCs w:val="16"/>
                <w:color w:val="auto"/>
              </w:rPr>
              <w:t>Total income tax (benefit) provision</w:t>
            </w:r>
          </w:p>
        </w:tc>
        <w:tc>
          <w:tcPr>
            <w:tcW w:w="7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6"/>
                <w:szCs w:val="16"/>
                <w:color w:val="auto"/>
              </w:rPr>
              <w:t>(61,708)</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90,856</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122,717</w:t>
            </w:r>
          </w:p>
        </w:tc>
        <w:tc>
          <w:tcPr>
            <w:tcW w:w="360" w:type="dxa"/>
            <w:vAlign w:val="bottom"/>
            <w:tcBorders>
              <w:bottom w:val="single" w:sz="8" w:color="auto"/>
            </w:tcBorders>
          </w:tcPr>
          <w:p>
            <w:pPr>
              <w:spacing w:after="0"/>
              <w:rPr>
                <w:sz w:val="16"/>
                <w:szCs w:val="16"/>
                <w:color w:val="auto"/>
              </w:rPr>
            </w:pPr>
          </w:p>
        </w:tc>
      </w:tr>
      <w:tr>
        <w:trPr>
          <w:trHeight w:val="20"/>
        </w:trPr>
        <w:tc>
          <w:tcPr>
            <w:tcW w:w="45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454"/>
        </w:trPr>
        <w:tc>
          <w:tcPr>
            <w:tcW w:w="7600" w:type="dxa"/>
            <w:vAlign w:val="bottom"/>
            <w:gridSpan w:val="8"/>
          </w:tcPr>
          <w:p>
            <w:pPr>
              <w:ind w:left="380"/>
              <w:spacing w:after="0"/>
              <w:rPr>
                <w:sz w:val="20"/>
                <w:szCs w:val="20"/>
                <w:color w:val="auto"/>
              </w:rPr>
            </w:pPr>
            <w:r>
              <w:rPr>
                <w:rFonts w:ascii="Arial" w:cs="Arial" w:eastAsia="Arial" w:hAnsi="Arial"/>
                <w:sz w:val="16"/>
                <w:szCs w:val="16"/>
                <w:color w:val="auto"/>
                <w:w w:val="95"/>
              </w:rPr>
              <w:t>Income before income taxes for fiscal 2021, fiscal 2020 and fiscal 2019 includes the following components: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3"/>
        </w:trPr>
        <w:tc>
          <w:tcPr>
            <w:tcW w:w="4520" w:type="dxa"/>
            <w:vAlign w:val="bottom"/>
            <w:tcBorders>
              <w:bottom w:val="single" w:sz="8" w:color="CCEEFF"/>
            </w:tcBorders>
          </w:tcPr>
          <w:p>
            <w:pPr>
              <w:ind w:left="400"/>
              <w:spacing w:after="0"/>
              <w:rPr>
                <w:sz w:val="20"/>
                <w:szCs w:val="20"/>
                <w:color w:val="auto"/>
              </w:rPr>
            </w:pPr>
            <w:r>
              <w:rPr>
                <w:rFonts w:ascii="Arial" w:cs="Arial" w:eastAsia="Arial" w:hAnsi="Arial"/>
                <w:sz w:val="16"/>
                <w:szCs w:val="16"/>
                <w:b w:val="1"/>
                <w:bCs w:val="1"/>
                <w:color w:val="auto"/>
              </w:rPr>
              <w:t>Income before income taxes (1)</w:t>
            </w:r>
          </w:p>
        </w:tc>
        <w:tc>
          <w:tcPr>
            <w:tcW w:w="7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2019</w:t>
            </w:r>
          </w:p>
        </w:tc>
        <w:tc>
          <w:tcPr>
            <w:tcW w:w="360" w:type="dxa"/>
            <w:vAlign w:val="bottom"/>
            <w:tcBorders>
              <w:bottom w:val="single" w:sz="8" w:color="auto"/>
            </w:tcBorders>
          </w:tcPr>
          <w:p>
            <w:pPr>
              <w:spacing w:after="0"/>
              <w:rPr>
                <w:sz w:val="19"/>
                <w:szCs w:val="19"/>
                <w:color w:val="auto"/>
              </w:rPr>
            </w:pPr>
          </w:p>
        </w:tc>
      </w:tr>
      <w:tr>
        <w:trPr>
          <w:trHeight w:val="191"/>
        </w:trPr>
        <w:tc>
          <w:tcPr>
            <w:tcW w:w="45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Domestic</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508,100</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355,442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484,876</w:t>
            </w:r>
          </w:p>
        </w:tc>
      </w:tr>
      <w:tr>
        <w:trPr>
          <w:trHeight w:val="199"/>
        </w:trPr>
        <w:tc>
          <w:tcPr>
            <w:tcW w:w="45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Foreign</w:t>
            </w:r>
          </w:p>
        </w:tc>
        <w:tc>
          <w:tcPr>
            <w:tcW w:w="7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820,614</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956,175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1,000,852</w:t>
            </w:r>
          </w:p>
        </w:tc>
      </w:tr>
      <w:tr>
        <w:trPr>
          <w:trHeight w:val="215"/>
        </w:trPr>
        <w:tc>
          <w:tcPr>
            <w:tcW w:w="4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Income before income taxes</w:t>
            </w:r>
          </w:p>
        </w:tc>
        <w:tc>
          <w:tcPr>
            <w:tcW w:w="7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1,328,714</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1,311,617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1,485,728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19" w:lineRule="exact"/>
        <w:rPr>
          <w:sz w:val="20"/>
          <w:szCs w:val="20"/>
          <w:color w:val="auto"/>
        </w:rPr>
      </w:pPr>
    </w:p>
    <w:p>
      <w:pPr>
        <w:ind w:left="300" w:hanging="271"/>
        <w:spacing w:after="0"/>
        <w:tabs>
          <w:tab w:leader="none" w:pos="300" w:val="left"/>
        </w:tabs>
        <w:numPr>
          <w:ilvl w:val="0"/>
          <w:numId w:val="56"/>
        </w:numPr>
        <w:rPr>
          <w:rFonts w:ascii="Arial" w:cs="Arial" w:eastAsia="Arial" w:hAnsi="Arial"/>
          <w:sz w:val="14"/>
          <w:szCs w:val="14"/>
          <w:color w:val="auto"/>
        </w:rPr>
      </w:pPr>
      <w:r>
        <w:rPr>
          <w:rFonts w:ascii="Arial" w:cs="Arial" w:eastAsia="Arial" w:hAnsi="Arial"/>
          <w:sz w:val="16"/>
          <w:szCs w:val="16"/>
          <w:color w:val="auto"/>
        </w:rPr>
        <w:t>Income before income taxes reflects deemed intercompany royalties in all periods presented.</w:t>
      </w:r>
    </w:p>
    <w:p>
      <w:pPr>
        <w:spacing w:after="0" w:line="200" w:lineRule="exact"/>
        <w:rPr>
          <w:rFonts w:ascii="Arial" w:cs="Arial" w:eastAsia="Arial" w:hAnsi="Arial"/>
          <w:sz w:val="14"/>
          <w:szCs w:val="14"/>
          <w:color w:val="auto"/>
        </w:rPr>
      </w:pPr>
    </w:p>
    <w:p>
      <w:pPr>
        <w:spacing w:after="0" w:line="304"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components of the (benefit from) provision for income taxes for fiscal 2021, fiscal 2020 and fiscal 2019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7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4"/>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4"/>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4"/>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96"/>
        </w:trPr>
        <w:tc>
          <w:tcPr>
            <w:tcW w:w="57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Current:</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60" w:type="dxa"/>
            <w:vAlign w:val="bottom"/>
          </w:tcPr>
          <w:p>
            <w:pPr>
              <w:ind w:left="500"/>
              <w:spacing w:after="0"/>
              <w:rPr>
                <w:sz w:val="20"/>
                <w:szCs w:val="20"/>
                <w:color w:val="auto"/>
              </w:rPr>
            </w:pPr>
            <w:r>
              <w:rPr>
                <w:rFonts w:ascii="Arial" w:cs="Arial" w:eastAsia="Arial" w:hAnsi="Arial"/>
                <w:sz w:val="16"/>
                <w:szCs w:val="16"/>
                <w:color w:val="auto"/>
              </w:rPr>
              <w:t>Federal tax</w:t>
            </w:r>
          </w:p>
        </w:tc>
        <w:tc>
          <w:tcPr>
            <w:tcW w:w="7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134,652</w:t>
            </w:r>
          </w:p>
        </w:tc>
        <w:tc>
          <w:tcPr>
            <w:tcW w:w="100" w:type="dxa"/>
            <w:vAlign w:val="bottom"/>
          </w:tcPr>
          <w:p>
            <w:pPr>
              <w:spacing w:after="0"/>
              <w:rPr>
                <w:sz w:val="17"/>
                <w:szCs w:val="17"/>
                <w:color w:val="auto"/>
              </w:rPr>
            </w:pPr>
          </w:p>
        </w:tc>
        <w:tc>
          <w:tcPr>
            <w:tcW w:w="7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64,876</w:t>
            </w:r>
          </w:p>
        </w:tc>
        <w:tc>
          <w:tcPr>
            <w:tcW w:w="100" w:type="dxa"/>
            <w:vAlign w:val="bottom"/>
          </w:tcPr>
          <w:p>
            <w:pPr>
              <w:spacing w:after="0"/>
              <w:rPr>
                <w:sz w:val="17"/>
                <w:szCs w:val="17"/>
                <w:color w:val="auto"/>
              </w:rPr>
            </w:pPr>
          </w:p>
        </w:tc>
        <w:tc>
          <w:tcPr>
            <w:tcW w:w="70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74,049</w:t>
            </w: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State</w:t>
            </w: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4,882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9"/>
        </w:trPr>
        <w:tc>
          <w:tcPr>
            <w:tcW w:w="57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Foreign</w:t>
            </w: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202,790</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135,046</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139,919</w:t>
            </w:r>
          </w:p>
        </w:tc>
        <w:tc>
          <w:tcPr>
            <w:tcW w:w="0" w:type="dxa"/>
            <w:vAlign w:val="bottom"/>
          </w:tcPr>
          <w:p>
            <w:pPr>
              <w:spacing w:after="0"/>
              <w:rPr>
                <w:sz w:val="1"/>
                <w:szCs w:val="1"/>
                <w:color w:val="auto"/>
              </w:rPr>
            </w:pPr>
          </w:p>
        </w:tc>
      </w:tr>
      <w:tr>
        <w:trPr>
          <w:trHeight w:val="215"/>
        </w:trPr>
        <w:tc>
          <w:tcPr>
            <w:tcW w:w="5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current</w:t>
            </w:r>
          </w:p>
        </w:tc>
        <w:tc>
          <w:tcPr>
            <w:tcW w:w="7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345,214</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204,804</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213,970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6"/>
                <w:szCs w:val="16"/>
                <w:b w:val="1"/>
                <w:bCs w:val="1"/>
                <w:color w:val="auto"/>
              </w:rPr>
              <w:t>Deferred:</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7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Federal</w:t>
            </w: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515,541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(159,229)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(158,472)</w:t>
            </w:r>
          </w:p>
        </w:tc>
        <w:tc>
          <w:tcPr>
            <w:tcW w:w="0" w:type="dxa"/>
            <w:vAlign w:val="bottom"/>
          </w:tcPr>
          <w:p>
            <w:pPr>
              <w:spacing w:after="0"/>
              <w:rPr>
                <w:sz w:val="1"/>
                <w:szCs w:val="1"/>
                <w:color w:val="auto"/>
              </w:rPr>
            </w:pPr>
          </w:p>
        </w:tc>
      </w:tr>
      <w:tr>
        <w:trPr>
          <w:trHeight w:val="199"/>
        </w:trPr>
        <w:tc>
          <w:tcPr>
            <w:tcW w:w="5760" w:type="dxa"/>
            <w:vAlign w:val="bottom"/>
          </w:tcPr>
          <w:p>
            <w:pPr>
              <w:ind w:left="500"/>
              <w:spacing w:after="0"/>
              <w:rPr>
                <w:sz w:val="20"/>
                <w:szCs w:val="20"/>
                <w:color w:val="auto"/>
              </w:rPr>
            </w:pPr>
            <w:r>
              <w:rPr>
                <w:rFonts w:ascii="Arial" w:cs="Arial" w:eastAsia="Arial" w:hAnsi="Arial"/>
                <w:sz w:val="16"/>
                <w:szCs w:val="16"/>
                <w:color w:val="auto"/>
              </w:rPr>
              <w:t>State</w:t>
            </w: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(12,444)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(12,684)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199"/>
        </w:trPr>
        <w:tc>
          <w:tcPr>
            <w:tcW w:w="5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Foreign</w:t>
            </w:r>
          </w:p>
        </w:tc>
        <w:tc>
          <w:tcPr>
            <w:tcW w:w="7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(910,019)</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57,965</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70,846</w:t>
            </w:r>
          </w:p>
        </w:tc>
        <w:tc>
          <w:tcPr>
            <w:tcW w:w="0" w:type="dxa"/>
            <w:vAlign w:val="bottom"/>
          </w:tcPr>
          <w:p>
            <w:pPr>
              <w:spacing w:after="0"/>
              <w:rPr>
                <w:sz w:val="1"/>
                <w:szCs w:val="1"/>
                <w:color w:val="auto"/>
              </w:rPr>
            </w:pPr>
          </w:p>
        </w:tc>
      </w:tr>
      <w:tr>
        <w:trPr>
          <w:trHeight w:val="190"/>
        </w:trPr>
        <w:tc>
          <w:tcPr>
            <w:tcW w:w="5760" w:type="dxa"/>
            <w:vAlign w:val="bottom"/>
          </w:tcPr>
          <w:p>
            <w:pPr>
              <w:ind w:left="680"/>
              <w:spacing w:after="0"/>
              <w:rPr>
                <w:sz w:val="20"/>
                <w:szCs w:val="20"/>
                <w:color w:val="auto"/>
              </w:rPr>
            </w:pPr>
            <w:r>
              <w:rPr>
                <w:rFonts w:ascii="Arial" w:cs="Arial" w:eastAsia="Arial" w:hAnsi="Arial"/>
                <w:sz w:val="16"/>
                <w:szCs w:val="16"/>
                <w:color w:val="auto"/>
              </w:rPr>
              <w:t>Total deferred</w:t>
            </w: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(406,922)</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(113,948)</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(91,253)</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(Benefit from) provision for income tax</w:t>
            </w:r>
          </w:p>
        </w:tc>
        <w:tc>
          <w:tcPr>
            <w:tcW w:w="7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(61,708)</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90,856</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122,717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60" w:firstLine="386"/>
        <w:spacing w:after="0" w:line="307" w:lineRule="auto"/>
        <w:rPr>
          <w:sz w:val="20"/>
          <w:szCs w:val="20"/>
          <w:color w:val="auto"/>
        </w:rPr>
      </w:pPr>
      <w:r>
        <w:rPr>
          <w:rFonts w:ascii="Arial" w:cs="Arial" w:eastAsia="Arial" w:hAnsi="Arial"/>
          <w:sz w:val="14"/>
          <w:szCs w:val="14"/>
          <w:color w:val="auto"/>
        </w:rPr>
        <w:t>U.S. Tax Legislation subjects a U.S. shareholder to tax on global intangible low-taxed income (GILTI). Under U.S. GAAP, an accounting policy election can be made to either treat taxes due on the GILTI inclusion as a current period expense or to recognize deferred taxes for temporary basis differences expected to reverse as GILTI in future years. The Company elected the deferral method and recorded the corresponding GILTI deferred tax assets and liabilities on its Consolidated Balance Sheets.</w:t>
      </w:r>
    </w:p>
    <w:p>
      <w:pPr>
        <w:spacing w:after="0" w:line="84" w:lineRule="exact"/>
        <w:rPr>
          <w:sz w:val="20"/>
          <w:szCs w:val="20"/>
          <w:color w:val="auto"/>
        </w:rPr>
      </w:pPr>
    </w:p>
    <w:p>
      <w:pPr>
        <w:ind w:right="100" w:firstLine="386"/>
        <w:spacing w:after="0" w:line="248" w:lineRule="auto"/>
        <w:rPr>
          <w:sz w:val="20"/>
          <w:szCs w:val="20"/>
          <w:color w:val="auto"/>
        </w:rPr>
      </w:pPr>
      <w:r>
        <w:rPr>
          <w:rFonts w:ascii="Arial" w:cs="Arial" w:eastAsia="Arial" w:hAnsi="Arial"/>
          <w:sz w:val="16"/>
          <w:szCs w:val="16"/>
          <w:color w:val="auto"/>
        </w:rPr>
        <w:t>The Company carries other outside basis differences in its subsidiaries, primarily arising from acquisition accounting adjustments and certain undistributed earnings that are considered indefinitely reinvested. As of October 30, 2021, the Company has not recognized deferred income tax on $33.6 billion of outside basis differences because of its intent and ability to indefinitely reinvest these basis differences. These basis differences could be reversed through a sale of the subsidiaries or the receipt of dividends from the subsidiaries, as well as various other events, none of which are considered probable at this time. Determination of the amount of unrecognized deferred income tax liability related to these outside basis differences is not practicable.</w:t>
      </w:r>
    </w:p>
    <w:p>
      <w:pPr>
        <w:spacing w:after="0" w:line="90" w:lineRule="exact"/>
        <w:rPr>
          <w:sz w:val="20"/>
          <w:szCs w:val="20"/>
          <w:color w:val="auto"/>
        </w:rPr>
      </w:pPr>
    </w:p>
    <w:p>
      <w:pPr>
        <w:ind w:right="40" w:firstLine="386"/>
        <w:spacing w:after="0" w:line="248" w:lineRule="auto"/>
        <w:rPr>
          <w:sz w:val="20"/>
          <w:szCs w:val="20"/>
          <w:color w:val="auto"/>
        </w:rPr>
      </w:pPr>
      <w:r>
        <w:rPr>
          <w:rFonts w:ascii="Arial" w:cs="Arial" w:eastAsia="Arial" w:hAnsi="Arial"/>
          <w:sz w:val="16"/>
          <w:szCs w:val="16"/>
          <w:color w:val="auto"/>
        </w:rPr>
        <w:t xml:space="preserve">The Company adopted ASU 2016-16, </w:t>
      </w:r>
      <w:r>
        <w:rPr>
          <w:rFonts w:ascii="Arial" w:cs="Arial" w:eastAsia="Arial" w:hAnsi="Arial"/>
          <w:sz w:val="16"/>
          <w:szCs w:val="16"/>
          <w:i w:val="1"/>
          <w:iCs w:val="1"/>
          <w:color w:val="auto"/>
        </w:rPr>
        <w:t>Intra-Entity Transfers of Assets Other Than Inventory</w:t>
      </w:r>
      <w:r>
        <w:rPr>
          <w:rFonts w:ascii="Arial" w:cs="Arial" w:eastAsia="Arial" w:hAnsi="Arial"/>
          <w:sz w:val="16"/>
          <w:szCs w:val="16"/>
          <w:color w:val="auto"/>
        </w:rPr>
        <w:t xml:space="preserve"> (ASU 2016-16) in the first quarter of fiscal 2019 using the modified retrospective method with a cumulative-effect adjustment directly to retained earnings. The adoption of ASU 2016-16 resulted in a net cumulative-effect adjustment that resulted in an increase in retained earnings of $331.0 million, by recording new deferred tax assets from intra-entity transfers involving assets other than inventory, partially offset by a U.S. deferred tax liability related to GILTI. Adoption of the standard resulted in an increase in long-term deferred tax assets of $1.7 billion and an increase in long-term deferred tax liabilities of $1.3 billion.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significant components of the Company’s deferred tax assets and liabilities for fiscal 2021 and fiscal 2020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5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2"/>
                <w:szCs w:val="12"/>
                <w:b w:val="1"/>
                <w:bCs w:val="1"/>
                <w:color w:val="auto"/>
              </w:rPr>
              <w:t>2021</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2020</w:t>
            </w:r>
          </w:p>
        </w:tc>
      </w:tr>
      <w:tr>
        <w:trPr>
          <w:trHeight w:val="196"/>
        </w:trPr>
        <w:tc>
          <w:tcPr>
            <w:tcW w:w="75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Deferred tax assets:</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9"/>
        </w:trPr>
        <w:tc>
          <w:tcPr>
            <w:tcW w:w="7560" w:type="dxa"/>
            <w:vAlign w:val="bottom"/>
          </w:tcPr>
          <w:p>
            <w:pPr>
              <w:ind w:left="500"/>
              <w:spacing w:after="0"/>
              <w:rPr>
                <w:sz w:val="20"/>
                <w:szCs w:val="20"/>
                <w:color w:val="auto"/>
              </w:rPr>
            </w:pPr>
            <w:r>
              <w:rPr>
                <w:rFonts w:ascii="Arial" w:cs="Arial" w:eastAsia="Arial" w:hAnsi="Arial"/>
                <w:sz w:val="16"/>
                <w:szCs w:val="16"/>
                <w:color w:val="auto"/>
              </w:rPr>
              <w:t>Inventory reserves</w:t>
            </w:r>
          </w:p>
        </w:tc>
        <w:tc>
          <w:tcPr>
            <w:tcW w:w="7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17,074</w:t>
            </w:r>
          </w:p>
        </w:tc>
      </w:tr>
      <w:tr>
        <w:trPr>
          <w:trHeight w:val="199"/>
        </w:trPr>
        <w:tc>
          <w:tcPr>
            <w:tcW w:w="75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Reserves for compensation and benefits</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64,274</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54,428</w:t>
            </w:r>
          </w:p>
        </w:tc>
      </w:tr>
      <w:tr>
        <w:trPr>
          <w:trHeight w:val="199"/>
        </w:trPr>
        <w:tc>
          <w:tcPr>
            <w:tcW w:w="7560" w:type="dxa"/>
            <w:vAlign w:val="bottom"/>
          </w:tcPr>
          <w:p>
            <w:pPr>
              <w:ind w:left="500"/>
              <w:spacing w:after="0"/>
              <w:rPr>
                <w:sz w:val="20"/>
                <w:szCs w:val="20"/>
                <w:color w:val="auto"/>
              </w:rPr>
            </w:pPr>
            <w:r>
              <w:rPr>
                <w:rFonts w:ascii="Arial" w:cs="Arial" w:eastAsia="Arial" w:hAnsi="Arial"/>
                <w:sz w:val="16"/>
                <w:szCs w:val="16"/>
                <w:color w:val="auto"/>
              </w:rPr>
              <w:t>Tax credit carryovers</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295,345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163,507</w:t>
            </w:r>
          </w:p>
        </w:tc>
      </w:tr>
      <w:tr>
        <w:trPr>
          <w:trHeight w:val="199"/>
        </w:trPr>
        <w:tc>
          <w:tcPr>
            <w:tcW w:w="75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12,758</w:t>
            </w:r>
          </w:p>
        </w:tc>
      </w:tr>
      <w:tr>
        <w:trPr>
          <w:trHeight w:val="199"/>
        </w:trPr>
        <w:tc>
          <w:tcPr>
            <w:tcW w:w="7560" w:type="dxa"/>
            <w:vAlign w:val="bottom"/>
          </w:tcPr>
          <w:p>
            <w:pPr>
              <w:ind w:left="500"/>
              <w:spacing w:after="0"/>
              <w:rPr>
                <w:sz w:val="20"/>
                <w:szCs w:val="20"/>
                <w:color w:val="auto"/>
              </w:rPr>
            </w:pPr>
            <w:r>
              <w:rPr>
                <w:rFonts w:ascii="Arial" w:cs="Arial" w:eastAsia="Arial" w:hAnsi="Arial"/>
                <w:sz w:val="16"/>
                <w:szCs w:val="16"/>
                <w:color w:val="auto"/>
              </w:rPr>
              <w:t>Net operating losses</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62,876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8,546</w:t>
            </w:r>
          </w:p>
        </w:tc>
      </w:tr>
      <w:tr>
        <w:trPr>
          <w:trHeight w:val="199"/>
        </w:trPr>
        <w:tc>
          <w:tcPr>
            <w:tcW w:w="75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Intra-entity transfer of intangible assets</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2,002,041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1,479,944</w:t>
            </w:r>
          </w:p>
        </w:tc>
      </w:tr>
      <w:tr>
        <w:trPr>
          <w:trHeight w:val="199"/>
        </w:trPr>
        <w:tc>
          <w:tcPr>
            <w:tcW w:w="7560" w:type="dxa"/>
            <w:vAlign w:val="bottom"/>
          </w:tcPr>
          <w:p>
            <w:pPr>
              <w:ind w:left="500"/>
              <w:spacing w:after="0"/>
              <w:rPr>
                <w:sz w:val="20"/>
                <w:szCs w:val="20"/>
                <w:color w:val="auto"/>
              </w:rPr>
            </w:pPr>
            <w:r>
              <w:rPr>
                <w:rFonts w:ascii="Arial" w:cs="Arial" w:eastAsia="Arial" w:hAnsi="Arial"/>
                <w:sz w:val="16"/>
                <w:szCs w:val="16"/>
                <w:color w:val="auto"/>
              </w:rPr>
              <w:t>Lease liability</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60,954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55,250</w:t>
            </w:r>
          </w:p>
        </w:tc>
      </w:tr>
      <w:tr>
        <w:trPr>
          <w:trHeight w:val="199"/>
        </w:trPr>
        <w:tc>
          <w:tcPr>
            <w:tcW w:w="75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248,075</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159,838</w:t>
            </w:r>
          </w:p>
        </w:tc>
      </w:tr>
      <w:tr>
        <w:trPr>
          <w:trHeight w:val="190"/>
        </w:trPr>
        <w:tc>
          <w:tcPr>
            <w:tcW w:w="7560" w:type="dxa"/>
            <w:vAlign w:val="bottom"/>
          </w:tcPr>
          <w:p>
            <w:pPr>
              <w:ind w:left="680"/>
              <w:spacing w:after="0"/>
              <w:rPr>
                <w:sz w:val="20"/>
                <w:szCs w:val="20"/>
                <w:color w:val="auto"/>
              </w:rPr>
            </w:pPr>
            <w:r>
              <w:rPr>
                <w:rFonts w:ascii="Arial" w:cs="Arial" w:eastAsia="Arial" w:hAnsi="Arial"/>
                <w:sz w:val="16"/>
                <w:szCs w:val="16"/>
                <w:color w:val="auto"/>
              </w:rPr>
              <w:t>Total gross deferred tax assets</w:t>
            </w:r>
          </w:p>
        </w:tc>
        <w:tc>
          <w:tcPr>
            <w:tcW w:w="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2,760,106</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1,951,345</w:t>
            </w:r>
          </w:p>
        </w:tc>
      </w:tr>
      <w:tr>
        <w:trPr>
          <w:trHeight w:val="199"/>
        </w:trPr>
        <w:tc>
          <w:tcPr>
            <w:tcW w:w="75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Valuation allowance</w:t>
            </w:r>
          </w:p>
        </w:tc>
        <w:tc>
          <w:tcPr>
            <w:tcW w:w="7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(315,434)</w:t>
            </w:r>
          </w:p>
        </w:tc>
        <w:tc>
          <w:tcPr>
            <w:tcW w:w="1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(154,130)</w:t>
            </w:r>
          </w:p>
        </w:tc>
      </w:tr>
      <w:tr>
        <w:trPr>
          <w:trHeight w:val="190"/>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deferred tax assets</w:t>
            </w: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2,444,672</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1,797,215</w:t>
            </w:r>
          </w:p>
        </w:tc>
      </w:tr>
      <w:tr>
        <w:trPr>
          <w:trHeight w:val="190"/>
        </w:trPr>
        <w:tc>
          <w:tcPr>
            <w:tcW w:w="7560" w:type="dxa"/>
            <w:vAlign w:val="bottom"/>
            <w:shd w:val="clear" w:color="auto" w:fill="CCEEFF"/>
          </w:tcPr>
          <w:p>
            <w:pPr>
              <w:ind w:left="400"/>
              <w:spacing w:after="0"/>
              <w:rPr>
                <w:sz w:val="20"/>
                <w:szCs w:val="20"/>
                <w:color w:val="auto"/>
              </w:rPr>
            </w:pPr>
            <w:r>
              <w:rPr>
                <w:rFonts w:ascii="Arial" w:cs="Arial" w:eastAsia="Arial" w:hAnsi="Arial"/>
                <w:sz w:val="16"/>
                <w:szCs w:val="16"/>
                <w:b w:val="1"/>
                <w:bCs w:val="1"/>
                <w:color w:val="auto"/>
              </w:rPr>
              <w:t>Deferred tax liabilities:</w:t>
            </w:r>
          </w:p>
        </w:tc>
        <w:tc>
          <w:tcPr>
            <w:tcW w:w="7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9"/>
        </w:trPr>
        <w:tc>
          <w:tcPr>
            <w:tcW w:w="7560" w:type="dxa"/>
            <w:vAlign w:val="bottom"/>
          </w:tcPr>
          <w:p>
            <w:pPr>
              <w:ind w:left="500"/>
              <w:spacing w:after="0"/>
              <w:rPr>
                <w:sz w:val="20"/>
                <w:szCs w:val="20"/>
                <w:color w:val="auto"/>
              </w:rPr>
            </w:pPr>
            <w:r>
              <w:rPr>
                <w:rFonts w:ascii="Arial" w:cs="Arial" w:eastAsia="Arial" w:hAnsi="Arial"/>
                <w:sz w:val="16"/>
                <w:szCs w:val="16"/>
                <w:color w:val="auto"/>
              </w:rPr>
              <w:t>Inventory reserves</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(18,570)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199"/>
        </w:trPr>
        <w:tc>
          <w:tcPr>
            <w:tcW w:w="75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Depreciation</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(91,846)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(7,409)</w:t>
            </w:r>
          </w:p>
        </w:tc>
      </w:tr>
      <w:tr>
        <w:trPr>
          <w:trHeight w:val="199"/>
        </w:trPr>
        <w:tc>
          <w:tcPr>
            <w:tcW w:w="7560" w:type="dxa"/>
            <w:vAlign w:val="bottom"/>
          </w:tcPr>
          <w:p>
            <w:pPr>
              <w:ind w:left="500"/>
              <w:spacing w:after="0"/>
              <w:rPr>
                <w:sz w:val="20"/>
                <w:szCs w:val="20"/>
                <w:color w:val="auto"/>
              </w:rPr>
            </w:pPr>
            <w:r>
              <w:rPr>
                <w:rFonts w:ascii="Arial" w:cs="Arial" w:eastAsia="Arial" w:hAnsi="Arial"/>
                <w:sz w:val="16"/>
                <w:szCs w:val="16"/>
                <w:color w:val="auto"/>
              </w:rPr>
              <w:t>Deferred GILTI tax liabilities</w:t>
            </w: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(3,059,919)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(1,183,955)</w:t>
            </w:r>
          </w:p>
        </w:tc>
      </w:tr>
      <w:tr>
        <w:trPr>
          <w:trHeight w:val="199"/>
        </w:trPr>
        <w:tc>
          <w:tcPr>
            <w:tcW w:w="75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Right of use asset</w:t>
            </w: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(53,686)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(51,055)</w:t>
            </w:r>
          </w:p>
        </w:tc>
      </w:tr>
      <w:tr>
        <w:trPr>
          <w:trHeight w:val="199"/>
        </w:trPr>
        <w:tc>
          <w:tcPr>
            <w:tcW w:w="75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Acquisition-related intangible</w:t>
            </w: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(892,212)</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(971,327)</w:t>
            </w:r>
          </w:p>
        </w:tc>
      </w:tr>
      <w:tr>
        <w:trPr>
          <w:trHeight w:val="190"/>
        </w:trPr>
        <w:tc>
          <w:tcPr>
            <w:tcW w:w="75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gross deferred tax liabilities</w:t>
            </w:r>
          </w:p>
        </w:tc>
        <w:tc>
          <w:tcPr>
            <w:tcW w:w="7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(4,116,233)</w:t>
            </w:r>
          </w:p>
        </w:tc>
        <w:tc>
          <w:tcPr>
            <w:tcW w:w="12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(2,213,746)</w:t>
            </w:r>
          </w:p>
        </w:tc>
      </w:tr>
      <w:tr>
        <w:trPr>
          <w:trHeight w:val="190"/>
        </w:trPr>
        <w:tc>
          <w:tcPr>
            <w:tcW w:w="7560" w:type="dxa"/>
            <w:vAlign w:val="bottom"/>
          </w:tcPr>
          <w:p>
            <w:pPr>
              <w:ind w:left="960"/>
              <w:spacing w:after="0"/>
              <w:rPr>
                <w:sz w:val="20"/>
                <w:szCs w:val="20"/>
                <w:color w:val="auto"/>
              </w:rPr>
            </w:pPr>
            <w:r>
              <w:rPr>
                <w:rFonts w:ascii="Arial" w:cs="Arial" w:eastAsia="Arial" w:hAnsi="Arial"/>
                <w:sz w:val="16"/>
                <w:szCs w:val="16"/>
                <w:color w:val="auto"/>
              </w:rPr>
              <w:t>Net deferred tax liabilities</w:t>
            </w: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(1,671,561)</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(416,531)</w:t>
            </w:r>
          </w:p>
        </w:tc>
      </w:tr>
      <w:tr>
        <w:trPr>
          <w:trHeight w:val="20"/>
        </w:trPr>
        <w:tc>
          <w:tcPr>
            <w:tcW w:w="75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firstLine="386"/>
        <w:spacing w:after="0" w:line="250" w:lineRule="auto"/>
        <w:rPr>
          <w:sz w:val="20"/>
          <w:szCs w:val="20"/>
          <w:color w:val="auto"/>
        </w:rPr>
      </w:pPr>
      <w:r>
        <w:rPr>
          <w:rFonts w:ascii="Arial" w:cs="Arial" w:eastAsia="Arial" w:hAnsi="Arial"/>
          <w:sz w:val="16"/>
          <w:szCs w:val="16"/>
          <w:color w:val="auto"/>
        </w:rPr>
        <w:t>The valuation allowances of $315.4 million and $154.1 million as of October 30, 2021 and October 31, 2020, respectively, are valuation allowances primarily for the Company’s foreign net operating loss and international credit carryforwards with additional amounts from the Acquisition for federal, state and international net operating losses and R&amp;D credit carryforwards. The Company believes that it is more-likely-than-not that these credit carryovers will not be realized and as a result has recorded a partial valuation allowance.</w:t>
      </w:r>
    </w:p>
    <w:p>
      <w:pPr>
        <w:spacing w:after="0" w:line="87" w:lineRule="exact"/>
        <w:rPr>
          <w:sz w:val="20"/>
          <w:szCs w:val="20"/>
          <w:color w:val="auto"/>
        </w:rPr>
      </w:pPr>
    </w:p>
    <w:p>
      <w:pPr>
        <w:jc w:val="both"/>
        <w:ind w:firstLine="386"/>
        <w:spacing w:after="0" w:line="253" w:lineRule="auto"/>
        <w:rPr>
          <w:sz w:val="20"/>
          <w:szCs w:val="20"/>
          <w:color w:val="auto"/>
        </w:rPr>
      </w:pPr>
      <w:r>
        <w:rPr>
          <w:rFonts w:ascii="Arial" w:cs="Arial" w:eastAsia="Arial" w:hAnsi="Arial"/>
          <w:sz w:val="16"/>
          <w:szCs w:val="16"/>
          <w:color w:val="auto"/>
        </w:rPr>
        <w:t>The federal and state net operating losses of $137.5 million will begin to expire in fiscal 2022 while foreign net operating loss carryovers of $165.0 million have no expiration date. There are also $276.2 million of state credit carryovers and $14.2 million of foreign investment tax credit carryovers that begin to expire in the fiscal year ending November 1, 2025.</w:t>
      </w:r>
    </w:p>
    <w:p>
      <w:pPr>
        <w:spacing w:after="0" w:line="96" w:lineRule="exact"/>
        <w:rPr>
          <w:sz w:val="20"/>
          <w:szCs w:val="20"/>
          <w:color w:val="auto"/>
        </w:rPr>
      </w:pPr>
    </w:p>
    <w:p>
      <w:pPr>
        <w:ind w:right="60" w:firstLine="386"/>
        <w:spacing w:after="0" w:line="248" w:lineRule="auto"/>
        <w:rPr>
          <w:sz w:val="20"/>
          <w:szCs w:val="20"/>
          <w:color w:val="auto"/>
        </w:rPr>
      </w:pPr>
      <w:r>
        <w:rPr>
          <w:rFonts w:ascii="Arial" w:cs="Arial" w:eastAsia="Arial" w:hAnsi="Arial"/>
          <w:sz w:val="16"/>
          <w:szCs w:val="16"/>
          <w:color w:val="auto"/>
        </w:rPr>
        <w:t>As of October 30, 2021 and October 31, 2020, the Company had gross unrealized tax benefits of $132.5 million and $21.3 million, respectively, which if settled in the Company's favor, would lower the Company's effective tax rate in the period recorded. Liabilities for uncertain tax benefits are classified as non-current because the Company believes that the ultimate payment or settlement of these liabilities may not occur within the next twelve months. As of October 30, 2021 and October 31, 2020, the Company had a liability of approximately $38.0 million and $3.4 million, respectively, for interest and penalties, which is included within the (benefit from) provision for taxes in the Consolidated Statements of Income.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4" w:name="page85"/>
    <w:bookmarkEnd w:id="84"/>
    <w:p>
      <w:pPr>
        <w:jc w:val="center"/>
        <w:ind w:right="20"/>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changes in the total amounts of unrealized tax benefits for fiscal 2019 through fiscal 2021:</w:t>
      </w:r>
    </w:p>
    <w:p>
      <w:pPr>
        <w:spacing w:after="0" w:line="31" w:lineRule="exact"/>
        <w:rPr>
          <w:sz w:val="20"/>
          <w:szCs w:val="20"/>
          <w:color w:val="auto"/>
        </w:rPr>
      </w:pPr>
    </w:p>
    <w:p>
      <w:pPr>
        <w:jc w:val="right"/>
        <w:ind w:right="480"/>
        <w:spacing w:after="0"/>
        <w:rPr>
          <w:sz w:val="20"/>
          <w:szCs w:val="20"/>
          <w:color w:val="auto"/>
        </w:rPr>
      </w:pPr>
      <w:r>
        <w:rPr>
          <w:rFonts w:ascii="Arial" w:cs="Arial" w:eastAsia="Arial" w:hAnsi="Arial"/>
          <w:sz w:val="12"/>
          <w:szCs w:val="12"/>
          <w:b w:val="1"/>
          <w:bCs w:val="1"/>
          <w:color w:val="auto"/>
        </w:rPr>
        <w:t>Unrealized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28510" cy="133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8510" cy="13335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p>
      <w:pPr>
        <w:spacing w:after="0" w:line="4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Balance, November 3, 2018</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Additions for tax positions related to current year</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Additions for tax positions related to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28510" cy="1263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8510" cy="12636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4"/>
          <w:szCs w:val="14"/>
          <w:color w:val="auto"/>
        </w:rPr>
        <w:t>Reductions due to lapse of applicable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28510" cy="133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8510" cy="133350"/>
                    </a:xfrm>
                    <a:prstGeom prst="rect">
                      <a:avLst/>
                    </a:prstGeom>
                    <a:noFill/>
                  </pic:spPr>
                </pic:pic>
              </a:graphicData>
            </a:graphic>
          </wp:anchor>
        </w:drawing>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Balance, November 2, 2019</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Additions for tax positions related to current year</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Reductions for tax positions related to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28510" cy="126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8510" cy="12636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4"/>
          <w:szCs w:val="14"/>
          <w:color w:val="auto"/>
        </w:rPr>
        <w:t>Reductions due to lapse of applicable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28510" cy="133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8510" cy="133350"/>
                    </a:xfrm>
                    <a:prstGeom prst="rect">
                      <a:avLst/>
                    </a:prstGeom>
                    <a:noFill/>
                  </pic:spPr>
                </pic:pic>
              </a:graphicData>
            </a:graphic>
          </wp:anchor>
        </w:drawing>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Balance, October 31, 2020</w:t>
      </w:r>
    </w:p>
    <w:p>
      <w:pPr>
        <w:spacing w:after="0" w:line="1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Additions for tax positions related to current year</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Additions for tax positions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28510" cy="1263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8510" cy="12636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6"/>
          <w:szCs w:val="16"/>
          <w:color w:val="auto"/>
        </w:rPr>
        <w:t>Additions for tax positions related to prior years</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Reductions due to lapse of applicable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128510" cy="1263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8510" cy="126365"/>
                    </a:xfrm>
                    <a:prstGeom prst="rect">
                      <a:avLst/>
                    </a:prstGeom>
                    <a:noFill/>
                  </pic:spPr>
                </pic:pic>
              </a:graphicData>
            </a:graphic>
          </wp:anchor>
        </w:drawing>
      </w:r>
    </w:p>
    <w:p>
      <w:pPr>
        <w:spacing w:after="0" w:line="2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Balance, October 30, 2021</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22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13,256</w:t>
            </w:r>
          </w:p>
        </w:tc>
      </w:tr>
      <w:tr>
        <w:trPr>
          <w:trHeight w:val="190"/>
        </w:trPr>
        <w:tc>
          <w:tcPr>
            <w:tcW w:w="1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3,398</w:t>
            </w:r>
          </w:p>
        </w:tc>
      </w:tr>
      <w:tr>
        <w:trPr>
          <w:trHeight w:val="199"/>
        </w:trPr>
        <w:tc>
          <w:tcPr>
            <w:tcW w:w="1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18,613</w:t>
            </w:r>
          </w:p>
        </w:tc>
      </w:tr>
      <w:tr>
        <w:trPr>
          <w:trHeight w:val="199"/>
        </w:trPr>
        <w:tc>
          <w:tcPr>
            <w:tcW w:w="1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r>
      <w:tr>
        <w:trPr>
          <w:trHeight w:val="190"/>
        </w:trPr>
        <w:tc>
          <w:tcPr>
            <w:tcW w:w="1220" w:type="dxa"/>
            <w:vAlign w:val="bottom"/>
          </w:tcPr>
          <w:p>
            <w:pPr>
              <w:jc w:val="right"/>
              <w:ind w:right="662"/>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34,343</w:t>
            </w:r>
          </w:p>
        </w:tc>
      </w:tr>
      <w:tr>
        <w:trPr>
          <w:trHeight w:val="199"/>
        </w:trPr>
        <w:tc>
          <w:tcPr>
            <w:tcW w:w="1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3,270</w:t>
            </w:r>
          </w:p>
        </w:tc>
      </w:tr>
      <w:tr>
        <w:trPr>
          <w:trHeight w:val="199"/>
        </w:trPr>
        <w:tc>
          <w:tcPr>
            <w:tcW w:w="1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(16,152)</w:t>
            </w:r>
          </w:p>
        </w:tc>
      </w:tr>
      <w:tr>
        <w:trPr>
          <w:trHeight w:val="199"/>
        </w:trPr>
        <w:tc>
          <w:tcPr>
            <w:tcW w:w="1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190"/>
        </w:trPr>
        <w:tc>
          <w:tcPr>
            <w:tcW w:w="1220" w:type="dxa"/>
            <w:vAlign w:val="bottom"/>
          </w:tcPr>
          <w:p>
            <w:pPr>
              <w:jc w:val="right"/>
              <w:ind w:right="662"/>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21,291</w:t>
            </w:r>
          </w:p>
        </w:tc>
      </w:tr>
      <w:tr>
        <w:trPr>
          <w:trHeight w:val="199"/>
        </w:trPr>
        <w:tc>
          <w:tcPr>
            <w:tcW w:w="1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4,713</w:t>
            </w:r>
          </w:p>
        </w:tc>
      </w:tr>
      <w:tr>
        <w:trPr>
          <w:trHeight w:val="199"/>
        </w:trPr>
        <w:tc>
          <w:tcPr>
            <w:tcW w:w="1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91,179</w:t>
            </w:r>
          </w:p>
        </w:tc>
      </w:tr>
      <w:tr>
        <w:trPr>
          <w:trHeight w:val="199"/>
        </w:trPr>
        <w:tc>
          <w:tcPr>
            <w:tcW w:w="1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19,790</w:t>
            </w:r>
          </w:p>
        </w:tc>
      </w:tr>
      <w:tr>
        <w:trPr>
          <w:trHeight w:val="199"/>
        </w:trPr>
        <w:tc>
          <w:tcPr>
            <w:tcW w:w="1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(4,452)</w:t>
            </w:r>
          </w:p>
        </w:tc>
      </w:tr>
      <w:tr>
        <w:trPr>
          <w:trHeight w:val="191"/>
        </w:trPr>
        <w:tc>
          <w:tcPr>
            <w:tcW w:w="12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132,521</w:t>
            </w:r>
          </w:p>
        </w:tc>
      </w:tr>
    </w:tbl>
    <w:p>
      <w:pPr>
        <w:spacing w:after="0" w:line="175" w:lineRule="exact"/>
        <w:rPr>
          <w:sz w:val="20"/>
          <w:szCs w:val="20"/>
          <w:color w:val="auto"/>
        </w:rPr>
      </w:pPr>
    </w:p>
    <w:p>
      <w:pPr>
        <w:sectPr>
          <w:pgSz w:w="11900" w:h="16838" w:orient="portrait"/>
          <w:cols w:equalWidth="0" w:num="2">
            <w:col w:w="7980" w:space="720"/>
            <w:col w:w="2560"/>
          </w:cols>
          <w:pgMar w:left="320" w:top="123" w:right="319" w:bottom="1440" w:gutter="0" w:footer="0" w:header="0"/>
          <w:type w:val="continuous"/>
        </w:sectPr>
      </w:pPr>
    </w:p>
    <w:p>
      <w:pPr>
        <w:ind w:right="320" w:firstLine="351"/>
        <w:spacing w:after="0" w:line="263" w:lineRule="auto"/>
        <w:rPr>
          <w:sz w:val="20"/>
          <w:szCs w:val="20"/>
          <w:color w:val="auto"/>
        </w:rPr>
      </w:pPr>
      <w:r>
        <w:rPr>
          <w:rFonts w:ascii="Arial" w:cs="Arial" w:eastAsia="Arial" w:hAnsi="Arial"/>
          <w:sz w:val="16"/>
          <w:szCs w:val="16"/>
          <w:color w:val="auto"/>
        </w:rPr>
        <w:t>In fiscal 2019, the Company reflected an unrealized tax benefit related to a refund claim of $11.4 million on a recently filed amended tax return that was previously under review by the Joint Committee on Taxation.</w:t>
      </w:r>
    </w:p>
    <w:p>
      <w:pPr>
        <w:spacing w:after="0" w:line="88" w:lineRule="exact"/>
        <w:rPr>
          <w:sz w:val="20"/>
          <w:szCs w:val="20"/>
          <w:color w:val="auto"/>
        </w:rPr>
      </w:pPr>
    </w:p>
    <w:p>
      <w:pPr>
        <w:ind w:right="320" w:firstLine="351"/>
        <w:spacing w:after="0" w:line="253" w:lineRule="auto"/>
        <w:rPr>
          <w:sz w:val="20"/>
          <w:szCs w:val="20"/>
          <w:color w:val="auto"/>
        </w:rPr>
      </w:pPr>
      <w:r>
        <w:rPr>
          <w:rFonts w:ascii="Arial" w:cs="Arial" w:eastAsia="Arial" w:hAnsi="Arial"/>
          <w:sz w:val="16"/>
          <w:szCs w:val="16"/>
          <w:color w:val="auto"/>
        </w:rPr>
        <w:t>In fiscal 2020, the Company released reserves of $18.6 million, which included accrued interest as a result of the resolution of the amended tax return that was previously under review by the Joint Committee on Taxation, combined with other tax positions resolved by the closing of the Internal Revenue Service audit of Linear’s pre-acquisition federal income tax returns for fiscal 2015 through fiscal 2017.</w:t>
      </w:r>
    </w:p>
    <w:p>
      <w:pPr>
        <w:spacing w:after="0" w:line="85" w:lineRule="exact"/>
        <w:rPr>
          <w:sz w:val="20"/>
          <w:szCs w:val="20"/>
          <w:color w:val="auto"/>
        </w:rPr>
      </w:pPr>
    </w:p>
    <w:p>
      <w:pPr>
        <w:ind w:right="160" w:firstLine="351"/>
        <w:spacing w:after="0" w:line="297" w:lineRule="auto"/>
        <w:rPr>
          <w:sz w:val="20"/>
          <w:szCs w:val="20"/>
          <w:color w:val="auto"/>
        </w:rPr>
      </w:pPr>
      <w:r>
        <w:rPr>
          <w:rFonts w:ascii="Arial" w:cs="Arial" w:eastAsia="Arial" w:hAnsi="Arial"/>
          <w:sz w:val="14"/>
          <w:szCs w:val="14"/>
          <w:color w:val="auto"/>
        </w:rPr>
        <w:t>In fiscal 2021, the Company acquired $125.5 million in reserves as part of the Acquisition consisting of $91.2 million in tax and $34.3 million in accrued interest. The Company engages in continuous discussions and negotiations with tax authorities regarding tax matters in various jurisdictions. It is reasonably possible that the balance of gross unrecognized tax benefits, including accrued interest and penalties, could decrease up to $125.9 million within the next twelve months due to the completion of federal tax audits, including any administrative appeals. The $125.9 million primarily relates to matters involving federal taxation of international income and cross-border transactions.</w:t>
      </w:r>
    </w:p>
    <w:p>
      <w:pPr>
        <w:spacing w:after="0" w:line="57" w:lineRule="exact"/>
        <w:rPr>
          <w:sz w:val="20"/>
          <w:szCs w:val="20"/>
          <w:color w:val="auto"/>
        </w:rPr>
      </w:pPr>
    </w:p>
    <w:p>
      <w:pPr>
        <w:jc w:val="both"/>
        <w:ind w:firstLine="351"/>
        <w:spacing w:after="0" w:line="307" w:lineRule="auto"/>
        <w:rPr>
          <w:sz w:val="20"/>
          <w:szCs w:val="20"/>
          <w:color w:val="auto"/>
        </w:rPr>
      </w:pPr>
      <w:r>
        <w:rPr>
          <w:rFonts w:ascii="Arial" w:cs="Arial" w:eastAsia="Arial" w:hAnsi="Arial"/>
          <w:sz w:val="14"/>
          <w:szCs w:val="14"/>
          <w:color w:val="auto"/>
        </w:rPr>
        <w:t>The Company has numerous audits ongoing at any time throughout the world including: an IRS income tax audit for fiscal 2019 and fiscal 2018, a pre-acquisition IRS income tax audit related to Maxim for Maxim's fiscal years ended June 27, 2015 through June 24, 2017, various U.S. state and local tax audits and international audits. The Company’s U.S. federal tax returns prior to fiscal 2018 are no longer subject to examination, except for the Maxim pre-Acquisition fiscal years 2015 to 2017 noted above.</w:t>
      </w:r>
    </w:p>
    <w:p>
      <w:pPr>
        <w:spacing w:after="0" w:line="60" w:lineRule="exact"/>
        <w:rPr>
          <w:sz w:val="20"/>
          <w:szCs w:val="20"/>
          <w:color w:val="auto"/>
        </w:rPr>
      </w:pPr>
    </w:p>
    <w:p>
      <w:pPr>
        <w:ind w:right="20" w:firstLine="351"/>
        <w:spacing w:after="0" w:line="250" w:lineRule="auto"/>
        <w:rPr>
          <w:sz w:val="20"/>
          <w:szCs w:val="20"/>
          <w:color w:val="auto"/>
        </w:rPr>
      </w:pPr>
      <w:r>
        <w:rPr>
          <w:rFonts w:ascii="Arial" w:cs="Arial" w:eastAsia="Arial" w:hAnsi="Arial"/>
          <w:sz w:val="16"/>
          <w:szCs w:val="16"/>
          <w:color w:val="auto"/>
        </w:rPr>
        <w:t>During the fourth quarter of fiscal 2018, the Company’s Irish tax resident subsidiary received an assessment, excluding any penalties and interest, for the fiscal year ended November 2, 2013 (fiscal 2013) of approximately €43.0 million, or approximately $51.0 million (as of October 30, 2021), from the Irish Revenue Commissioners (Irish Revenue). The assessment claimed that the Company’s Irish entity failed to conform to 2010 OECD Transfer Pricing Guidelines. During fiscal 2021, the Company settled the fiscal 2013 audit with Irish Revenue for an amount that was not material to the Company.</w:t>
      </w:r>
    </w:p>
    <w:p>
      <w:pPr>
        <w:spacing w:after="0" w:line="87" w:lineRule="exact"/>
        <w:rPr>
          <w:sz w:val="20"/>
          <w:szCs w:val="20"/>
          <w:color w:val="auto"/>
        </w:rPr>
      </w:pPr>
    </w:p>
    <w:p>
      <w:pPr>
        <w:ind w:right="200" w:firstLine="351"/>
        <w:spacing w:after="0" w:line="253" w:lineRule="auto"/>
        <w:rPr>
          <w:sz w:val="20"/>
          <w:szCs w:val="20"/>
          <w:color w:val="auto"/>
        </w:rPr>
      </w:pPr>
      <w:r>
        <w:rPr>
          <w:rFonts w:ascii="Arial" w:cs="Arial" w:eastAsia="Arial" w:hAnsi="Arial"/>
          <w:sz w:val="16"/>
          <w:szCs w:val="16"/>
          <w:color w:val="auto"/>
        </w:rPr>
        <w:t>During fiscal 2019, Irish Revenue commenced transfer pricing audits of fiscal years ended November 1, 2014 (fiscal 2014) through the fiscal year ended November 3, 2017 (fiscal 2017). The Company settled the audits relating to fiscal 2014 through fiscal 2017 with either no assessment or for additional tax payments that were not material to the Company. The Company's Ireland tax returns prior to fiscal 2017 are no longer subject to examination.</w:t>
      </w:r>
    </w:p>
    <w:p>
      <w:pPr>
        <w:spacing w:after="0" w:line="85" w:lineRule="exact"/>
        <w:rPr>
          <w:sz w:val="20"/>
          <w:szCs w:val="20"/>
          <w:color w:val="auto"/>
        </w:rPr>
      </w:pPr>
    </w:p>
    <w:p>
      <w:pPr>
        <w:ind w:right="100" w:firstLine="351"/>
        <w:spacing w:after="0" w:line="250" w:lineRule="auto"/>
        <w:rPr>
          <w:sz w:val="20"/>
          <w:szCs w:val="20"/>
          <w:color w:val="auto"/>
        </w:rPr>
      </w:pPr>
      <w:r>
        <w:rPr>
          <w:rFonts w:ascii="Arial" w:cs="Arial" w:eastAsia="Arial" w:hAnsi="Arial"/>
          <w:sz w:val="16"/>
          <w:szCs w:val="16"/>
          <w:color w:val="auto"/>
        </w:rPr>
        <w:t>The Company has a partial tax holiday in Malaysia whereby the local statutory rate is significantly reduced, if certain conditions are met. The tax holiday for Malaysia is effective through July 2025. The impact of the Malaysia tax holiday increased net income by approximately $5.3 million, $4.6 million and $14.9 million in fiscal 2021, fiscal 2020 and fiscal 2019, respectively, resulting in increases in basic and diluted net income per common share by $0.01, $0.01 and $0.04 in fiscal 2021, fiscal 2020 and fiscal 2019,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Revolving Credit Facility</w:t>
      </w:r>
    </w:p>
    <w:p>
      <w:pPr>
        <w:spacing w:after="0" w:line="89"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3"/>
          <w:szCs w:val="13"/>
          <w:color w:val="auto"/>
        </w:rPr>
        <w:t>On June 23, 2021, the Company entered into a Third Amended and Restated Credit Agreement (Revolving Credit Agreement) with Bank of America, N.A. as administrative agent and the other banks identified therein as lenders, which amended and restated its Second Amended and Restated Credit Agreement dated as of June 28, 2019. The Revolving Credit Agreement provides for a five year unsecured revolving credit facility in an aggregate principal amount not to exceed $2.5 billion (subject to certain terms and conditions).</w:t>
      </w:r>
    </w:p>
    <w:p>
      <w:pPr>
        <w:spacing w:after="0" w:line="1" w:lineRule="exact"/>
        <w:rPr>
          <w:sz w:val="20"/>
          <w:szCs w:val="20"/>
          <w:color w:val="auto"/>
        </w:rPr>
      </w:pPr>
    </w:p>
    <w:p>
      <w:pPr>
        <w:ind w:right="40"/>
        <w:spacing w:after="0" w:line="291" w:lineRule="auto"/>
        <w:rPr>
          <w:sz w:val="20"/>
          <w:szCs w:val="20"/>
          <w:color w:val="auto"/>
        </w:rPr>
      </w:pPr>
      <w:r>
        <w:rPr>
          <w:rFonts w:ascii="Arial" w:cs="Arial" w:eastAsia="Arial" w:hAnsi="Arial"/>
          <w:sz w:val="14"/>
          <w:szCs w:val="14"/>
          <w:color w:val="auto"/>
        </w:rPr>
        <w:t>Prior to the Acquisition, the aggregate principal amount which was available under the Revolving Credit Agreement was $1.25 billion. In September 2021, the Company borrowed $400.0 million under this revolving credit facility and utilized the proceeds for the repayment of existing indebtedness and working capital requirements. The Company repaid the $400.0 million plus interest in October 2021. As of October 30, 2021, the Company had no outstanding borrowings under this revolving credit facility but may borrow in the future and use the proceeds for repayment of existing indebtedness, stock repurchases, acquisitions, capital expenditures, working capital and other lawful corporate purposes.</w:t>
      </w:r>
    </w:p>
    <w:p>
      <w:pPr>
        <w:spacing w:after="0" w:line="38" w:lineRule="exact"/>
        <w:rPr>
          <w:sz w:val="20"/>
          <w:szCs w:val="20"/>
          <w:color w:val="auto"/>
        </w:rPr>
      </w:pPr>
    </w:p>
    <w:p>
      <w:pPr>
        <w:ind w:right="80" w:firstLine="351"/>
        <w:spacing w:after="0" w:line="285" w:lineRule="auto"/>
        <w:rPr>
          <w:sz w:val="20"/>
          <w:szCs w:val="20"/>
          <w:color w:val="auto"/>
        </w:rPr>
      </w:pPr>
      <w:r>
        <w:rPr>
          <w:rFonts w:ascii="Arial" w:cs="Arial" w:eastAsia="Arial" w:hAnsi="Arial"/>
          <w:sz w:val="14"/>
          <w:szCs w:val="14"/>
          <w:color w:val="auto"/>
        </w:rPr>
        <w:t>Revolving loans under the Revolving Credit Agreement can be Eurocurrency Rate Loans or Base Rate Loans (each as defined in the Revolving Credit Agreement) at the Company's option. Each Eurocurrency Rate Loan will bear interest at a rate per annum equal to the applicable Eurocurrency Rate plus a margin based on the Company's Debt Ratings (as defined in the Revolving Credit Agreement) from time to time of between 0.690% and 1.175%. Each Base Rate Loan will bear interest at a rate per annum equal to the Base Rate plus a margin based on the Company's debt ratings from time to time of between 0.00% and 0.175%. In addition, the Company has agreed to pay a facility fee based on the Company's Debt Ratings from time to time of between 0.060% and 0.200% multiplied by the actual daily amount of the Commitments (as defined in the Revolving Credit Agreement) in effect. The Revolving Credit Agreement also contains a sustainability-linked pricing component which provides for interest rate and facility fee reductions or increases based on the Company meeting or missing targets related to environmental sustainability, specifically greenhouse gas emissions and renewable energy usage. The Revolving Credit Agreement includes a multicurrency borrowing feature for certain specified foreign currencies. The Company will guarantee the obligations of each subsidiary that is named a Designated Borrower under the Revolving Credit Agreement.</w:t>
      </w:r>
    </w:p>
    <w:p>
      <w:pPr>
        <w:spacing w:after="0" w:line="104" w:lineRule="exact"/>
        <w:rPr>
          <w:sz w:val="20"/>
          <w:szCs w:val="20"/>
          <w:color w:val="auto"/>
        </w:rPr>
      </w:pPr>
    </w:p>
    <w:p>
      <w:pPr>
        <w:ind w:firstLine="386"/>
        <w:spacing w:after="0" w:line="263" w:lineRule="auto"/>
        <w:rPr>
          <w:sz w:val="20"/>
          <w:szCs w:val="20"/>
          <w:color w:val="auto"/>
        </w:rPr>
      </w:pPr>
      <w:r>
        <w:rPr>
          <w:rFonts w:ascii="Arial" w:cs="Arial" w:eastAsia="Arial" w:hAnsi="Arial"/>
          <w:sz w:val="16"/>
          <w:szCs w:val="16"/>
          <w:color w:val="auto"/>
        </w:rPr>
        <w:t>The Revolving Credit Agreement contains customary representations and warranties, and affirmative and negative covenants and events of default applicable to the Company and its subsidiaries. As of October 30, 2021, the Company was in compliance with these covenants.</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4"/>
          <w:szCs w:val="14"/>
          <w:b w:val="1"/>
          <w:bCs w:val="1"/>
          <w:color w:val="auto"/>
        </w:rPr>
        <w:t>Debt</w:t>
      </w:r>
    </w:p>
    <w:p>
      <w:pPr>
        <w:spacing w:after="0" w:line="77" w:lineRule="exact"/>
        <w:rPr>
          <w:sz w:val="20"/>
          <w:szCs w:val="20"/>
          <w:color w:val="auto"/>
        </w:rPr>
      </w:pPr>
    </w:p>
    <w:p>
      <w:pPr>
        <w:ind w:right="40" w:firstLine="351"/>
        <w:spacing w:after="0" w:line="286" w:lineRule="auto"/>
        <w:rPr>
          <w:sz w:val="20"/>
          <w:szCs w:val="20"/>
          <w:color w:val="auto"/>
        </w:rPr>
      </w:pPr>
      <w:r>
        <w:rPr>
          <w:rFonts w:ascii="Arial" w:cs="Arial" w:eastAsia="Arial" w:hAnsi="Arial"/>
          <w:sz w:val="14"/>
          <w:szCs w:val="14"/>
          <w:color w:val="auto"/>
        </w:rPr>
        <w:t>On June 3, 2013, the Company issued $500.0 million aggregate principal amount of 2.875% senior unsecured notes due June 1, 2023 (the June 2023 Notes) with semi-annual fixed interest payments due on June 1 and December 1 of each year, commencing December 1, 2013. Prior to issuing the June 2023 Notes, on April 24, 2013, the Company entered into a treasury rate lock agreement with Bank of America. This agreement allowed the Company to lock a 10-year US Treasury rate of 1.7845% through June 14, 2013 for its anticipated issuance of the June 2023 Notes. The net proceeds of the offering were $493.9 million, after discounts and issuance costs. Debt discounts and issuance costs were amortized through interest expense over the term of the June 2023 Notes. On October 5, 2021 and October 7, 2021, $133.7 million, or 26.73%, of the $500.0 million aggregate principal amount of the June 2023 Notes at a price of $1,041.39 for each $1,000 principal amount of June 2023 Notes were tendered for redemption. On October 20, 2021, the remaining June 2023 Notes were redeemed for cash at a redemption price equal to $1,038.82 for each $1,000 principal amount of June 2023 Notes. In connection with the tender and subsequent redemption of the June 2023 Notes, the Company recognized a loss on extinguishment of $19.8 million.</w:t>
      </w:r>
    </w:p>
    <w:p>
      <w:pPr>
        <w:spacing w:after="0" w:line="44" w:lineRule="exact"/>
        <w:rPr>
          <w:sz w:val="20"/>
          <w:szCs w:val="20"/>
          <w:color w:val="auto"/>
        </w:rPr>
      </w:pPr>
    </w:p>
    <w:p>
      <w:pPr>
        <w:ind w:firstLine="351"/>
        <w:spacing w:after="0" w:line="285" w:lineRule="auto"/>
        <w:rPr>
          <w:sz w:val="20"/>
          <w:szCs w:val="20"/>
          <w:color w:val="auto"/>
        </w:rPr>
      </w:pPr>
      <w:r>
        <w:rPr>
          <w:rFonts w:ascii="Arial" w:cs="Arial" w:eastAsia="Arial" w:hAnsi="Arial"/>
          <w:sz w:val="14"/>
          <w:szCs w:val="14"/>
          <w:color w:val="auto"/>
        </w:rPr>
        <w:t>On December 14, 2015, the Company issued $850.0 million aggregate principal amount of 3.9% senior unsecured notes due December 15, 2025 (the 2025 Notes) and $400.0 million aggregate principal amount of 5.3% senior unsecured notes due December 15, 2045 (the 2045 Notes) with semi-annual fixed interest payments due on June 15 and December 15 of each year, commencing June 15, 2016. The net proceeds of the offering were $1.2 billion, after discounts and issuance costs. Debt discounts and issuance costs will be amortized through interest expense over the term of the 2025 Notes and 2045 Notes. The indenture governing the 2025 Notes and 2045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October 30, 2021, the Company was compliant with these covenants. The 2025 Notes and 2045 Notes are subordinated to any future secured debt and to the other liabilities of the Company's subsidiaries. On October 5, 2021 and October 7, 2021, $325.5 million, or 38.3%, of the $850.0 million aggregate principal amount of the 2025 Notes at a price of $1,112.13 for each $1,000 principal amount of 2025 Notes, and $67.4 million, or 16.85%, of the $400.0 million aggregate principal amount of the 2045 Notes at a price of $1,400.67 for each $1,000 principal amount of 2045 Notes, were tendered for redemption. On October 20, 2021, the remaining 2025 Notes were redeemed for cash at a redemption price equal</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51" w:lineRule="exact"/>
        <w:rPr>
          <w:sz w:val="20"/>
          <w:szCs w:val="20"/>
          <w:color w:val="auto"/>
        </w:rPr>
      </w:pPr>
    </w:p>
    <w:p>
      <w:pPr>
        <w:ind w:right="480"/>
        <w:spacing w:after="0" w:line="263" w:lineRule="auto"/>
        <w:rPr>
          <w:sz w:val="20"/>
          <w:szCs w:val="20"/>
          <w:color w:val="auto"/>
        </w:rPr>
      </w:pPr>
      <w:r>
        <w:rPr>
          <w:rFonts w:ascii="Arial" w:cs="Arial" w:eastAsia="Arial" w:hAnsi="Arial"/>
          <w:sz w:val="16"/>
          <w:szCs w:val="16"/>
          <w:color w:val="auto"/>
        </w:rPr>
        <w:t>to $1,103.81 for each $1,000 principal of 2025 Notes. In connection with the tender of the 2025 Notes and 2045 Notes and the subsequent redemption of the 2025 Notes, the Company recognized a loss on extinguishment of $136.6 million.</w:t>
      </w:r>
    </w:p>
    <w:p>
      <w:pPr>
        <w:spacing w:after="0" w:line="41" w:lineRule="exact"/>
        <w:rPr>
          <w:sz w:val="20"/>
          <w:szCs w:val="20"/>
          <w:color w:val="auto"/>
        </w:rPr>
      </w:pPr>
    </w:p>
    <w:p>
      <w:pPr>
        <w:ind w:firstLine="351"/>
        <w:spacing w:after="0" w:line="282" w:lineRule="auto"/>
        <w:rPr>
          <w:sz w:val="20"/>
          <w:szCs w:val="20"/>
          <w:color w:val="auto"/>
        </w:rPr>
      </w:pPr>
      <w:r>
        <w:rPr>
          <w:rFonts w:ascii="Arial" w:cs="Arial" w:eastAsia="Arial" w:hAnsi="Arial"/>
          <w:sz w:val="14"/>
          <w:szCs w:val="14"/>
          <w:color w:val="auto"/>
        </w:rPr>
        <w:t>On December 5, 2016, the Company issued $400.0 million aggregate principal amount of 2.5% senior unsecured notes due December 5, 2021 (the 2021 Notes), $550.0 million aggregate principal amount of 3.125% senior unsecured notes due December 5, 2023 (the December 2023 Notes), $900.0 million aggregate principal amount of 3.5% senior unsecured notes due December 5, 2026 (the 2026 Notes) and $250.0 million aggregate principal amount of 4.5% senior unsecured notes due December 5, 2036 (the 2036 Notes) with semi-annual fixed interest payments due on June 5 and December 5 of each year, commencing June 5, 2017. The net proceeds of the offering were $2.1 billion, after discounts and issuance costs. Debt discounts and issuance costs will be amortized through interest expense over the term of the respective notes. The 2021 Notes, December 2023 Notes, 2026 Notes and 2036 Notes were issued pursuant to an indenture, as supplemented by a supplemental indenture, and the indenture and supplemental indenture contain certain covenants, events of default and other customary provisions. As of October 30, 2021, the Company was compliant with these covenants. The 2021 Notes, December 2023 Notes, 2026 Notes and 2036 Notes rank without preference or priority among themselves and equally in right of payment with all other existing and future senior unsecured debt and senior in right of payment to all of the Company's future subordinated debt. On October 5, 2021, (i) $71.2 million, or 17.80%, of the $400.0 million aggregate principal amount of the 2021 Notes at a price of $1,001.77 for each $1,000 principal amount of 2021 Notes, (ii) $282.7 million, or 51.41%, of the $550.0 million aggregate principal amount of the December 2023 Notes at a price of $1,053.78 for each $1,000 principal amount of December 2023 Notes and (iii) $105.7 million, or 42.29%, of the $250.0 million aggregate principal amount of the 2036 Notes at a price of $1,239.96 for each $1,000 principal amount of 2036 Notes were tendered for redemption. On October 20, 2021, the remaining 2021 Notes and December 2023 Notes were redeemed for cash at a redemption price equal to $1,000.98 for each $1,000 principal amount of 2021 Notes and $1,050.17 for each $1,000 principal amount of December 2023 Notes. In connection with the tender of the 2021 Notes, December 2023 Notes and 2036 Notes and the subsequent redemption of the 2021 Notes and December 2023 Notes, the Company recognized a loss on extinguishment of $58.5 million.</w:t>
      </w:r>
    </w:p>
    <w:p>
      <w:pPr>
        <w:spacing w:after="0" w:line="51" w:lineRule="exact"/>
        <w:rPr>
          <w:sz w:val="20"/>
          <w:szCs w:val="20"/>
          <w:color w:val="auto"/>
        </w:rPr>
      </w:pPr>
    </w:p>
    <w:p>
      <w:pPr>
        <w:ind w:right="80" w:firstLine="351"/>
        <w:spacing w:after="0" w:line="293" w:lineRule="auto"/>
        <w:rPr>
          <w:sz w:val="20"/>
          <w:szCs w:val="20"/>
          <w:color w:val="auto"/>
        </w:rPr>
      </w:pPr>
      <w:r>
        <w:rPr>
          <w:rFonts w:ascii="Arial" w:cs="Arial" w:eastAsia="Arial" w:hAnsi="Arial"/>
          <w:sz w:val="14"/>
          <w:szCs w:val="14"/>
          <w:color w:val="auto"/>
        </w:rPr>
        <w:t>On June 28, 2019, the Company entered into a term loan credit agreement (Term Loan Agreement) with the Company as the borrower and JPMorgan Chase Bank, N.A. as administrative agent and the other banks identified therein as lenders, under which the Company borrowed unsecured term loans in the aggregate principal amount of $1.25 billion, maturing on March 10, 2022. The Company made principal payments on the term loan of $925.0 million and $325.0 million in fiscal 2021 and fiscal 2019, respectively. These amounts were not contractually due under the terms of the Term Loan Agreement. As of October 30, 2021, the term loan has been repaid in full and is no longer outstanding. In connection with the repayment, the Company recognized a loss on extinguishment of $0.2 million.</w:t>
      </w:r>
    </w:p>
    <w:p>
      <w:pPr>
        <w:spacing w:after="0" w:line="35" w:lineRule="exact"/>
        <w:rPr>
          <w:sz w:val="20"/>
          <w:szCs w:val="20"/>
          <w:color w:val="auto"/>
        </w:rPr>
      </w:pPr>
    </w:p>
    <w:p>
      <w:pPr>
        <w:ind w:right="60" w:firstLine="351"/>
        <w:spacing w:after="0" w:line="285" w:lineRule="auto"/>
        <w:rPr>
          <w:sz w:val="20"/>
          <w:szCs w:val="20"/>
          <w:color w:val="auto"/>
        </w:rPr>
      </w:pPr>
      <w:r>
        <w:rPr>
          <w:rFonts w:ascii="Arial" w:cs="Arial" w:eastAsia="Arial" w:hAnsi="Arial"/>
          <w:sz w:val="14"/>
          <w:szCs w:val="14"/>
          <w:color w:val="auto"/>
        </w:rPr>
        <w:t>On April 8, 2020, in an underwritten public offering, the Company issued its first green bond consisting of $400.0 million aggregate principal amount of 2.95% senior unsecured notes due April 1, 2025 (the April 2025 Notes). Interest on the April 2025 Notes is payable on April 1 and October 1 of each year, beginning on October 1, 2020. The Company intends to use the net proceeds of $395.6 million from the green bond offering to finance or refinance, in whole or in part, one or more new or existing eligible projects involving renewable energy, energy efficiency, green buildings, sustainable water and wastewater management, pollution prevention and control, clean transportation or eco-efficient and/or circular economy adapted products, production technologies and processes. Debt discount and underwriting fees will be amortized over the life of the debt. At any time prior to March 1, 2025, the Company may, at its option, redeem some or all of the April 2025 Notes at a redemption price equal to the greater of 100% of the principal amount of the April 2025 Notes being redeemed and the make-whole premium, plus accrued and unpaid interest on the April 2025 Notes being redeemed, if any, to but excluding the date of redemption. The April 2025 Notes are unsecured and rank equally in right of payment with all of the Company's other existing and future unsecured senior indebtedness. The April 2025 Notes were issued pursuant to an indenture, as supplemented by a supplemental indenture, and the indenture and supplemental indenture contain certain covenants, events of default and other customary provisions. As of October 30, 2021, the Company was in compliance with these covenants.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00" w:lineRule="exact"/>
        <w:rPr>
          <w:sz w:val="20"/>
          <w:szCs w:val="20"/>
          <w:color w:val="auto"/>
        </w:rPr>
      </w:pPr>
    </w:p>
    <w:p>
      <w:pPr>
        <w:spacing w:after="0" w:line="251" w:lineRule="exact"/>
        <w:rPr>
          <w:sz w:val="20"/>
          <w:szCs w:val="20"/>
          <w:color w:val="auto"/>
        </w:rPr>
      </w:pPr>
    </w:p>
    <w:p>
      <w:pPr>
        <w:ind w:right="20" w:firstLine="351"/>
        <w:spacing w:after="0" w:line="284" w:lineRule="auto"/>
        <w:rPr>
          <w:sz w:val="20"/>
          <w:szCs w:val="20"/>
          <w:color w:val="auto"/>
        </w:rPr>
      </w:pPr>
      <w:r>
        <w:rPr>
          <w:rFonts w:ascii="Arial" w:cs="Arial" w:eastAsia="Arial" w:hAnsi="Arial"/>
          <w:sz w:val="14"/>
          <w:szCs w:val="14"/>
          <w:color w:val="auto"/>
        </w:rPr>
        <w:t xml:space="preserve">In conjunction with the Acquisition, the Company recognized $500.0 million aggregate principal amount of Maxim’s 3.375% senior unsecured and unsubordinated notes due March 15, 2023 (the Maxim March 2023 Notes) and $500.0 million aggregate principal amount of Maxim’s 3.45% senior unsecured and unsubordinated notes due June 15, 2027 (the Maxim June 2027 Notes), which were recognized at fair value as of the Acquisition Date. The difference between the fair value at the Acquisition Date and the principal outstanding for the Maxim March 2023 Notes and Maxim June 2027 Notes will be amortized through interest expense over the term of the underlying debt. The amortization of the fair value adjustment reduced interest expense by $3.8 million for the year ended October 30, 2021. Semi-annual fixed interest payments on the Maxim March 2023 Notes are due on March 15 and September 15 of each year. Semi-annual fixed interest payments on the Maxim June 2027 Notes are due on June 15 and December 15 of each year, beginning on December 15, 2017. The Maxim March 2023 Notes and Maxim June 2027 Notes were issued pursuant to an indenture, and the indenture contains certain covenants, events of default and other customary provisions. As of October 30, 2021, Maxim was in compliance with these covenants. On October 5, 2021, Maxim gave notice that it would redeem the Maxim March 2023 Notes, and, subsequent to October 30, 2021, the Maxim March 2023 Notes were redeemed for cash. Accordingly, the Company classified the Maxim March 2023 Notes as a current liability as of October 30, 2021. See Note 15, </w:t>
      </w:r>
      <w:r>
        <w:rPr>
          <w:rFonts w:ascii="Arial" w:cs="Arial" w:eastAsia="Arial" w:hAnsi="Arial"/>
          <w:sz w:val="14"/>
          <w:szCs w:val="14"/>
          <w:i w:val="1"/>
          <w:iCs w:val="1"/>
          <w:color w:val="auto"/>
        </w:rPr>
        <w:t>Subsequent events,</w:t>
      </w:r>
      <w:r>
        <w:rPr>
          <w:rFonts w:ascii="Arial" w:cs="Arial" w:eastAsia="Arial" w:hAnsi="Arial"/>
          <w:sz w:val="14"/>
          <w:szCs w:val="14"/>
          <w:color w:val="auto"/>
        </w:rPr>
        <w:t xml:space="preserve"> of these Notes to Consolidated Financial Statements for additional information on the redemption of the Maxim March 2023 Notes.</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On September 28, 2021, in an underwritten public offering, the Company issued $500.0 million aggregate principal amount of floating rate senior notes due October 1, 2024</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(the Floating Rate Notes), $750.0 million aggregate principal amount of 1.7% sustainability-linked senior notes due October 1, 2028 (the Sustainability-Linked Senior Notes),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$1.0 billion aggregate principal amount of 2.1% senior notes due October 1, 2031 (the 2031 Notes), $750.0 million aggregate principal amount of 2.8% senior notes due October 1,</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2041 (the 2041 Notes), and $1.0 billion aggregate principal amount of 2.95% senior notes due October 1, 2051 (the 2051 Notes, and, together with the Floating Rate Notes, the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Sustainability-Linked Senior Notes, the 2031 Notes and the 2041 Notes, the Notes). The Floating Rate Notes bear interest at a floating annual rate equal to a benchmark rate, which</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initially is Compounded SOFR (as defined in the Supplemental Indenture) plus 25 basis points. As of October 30, 2021, the interest rate on the Floating Rate Notes was 0.3% per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annum. Interest payments on the Floating Rate Notes are due on January 1, April 1, July 1 and October 1 of each year, beginning on January 1, 2022. The Sustainability-Linked</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Senior Notes initially bear interest at a rate of 1.7% per annum and are subject to an increase of an additional 30 basis points from April 1, 2026 to the maturity date unless the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Sustainability Performance Target (as defined in the Note) has been satisfied. Semi-annual fixed interest payments on the Sustainability-Linked Senior Notes, the 2031 Notes,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2041 Notes and the 2051 Notes are due on April 1 and October 1 of each year, beginning on April 1, 2022.</w:t>
      </w:r>
    </w:p>
    <w:p>
      <w:pPr>
        <w:spacing w:after="0" w:line="73" w:lineRule="exact"/>
        <w:rPr>
          <w:sz w:val="20"/>
          <w:szCs w:val="20"/>
          <w:color w:val="auto"/>
        </w:rPr>
      </w:pPr>
    </w:p>
    <w:p>
      <w:pPr>
        <w:ind w:firstLine="351"/>
        <w:spacing w:after="0" w:line="284" w:lineRule="auto"/>
        <w:rPr>
          <w:sz w:val="20"/>
          <w:szCs w:val="20"/>
          <w:color w:val="auto"/>
        </w:rPr>
      </w:pPr>
      <w:r>
        <w:rPr>
          <w:rFonts w:ascii="Arial" w:cs="Arial" w:eastAsia="Arial" w:hAnsi="Arial"/>
          <w:sz w:val="14"/>
          <w:szCs w:val="14"/>
          <w:color w:val="auto"/>
        </w:rPr>
        <w:t>At any time prior to August 1, 2028 in the case of the Sustainability-Linked Senior Notes, July 1, 2031 in the case of the 2031 Notes, April 1, 2041 in the case of the 2041 Notes and April 1, 2051 in the case of the 2051 Notes (each, a Par Call Date), the Company may, at its option, redeem some or all of the applicable series of Notes at a redemption price equal to the greater of (i) 100% of the principal amount of such series of Notes being redeemed and (ii) the make-whole redemption price (as described in the Supplemental Indenture). On and after the applicable Par Call Date, the Company may, at its option, redeem some or all of the applicable series of Notes at a redemption price equal to 100% of the principal amount of the Notes being redeemed. In each case, the Company will also pay the accrued and unpaid interest on the Notes being redeemed to, but excluding, the date of redemption. The Company may not redeem the Floating Rate Notes prior to their maturity. The Notes are unsecured and rank equally in right of payment with all of the Company’s other existing and future unsecured senior indebtedness. The net proceeds of the offering were $3.9 billion, after discounts and issuance costs, and a portion of the proceeds were used to pay the tender and redemption prices for, and accrued and unpaid interest on, the tender offers and redemptions described above. Debt discounts and issuance costs will be amortized through interest expense over the term of the respective Notes. The Notes were issued pursuant to an indenture, as supplemented by a supplemental indenture, and the indenture and supplemental indenture contain certain covenants, events of default and other customary provisions. As of October 30, 2021, the Company was in compliance with these covenants.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3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debt consisted of the following as of October 30, 2021 and October 31,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0" w:type="dxa"/>
            <w:vAlign w:val="bottom"/>
            <w:gridSpan w:val="5"/>
          </w:tcPr>
          <w:p>
            <w:pPr>
              <w:ind w:left="940"/>
              <w:spacing w:after="0"/>
              <w:rPr>
                <w:sz w:val="20"/>
                <w:szCs w:val="20"/>
                <w:color w:val="auto"/>
              </w:rPr>
            </w:pPr>
            <w:r>
              <w:rPr>
                <w:rFonts w:ascii="Arial" w:cs="Arial" w:eastAsia="Arial" w:hAnsi="Arial"/>
                <w:sz w:val="12"/>
                <w:szCs w:val="12"/>
                <w:b w:val="1"/>
                <w:bCs w:val="1"/>
                <w:color w:val="auto"/>
              </w:rPr>
              <w:t>October 30, 2021</w:t>
            </w:r>
          </w:p>
        </w:tc>
        <w:tc>
          <w:tcPr>
            <w:tcW w:w="640" w:type="dxa"/>
            <w:vAlign w:val="bottom"/>
          </w:tcPr>
          <w:p>
            <w:pPr>
              <w:spacing w:after="0"/>
              <w:rPr>
                <w:sz w:val="14"/>
                <w:szCs w:val="14"/>
                <w:color w:val="auto"/>
              </w:rPr>
            </w:pPr>
          </w:p>
        </w:tc>
        <w:tc>
          <w:tcPr>
            <w:tcW w:w="3080" w:type="dxa"/>
            <w:vAlign w:val="bottom"/>
            <w:gridSpan w:val="4"/>
          </w:tcPr>
          <w:p>
            <w:pPr>
              <w:jc w:val="right"/>
              <w:ind w:right="1163"/>
              <w:spacing w:after="0"/>
              <w:rPr>
                <w:sz w:val="20"/>
                <w:szCs w:val="20"/>
                <w:color w:val="auto"/>
              </w:rPr>
            </w:pPr>
            <w:r>
              <w:rPr>
                <w:rFonts w:ascii="Arial" w:cs="Arial" w:eastAsia="Arial" w:hAnsi="Arial"/>
                <w:sz w:val="12"/>
                <w:szCs w:val="12"/>
                <w:b w:val="1"/>
                <w:bCs w:val="1"/>
                <w:color w:val="auto"/>
              </w:rPr>
              <w:t>October 31, 2020</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30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jc w:val="right"/>
              <w:ind w:right="24"/>
              <w:spacing w:after="0" w:line="114" w:lineRule="exact"/>
              <w:rPr>
                <w:sz w:val="20"/>
                <w:szCs w:val="20"/>
                <w:color w:val="auto"/>
              </w:rPr>
            </w:pPr>
            <w:r>
              <w:rPr>
                <w:rFonts w:ascii="Arial" w:cs="Arial" w:eastAsia="Arial" w:hAnsi="Arial"/>
                <w:sz w:val="12"/>
                <w:szCs w:val="12"/>
                <w:b w:val="1"/>
                <w:bCs w:val="1"/>
                <w:color w:val="auto"/>
                <w:w w:val="91"/>
              </w:rPr>
              <w:t>Unamortized discounts,</w:t>
            </w: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3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2"/>
                <w:szCs w:val="12"/>
                <w:b w:val="1"/>
                <w:bCs w:val="1"/>
                <w:color w:val="auto"/>
                <w:w w:val="93"/>
              </w:rPr>
              <w:t>Unamortized discount</w:t>
            </w: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Principal</w:t>
            </w:r>
          </w:p>
        </w:tc>
        <w:tc>
          <w:tcPr>
            <w:tcW w:w="1920" w:type="dxa"/>
            <w:vAlign w:val="bottom"/>
            <w:gridSpan w:val="3"/>
          </w:tcPr>
          <w:p>
            <w:pPr>
              <w:jc w:val="center"/>
              <w:ind w:right="100"/>
              <w:spacing w:after="0" w:line="117" w:lineRule="exact"/>
              <w:rPr>
                <w:sz w:val="20"/>
                <w:szCs w:val="20"/>
                <w:color w:val="auto"/>
              </w:rPr>
            </w:pPr>
            <w:r>
              <w:rPr>
                <w:rFonts w:ascii="Arial" w:cs="Arial" w:eastAsia="Arial" w:hAnsi="Arial"/>
                <w:sz w:val="12"/>
                <w:szCs w:val="12"/>
                <w:b w:val="1"/>
                <w:bCs w:val="1"/>
                <w:color w:val="auto"/>
                <w:w w:val="91"/>
              </w:rPr>
              <w:t>debt issuance costs and fair value</w:t>
            </w:r>
          </w:p>
        </w:tc>
        <w:tc>
          <w:tcPr>
            <w:tcW w:w="640" w:type="dxa"/>
            <w:vAlign w:val="bottom"/>
          </w:tcPr>
          <w:p>
            <w:pPr>
              <w:spacing w:after="0"/>
              <w:rPr>
                <w:sz w:val="10"/>
                <w:szCs w:val="10"/>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Principal</w:t>
            </w:r>
          </w:p>
        </w:tc>
        <w:tc>
          <w:tcPr>
            <w:tcW w:w="4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93"/>
              </w:rPr>
              <w:t>adjustments</w:t>
            </w:r>
          </w:p>
        </w:tc>
        <w:tc>
          <w:tcPr>
            <w:tcW w:w="6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0" w:type="dxa"/>
            <w:vAlign w:val="bottom"/>
            <w:gridSpan w:val="2"/>
          </w:tcPr>
          <w:p>
            <w:pPr>
              <w:jc w:val="right"/>
              <w:ind w:right="203"/>
              <w:spacing w:after="0"/>
              <w:rPr>
                <w:sz w:val="20"/>
                <w:szCs w:val="20"/>
                <w:color w:val="auto"/>
              </w:rPr>
            </w:pPr>
            <w:r>
              <w:rPr>
                <w:rFonts w:ascii="Arial" w:cs="Arial" w:eastAsia="Arial" w:hAnsi="Arial"/>
                <w:sz w:val="12"/>
                <w:szCs w:val="12"/>
                <w:b w:val="1"/>
                <w:bCs w:val="1"/>
                <w:color w:val="auto"/>
              </w:rPr>
              <w:t>and debt issuance costs</w:t>
            </w:r>
          </w:p>
        </w:tc>
        <w:tc>
          <w:tcPr>
            <w:tcW w:w="0" w:type="dxa"/>
            <w:vAlign w:val="bottom"/>
          </w:tcPr>
          <w:p>
            <w:pPr>
              <w:spacing w:after="0"/>
              <w:rPr>
                <w:sz w:val="1"/>
                <w:szCs w:val="1"/>
                <w:color w:val="auto"/>
              </w:rPr>
            </w:pPr>
          </w:p>
        </w:tc>
      </w:tr>
      <w:tr>
        <w:trPr>
          <w:trHeight w:val="192"/>
        </w:trPr>
        <w:tc>
          <w:tcPr>
            <w:tcW w:w="37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3-Year term loan, due March 2022</w:t>
            </w:r>
          </w:p>
        </w:tc>
        <w:tc>
          <w:tcPr>
            <w:tcW w:w="6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925,000</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3700" w:type="dxa"/>
            <w:vAlign w:val="bottom"/>
            <w:gridSpan w:val="2"/>
          </w:tcPr>
          <w:p>
            <w:pPr>
              <w:ind w:left="360"/>
              <w:spacing w:after="0"/>
              <w:rPr>
                <w:sz w:val="20"/>
                <w:szCs w:val="20"/>
                <w:color w:val="auto"/>
              </w:rPr>
            </w:pPr>
            <w:r>
              <w:rPr>
                <w:rFonts w:ascii="Arial" w:cs="Arial" w:eastAsia="Arial" w:hAnsi="Arial"/>
                <w:sz w:val="16"/>
                <w:szCs w:val="16"/>
                <w:color w:val="auto"/>
              </w:rPr>
              <w:t>2021 Notes, due December 2021</w:t>
            </w:r>
          </w:p>
        </w:tc>
        <w:tc>
          <w:tcPr>
            <w:tcW w:w="6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199"/>
        </w:trPr>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2023</w:t>
            </w:r>
          </w:p>
        </w:tc>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June 2023</w:t>
            </w:r>
          </w:p>
        </w:tc>
        <w:tc>
          <w:tcPr>
            <w:tcW w:w="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0" w:type="dxa"/>
            <w:vAlign w:val="bottom"/>
          </w:tcPr>
          <w:p>
            <w:pPr>
              <w:spacing w:after="0"/>
              <w:rPr>
                <w:sz w:val="1"/>
                <w:szCs w:val="1"/>
                <w:color w:val="auto"/>
              </w:rPr>
            </w:pPr>
          </w:p>
        </w:tc>
      </w:tr>
      <w:tr>
        <w:trPr>
          <w:trHeight w:val="199"/>
        </w:trPr>
        <w:tc>
          <w:tcPr>
            <w:tcW w:w="3700" w:type="dxa"/>
            <w:vAlign w:val="bottom"/>
            <w:gridSpan w:val="2"/>
          </w:tcPr>
          <w:p>
            <w:pPr>
              <w:ind w:left="360"/>
              <w:spacing w:after="0"/>
              <w:rPr>
                <w:sz w:val="20"/>
                <w:szCs w:val="20"/>
                <w:color w:val="auto"/>
              </w:rPr>
            </w:pPr>
            <w:r>
              <w:rPr>
                <w:rFonts w:ascii="Arial" w:cs="Arial" w:eastAsia="Arial" w:hAnsi="Arial"/>
                <w:sz w:val="16"/>
                <w:szCs w:val="16"/>
                <w:color w:val="auto"/>
              </w:rPr>
              <w:t>2023 Notes, due December 2023</w:t>
            </w:r>
          </w:p>
        </w:tc>
        <w:tc>
          <w:tcPr>
            <w:tcW w:w="6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199"/>
        </w:trPr>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2024</w:t>
            </w:r>
          </w:p>
        </w:tc>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October 2024</w:t>
            </w: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3,091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00" w:type="dxa"/>
            <w:vAlign w:val="bottom"/>
          </w:tcPr>
          <w:p>
            <w:pPr>
              <w:ind w:left="360"/>
              <w:spacing w:after="0"/>
              <w:rPr>
                <w:sz w:val="20"/>
                <w:szCs w:val="20"/>
                <w:color w:val="auto"/>
              </w:rPr>
            </w:pPr>
            <w:r>
              <w:rPr>
                <w:rFonts w:ascii="Arial" w:cs="Arial" w:eastAsia="Arial" w:hAnsi="Arial"/>
                <w:sz w:val="16"/>
                <w:szCs w:val="16"/>
                <w:color w:val="auto"/>
                <w:w w:val="89"/>
              </w:rPr>
              <w:t>2025</w:t>
            </w:r>
          </w:p>
        </w:tc>
        <w:tc>
          <w:tcPr>
            <w:tcW w:w="3000" w:type="dxa"/>
            <w:vAlign w:val="bottom"/>
          </w:tcPr>
          <w:p>
            <w:pPr>
              <w:ind w:left="20"/>
              <w:spacing w:after="0"/>
              <w:rPr>
                <w:sz w:val="20"/>
                <w:szCs w:val="20"/>
                <w:color w:val="auto"/>
              </w:rPr>
            </w:pPr>
            <w:r>
              <w:rPr>
                <w:rFonts w:ascii="Arial" w:cs="Arial" w:eastAsia="Arial" w:hAnsi="Arial"/>
                <w:sz w:val="16"/>
                <w:szCs w:val="16"/>
                <w:color w:val="auto"/>
              </w:rPr>
              <w:t>Notes, due April 2025</w:t>
            </w: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3,029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3,916</w:t>
            </w:r>
          </w:p>
        </w:tc>
        <w:tc>
          <w:tcPr>
            <w:tcW w:w="0" w:type="dxa"/>
            <w:vAlign w:val="bottom"/>
          </w:tcPr>
          <w:p>
            <w:pPr>
              <w:spacing w:after="0"/>
              <w:rPr>
                <w:sz w:val="1"/>
                <w:szCs w:val="1"/>
                <w:color w:val="auto"/>
              </w:rPr>
            </w:pPr>
          </w:p>
        </w:tc>
      </w:tr>
      <w:tr>
        <w:trPr>
          <w:trHeight w:val="199"/>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2025 Notes, due December 2025</w:t>
            </w:r>
          </w:p>
        </w:tc>
        <w:tc>
          <w:tcPr>
            <w:tcW w:w="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w:t>
            </w:r>
          </w:p>
        </w:tc>
        <w:tc>
          <w:tcPr>
            <w:tcW w:w="0" w:type="dxa"/>
            <w:vAlign w:val="bottom"/>
          </w:tcPr>
          <w:p>
            <w:pPr>
              <w:spacing w:after="0"/>
              <w:rPr>
                <w:sz w:val="1"/>
                <w:szCs w:val="1"/>
                <w:color w:val="auto"/>
              </w:rPr>
            </w:pPr>
          </w:p>
        </w:tc>
      </w:tr>
      <w:tr>
        <w:trPr>
          <w:trHeight w:val="199"/>
        </w:trPr>
        <w:tc>
          <w:tcPr>
            <w:tcW w:w="700" w:type="dxa"/>
            <w:vAlign w:val="bottom"/>
          </w:tcPr>
          <w:p>
            <w:pPr>
              <w:ind w:left="360"/>
              <w:spacing w:after="0"/>
              <w:rPr>
                <w:sz w:val="20"/>
                <w:szCs w:val="20"/>
                <w:color w:val="auto"/>
              </w:rPr>
            </w:pPr>
            <w:r>
              <w:rPr>
                <w:rFonts w:ascii="Arial" w:cs="Arial" w:eastAsia="Arial" w:hAnsi="Arial"/>
                <w:sz w:val="16"/>
                <w:szCs w:val="16"/>
                <w:color w:val="auto"/>
                <w:w w:val="89"/>
              </w:rPr>
              <w:t>2026</w:t>
            </w:r>
          </w:p>
        </w:tc>
        <w:tc>
          <w:tcPr>
            <w:tcW w:w="3000" w:type="dxa"/>
            <w:vAlign w:val="bottom"/>
          </w:tcPr>
          <w:p>
            <w:pPr>
              <w:ind w:left="20"/>
              <w:spacing w:after="0"/>
              <w:rPr>
                <w:sz w:val="20"/>
                <w:szCs w:val="20"/>
                <w:color w:val="auto"/>
              </w:rPr>
            </w:pPr>
            <w:r>
              <w:rPr>
                <w:rFonts w:ascii="Arial" w:cs="Arial" w:eastAsia="Arial" w:hAnsi="Arial"/>
                <w:sz w:val="16"/>
                <w:szCs w:val="16"/>
                <w:color w:val="auto"/>
              </w:rPr>
              <w:t>Notes, due December 2026</w:t>
            </w: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6,534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7,813</w:t>
            </w:r>
          </w:p>
        </w:tc>
        <w:tc>
          <w:tcPr>
            <w:tcW w:w="0" w:type="dxa"/>
            <w:vAlign w:val="bottom"/>
          </w:tcPr>
          <w:p>
            <w:pPr>
              <w:spacing w:after="0"/>
              <w:rPr>
                <w:sz w:val="1"/>
                <w:szCs w:val="1"/>
                <w:color w:val="auto"/>
              </w:rPr>
            </w:pPr>
          </w:p>
        </w:tc>
      </w:tr>
      <w:tr>
        <w:trPr>
          <w:trHeight w:val="199"/>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Maxim 2027 Notes, due June 2027</w:t>
            </w: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(51,646)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00" w:type="dxa"/>
            <w:vAlign w:val="bottom"/>
          </w:tcPr>
          <w:p>
            <w:pPr>
              <w:ind w:left="360"/>
              <w:spacing w:after="0"/>
              <w:rPr>
                <w:sz w:val="20"/>
                <w:szCs w:val="20"/>
                <w:color w:val="auto"/>
              </w:rPr>
            </w:pPr>
            <w:r>
              <w:rPr>
                <w:rFonts w:ascii="Arial" w:cs="Arial" w:eastAsia="Arial" w:hAnsi="Arial"/>
                <w:sz w:val="16"/>
                <w:szCs w:val="16"/>
                <w:color w:val="auto"/>
                <w:w w:val="89"/>
              </w:rPr>
              <w:t>2028</w:t>
            </w:r>
          </w:p>
        </w:tc>
        <w:tc>
          <w:tcPr>
            <w:tcW w:w="3000" w:type="dxa"/>
            <w:vAlign w:val="bottom"/>
          </w:tcPr>
          <w:p>
            <w:pPr>
              <w:ind w:left="20"/>
              <w:spacing w:after="0"/>
              <w:rPr>
                <w:sz w:val="20"/>
                <w:szCs w:val="20"/>
                <w:color w:val="auto"/>
              </w:rPr>
            </w:pPr>
            <w:r>
              <w:rPr>
                <w:rFonts w:ascii="Arial" w:cs="Arial" w:eastAsia="Arial" w:hAnsi="Arial"/>
                <w:sz w:val="16"/>
                <w:szCs w:val="16"/>
                <w:color w:val="auto"/>
              </w:rPr>
              <w:t>Notes, due October 2028</w:t>
            </w: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10,419</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2031</w:t>
            </w:r>
          </w:p>
        </w:tc>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October 2031</w:t>
            </w: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13,956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00" w:type="dxa"/>
            <w:vAlign w:val="bottom"/>
          </w:tcPr>
          <w:p>
            <w:pPr>
              <w:ind w:left="360"/>
              <w:spacing w:after="0"/>
              <w:rPr>
                <w:sz w:val="20"/>
                <w:szCs w:val="20"/>
                <w:color w:val="auto"/>
              </w:rPr>
            </w:pPr>
            <w:r>
              <w:rPr>
                <w:rFonts w:ascii="Arial" w:cs="Arial" w:eastAsia="Arial" w:hAnsi="Arial"/>
                <w:sz w:val="16"/>
                <w:szCs w:val="16"/>
                <w:color w:val="auto"/>
                <w:w w:val="89"/>
              </w:rPr>
              <w:t>2036</w:t>
            </w:r>
          </w:p>
        </w:tc>
        <w:tc>
          <w:tcPr>
            <w:tcW w:w="3000" w:type="dxa"/>
            <w:vAlign w:val="bottom"/>
          </w:tcPr>
          <w:p>
            <w:pPr>
              <w:ind w:left="20"/>
              <w:spacing w:after="0"/>
              <w:rPr>
                <w:sz w:val="20"/>
                <w:szCs w:val="20"/>
                <w:color w:val="auto"/>
              </w:rPr>
            </w:pPr>
            <w:r>
              <w:rPr>
                <w:rFonts w:ascii="Arial" w:cs="Arial" w:eastAsia="Arial" w:hAnsi="Arial"/>
                <w:sz w:val="16"/>
                <w:szCs w:val="16"/>
                <w:color w:val="auto"/>
              </w:rPr>
              <w:t>Notes, due December 2036</w:t>
            </w: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144,278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3,375</w:t>
            </w:r>
          </w:p>
        </w:tc>
        <w:tc>
          <w:tcPr>
            <w:tcW w:w="0" w:type="dxa"/>
            <w:vAlign w:val="bottom"/>
          </w:tcPr>
          <w:p>
            <w:pPr>
              <w:spacing w:after="0"/>
              <w:rPr>
                <w:sz w:val="1"/>
                <w:szCs w:val="1"/>
                <w:color w:val="auto"/>
              </w:rPr>
            </w:pPr>
          </w:p>
        </w:tc>
      </w:tr>
      <w:tr>
        <w:trPr>
          <w:trHeight w:val="199"/>
        </w:trPr>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2041</w:t>
            </w:r>
          </w:p>
        </w:tc>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October 2041</w:t>
            </w: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13,690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00" w:type="dxa"/>
            <w:vAlign w:val="bottom"/>
          </w:tcPr>
          <w:p>
            <w:pPr>
              <w:ind w:left="360"/>
              <w:spacing w:after="0"/>
              <w:rPr>
                <w:sz w:val="20"/>
                <w:szCs w:val="20"/>
                <w:color w:val="auto"/>
              </w:rPr>
            </w:pPr>
            <w:r>
              <w:rPr>
                <w:rFonts w:ascii="Arial" w:cs="Arial" w:eastAsia="Arial" w:hAnsi="Arial"/>
                <w:sz w:val="16"/>
                <w:szCs w:val="16"/>
                <w:color w:val="auto"/>
                <w:w w:val="89"/>
              </w:rPr>
              <w:t>2045</w:t>
            </w:r>
          </w:p>
        </w:tc>
        <w:tc>
          <w:tcPr>
            <w:tcW w:w="3000" w:type="dxa"/>
            <w:vAlign w:val="bottom"/>
          </w:tcPr>
          <w:p>
            <w:pPr>
              <w:ind w:left="20"/>
              <w:spacing w:after="0"/>
              <w:rPr>
                <w:sz w:val="20"/>
                <w:szCs w:val="20"/>
                <w:color w:val="auto"/>
              </w:rPr>
            </w:pPr>
            <w:r>
              <w:rPr>
                <w:rFonts w:ascii="Arial" w:cs="Arial" w:eastAsia="Arial" w:hAnsi="Arial"/>
                <w:sz w:val="16"/>
                <w:szCs w:val="16"/>
                <w:color w:val="auto"/>
              </w:rPr>
              <w:t>Notes, due December 2045</w:t>
            </w: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332,587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jc w:val="right"/>
              <w:ind w:right="4"/>
              <w:spacing w:after="0"/>
              <w:rPr>
                <w:sz w:val="20"/>
                <w:szCs w:val="20"/>
                <w:color w:val="auto"/>
              </w:rPr>
            </w:pPr>
            <w:r>
              <w:rPr>
                <w:rFonts w:ascii="Arial" w:cs="Arial" w:eastAsia="Arial" w:hAnsi="Arial"/>
                <w:sz w:val="16"/>
                <w:szCs w:val="16"/>
                <w:color w:val="auto"/>
              </w:rPr>
              <w:t>3,952</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4,951</w:t>
            </w:r>
          </w:p>
        </w:tc>
        <w:tc>
          <w:tcPr>
            <w:tcW w:w="0" w:type="dxa"/>
            <w:vAlign w:val="bottom"/>
          </w:tcPr>
          <w:p>
            <w:pPr>
              <w:spacing w:after="0"/>
              <w:rPr>
                <w:sz w:val="1"/>
                <w:szCs w:val="1"/>
                <w:color w:val="auto"/>
              </w:rPr>
            </w:pPr>
          </w:p>
        </w:tc>
      </w:tr>
      <w:tr>
        <w:trPr>
          <w:trHeight w:val="199"/>
        </w:trPr>
        <w:tc>
          <w:tcPr>
            <w:tcW w:w="7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9"/>
              </w:rPr>
              <w:t>2051</w:t>
            </w:r>
          </w:p>
        </w:tc>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October 2051</w:t>
            </w: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18,814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3700" w:type="dxa"/>
            <w:vAlign w:val="bottom"/>
            <w:gridSpan w:val="2"/>
          </w:tcPr>
          <w:p>
            <w:pPr>
              <w:ind w:left="480"/>
              <w:spacing w:after="0"/>
              <w:rPr>
                <w:sz w:val="20"/>
                <w:szCs w:val="20"/>
                <w:color w:val="auto"/>
              </w:rPr>
            </w:pPr>
            <w:r>
              <w:rPr>
                <w:rFonts w:ascii="Arial" w:cs="Arial" w:eastAsia="Arial" w:hAnsi="Arial"/>
                <w:sz w:val="16"/>
                <w:szCs w:val="16"/>
                <w:color w:val="auto"/>
              </w:rPr>
              <w:t>Total Long-Term Debt</w:t>
            </w:r>
          </w:p>
        </w:tc>
        <w:tc>
          <w:tcPr>
            <w:tcW w:w="64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6,276,865</w:t>
            </w:r>
          </w:p>
        </w:tc>
        <w:tc>
          <w:tcPr>
            <w:tcW w:w="10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23,653</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5,175,000</w:t>
            </w:r>
          </w:p>
        </w:tc>
        <w:tc>
          <w:tcPr>
            <w:tcW w:w="10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29,898</w:t>
            </w:r>
          </w:p>
        </w:tc>
        <w:tc>
          <w:tcPr>
            <w:tcW w:w="0" w:type="dxa"/>
            <w:vAlign w:val="bottom"/>
          </w:tcPr>
          <w:p>
            <w:pPr>
              <w:spacing w:after="0"/>
              <w:rPr>
                <w:sz w:val="1"/>
                <w:szCs w:val="1"/>
                <w:color w:val="auto"/>
              </w:rPr>
            </w:pPr>
          </w:p>
        </w:tc>
      </w:tr>
      <w:tr>
        <w:trPr>
          <w:trHeight w:val="199"/>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Maxim 2023 Notes, due March 2023</w:t>
            </w: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370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Total Current Debt</w:t>
            </w:r>
          </w:p>
        </w:tc>
        <w:tc>
          <w:tcPr>
            <w:tcW w:w="6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(16,663)</w:t>
            </w:r>
          </w:p>
        </w:tc>
        <w:tc>
          <w:tcPr>
            <w:tcW w:w="100" w:type="dxa"/>
            <w:vAlign w:val="bottom"/>
            <w:tcBorders>
              <w:bottom w:val="single" w:sz="8" w:color="CCEEFF"/>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Debt</w:t>
            </w:r>
          </w:p>
        </w:tc>
        <w:tc>
          <w:tcPr>
            <w:tcW w:w="6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6,776,865</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6,990</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5,175,000</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29,898</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3"/>
          <w:szCs w:val="13"/>
          <w:b w:val="1"/>
          <w:bCs w:val="1"/>
          <w:color w:val="auto"/>
        </w:rPr>
        <w:t>Subsequent Events</w:t>
      </w:r>
    </w:p>
    <w:p>
      <w:pPr>
        <w:spacing w:after="0" w:line="77" w:lineRule="exact"/>
        <w:rPr>
          <w:sz w:val="20"/>
          <w:szCs w:val="20"/>
          <w:color w:val="auto"/>
        </w:rPr>
      </w:pPr>
    </w:p>
    <w:p>
      <w:pPr>
        <w:jc w:val="both"/>
        <w:ind w:right="20" w:firstLine="351"/>
        <w:spacing w:after="0" w:line="335" w:lineRule="auto"/>
        <w:rPr>
          <w:sz w:val="20"/>
          <w:szCs w:val="20"/>
          <w:color w:val="auto"/>
        </w:rPr>
      </w:pPr>
      <w:r>
        <w:rPr>
          <w:rFonts w:ascii="Arial" w:cs="Arial" w:eastAsia="Arial" w:hAnsi="Arial"/>
          <w:sz w:val="14"/>
          <w:szCs w:val="14"/>
          <w:color w:val="auto"/>
        </w:rPr>
        <w:t xml:space="preserve">As discussed in Note 14, </w:t>
      </w:r>
      <w:r>
        <w:rPr>
          <w:rFonts w:ascii="Arial" w:cs="Arial" w:eastAsia="Arial" w:hAnsi="Arial"/>
          <w:sz w:val="14"/>
          <w:szCs w:val="14"/>
          <w:i w:val="1"/>
          <w:iCs w:val="1"/>
          <w:color w:val="auto"/>
        </w:rPr>
        <w:t>Debt,</w:t>
      </w:r>
      <w:r>
        <w:rPr>
          <w:rFonts w:ascii="Arial" w:cs="Arial" w:eastAsia="Arial" w:hAnsi="Arial"/>
          <w:sz w:val="14"/>
          <w:szCs w:val="14"/>
          <w:color w:val="auto"/>
        </w:rPr>
        <w:t xml:space="preserve"> of the Notes to Consolidated Financial Statements, on October 5, 2021, Maxim gave notice that it would redeem the Maxim March 2023 Notes in the aggregate principal amount of $500.0 million. Subsequently, on November 4, 2021, the Maxim March 2023 Notes were redeemed for cash and are no longer outstanding.</w:t>
      </w:r>
    </w:p>
    <w:p>
      <w:pPr>
        <w:spacing w:after="0" w:line="42" w:lineRule="exact"/>
        <w:rPr>
          <w:sz w:val="20"/>
          <w:szCs w:val="20"/>
          <w:color w:val="auto"/>
        </w:rPr>
      </w:pPr>
    </w:p>
    <w:p>
      <w:pPr>
        <w:ind w:right="420" w:firstLine="351"/>
        <w:spacing w:after="0" w:line="335" w:lineRule="auto"/>
        <w:rPr>
          <w:sz w:val="20"/>
          <w:szCs w:val="20"/>
          <w:color w:val="auto"/>
        </w:rPr>
      </w:pPr>
      <w:r>
        <w:rPr>
          <w:rFonts w:ascii="Arial" w:cs="Arial" w:eastAsia="Arial" w:hAnsi="Arial"/>
          <w:sz w:val="14"/>
          <w:szCs w:val="14"/>
          <w:color w:val="auto"/>
        </w:rPr>
        <w:t>On November 22, 2021, the Board of Directors of the Company declared a cash dividend of $0.69 per outstanding share of common stock. The dividend will be paid on December 14, 2021 to all shareholders of record at the close of business on December 3, 2021 and is expected to total $362.5 million.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9" w:name="page90"/>
    <w:bookmarkEnd w:id="89"/>
    <w:p>
      <w:pPr>
        <w:spacing w:after="0"/>
        <w:tabs>
          <w:tab w:leader="none" w:pos="70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10"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89" w:lineRule="exact"/>
        <w:rPr>
          <w:sz w:val="20"/>
          <w:szCs w:val="20"/>
          <w:color w:val="auto"/>
        </w:rPr>
      </w:pPr>
    </w:p>
    <w:p>
      <w:pPr>
        <w:ind w:right="20" w:firstLine="379"/>
        <w:spacing w:after="0" w:line="285" w:lineRule="auto"/>
        <w:tabs>
          <w:tab w:leader="none" w:pos="598"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Evaluation of Disclosure Controls and Procedures. </w:t>
      </w:r>
      <w:r>
        <w:rPr>
          <w:rFonts w:ascii="Arial" w:cs="Arial" w:eastAsia="Arial" w:hAnsi="Arial"/>
          <w:sz w:val="14"/>
          <w:szCs w:val="14"/>
          <w:color w:val="auto"/>
        </w:rPr>
        <w:t>Our management, with the participation of our Chief Executive Officer and Chief Financial Officer, evaluated the</w:t>
      </w:r>
      <w:r>
        <w:rPr>
          <w:rFonts w:ascii="Arial" w:cs="Arial" w:eastAsia="Arial" w:hAnsi="Arial"/>
          <w:sz w:val="14"/>
          <w:szCs w:val="14"/>
          <w:i w:val="1"/>
          <w:iCs w:val="1"/>
          <w:color w:val="auto"/>
        </w:rPr>
        <w:t xml:space="preserve"> </w:t>
      </w:r>
      <w:r>
        <w:rPr>
          <w:rFonts w:ascii="Arial" w:cs="Arial" w:eastAsia="Arial" w:hAnsi="Arial"/>
          <w:sz w:val="14"/>
          <w:szCs w:val="14"/>
          <w:color w:val="auto"/>
        </w:rPr>
        <w:t>effectiveness of Analog’s disclosure controls and procedures as of October 30, 2021.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October 30, 2021, our Chief Executive Officer and Chief Financial Officer concluded that, as of such date, our disclosure controls and procedures were effective at the reasonable assurance level.</w:t>
      </w:r>
    </w:p>
    <w:p>
      <w:pPr>
        <w:spacing w:after="0" w:line="41" w:lineRule="exact"/>
        <w:rPr>
          <w:rFonts w:ascii="Arial" w:cs="Arial" w:eastAsia="Arial" w:hAnsi="Arial"/>
          <w:sz w:val="14"/>
          <w:szCs w:val="14"/>
          <w:color w:val="auto"/>
        </w:rPr>
      </w:pPr>
    </w:p>
    <w:p>
      <w:pPr>
        <w:ind w:left="600" w:hanging="221"/>
        <w:spacing w:after="0"/>
        <w:tabs>
          <w:tab w:leader="none" w:pos="6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Management’s Report on Internal Control Over Financial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89" w:lineRule="exact"/>
        <w:rPr>
          <w:sz w:val="20"/>
          <w:szCs w:val="20"/>
          <w:color w:val="auto"/>
        </w:rPr>
      </w:pPr>
    </w:p>
    <w:p>
      <w:pPr>
        <w:ind w:right="40" w:firstLine="386"/>
        <w:spacing w:after="0" w:line="24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2" w:lineRule="exact"/>
        <w:rPr>
          <w:sz w:val="20"/>
          <w:szCs w:val="20"/>
          <w:color w:val="auto"/>
        </w:rPr>
      </w:pPr>
    </w:p>
    <w:p>
      <w:pPr>
        <w:ind w:left="700" w:hanging="285"/>
        <w:spacing w:after="0"/>
        <w:tabs>
          <w:tab w:leader="none" w:pos="7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w:t>
      </w:r>
    </w:p>
    <w:p>
      <w:pPr>
        <w:spacing w:after="0" w:line="72" w:lineRule="exact"/>
        <w:rPr>
          <w:rFonts w:ascii="Arial" w:cs="Arial" w:eastAsia="Arial" w:hAnsi="Arial"/>
          <w:sz w:val="14"/>
          <w:szCs w:val="14"/>
          <w:color w:val="auto"/>
        </w:rPr>
      </w:pPr>
    </w:p>
    <w:p>
      <w:pPr>
        <w:jc w:val="both"/>
        <w:ind w:left="700" w:right="80" w:hanging="285"/>
        <w:spacing w:after="0" w:line="337" w:lineRule="auto"/>
        <w:tabs>
          <w:tab w:leader="none" w:pos="696" w:val="left"/>
        </w:tabs>
        <w:numPr>
          <w:ilvl w:val="0"/>
          <w:numId w:val="58"/>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3"/>
          <w:szCs w:val="13"/>
          <w:color w:val="auto"/>
        </w:rPr>
      </w:pPr>
    </w:p>
    <w:p>
      <w:pPr>
        <w:ind w:left="700" w:right="80" w:hanging="285"/>
        <w:spacing w:after="0" w:line="263" w:lineRule="auto"/>
        <w:tabs>
          <w:tab w:leader="none" w:pos="6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41" w:lineRule="exact"/>
        <w:rPr>
          <w:sz w:val="20"/>
          <w:szCs w:val="20"/>
          <w:color w:val="auto"/>
        </w:rPr>
      </w:pPr>
    </w:p>
    <w:p>
      <w:pPr>
        <w:ind w:right="140" w:firstLine="386"/>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1" w:lineRule="exact"/>
        <w:rPr>
          <w:sz w:val="20"/>
          <w:szCs w:val="20"/>
          <w:color w:val="auto"/>
        </w:rPr>
      </w:pPr>
    </w:p>
    <w:p>
      <w:pPr>
        <w:ind w:right="220" w:firstLine="386"/>
        <w:spacing w:after="0" w:line="335" w:lineRule="auto"/>
        <w:rPr>
          <w:sz w:val="20"/>
          <w:szCs w:val="20"/>
          <w:color w:val="auto"/>
        </w:rPr>
      </w:pPr>
      <w:r>
        <w:rPr>
          <w:rFonts w:ascii="Arial" w:cs="Arial" w:eastAsia="Arial" w:hAnsi="Arial"/>
          <w:sz w:val="14"/>
          <w:szCs w:val="14"/>
          <w:color w:val="auto"/>
        </w:rPr>
        <w:t>Our management assessed the effectiveness of our internal control over financial reporting as of October 30, 2021. In making this assessment, the company’s management used the criteria set forth by the Committee of Sponsoring Organizations of the Treadway Commission (COSO) in Internal Control-Integrated 2013 Framework.</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Based on this assessment, our management concluded that, as of October 30, 2021, our internal control over financial reporting is effective based on those criteria.</w:t>
      </w:r>
    </w:p>
    <w:p>
      <w:pPr>
        <w:spacing w:after="0" w:line="96" w:lineRule="exact"/>
        <w:rPr>
          <w:sz w:val="20"/>
          <w:szCs w:val="20"/>
          <w:color w:val="auto"/>
        </w:rPr>
      </w:pPr>
    </w:p>
    <w:p>
      <w:pPr>
        <w:ind w:firstLine="386"/>
        <w:spacing w:after="0" w:line="288" w:lineRule="auto"/>
        <w:rPr>
          <w:sz w:val="20"/>
          <w:szCs w:val="20"/>
          <w:color w:val="auto"/>
        </w:rPr>
      </w:pPr>
      <w:r>
        <w:rPr>
          <w:rFonts w:ascii="Arial" w:cs="Arial" w:eastAsia="Arial" w:hAnsi="Arial"/>
          <w:sz w:val="14"/>
          <w:szCs w:val="14"/>
          <w:color w:val="auto"/>
        </w:rPr>
        <w:t xml:space="preserve">Management excluded from its assessment of the Company's internal control over financial reporting as of October 30, 2021, the internal control over financial reporting of Maxim Integrated Products, Inc. (Maxim), which was acquired by the Company on August 26, 2021. This exclusion is consistent with guidance issued by the SEC that an assessment of a recently acquired business may be omitted from the scope of management's report on internal control over financial reporting in the year of acquisition. Total assets and net liabilities of Maxim as of October 30, 2021 (excluding goodwill and other intangible assets, which were included in management's assessment of internal control over financial reporting as of October 30, 2021) were approximately $4,155.2 million and $423.9 million, respectively. Maxim represented $558.8 million of our consolidated net revenues for the year ended October 30, 2021. See a discussion of this acquisition in Note 6, </w:t>
      </w:r>
      <w:r>
        <w:rPr>
          <w:rFonts w:ascii="Arial" w:cs="Arial" w:eastAsia="Arial" w:hAnsi="Arial"/>
          <w:sz w:val="14"/>
          <w:szCs w:val="14"/>
          <w:i w:val="1"/>
          <w:iCs w:val="1"/>
          <w:color w:val="auto"/>
        </w:rPr>
        <w:t>Acquisitions,</w:t>
      </w:r>
      <w:r>
        <w:rPr>
          <w:rFonts w:ascii="Arial" w:cs="Arial" w:eastAsia="Arial" w:hAnsi="Arial"/>
          <w:sz w:val="14"/>
          <w:szCs w:val="14"/>
          <w:color w:val="auto"/>
        </w:rPr>
        <w:t xml:space="preserve"> of the Notes to the Consolidated Financial Statements contained in Item 8 of this Annual Report on Form 10-K.</w:t>
      </w:r>
    </w:p>
    <w:p>
      <w:pPr>
        <w:spacing w:after="0" w:line="39" w:lineRule="exact"/>
        <w:rPr>
          <w:sz w:val="20"/>
          <w:szCs w:val="20"/>
          <w:color w:val="auto"/>
        </w:rPr>
      </w:pPr>
    </w:p>
    <w:p>
      <w:pPr>
        <w:ind w:right="180" w:firstLine="386"/>
        <w:spacing w:after="0" w:line="263" w:lineRule="auto"/>
        <w:rPr>
          <w:sz w:val="20"/>
          <w:szCs w:val="20"/>
          <w:color w:val="auto"/>
        </w:rPr>
      </w:pPr>
      <w:r>
        <w:rPr>
          <w:rFonts w:ascii="Arial" w:cs="Arial" w:eastAsia="Arial" w:hAnsi="Arial"/>
          <w:sz w:val="16"/>
          <w:szCs w:val="16"/>
          <w:color w:val="auto"/>
        </w:rPr>
        <w:t>Our independent registered public accounting firm that audited the financial statements included in this annual report has issued an attestation report on our internal control over financial reporting. This report appears below.</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0" w:name="page91"/>
    <w:bookmarkEnd w:id="90"/>
    <w:p>
      <w:pPr>
        <w:ind w:left="606" w:hanging="221"/>
        <w:spacing w:after="0"/>
        <w:tabs>
          <w:tab w:leader="none" w:pos="606"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Attestation Report of the Registered Public Accounting Firm</w:t>
      </w: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Board of Directors and Shareholders</w:t>
      </w:r>
    </w:p>
    <w:p>
      <w:pPr>
        <w:ind w:left="6"/>
        <w:spacing w:after="0"/>
        <w:rPr>
          <w:sz w:val="20"/>
          <w:szCs w:val="20"/>
          <w:color w:val="auto"/>
        </w:rPr>
      </w:pPr>
      <w:r>
        <w:rPr>
          <w:rFonts w:ascii="Arial" w:cs="Arial" w:eastAsia="Arial" w:hAnsi="Arial"/>
          <w:sz w:val="16"/>
          <w:szCs w:val="16"/>
          <w:color w:val="auto"/>
        </w:rPr>
        <w:t>Analog Devices, Inc.</w:t>
      </w:r>
    </w:p>
    <w:p>
      <w:pPr>
        <w:spacing w:after="0" w:line="17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Opinion on Internal Control over Financial Reporting</w:t>
      </w:r>
    </w:p>
    <w:p>
      <w:pPr>
        <w:jc w:val="both"/>
        <w:ind w:left="6" w:right="20"/>
        <w:spacing w:after="0" w:line="261" w:lineRule="auto"/>
        <w:rPr>
          <w:sz w:val="20"/>
          <w:szCs w:val="20"/>
          <w:color w:val="auto"/>
        </w:rPr>
      </w:pPr>
      <w:r>
        <w:rPr>
          <w:rFonts w:ascii="Arial" w:cs="Arial" w:eastAsia="Arial" w:hAnsi="Arial"/>
          <w:sz w:val="14"/>
          <w:szCs w:val="14"/>
          <w:color w:val="auto"/>
        </w:rPr>
        <w:t>We have audited Analog Devices, Inc.’s internal control over financial reporting as of October 30, 2021, based on criteria established in Internal Control—Integrated Framework issued by the Committee of Sponsoring Organizations of the Treadway Commission (2013 framework) (the COSO criteria). In our opinion, Analog Devices, Inc. (the Company) maintained, in all material respects, effective internal control over financial reporting as of October 30, 2021, based on the COSO criteria.</w:t>
      </w:r>
    </w:p>
    <w:p>
      <w:pPr>
        <w:spacing w:after="0" w:line="162" w:lineRule="exact"/>
        <w:rPr>
          <w:sz w:val="20"/>
          <w:szCs w:val="20"/>
          <w:color w:val="auto"/>
        </w:rPr>
      </w:pPr>
    </w:p>
    <w:p>
      <w:pPr>
        <w:jc w:val="both"/>
        <w:ind w:left="6"/>
        <w:spacing w:after="0" w:line="222"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Maxim Integrated Products, Inc., which is included in the 2021 consolidated financial statements of the Company and constituted $4,155.2 million of total assets and $423.9 million of net liabilities, respectively, as of October 30, 2021 and $558.8 million of revenues for the year then ended. Our audit of internal control over financial reporting of the Company also did not include an evaluation of the internal control over financial reporting of Maxim Integrated Products, Inc.</w:t>
      </w:r>
    </w:p>
    <w:p>
      <w:pPr>
        <w:spacing w:after="0" w:line="178" w:lineRule="exact"/>
        <w:rPr>
          <w:sz w:val="20"/>
          <w:szCs w:val="20"/>
          <w:color w:val="auto"/>
        </w:rPr>
      </w:pPr>
    </w:p>
    <w:p>
      <w:pPr>
        <w:jc w:val="both"/>
        <w:ind w:left="6"/>
        <w:spacing w:after="0" w:line="22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Analog Devices, Inc. as of October 30, 2021 and October 31, 2020, the related consolidated statements of income, comprehensive income, shareholders’ equity and cash flows for each of the three years in the period ended October 30, 2021, and the related notes and financial statement schedule listed in the Index at Item 15(a)(2) and our report dated December 3, 2021 expressed an unqualified opinion thereon.</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Basis for Opinion</w:t>
      </w:r>
    </w:p>
    <w:p>
      <w:pPr>
        <w:jc w:val="both"/>
        <w:ind w:left="6"/>
        <w:spacing w:after="0" w:line="255"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jc w:val="both"/>
        <w:ind w:left="6" w:right="20"/>
        <w:spacing w:after="0" w:line="23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ind w:left="6"/>
        <w:spacing w:after="0" w:line="228"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jc w:val="both"/>
        <w:ind w:left="6" w:right="20"/>
        <w:spacing w:after="0" w:line="244"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jc w:val="both"/>
        <w:ind w:left="6" w:hanging="6"/>
        <w:spacing w:after="0" w:line="220" w:lineRule="auto"/>
        <w:tabs>
          <w:tab w:leader="none" w:pos="2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jc w:val="both"/>
        <w:ind w:left="6"/>
        <w:spacing w:after="0" w:line="22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6"/>
          <w:szCs w:val="16"/>
          <w:color w:val="auto"/>
        </w:rPr>
        <w:t>/s/ Ernst &amp; Young LLP</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16"/>
          <w:szCs w:val="16"/>
          <w:color w:val="auto"/>
        </w:rPr>
        <w:t>Boston, Massachusetts</w:t>
      </w:r>
    </w:p>
    <w:p>
      <w:pPr>
        <w:ind w:left="6"/>
        <w:spacing w:after="0"/>
        <w:rPr>
          <w:sz w:val="20"/>
          <w:szCs w:val="20"/>
          <w:color w:val="auto"/>
        </w:rPr>
      </w:pPr>
      <w:r>
        <w:rPr>
          <w:rFonts w:ascii="Arial" w:cs="Arial" w:eastAsia="Arial" w:hAnsi="Arial"/>
          <w:sz w:val="16"/>
          <w:szCs w:val="16"/>
          <w:color w:val="auto"/>
        </w:rPr>
        <w:t>December 3, 2021</w:t>
      </w:r>
    </w:p>
    <w:p>
      <w:pPr>
        <w:spacing w:after="0" w:line="200" w:lineRule="exact"/>
        <w:rPr>
          <w:sz w:val="20"/>
          <w:szCs w:val="20"/>
          <w:color w:val="auto"/>
        </w:rPr>
      </w:pPr>
    </w:p>
    <w:p>
      <w:pPr>
        <w:spacing w:after="0" w:line="257"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17613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875" w:right="319" w:bottom="1440" w:gutter="0" w:footer="0" w:header="0"/>
        </w:sectPr>
      </w:pPr>
    </w:p>
    <w:bookmarkStart w:id="91" w:name="page92"/>
    <w:bookmarkEnd w:id="91"/>
    <w:p>
      <w:pPr>
        <w:ind w:firstLine="379"/>
        <w:spacing w:after="0" w:line="253" w:lineRule="auto"/>
        <w:tabs>
          <w:tab w:leader="none" w:pos="606"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Controls over Financial Reporting. </w:t>
      </w:r>
      <w:r>
        <w:rPr>
          <w:rFonts w:ascii="Arial" w:cs="Arial" w:eastAsia="Arial" w:hAnsi="Arial"/>
          <w:sz w:val="16"/>
          <w:szCs w:val="16"/>
          <w:color w:val="auto"/>
        </w:rPr>
        <w:t>No change in our internal control over financial reporting (as defined in Rules 13a-15(f) and 15d-15(f)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Exchange Act) occurred during the fiscal quarter ended October 30, 2021 that has materially affected, or is reasonably likely to materially affect, our internal control over financial reporting.</w:t>
      </w:r>
    </w:p>
    <w:p>
      <w:pPr>
        <w:spacing w:after="0" w:line="186"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9B.</w:t>
        <w:tab/>
        <w:t>OTHER INFORMATION</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10"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9C.</w:t>
      </w:r>
      <w:r>
        <w:rPr>
          <w:sz w:val="20"/>
          <w:szCs w:val="20"/>
          <w:color w:val="auto"/>
        </w:rPr>
        <w:tab/>
      </w:r>
      <w:r>
        <w:rPr>
          <w:rFonts w:ascii="Arial" w:cs="Arial" w:eastAsia="Arial" w:hAnsi="Arial"/>
          <w:sz w:val="14"/>
          <w:szCs w:val="14"/>
          <w:b w:val="1"/>
          <w:bCs w:val="1"/>
          <w:color w:val="auto"/>
        </w:rPr>
        <w:t>DISCLOSURE REGARDING FOREIGN JURISDICTIONS THAT PREVENT INSPECTIONS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PART III</w:t>
      </w:r>
    </w:p>
    <w:p>
      <w:pPr>
        <w:spacing w:after="0" w:line="214"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112" w:lineRule="exact"/>
        <w:rPr>
          <w:sz w:val="20"/>
          <w:szCs w:val="20"/>
          <w:color w:val="auto"/>
        </w:rPr>
      </w:pPr>
    </w:p>
    <w:p>
      <w:pPr>
        <w:ind w:right="120" w:firstLine="386"/>
        <w:spacing w:after="0" w:line="247" w:lineRule="auto"/>
        <w:rPr>
          <w:sz w:val="20"/>
          <w:szCs w:val="20"/>
          <w:color w:val="auto"/>
        </w:rPr>
      </w:pPr>
      <w:r>
        <w:rPr>
          <w:rFonts w:ascii="Arial" w:cs="Arial" w:eastAsia="Arial" w:hAnsi="Arial"/>
          <w:sz w:val="16"/>
          <w:szCs w:val="16"/>
          <w:color w:val="auto"/>
        </w:rPr>
        <w:t>Information required by this item relating to our directors and nominees is contained under the caption “Proposal 1 — Election of Directors” contained in our 2022 proxy statement to be filed with the U.S. Securities and Exchange Commission (the SEC) within 120 days after October 30, 2021 and is incorporated herein by reference. Information required by this item relating to our executive officers is contained under the caption “INFORMATION ABOUT OUR EXECUTIVE OFFICERS” in Part I of this Annual Report on Form 10-K and is incorporated herein by reference. If applicable, information required by this item relating to compliance with Section 16(a) of the Securities Exchange Act of 1934 will be contained under the caption “Delinquent Section 16(a) Reports” in our 2022 proxy statement to be filed with the SEC within 120 days after October 30, 2021 and is incorporated herein by reference.</w:t>
      </w:r>
    </w:p>
    <w:p>
      <w:pPr>
        <w:spacing w:after="0" w:line="103" w:lineRule="exact"/>
        <w:rPr>
          <w:sz w:val="20"/>
          <w:szCs w:val="20"/>
          <w:color w:val="auto"/>
        </w:rPr>
      </w:pPr>
    </w:p>
    <w:p>
      <w:pPr>
        <w:ind w:firstLine="386"/>
        <w:spacing w:after="0" w:line="297" w:lineRule="auto"/>
        <w:rPr>
          <w:sz w:val="20"/>
          <w:szCs w:val="20"/>
          <w:color w:val="auto"/>
        </w:rPr>
      </w:pPr>
      <w:r>
        <w:rPr>
          <w:rFonts w:ascii="Arial" w:cs="Arial" w:eastAsia="Arial" w:hAnsi="Arial"/>
          <w:sz w:val="14"/>
          <w:szCs w:val="14"/>
          <w:color w:val="auto"/>
        </w:rPr>
        <w:t xml:space="preserve">We have adopted a written code of business conduct and ethics that applies to our principal executive officer, principal financial officer, principal accounting officer or controller, or persons performing similar functions and have posted it in the Corporate Governance section of our website which is located at </w:t>
      </w:r>
      <w:r>
        <w:rPr>
          <w:rFonts w:ascii="Arial" w:cs="Arial" w:eastAsia="Arial" w:hAnsi="Arial"/>
          <w:sz w:val="14"/>
          <w:szCs w:val="14"/>
          <w:u w:val="single" w:color="auto"/>
          <w:color w:val="auto"/>
        </w:rPr>
        <w:t>www.analog.com</w:t>
      </w:r>
      <w:r>
        <w:rPr>
          <w:rFonts w:ascii="Arial" w:cs="Arial" w:eastAsia="Arial" w:hAnsi="Arial"/>
          <w:sz w:val="14"/>
          <w:szCs w:val="14"/>
          <w:color w:val="auto"/>
        </w:rPr>
        <w:t xml:space="preserve">. To the extent permitted by Nasdaq and SEC regulations, we intend to satisfy any disclosure requirement under Item 5.05 of Form 8-K regarding any amendments to, or waivers from, our code of business conduct and ethics by posting such information on our website which is located at </w:t>
      </w:r>
      <w:r>
        <w:rPr>
          <w:rFonts w:ascii="Arial" w:cs="Arial" w:eastAsia="Arial" w:hAnsi="Arial"/>
          <w:sz w:val="14"/>
          <w:szCs w:val="14"/>
          <w:u w:val="single" w:color="auto"/>
          <w:color w:val="auto"/>
        </w:rPr>
        <w:t>www.analog.com.</w:t>
      </w:r>
    </w:p>
    <w:p>
      <w:pPr>
        <w:spacing w:after="0" w:line="57" w:lineRule="exact"/>
        <w:rPr>
          <w:sz w:val="20"/>
          <w:szCs w:val="20"/>
          <w:color w:val="auto"/>
        </w:rPr>
      </w:pPr>
    </w:p>
    <w:p>
      <w:pPr>
        <w:ind w:right="340" w:firstLine="386"/>
        <w:spacing w:after="0" w:line="263" w:lineRule="auto"/>
        <w:rPr>
          <w:sz w:val="20"/>
          <w:szCs w:val="20"/>
          <w:color w:val="auto"/>
        </w:rPr>
      </w:pPr>
      <w:r>
        <w:rPr>
          <w:rFonts w:ascii="Arial" w:cs="Arial" w:eastAsia="Arial" w:hAnsi="Arial"/>
          <w:sz w:val="16"/>
          <w:szCs w:val="16"/>
          <w:color w:val="auto"/>
        </w:rPr>
        <w:t>During fiscal 2021, we made no material change to the procedures by which shareholders may recommend nominees to our Board of Directors, as described in our 2021 proxy statement.</w:t>
      </w:r>
    </w:p>
    <w:p>
      <w:pPr>
        <w:spacing w:after="0" w:line="76" w:lineRule="exact"/>
        <w:rPr>
          <w:sz w:val="20"/>
          <w:szCs w:val="20"/>
          <w:color w:val="auto"/>
        </w:rPr>
      </w:pPr>
    </w:p>
    <w:p>
      <w:pPr>
        <w:ind w:right="380" w:firstLine="386"/>
        <w:spacing w:after="0" w:line="253" w:lineRule="auto"/>
        <w:rPr>
          <w:sz w:val="20"/>
          <w:szCs w:val="20"/>
          <w:color w:val="auto"/>
        </w:rPr>
      </w:pPr>
      <w:r>
        <w:rPr>
          <w:rFonts w:ascii="Arial" w:cs="Arial" w:eastAsia="Arial" w:hAnsi="Arial"/>
          <w:sz w:val="16"/>
          <w:szCs w:val="16"/>
          <w:color w:val="auto"/>
        </w:rPr>
        <w:t>Information required by this item relating to the audit committee of our Board of Directors is contained under the caption “Corporate Governance — Board of Directors Meetings and Committees — Audit Committee” in our 2022 proxy statement to be filed with the SEC within 120 days after October 30, 2021 and is incorporated herein by reference.</w:t>
      </w:r>
    </w:p>
    <w:p>
      <w:pPr>
        <w:spacing w:after="0" w:line="186"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24" w:lineRule="exact"/>
        <w:rPr>
          <w:sz w:val="20"/>
          <w:szCs w:val="20"/>
          <w:color w:val="auto"/>
        </w:rPr>
      </w:pPr>
    </w:p>
    <w:p>
      <w:pPr>
        <w:ind w:right="160" w:firstLine="386"/>
        <w:spacing w:after="0" w:line="263" w:lineRule="auto"/>
        <w:rPr>
          <w:sz w:val="20"/>
          <w:szCs w:val="20"/>
          <w:color w:val="auto"/>
        </w:rPr>
      </w:pPr>
      <w:r>
        <w:rPr>
          <w:rFonts w:ascii="Arial" w:cs="Arial" w:eastAsia="Arial" w:hAnsi="Arial"/>
          <w:sz w:val="16"/>
          <w:szCs w:val="16"/>
          <w:color w:val="auto"/>
        </w:rPr>
        <w:t>Information required by this item is contained under the captions “Corporate Governance — Director Compensation” and “Information About Executive Compensation” in our 2022 proxy statement to be filed with the SEC within 120 days after October 30, 2021 and is incorporated herein by reference.</w:t>
      </w:r>
    </w:p>
    <w:p>
      <w:pPr>
        <w:spacing w:after="0" w:line="17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112" w:lineRule="exact"/>
        <w:rPr>
          <w:sz w:val="20"/>
          <w:szCs w:val="20"/>
          <w:color w:val="auto"/>
        </w:rPr>
      </w:pPr>
    </w:p>
    <w:p>
      <w:pPr>
        <w:ind w:right="20" w:firstLine="386"/>
        <w:spacing w:after="0" w:line="293" w:lineRule="auto"/>
        <w:rPr>
          <w:sz w:val="20"/>
          <w:szCs w:val="20"/>
          <w:color w:val="auto"/>
        </w:rPr>
      </w:pPr>
      <w:r>
        <w:rPr>
          <w:rFonts w:ascii="Arial" w:cs="Arial" w:eastAsia="Arial" w:hAnsi="Arial"/>
          <w:sz w:val="14"/>
          <w:szCs w:val="14"/>
          <w:color w:val="auto"/>
        </w:rPr>
        <w:t>Information required by this item relating to security ownership of certain beneficial owners and management is contained under the captions “Security Ownership of Certain Beneficial Owners” and “Security Ownership of Directors and Executive Officers”in our 2022 proxy statement to be filed with the SEC within 120 days after October 30, 2021 and is incorporated herein by reference. Information required by this item relating to securities authorized for issuance under equity compensation plans is contained under the caption “Information About Executive Compensation — Securities Authorized for Issuance Under Equity Compensation Plans” in our 2022 proxy statement to be filed with the SEC within 120 days after October 30, 2021 and is incorporated herein by reference.</w:t>
      </w:r>
    </w:p>
    <w:p>
      <w:pPr>
        <w:spacing w:after="0" w:line="159"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112" w:lineRule="exact"/>
        <w:rPr>
          <w:sz w:val="20"/>
          <w:szCs w:val="20"/>
          <w:color w:val="auto"/>
        </w:rPr>
      </w:pPr>
    </w:p>
    <w:p>
      <w:pPr>
        <w:ind w:right="160" w:firstLine="386"/>
        <w:spacing w:after="0" w:line="297" w:lineRule="auto"/>
        <w:rPr>
          <w:sz w:val="20"/>
          <w:szCs w:val="20"/>
          <w:color w:val="auto"/>
        </w:rPr>
      </w:pPr>
      <w:r>
        <w:rPr>
          <w:rFonts w:ascii="Arial" w:cs="Arial" w:eastAsia="Arial" w:hAnsi="Arial"/>
          <w:sz w:val="14"/>
          <w:szCs w:val="14"/>
          <w:color w:val="auto"/>
        </w:rPr>
        <w:t>Information required by this item relating to transactions with related persons is contained under the caption “Corporate Governance — Certain Relationships and Related Transactions” in our 2022 proxy statement to be filed with the SEC within 120 days after October 30, 2021 and is incorporated herein by reference. Information required by this item relating to director independence is contained under the caption “Corporate Governance — Determination of Independence” in our 2022 proxy statement to be filed with the SEC within 120 days after October 30, 2021 and is incorporated herein by reference.</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124" w:lineRule="exact"/>
        <w:rPr>
          <w:sz w:val="20"/>
          <w:szCs w:val="20"/>
          <w:color w:val="auto"/>
        </w:rPr>
      </w:pPr>
    </w:p>
    <w:p>
      <w:pPr>
        <w:ind w:right="300" w:firstLine="386"/>
        <w:spacing w:after="0" w:line="263" w:lineRule="auto"/>
        <w:rPr>
          <w:sz w:val="20"/>
          <w:szCs w:val="20"/>
          <w:color w:val="auto"/>
        </w:rPr>
      </w:pPr>
      <w:r>
        <w:rPr>
          <w:rFonts w:ascii="Arial" w:cs="Arial" w:eastAsia="Arial" w:hAnsi="Arial"/>
          <w:sz w:val="16"/>
          <w:szCs w:val="16"/>
          <w:color w:val="auto"/>
        </w:rPr>
        <w:t>Information required by this item is contained under the caption “Proposal 4 — Ratification of Selection of Independent Registered Public Accounting Firm” in our 2022 proxy statement to be filed with the SEC within 120 days after October 30, 2021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93" w:name="page94"/>
    <w:bookmarkEnd w:id="93"/>
    <w:p>
      <w:pPr>
        <w:jc w:val="center"/>
        <w:ind w:right="-5"/>
        <w:spacing w:after="0"/>
        <w:rPr>
          <w:sz w:val="20"/>
          <w:szCs w:val="20"/>
          <w:color w:val="auto"/>
        </w:rPr>
      </w:pPr>
      <w:r>
        <w:rPr>
          <w:rFonts w:ascii="Arial" w:cs="Arial" w:eastAsia="Arial" w:hAnsi="Arial"/>
          <w:sz w:val="16"/>
          <w:szCs w:val="16"/>
          <w:b w:val="1"/>
          <w:bCs w:val="1"/>
          <w:color w:val="auto"/>
        </w:rPr>
        <w:t>PART IV</w:t>
      </w:r>
    </w:p>
    <w:p>
      <w:pPr>
        <w:spacing w:after="0" w:line="214" w:lineRule="exact"/>
        <w:rPr>
          <w:sz w:val="20"/>
          <w:szCs w:val="20"/>
          <w:color w:val="auto"/>
        </w:rPr>
      </w:pPr>
    </w:p>
    <w:p>
      <w:pPr>
        <w:ind w:left="6"/>
        <w:spacing w:after="0"/>
        <w:tabs>
          <w:tab w:leader="none" w:pos="786"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color w:val="auto"/>
        </w:rPr>
        <w:t>EXHIBITS AND FINANCIAL STATEMENT SCHEDULES</w:t>
      </w:r>
    </w:p>
    <w:p>
      <w:pPr>
        <w:spacing w:after="0" w:line="112" w:lineRule="exact"/>
        <w:rPr>
          <w:sz w:val="20"/>
          <w:szCs w:val="20"/>
          <w:color w:val="auto"/>
        </w:rPr>
      </w:pPr>
    </w:p>
    <w:p>
      <w:pPr>
        <w:ind w:left="226" w:hanging="226"/>
        <w:spacing w:after="0"/>
        <w:tabs>
          <w:tab w:leader="none" w:pos="226"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The following are filed as part of this Annual Report on Form 10-K:</w:t>
      </w:r>
    </w:p>
    <w:p>
      <w:pPr>
        <w:spacing w:after="0" w:line="34" w:lineRule="exact"/>
        <w:rPr>
          <w:sz w:val="20"/>
          <w:szCs w:val="20"/>
          <w:color w:val="auto"/>
        </w:rPr>
      </w:pPr>
    </w:p>
    <w:p>
      <w:pPr>
        <w:ind w:left="546" w:hanging="531"/>
        <w:spacing w:after="0"/>
        <w:tabs>
          <w:tab w:leader="none" w:pos="546"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Statements</w:t>
      </w:r>
    </w:p>
    <w:p>
      <w:pPr>
        <w:spacing w:after="0" w:line="194"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The following consolidated financial statements are included in Item 8 of this Annual Report on Form 10-K:</w:t>
      </w:r>
    </w:p>
    <w:p>
      <w:pPr>
        <w:spacing w:after="0" w:line="38" w:lineRule="exact"/>
        <w:rPr>
          <w:sz w:val="20"/>
          <w:szCs w:val="20"/>
          <w:color w:val="auto"/>
        </w:rPr>
      </w:pPr>
    </w:p>
    <w:p>
      <w:pPr>
        <w:ind w:left="846"/>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Consolidated Statements of Income for the years ended October 30, 2021, October 31, 2020 and November 2, 2019</w:t>
      </w:r>
    </w:p>
    <w:p>
      <w:pPr>
        <w:spacing w:after="0" w:line="73" w:lineRule="exact"/>
        <w:rPr>
          <w:sz w:val="20"/>
          <w:szCs w:val="20"/>
          <w:color w:val="auto"/>
        </w:rPr>
      </w:pPr>
    </w:p>
    <w:p>
      <w:pPr>
        <w:ind w:left="846"/>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Consolidated Statements of Comprehensive Income for the years ended October 30, 2021, October 31, 2020 and November 2, 2019</w:t>
      </w:r>
    </w:p>
    <w:p>
      <w:pPr>
        <w:spacing w:after="0" w:line="108" w:lineRule="exact"/>
        <w:rPr>
          <w:sz w:val="20"/>
          <w:szCs w:val="20"/>
          <w:color w:val="auto"/>
        </w:rPr>
      </w:pPr>
    </w:p>
    <w:p>
      <w:pPr>
        <w:ind w:left="846"/>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Consolidated Balance Sheets as of October 30, 2021 and October 31, 2020</w:t>
      </w:r>
    </w:p>
    <w:p>
      <w:pPr>
        <w:spacing w:after="0" w:line="73" w:lineRule="exact"/>
        <w:rPr>
          <w:sz w:val="20"/>
          <w:szCs w:val="20"/>
          <w:color w:val="auto"/>
        </w:rPr>
      </w:pPr>
    </w:p>
    <w:p>
      <w:pPr>
        <w:ind w:left="846"/>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Consolidated Statements of Shareholders’ Equity for the years ended October 30, 2021, October 31, 2020 and November 2, 2019</w:t>
      </w:r>
    </w:p>
    <w:p>
      <w:pPr>
        <w:spacing w:after="0" w:line="73" w:lineRule="exact"/>
        <w:rPr>
          <w:sz w:val="20"/>
          <w:szCs w:val="20"/>
          <w:color w:val="auto"/>
        </w:rPr>
      </w:pPr>
    </w:p>
    <w:p>
      <w:pPr>
        <w:ind w:left="846"/>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Consolidated Statements of Cash Flows for the years ended October 30, 2021, October 31, 2020 and November 2, 2019</w:t>
      </w:r>
    </w:p>
    <w:p>
      <w:pPr>
        <w:spacing w:after="0" w:line="291" w:lineRule="exact"/>
        <w:rPr>
          <w:sz w:val="20"/>
          <w:szCs w:val="20"/>
          <w:color w:val="auto"/>
        </w:rPr>
      </w:pPr>
    </w:p>
    <w:p>
      <w:pPr>
        <w:ind w:left="146" w:hanging="146"/>
        <w:spacing w:after="0"/>
        <w:tabs>
          <w:tab w:leader="none" w:pos="146"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Statement Schedules</w:t>
      </w:r>
    </w:p>
    <w:p>
      <w:pPr>
        <w:spacing w:after="0" w:line="112" w:lineRule="exact"/>
        <w:rPr>
          <w:sz w:val="20"/>
          <w:szCs w:val="20"/>
          <w:color w:val="auto"/>
        </w:rPr>
      </w:pPr>
    </w:p>
    <w:p>
      <w:pPr>
        <w:ind w:left="386"/>
        <w:spacing w:after="0"/>
        <w:rPr>
          <w:sz w:val="20"/>
          <w:szCs w:val="20"/>
          <w:color w:val="auto"/>
        </w:rPr>
      </w:pPr>
      <w:r>
        <w:rPr>
          <w:rFonts w:ascii="Arial" w:cs="Arial" w:eastAsia="Arial" w:hAnsi="Arial"/>
          <w:sz w:val="16"/>
          <w:szCs w:val="16"/>
          <w:color w:val="auto"/>
        </w:rPr>
        <w:t>Schedule II — Valuation and Qualifying Accounts</w:t>
      </w:r>
    </w:p>
    <w:p>
      <w:pPr>
        <w:spacing w:after="0" w:line="120" w:lineRule="exact"/>
        <w:rPr>
          <w:sz w:val="20"/>
          <w:szCs w:val="20"/>
          <w:color w:val="auto"/>
        </w:rPr>
      </w:pPr>
    </w:p>
    <w:p>
      <w:pPr>
        <w:ind w:left="6" w:right="120" w:firstLine="386"/>
        <w:spacing w:after="0" w:line="263" w:lineRule="auto"/>
        <w:rPr>
          <w:sz w:val="20"/>
          <w:szCs w:val="20"/>
          <w:color w:val="auto"/>
        </w:rPr>
      </w:pPr>
      <w:r>
        <w:rPr>
          <w:rFonts w:ascii="Arial" w:cs="Arial" w:eastAsia="Arial" w:hAnsi="Arial"/>
          <w:sz w:val="16"/>
          <w:szCs w:val="16"/>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77" w:lineRule="exact"/>
        <w:rPr>
          <w:sz w:val="20"/>
          <w:szCs w:val="20"/>
          <w:color w:val="auto"/>
        </w:rPr>
      </w:pPr>
    </w:p>
    <w:p>
      <w:pPr>
        <w:ind w:left="6"/>
        <w:spacing w:after="0"/>
        <w:tabs>
          <w:tab w:leader="none" w:pos="246"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Exhibits</w:t>
      </w:r>
    </w:p>
    <w:p>
      <w:pPr>
        <w:spacing w:after="0" w:line="35" w:lineRule="exact"/>
        <w:rPr>
          <w:sz w:val="20"/>
          <w:szCs w:val="20"/>
          <w:color w:val="auto"/>
        </w:rPr>
      </w:pPr>
    </w:p>
    <w:tbl>
      <w:tblPr>
        <w:tblLayout w:type="fixed"/>
        <w:tblInd w:w="6"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Exhibit No.</w:t>
            </w:r>
          </w:p>
        </w:tc>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60" w:type="dxa"/>
            <w:vAlign w:val="bottom"/>
            <w:gridSpan w:val="9"/>
          </w:tcPr>
          <w:p>
            <w:pPr>
              <w:ind w:left="120"/>
              <w:spacing w:after="0"/>
              <w:rPr>
                <w:sz w:val="20"/>
                <w:szCs w:val="20"/>
                <w:color w:val="auto"/>
              </w:rPr>
            </w:pPr>
            <w:r>
              <w:rPr>
                <w:rFonts w:ascii="Arial" w:cs="Arial" w:eastAsia="Arial" w:hAnsi="Arial"/>
                <w:sz w:val="12"/>
                <w:szCs w:val="12"/>
                <w:b w:val="1"/>
                <w:bCs w:val="1"/>
                <w:color w:val="auto"/>
              </w:rPr>
              <w:t>Description</w:t>
            </w:r>
          </w:p>
        </w:tc>
      </w:tr>
      <w:tr>
        <w:trPr>
          <w:trHeight w:val="161"/>
        </w:trPr>
        <w:tc>
          <w:tcPr>
            <w:tcW w:w="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color w:val="auto"/>
                <w:w w:val="80"/>
              </w:rPr>
              <w:t>2.1</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20" w:type="dxa"/>
            <w:vAlign w:val="bottom"/>
            <w:tcBorders>
              <w:top w:val="single" w:sz="8" w:color="auto"/>
            </w:tcBorders>
            <w:gridSpan w:val="11"/>
          </w:tcPr>
          <w:p>
            <w:pPr>
              <w:spacing w:after="0" w:line="161" w:lineRule="exact"/>
              <w:rPr>
                <w:rFonts w:ascii="Arial" w:cs="Arial" w:eastAsia="Arial" w:hAnsi="Arial"/>
                <w:sz w:val="16"/>
                <w:szCs w:val="16"/>
                <w:color w:val="0000FF"/>
                <w:w w:val="91"/>
              </w:rPr>
            </w:pPr>
            <w:hyperlink r:id="rId119">
              <w:r>
                <w:rPr>
                  <w:rFonts w:ascii="Arial" w:cs="Arial" w:eastAsia="Arial" w:hAnsi="Arial"/>
                  <w:sz w:val="16"/>
                  <w:szCs w:val="16"/>
                  <w:color w:val="0000FF"/>
                  <w:w w:val="91"/>
                </w:rPr>
                <w:t>Agreement and Plan of Merger, dated as of July 26, 2016, by and among Analog Devices, Inc., Linear Technology Corporation and Agreement and Plan of</w:t>
              </w:r>
            </w:hyperlink>
          </w:p>
        </w:tc>
        <w:tc>
          <w:tcPr>
            <w:tcW w:w="20" w:type="dxa"/>
            <w:vAlign w:val="bottom"/>
          </w:tcPr>
          <w:p>
            <w:pPr>
              <w:spacing w:after="0"/>
              <w:rPr>
                <w:sz w:val="13"/>
                <w:szCs w:val="13"/>
                <w:color w:val="auto"/>
              </w:rPr>
            </w:pPr>
          </w:p>
        </w:tc>
      </w:tr>
      <w:tr>
        <w:trPr>
          <w:trHeight w:val="132"/>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60" w:type="dxa"/>
            <w:vAlign w:val="bottom"/>
            <w:tcBorders>
              <w:top w:val="single" w:sz="8" w:color="0000FF"/>
            </w:tcBorders>
            <w:gridSpan w:val="8"/>
          </w:tcPr>
          <w:p>
            <w:pPr>
              <w:spacing w:after="0" w:line="132" w:lineRule="exact"/>
              <w:rPr>
                <w:rFonts w:ascii="Arial" w:cs="Arial" w:eastAsia="Arial" w:hAnsi="Arial"/>
                <w:sz w:val="14"/>
                <w:szCs w:val="14"/>
                <w:color w:val="0000FF"/>
              </w:rPr>
            </w:pPr>
            <w:hyperlink r:id="rId119">
              <w:r>
                <w:rPr>
                  <w:rFonts w:ascii="Arial" w:cs="Arial" w:eastAsia="Arial" w:hAnsi="Arial"/>
                  <w:sz w:val="14"/>
                  <w:szCs w:val="14"/>
                  <w:color w:val="0000FF"/>
                </w:rPr>
                <w:t>Merger, dated as of July 26, 2016, by and among Analog Devices, Inc., Linear Technology Corporation and Tahoe Acquisition Corp.</w:t>
              </w:r>
              <w:r>
                <w:rPr>
                  <w:rFonts w:ascii="Arial" w:cs="Arial" w:eastAsia="Arial" w:hAnsi="Arial"/>
                  <w:sz w:val="14"/>
                  <w:szCs w:val="14"/>
                  <w:color w:val="000000"/>
                </w:rPr>
                <w:t>, filed as exhibit 2.1 to</w:t>
              </w:r>
            </w:hyperlink>
          </w:p>
        </w:tc>
        <w:tc>
          <w:tcPr>
            <w:tcW w:w="380" w:type="dxa"/>
            <w:vAlign w:val="bottom"/>
            <w:gridSpan w:val="4"/>
          </w:tcPr>
          <w:p>
            <w:pPr>
              <w:ind w:left="60"/>
              <w:spacing w:after="0" w:line="132" w:lineRule="exact"/>
              <w:rPr>
                <w:sz w:val="20"/>
                <w:szCs w:val="20"/>
                <w:color w:val="auto"/>
              </w:rPr>
            </w:pPr>
            <w:r>
              <w:rPr>
                <w:rFonts w:ascii="Arial" w:cs="Arial" w:eastAsia="Arial" w:hAnsi="Arial"/>
                <w:sz w:val="14"/>
                <w:szCs w:val="14"/>
                <w:color w:val="auto"/>
              </w:rPr>
              <w:t>the</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6" w:lineRule="exact"/>
              <w:rPr>
                <w:sz w:val="20"/>
                <w:szCs w:val="20"/>
                <w:color w:val="auto"/>
              </w:rPr>
            </w:pPr>
            <w:r>
              <w:rPr>
                <w:rFonts w:ascii="Arial" w:cs="Arial" w:eastAsia="Arial" w:hAnsi="Arial"/>
                <w:sz w:val="16"/>
                <w:szCs w:val="16"/>
                <w:color w:val="auto"/>
                <w:w w:val="99"/>
              </w:rPr>
              <w:t>Company’s Current Report on Form 8-K (File No. 1-7819) as filed with the Commission on July 29, 2016 and incorporated herein by reference.</w:t>
            </w: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0"/>
              </w:rPr>
              <w:t>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5" w:lineRule="exact"/>
              <w:rPr>
                <w:rFonts w:ascii="Arial" w:cs="Arial" w:eastAsia="Arial" w:hAnsi="Arial"/>
                <w:sz w:val="16"/>
                <w:szCs w:val="16"/>
                <w:color w:val="0000FF"/>
                <w:w w:val="90"/>
              </w:rPr>
            </w:pPr>
            <w:hyperlink r:id="rId120">
              <w:r>
                <w:rPr>
                  <w:rFonts w:ascii="Arial" w:cs="Arial" w:eastAsia="Arial" w:hAnsi="Arial"/>
                  <w:sz w:val="16"/>
                  <w:szCs w:val="16"/>
                  <w:color w:val="0000FF"/>
                  <w:w w:val="90"/>
                </w:rPr>
                <w:t>Agreement and Plan of Merger, dated as of July 12, 2020, by and among Analog Devices, Inc., Maxim Integrated Products, Inc. and Magneto Corp.</w:t>
              </w:r>
            </w:hyperlink>
            <w:r>
              <w:rPr>
                <w:rFonts w:ascii="Arial" w:cs="Arial" w:eastAsia="Arial" w:hAnsi="Arial"/>
                <w:sz w:val="16"/>
                <w:szCs w:val="16"/>
                <w:color w:val="000000"/>
                <w:w w:val="90"/>
              </w:rPr>
              <w:t>,</w:t>
            </w:r>
            <w:r>
              <w:rPr>
                <w:rFonts w:ascii="Arial" w:cs="Arial" w:eastAsia="Arial" w:hAnsi="Arial"/>
                <w:sz w:val="16"/>
                <w:szCs w:val="16"/>
                <w:color w:val="0000FF"/>
                <w:w w:val="90"/>
              </w:rPr>
              <w:t xml:space="preserve"> </w:t>
            </w:r>
            <w:r>
              <w:rPr>
                <w:rFonts w:ascii="Arial" w:cs="Arial" w:eastAsia="Arial" w:hAnsi="Arial"/>
                <w:sz w:val="16"/>
                <w:szCs w:val="16"/>
                <w:color w:val="000000"/>
                <w:w w:val="90"/>
              </w:rPr>
              <w:t>filed as</w:t>
            </w: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20" w:type="dxa"/>
            <w:vAlign w:val="bottom"/>
            <w:tcBorders>
              <w:top w:val="single" w:sz="8" w:color="0000FF"/>
            </w:tcBorders>
            <w:gridSpan w:val="7"/>
          </w:tcPr>
          <w:p>
            <w:pPr>
              <w:spacing w:after="0" w:line="121" w:lineRule="exact"/>
              <w:rPr>
                <w:sz w:val="20"/>
                <w:szCs w:val="20"/>
                <w:color w:val="auto"/>
              </w:rPr>
            </w:pPr>
            <w:r>
              <w:rPr>
                <w:rFonts w:ascii="Arial" w:cs="Arial" w:eastAsia="Arial" w:hAnsi="Arial"/>
                <w:sz w:val="13"/>
                <w:szCs w:val="13"/>
                <w:color w:val="auto"/>
              </w:rPr>
              <w:t>exhibit 2.1 to the Company’s Current Report on Form 8-K (File No. 1-7819) as filed with the Commission on July 15, 2020 and incorporated herein</w:t>
            </w:r>
          </w:p>
        </w:tc>
        <w:tc>
          <w:tcPr>
            <w:tcW w:w="820" w:type="dxa"/>
            <w:vAlign w:val="bottom"/>
            <w:gridSpan w:val="5"/>
          </w:tcPr>
          <w:p>
            <w:pPr>
              <w:ind w:left="40"/>
              <w:spacing w:after="0" w:line="121" w:lineRule="exact"/>
              <w:rPr>
                <w:sz w:val="20"/>
                <w:szCs w:val="20"/>
                <w:color w:val="auto"/>
              </w:rPr>
            </w:pPr>
            <w:r>
              <w:rPr>
                <w:rFonts w:ascii="Arial" w:cs="Arial" w:eastAsia="Arial" w:hAnsi="Arial"/>
                <w:sz w:val="13"/>
                <w:szCs w:val="13"/>
                <w:color w:val="auto"/>
              </w:rPr>
              <w:t>by</w:t>
            </w: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12"/>
          </w:tcPr>
          <w:p>
            <w:pPr>
              <w:spacing w:after="0"/>
              <w:rPr>
                <w:sz w:val="20"/>
                <w:szCs w:val="20"/>
                <w:color w:val="auto"/>
              </w:rPr>
            </w:pPr>
            <w:r>
              <w:rPr>
                <w:rFonts w:ascii="Arial" w:cs="Arial" w:eastAsia="Arial" w:hAnsi="Arial"/>
                <w:sz w:val="16"/>
                <w:szCs w:val="16"/>
                <w:color w:val="auto"/>
              </w:rPr>
              <w:t>reference.</w:t>
            </w: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0"/>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5" w:lineRule="exact"/>
              <w:rPr>
                <w:rFonts w:ascii="Arial" w:cs="Arial" w:eastAsia="Arial" w:hAnsi="Arial"/>
                <w:sz w:val="16"/>
                <w:szCs w:val="16"/>
                <w:color w:val="0000FF"/>
                <w:w w:val="92"/>
              </w:rPr>
            </w:pPr>
            <w:hyperlink r:id="rId121">
              <w:r>
                <w:rPr>
                  <w:rFonts w:ascii="Arial" w:cs="Arial" w:eastAsia="Arial" w:hAnsi="Arial"/>
                  <w:sz w:val="16"/>
                  <w:szCs w:val="16"/>
                  <w:color w:val="0000FF"/>
                  <w:w w:val="92"/>
                </w:rPr>
                <w:t>Restated Articles of Organization of Analog Devices, Inc., as amended</w:t>
              </w:r>
            </w:hyperlink>
            <w:r>
              <w:rPr>
                <w:rFonts w:ascii="Arial" w:cs="Arial" w:eastAsia="Arial" w:hAnsi="Arial"/>
                <w:sz w:val="16"/>
                <w:szCs w:val="16"/>
                <w:color w:val="000000"/>
                <w:w w:val="92"/>
              </w:rPr>
              <w:t>,</w:t>
            </w:r>
            <w:r>
              <w:rPr>
                <w:rFonts w:ascii="Arial" w:cs="Arial" w:eastAsia="Arial" w:hAnsi="Arial"/>
                <w:sz w:val="16"/>
                <w:szCs w:val="16"/>
                <w:color w:val="0000FF"/>
                <w:w w:val="92"/>
              </w:rPr>
              <w:t xml:space="preserve"> </w:t>
            </w:r>
            <w:r>
              <w:rPr>
                <w:rFonts w:ascii="Arial" w:cs="Arial" w:eastAsia="Arial" w:hAnsi="Arial"/>
                <w:sz w:val="16"/>
                <w:szCs w:val="16"/>
                <w:color w:val="000000"/>
                <w:w w:val="92"/>
              </w:rPr>
              <w:t>filed as exhibit 3.1 to the Company's Quarterly Report on Form 10-Q for the fiscal</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6" w:lineRule="exact"/>
              <w:rPr>
                <w:sz w:val="20"/>
                <w:szCs w:val="20"/>
                <w:color w:val="auto"/>
              </w:rPr>
            </w:pPr>
            <w:r>
              <w:rPr>
                <w:rFonts w:ascii="Arial" w:cs="Arial" w:eastAsia="Arial" w:hAnsi="Arial"/>
                <w:sz w:val="16"/>
                <w:szCs w:val="16"/>
                <w:color w:val="auto"/>
              </w:rPr>
              <w:t>quarter ended May 3, 2008 (File No. 1-7819) as filed with the Commission on May 20, 2008 and incorporated herein by reference.</w:t>
            </w: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0"/>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5" w:lineRule="exact"/>
              <w:rPr>
                <w:rFonts w:ascii="Arial" w:cs="Arial" w:eastAsia="Arial" w:hAnsi="Arial"/>
                <w:sz w:val="16"/>
                <w:szCs w:val="16"/>
                <w:color w:val="0000FF"/>
                <w:w w:val="90"/>
              </w:rPr>
            </w:pPr>
            <w:hyperlink r:id="rId122">
              <w:r>
                <w:rPr>
                  <w:rFonts w:ascii="Arial" w:cs="Arial" w:eastAsia="Arial" w:hAnsi="Arial"/>
                  <w:sz w:val="16"/>
                  <w:szCs w:val="16"/>
                  <w:color w:val="0000FF"/>
                  <w:w w:val="90"/>
                </w:rPr>
                <w:t>Amendment to Restated Articles of Organization of Analog Devices, Inc.</w:t>
              </w:r>
            </w:hyperlink>
            <w:r>
              <w:rPr>
                <w:rFonts w:ascii="Arial" w:cs="Arial" w:eastAsia="Arial" w:hAnsi="Arial"/>
                <w:sz w:val="16"/>
                <w:szCs w:val="16"/>
                <w:color w:val="000000"/>
                <w:w w:val="90"/>
              </w:rPr>
              <w:t>,</w:t>
            </w:r>
            <w:r>
              <w:rPr>
                <w:rFonts w:ascii="Arial" w:cs="Arial" w:eastAsia="Arial" w:hAnsi="Arial"/>
                <w:sz w:val="16"/>
                <w:szCs w:val="16"/>
                <w:color w:val="0000FF"/>
                <w:w w:val="90"/>
              </w:rPr>
              <w:t xml:space="preserve"> </w:t>
            </w:r>
            <w:r>
              <w:rPr>
                <w:rFonts w:ascii="Arial" w:cs="Arial" w:eastAsia="Arial" w:hAnsi="Arial"/>
                <w:sz w:val="16"/>
                <w:szCs w:val="16"/>
                <w:color w:val="000000"/>
                <w:w w:val="90"/>
              </w:rPr>
              <w:t>filed as exhibit 3.1 to the Company's Current Report on Form 8-K (File No. 1-7819)</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6" w:lineRule="exact"/>
              <w:rPr>
                <w:sz w:val="20"/>
                <w:szCs w:val="20"/>
                <w:color w:val="auto"/>
              </w:rPr>
            </w:pPr>
            <w:r>
              <w:rPr>
                <w:rFonts w:ascii="Arial" w:cs="Arial" w:eastAsia="Arial" w:hAnsi="Arial"/>
                <w:sz w:val="16"/>
                <w:szCs w:val="16"/>
                <w:color w:val="auto"/>
              </w:rPr>
              <w:t>as filed with the Commission on December 8, 2008 and incorporated herein by reference.</w:t>
            </w: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0"/>
              </w:rPr>
              <w:t>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5" w:lineRule="exact"/>
              <w:rPr>
                <w:rFonts w:ascii="Arial" w:cs="Arial" w:eastAsia="Arial" w:hAnsi="Arial"/>
                <w:sz w:val="16"/>
                <w:szCs w:val="16"/>
                <w:color w:val="0000FF"/>
                <w:w w:val="90"/>
              </w:rPr>
            </w:pPr>
            <w:hyperlink r:id="rId123">
              <w:r>
                <w:rPr>
                  <w:rFonts w:ascii="Arial" w:cs="Arial" w:eastAsia="Arial" w:hAnsi="Arial"/>
                  <w:sz w:val="16"/>
                  <w:szCs w:val="16"/>
                  <w:color w:val="0000FF"/>
                  <w:w w:val="90"/>
                </w:rPr>
                <w:t>Amended and Restated By-Laws of Analog Devices, Inc.</w:t>
              </w:r>
            </w:hyperlink>
            <w:r>
              <w:rPr>
                <w:rFonts w:ascii="Arial" w:cs="Arial" w:eastAsia="Arial" w:hAnsi="Arial"/>
                <w:sz w:val="16"/>
                <w:szCs w:val="16"/>
                <w:color w:val="000000"/>
                <w:w w:val="90"/>
              </w:rPr>
              <w:t>,</w:t>
            </w:r>
            <w:r>
              <w:rPr>
                <w:rFonts w:ascii="Arial" w:cs="Arial" w:eastAsia="Arial" w:hAnsi="Arial"/>
                <w:sz w:val="16"/>
                <w:szCs w:val="16"/>
                <w:color w:val="0000FF"/>
                <w:w w:val="90"/>
              </w:rPr>
              <w:t xml:space="preserve"> </w:t>
            </w:r>
            <w:r>
              <w:rPr>
                <w:rFonts w:ascii="Arial" w:cs="Arial" w:eastAsia="Arial" w:hAnsi="Arial"/>
                <w:sz w:val="16"/>
                <w:szCs w:val="16"/>
                <w:color w:val="000000"/>
                <w:w w:val="90"/>
              </w:rPr>
              <w:t>filed as exhibit 3.1 to the Company's Current Report on Form 8-K (File No. 1-7819) as filed with the</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6" w:lineRule="exact"/>
              <w:rPr>
                <w:sz w:val="20"/>
                <w:szCs w:val="20"/>
                <w:color w:val="auto"/>
              </w:rPr>
            </w:pPr>
            <w:r>
              <w:rPr>
                <w:rFonts w:ascii="Arial" w:cs="Arial" w:eastAsia="Arial" w:hAnsi="Arial"/>
                <w:sz w:val="16"/>
                <w:szCs w:val="16"/>
                <w:color w:val="auto"/>
              </w:rPr>
              <w:t>Commission on December 17, 2018 and incorporated herein by reference.</w:t>
            </w: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0"/>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5" w:lineRule="exact"/>
              <w:rPr>
                <w:rFonts w:ascii="Arial" w:cs="Arial" w:eastAsia="Arial" w:hAnsi="Arial"/>
                <w:sz w:val="16"/>
                <w:szCs w:val="16"/>
                <w:color w:val="0000FF"/>
                <w:w w:val="90"/>
              </w:rPr>
            </w:pPr>
            <w:hyperlink r:id="rId124">
              <w:r>
                <w:rPr>
                  <w:rFonts w:ascii="Arial" w:cs="Arial" w:eastAsia="Arial" w:hAnsi="Arial"/>
                  <w:sz w:val="16"/>
                  <w:szCs w:val="16"/>
                  <w:color w:val="0000FF"/>
                  <w:w w:val="90"/>
                </w:rPr>
                <w:t>Indenture, dated as of June 10, 2010, between Maxim Integrated Products, Inc. and Wells Fargo Bank, National Association, as trustee</w:t>
              </w:r>
            </w:hyperlink>
            <w:r>
              <w:rPr>
                <w:rFonts w:ascii="Arial" w:cs="Arial" w:eastAsia="Arial" w:hAnsi="Arial"/>
                <w:sz w:val="16"/>
                <w:szCs w:val="16"/>
                <w:color w:val="000000"/>
                <w:w w:val="90"/>
              </w:rPr>
              <w:t>,</w:t>
            </w:r>
            <w:r>
              <w:rPr>
                <w:rFonts w:ascii="Arial" w:cs="Arial" w:eastAsia="Arial" w:hAnsi="Arial"/>
                <w:sz w:val="16"/>
                <w:szCs w:val="16"/>
                <w:color w:val="0000FF"/>
                <w:w w:val="90"/>
              </w:rPr>
              <w:t xml:space="preserve"> </w:t>
            </w:r>
            <w:r>
              <w:rPr>
                <w:rFonts w:ascii="Arial" w:cs="Arial" w:eastAsia="Arial" w:hAnsi="Arial"/>
                <w:sz w:val="16"/>
                <w:szCs w:val="16"/>
                <w:color w:val="000000"/>
                <w:w w:val="90"/>
              </w:rPr>
              <w:t>filed as exhibit 4.4 to</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80" w:type="dxa"/>
            <w:vAlign w:val="bottom"/>
            <w:gridSpan w:val="5"/>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40" w:type="dxa"/>
            <w:vAlign w:val="bottom"/>
            <w:gridSpan w:val="12"/>
          </w:tcPr>
          <w:p>
            <w:pPr>
              <w:spacing w:after="0" w:line="121" w:lineRule="exact"/>
              <w:rPr>
                <w:sz w:val="20"/>
                <w:szCs w:val="20"/>
                <w:color w:val="auto"/>
              </w:rPr>
            </w:pPr>
            <w:r>
              <w:rPr>
                <w:rFonts w:ascii="Arial" w:cs="Arial" w:eastAsia="Arial" w:hAnsi="Arial"/>
                <w:sz w:val="13"/>
                <w:szCs w:val="13"/>
                <w:color w:val="auto"/>
              </w:rPr>
              <w:t>Maxim Integrated Products, Inc.'s Registration Statement on Form S-3 (File No. 1-34192) as filed with the Commission on June 10, 2010 and incorporated</w:t>
            </w: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12"/>
          </w:tcPr>
          <w:p>
            <w:pPr>
              <w:spacing w:after="0"/>
              <w:rPr>
                <w:sz w:val="20"/>
                <w:szCs w:val="20"/>
                <w:color w:val="auto"/>
              </w:rPr>
            </w:pPr>
            <w:r>
              <w:rPr>
                <w:rFonts w:ascii="Arial" w:cs="Arial" w:eastAsia="Arial" w:hAnsi="Arial"/>
                <w:sz w:val="16"/>
                <w:szCs w:val="16"/>
                <w:color w:val="auto"/>
              </w:rPr>
              <w:t>herein by reference.</w:t>
            </w: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0"/>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5" w:lineRule="exact"/>
              <w:rPr>
                <w:rFonts w:ascii="Arial" w:cs="Arial" w:eastAsia="Arial" w:hAnsi="Arial"/>
                <w:sz w:val="16"/>
                <w:szCs w:val="16"/>
                <w:color w:val="0000FF"/>
                <w:w w:val="88"/>
              </w:rPr>
            </w:pPr>
            <w:hyperlink r:id="rId125">
              <w:r>
                <w:rPr>
                  <w:rFonts w:ascii="Arial" w:cs="Arial" w:eastAsia="Arial" w:hAnsi="Arial"/>
                  <w:sz w:val="16"/>
                  <w:szCs w:val="16"/>
                  <w:color w:val="0000FF"/>
                  <w:w w:val="88"/>
                </w:rPr>
                <w:t>Second Supplemental Indenture, dated as of March 18, 2013, between Maxim Integrated Products, Inc. and Wells Fargo Bank, National Association, as trustee,</w:t>
              </w:r>
            </w:hyperlink>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FF"/>
            </w:tcBorders>
            <w:gridSpan w:val="10"/>
          </w:tcPr>
          <w:p>
            <w:pPr>
              <w:spacing w:after="0" w:line="121" w:lineRule="exact"/>
              <w:rPr>
                <w:sz w:val="20"/>
                <w:szCs w:val="20"/>
                <w:color w:val="auto"/>
              </w:rPr>
            </w:pPr>
            <w:r>
              <w:rPr>
                <w:rFonts w:ascii="Arial" w:cs="Arial" w:eastAsia="Arial" w:hAnsi="Arial"/>
                <w:sz w:val="13"/>
                <w:szCs w:val="13"/>
                <w:color w:val="auto"/>
              </w:rPr>
              <w:t>filed as exhibit 4.1 to Maxim Integrated Products, Inc.'s Current Report on Form 8-K (File No. 1-34192) as filed with the Commission on March 21, 2013 and</w:t>
            </w:r>
          </w:p>
        </w:tc>
        <w:tc>
          <w:tcPr>
            <w:tcW w:w="100" w:type="dxa"/>
            <w:vAlign w:val="bottom"/>
            <w:gridSpan w:val="2"/>
          </w:tcPr>
          <w:p>
            <w:pPr>
              <w:spacing w:after="0"/>
              <w:rPr>
                <w:sz w:val="10"/>
                <w:szCs w:val="10"/>
                <w:color w:val="auto"/>
              </w:rPr>
            </w:pP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12"/>
          </w:tcPr>
          <w:p>
            <w:pPr>
              <w:spacing w:after="0"/>
              <w:rPr>
                <w:sz w:val="20"/>
                <w:szCs w:val="20"/>
                <w:color w:val="auto"/>
              </w:rPr>
            </w:pPr>
            <w:r>
              <w:rPr>
                <w:rFonts w:ascii="Arial" w:cs="Arial" w:eastAsia="Arial" w:hAnsi="Arial"/>
                <w:sz w:val="16"/>
                <w:szCs w:val="16"/>
                <w:color w:val="auto"/>
              </w:rPr>
              <w:t>incorporated herein by reference.</w:t>
            </w: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0"/>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5" w:lineRule="exact"/>
              <w:rPr>
                <w:rFonts w:ascii="Arial" w:cs="Arial" w:eastAsia="Arial" w:hAnsi="Arial"/>
                <w:sz w:val="16"/>
                <w:szCs w:val="16"/>
                <w:color w:val="0000FF"/>
                <w:w w:val="89"/>
              </w:rPr>
            </w:pPr>
            <w:hyperlink r:id="rId126">
              <w:r>
                <w:rPr>
                  <w:rFonts w:ascii="Arial" w:cs="Arial" w:eastAsia="Arial" w:hAnsi="Arial"/>
                  <w:sz w:val="16"/>
                  <w:szCs w:val="16"/>
                  <w:color w:val="0000FF"/>
                  <w:w w:val="89"/>
                </w:rPr>
                <w:t>Indenture, dated as of June 3, 2013, by and between Analog Devices, Inc. and The Bank of New York Mellon Trust Company, N.A., as trustee</w:t>
              </w:r>
            </w:hyperlink>
            <w:r>
              <w:rPr>
                <w:rFonts w:ascii="Arial" w:cs="Arial" w:eastAsia="Arial" w:hAnsi="Arial"/>
                <w:sz w:val="16"/>
                <w:szCs w:val="16"/>
                <w:color w:val="000000"/>
                <w:w w:val="89"/>
              </w:rPr>
              <w:t>,</w:t>
            </w:r>
            <w:r>
              <w:rPr>
                <w:rFonts w:ascii="Arial" w:cs="Arial" w:eastAsia="Arial" w:hAnsi="Arial"/>
                <w:sz w:val="16"/>
                <w:szCs w:val="16"/>
                <w:color w:val="0000FF"/>
                <w:w w:val="89"/>
              </w:rPr>
              <w:t xml:space="preserve"> </w:t>
            </w:r>
            <w:r>
              <w:rPr>
                <w:rFonts w:ascii="Arial" w:cs="Arial" w:eastAsia="Arial" w:hAnsi="Arial"/>
                <w:sz w:val="16"/>
                <w:szCs w:val="16"/>
                <w:color w:val="000000"/>
                <w:w w:val="89"/>
              </w:rPr>
              <w:t>filed as exhibit</w:t>
            </w: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6"/>
          </w:tcPr>
          <w:p>
            <w:pPr>
              <w:spacing w:after="0" w:line="166" w:lineRule="exact"/>
              <w:rPr>
                <w:sz w:val="20"/>
                <w:szCs w:val="20"/>
                <w:color w:val="auto"/>
              </w:rPr>
            </w:pPr>
            <w:r>
              <w:rPr>
                <w:rFonts w:ascii="Arial" w:cs="Arial" w:eastAsia="Arial" w:hAnsi="Arial"/>
                <w:sz w:val="16"/>
                <w:szCs w:val="16"/>
                <w:color w:val="auto"/>
                <w:w w:val="88"/>
              </w:rPr>
              <w:t>4.1 to the Company's Current Report on Form 8-K (File No. 1-7819) as filed with the Commission on June 3, 2013 and incorporated herein by</w:t>
            </w:r>
          </w:p>
        </w:tc>
        <w:tc>
          <w:tcPr>
            <w:tcW w:w="1160" w:type="dxa"/>
            <w:vAlign w:val="bottom"/>
            <w:gridSpan w:val="6"/>
          </w:tcPr>
          <w:p>
            <w:pPr>
              <w:ind w:left="40"/>
              <w:spacing w:after="0" w:line="166" w:lineRule="exact"/>
              <w:rPr>
                <w:sz w:val="20"/>
                <w:szCs w:val="20"/>
                <w:color w:val="auto"/>
              </w:rPr>
            </w:pPr>
            <w:r>
              <w:rPr>
                <w:rFonts w:ascii="Arial" w:cs="Arial" w:eastAsia="Arial" w:hAnsi="Arial"/>
                <w:sz w:val="16"/>
                <w:szCs w:val="16"/>
                <w:color w:val="auto"/>
              </w:rPr>
              <w:t>reference.</w:t>
            </w: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0"/>
              </w:rPr>
              <w:t>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12"/>
          </w:tcPr>
          <w:p>
            <w:pPr>
              <w:spacing w:after="0" w:line="165" w:lineRule="exact"/>
              <w:rPr>
                <w:rFonts w:ascii="Arial" w:cs="Arial" w:eastAsia="Arial" w:hAnsi="Arial"/>
                <w:sz w:val="16"/>
                <w:szCs w:val="16"/>
                <w:color w:val="0000FF"/>
                <w:w w:val="90"/>
              </w:rPr>
            </w:pPr>
            <w:hyperlink r:id="rId127">
              <w:r>
                <w:rPr>
                  <w:rFonts w:ascii="Arial" w:cs="Arial" w:eastAsia="Arial" w:hAnsi="Arial"/>
                  <w:sz w:val="16"/>
                  <w:szCs w:val="16"/>
                  <w:color w:val="0000FF"/>
                  <w:w w:val="90"/>
                </w:rPr>
                <w:t>Supplemental Indenture, dated as of June 3, 2013, by and between Analog Devices, Inc. and The Bank of New York Mellon Trust Company, N.A., as trustee</w:t>
              </w:r>
            </w:hyperlink>
            <w:r>
              <w:rPr>
                <w:rFonts w:ascii="Arial" w:cs="Arial" w:eastAsia="Arial" w:hAnsi="Arial"/>
                <w:sz w:val="16"/>
                <w:szCs w:val="16"/>
                <w:color w:val="000000"/>
                <w:w w:val="90"/>
              </w:rPr>
              <w:t>,</w:t>
            </w: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780" w:type="dxa"/>
            <w:vAlign w:val="bottom"/>
            <w:gridSpan w:val="9"/>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40" w:type="dxa"/>
            <w:vAlign w:val="bottom"/>
            <w:gridSpan w:val="12"/>
          </w:tcPr>
          <w:p>
            <w:pPr>
              <w:spacing w:after="0" w:line="121" w:lineRule="exact"/>
              <w:rPr>
                <w:sz w:val="20"/>
                <w:szCs w:val="20"/>
                <w:color w:val="auto"/>
              </w:rPr>
            </w:pPr>
            <w:r>
              <w:rPr>
                <w:rFonts w:ascii="Arial" w:cs="Arial" w:eastAsia="Arial" w:hAnsi="Arial"/>
                <w:sz w:val="13"/>
                <w:szCs w:val="13"/>
                <w:color w:val="auto"/>
              </w:rPr>
              <w:t>filed as exhibit 4.2 to the Company's Current Report on Form 8-K (File No. 1-7819) as filed with the Commission on June 3, 2013 and incorporated herein by</w:t>
            </w:r>
          </w:p>
        </w:tc>
      </w:tr>
      <w:tr>
        <w:trPr>
          <w:trHeight w:val="199"/>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12"/>
          </w:tcPr>
          <w:p>
            <w:pPr>
              <w:spacing w:after="0"/>
              <w:rPr>
                <w:sz w:val="20"/>
                <w:szCs w:val="20"/>
                <w:color w:val="auto"/>
              </w:rPr>
            </w:pPr>
            <w:r>
              <w:rPr>
                <w:rFonts w:ascii="Arial" w:cs="Arial" w:eastAsia="Arial" w:hAnsi="Arial"/>
                <w:sz w:val="16"/>
                <w:szCs w:val="16"/>
                <w:color w:val="auto"/>
              </w:rPr>
              <w:t>reference.</w:t>
            </w:r>
          </w:p>
        </w:tc>
      </w:tr>
      <w:tr>
        <w:trPr>
          <w:trHeight w:val="73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4"/>
          </w:tcPr>
          <w:p>
            <w:pPr>
              <w:jc w:val="right"/>
              <w:ind w:right="100"/>
              <w:spacing w:after="0"/>
              <w:rPr>
                <w:sz w:val="20"/>
                <w:szCs w:val="20"/>
                <w:color w:val="auto"/>
              </w:rPr>
            </w:pPr>
            <w:r>
              <w:rPr>
                <w:rFonts w:ascii="Arial" w:cs="Arial" w:eastAsia="Arial" w:hAnsi="Arial"/>
                <w:sz w:val="16"/>
                <w:szCs w:val="16"/>
                <w:color w:val="auto"/>
              </w:rPr>
              <w:t>92</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-26670</wp:posOffset>
            </wp:positionV>
            <wp:extent cx="3302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6"/>
          </w:cols>
          <w:pgMar w:left="314" w:top="789"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2"/>
                <w:szCs w:val="12"/>
                <w:b w:val="1"/>
                <w:bCs w:val="1"/>
                <w:color w:val="auto"/>
              </w:rPr>
              <w:t>Exhibit No.</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400" w:type="dxa"/>
            <w:vAlign w:val="bottom"/>
            <w:gridSpan w:val="16"/>
          </w:tcPr>
          <w:p>
            <w:pPr>
              <w:ind w:left="6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color w:val="auto"/>
                <w:w w:val="80"/>
              </w:rPr>
              <w:t>4.5</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20" w:type="dxa"/>
            <w:vAlign w:val="bottom"/>
            <w:tcBorders>
              <w:top w:val="single" w:sz="8" w:color="auto"/>
            </w:tcBorders>
            <w:gridSpan w:val="19"/>
          </w:tcPr>
          <w:p>
            <w:pPr>
              <w:spacing w:after="0" w:line="161" w:lineRule="exact"/>
              <w:rPr>
                <w:rFonts w:ascii="Arial" w:cs="Arial" w:eastAsia="Arial" w:hAnsi="Arial"/>
                <w:sz w:val="16"/>
                <w:szCs w:val="16"/>
                <w:color w:val="0000FF"/>
                <w:w w:val="89"/>
              </w:rPr>
            </w:pPr>
            <w:hyperlink r:id="rId130">
              <w:r>
                <w:rPr>
                  <w:rFonts w:ascii="Arial" w:cs="Arial" w:eastAsia="Arial" w:hAnsi="Arial"/>
                  <w:sz w:val="16"/>
                  <w:szCs w:val="16"/>
                  <w:color w:val="0000FF"/>
                  <w:w w:val="89"/>
                </w:rPr>
                <w:t>Supplemental Indenture, dated December 14, 2015, between Analog Devices, Inc. and The Bank of New York Mellon Trust Company, N.A., as trustee</w:t>
              </w:r>
            </w:hyperlink>
            <w:r>
              <w:rPr>
                <w:rFonts w:ascii="Arial" w:cs="Arial" w:eastAsia="Arial" w:hAnsi="Arial"/>
                <w:sz w:val="16"/>
                <w:szCs w:val="16"/>
                <w:color w:val="000000"/>
                <w:w w:val="89"/>
              </w:rPr>
              <w:t>,</w:t>
            </w:r>
            <w:r>
              <w:rPr>
                <w:rFonts w:ascii="Arial" w:cs="Arial" w:eastAsia="Arial" w:hAnsi="Arial"/>
                <w:sz w:val="16"/>
                <w:szCs w:val="16"/>
                <w:color w:val="0000FF"/>
                <w:w w:val="89"/>
              </w:rPr>
              <w:t xml:space="preserve"> </w:t>
            </w:r>
            <w:r>
              <w:rPr>
                <w:rFonts w:ascii="Arial" w:cs="Arial" w:eastAsia="Arial" w:hAnsi="Arial"/>
                <w:sz w:val="16"/>
                <w:szCs w:val="16"/>
                <w:color w:val="000000"/>
                <w:w w:val="89"/>
              </w:rPr>
              <w:t>filed as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40" w:type="dxa"/>
            <w:vAlign w:val="bottom"/>
            <w:gridSpan w:val="20"/>
          </w:tcPr>
          <w:p>
            <w:pPr>
              <w:spacing w:after="0" w:line="121" w:lineRule="exact"/>
              <w:rPr>
                <w:sz w:val="20"/>
                <w:szCs w:val="20"/>
                <w:color w:val="auto"/>
              </w:rPr>
            </w:pPr>
            <w:r>
              <w:rPr>
                <w:rFonts w:ascii="Arial" w:cs="Arial" w:eastAsia="Arial" w:hAnsi="Arial"/>
                <w:sz w:val="13"/>
                <w:szCs w:val="13"/>
                <w:color w:val="auto"/>
              </w:rPr>
              <w:t>exhibit 4.2 to the Company's Current Report on Form 8-K (File No. 1-7819) as filed with the Commission on December 14, 2015 and incorporated herein 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0"/>
              </w:rPr>
              <w:t>4.6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89"/>
              </w:rPr>
            </w:pPr>
            <w:hyperlink r:id="rId131">
              <w:r>
                <w:rPr>
                  <w:rFonts w:ascii="Arial" w:cs="Arial" w:eastAsia="Arial" w:hAnsi="Arial"/>
                  <w:sz w:val="16"/>
                  <w:szCs w:val="16"/>
                  <w:color w:val="0000FF"/>
                  <w:w w:val="89"/>
                </w:rPr>
                <w:t>Supplemental Indenture, dated December 5, 2016, between Analog Devices, Inc. and The Bank of New York Mellon Trust Company, N.A., as trustee</w:t>
              </w:r>
            </w:hyperlink>
            <w:r>
              <w:rPr>
                <w:rFonts w:ascii="Arial" w:cs="Arial" w:eastAsia="Arial" w:hAnsi="Arial"/>
                <w:sz w:val="16"/>
                <w:szCs w:val="16"/>
                <w:color w:val="000000"/>
                <w:w w:val="89"/>
              </w:rPr>
              <w:t>,</w:t>
            </w:r>
            <w:r>
              <w:rPr>
                <w:rFonts w:ascii="Arial" w:cs="Arial" w:eastAsia="Arial" w:hAnsi="Arial"/>
                <w:sz w:val="16"/>
                <w:szCs w:val="16"/>
                <w:color w:val="0000FF"/>
                <w:w w:val="89"/>
              </w:rPr>
              <w:t xml:space="preserve"> </w:t>
            </w:r>
            <w:r>
              <w:rPr>
                <w:rFonts w:ascii="Arial" w:cs="Arial" w:eastAsia="Arial" w:hAnsi="Arial"/>
                <w:sz w:val="16"/>
                <w:szCs w:val="16"/>
                <w:color w:val="000000"/>
                <w:w w:val="89"/>
              </w:rPr>
              <w:t>filed as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40" w:type="dxa"/>
            <w:vAlign w:val="bottom"/>
            <w:gridSpan w:val="20"/>
          </w:tcPr>
          <w:p>
            <w:pPr>
              <w:spacing w:after="0" w:line="121" w:lineRule="exact"/>
              <w:rPr>
                <w:sz w:val="20"/>
                <w:szCs w:val="20"/>
                <w:color w:val="auto"/>
              </w:rPr>
            </w:pPr>
            <w:r>
              <w:rPr>
                <w:rFonts w:ascii="Arial" w:cs="Arial" w:eastAsia="Arial" w:hAnsi="Arial"/>
                <w:sz w:val="13"/>
                <w:szCs w:val="13"/>
                <w:color w:val="auto"/>
              </w:rPr>
              <w:t>exhibit 4.2 to the Company's Current Report on Form 8-K (File No. 1-7819) as filed with the Commission on December 5, 2016 and incorporated herein 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0"/>
              </w:rPr>
              <w:t>4.7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89"/>
              </w:rPr>
            </w:pPr>
            <w:hyperlink r:id="rId132">
              <w:r>
                <w:rPr>
                  <w:rFonts w:ascii="Arial" w:cs="Arial" w:eastAsia="Arial" w:hAnsi="Arial"/>
                  <w:sz w:val="16"/>
                  <w:szCs w:val="16"/>
                  <w:color w:val="0000FF"/>
                  <w:w w:val="89"/>
                </w:rPr>
                <w:t>Fourth Supplemental Indenture, dated as of June 15, 2017, between Maxim Integrated Products, Inc. and Wells Fargo Bank, National Association, as trustee</w:t>
              </w:r>
            </w:hyperlink>
            <w:r>
              <w:rPr>
                <w:rFonts w:ascii="Arial" w:cs="Arial" w:eastAsia="Arial" w:hAnsi="Arial"/>
                <w:sz w:val="16"/>
                <w:szCs w:val="16"/>
                <w:color w:val="000000"/>
                <w:w w:val="89"/>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40" w:type="dxa"/>
            <w:vAlign w:val="bottom"/>
            <w:tcBorders>
              <w:top w:val="single" w:sz="8" w:color="0000FF"/>
            </w:tcBorders>
            <w:gridSpan w:val="17"/>
          </w:tcPr>
          <w:p>
            <w:pPr>
              <w:spacing w:after="0" w:line="121" w:lineRule="exact"/>
              <w:rPr>
                <w:sz w:val="20"/>
                <w:szCs w:val="20"/>
                <w:color w:val="auto"/>
              </w:rPr>
            </w:pPr>
            <w:r>
              <w:rPr>
                <w:rFonts w:ascii="Arial" w:cs="Arial" w:eastAsia="Arial" w:hAnsi="Arial"/>
                <w:sz w:val="13"/>
                <w:szCs w:val="13"/>
                <w:color w:val="auto"/>
              </w:rPr>
              <w:t>filed as exhibit 4.1 to Maxim Integrated Products, Inc.'s Current Report on Form 8-K (File No. 1-34192) as filed with the Commission on June 20, 2017 and</w:t>
            </w:r>
          </w:p>
        </w:tc>
        <w:tc>
          <w:tcPr>
            <w:tcW w:w="1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1100" w:type="dxa"/>
            <w:vAlign w:val="bottom"/>
            <w:gridSpan w:val="2"/>
            <w:vMerge w:val="restart"/>
          </w:tcPr>
          <w:p>
            <w:pPr>
              <w:jc w:val="center"/>
              <w:spacing w:after="0"/>
              <w:rPr>
                <w:sz w:val="20"/>
                <w:szCs w:val="20"/>
                <w:color w:val="auto"/>
              </w:rPr>
            </w:pPr>
            <w:r>
              <w:rPr>
                <w:rFonts w:ascii="Arial" w:cs="Arial" w:eastAsia="Arial" w:hAnsi="Arial"/>
                <w:sz w:val="16"/>
                <w:szCs w:val="16"/>
                <w:color w:val="auto"/>
                <w:w w:val="80"/>
              </w:rPr>
              <w:t>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sz w:val="20"/>
                <w:szCs w:val="20"/>
                <w:color w:val="auto"/>
              </w:rPr>
            </w:pPr>
            <w:r>
              <w:rPr>
                <w:rFonts w:ascii="Arial" w:cs="Arial" w:eastAsia="Arial" w:hAnsi="Arial"/>
                <w:sz w:val="16"/>
                <w:szCs w:val="16"/>
                <w:color w:val="auto"/>
              </w:rPr>
              <w:t>incorporated herein by reference.</w:t>
            </w:r>
          </w:p>
        </w:tc>
        <w:tc>
          <w:tcPr>
            <w:tcW w:w="0" w:type="dxa"/>
            <w:vAlign w:val="bottom"/>
          </w:tcPr>
          <w:p>
            <w:pPr>
              <w:spacing w:after="0"/>
              <w:rPr>
                <w:sz w:val="1"/>
                <w:szCs w:val="1"/>
                <w:color w:val="auto"/>
              </w:rPr>
            </w:pPr>
          </w:p>
        </w:tc>
      </w:tr>
      <w:tr>
        <w:trPr>
          <w:trHeight w:val="199"/>
        </w:trPr>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rFonts w:ascii="Arial" w:cs="Arial" w:eastAsia="Arial" w:hAnsi="Arial"/>
                <w:sz w:val="16"/>
                <w:szCs w:val="16"/>
                <w:color w:val="0000FF"/>
                <w:w w:val="91"/>
              </w:rPr>
            </w:pPr>
            <w:hyperlink r:id="rId133">
              <w:r>
                <w:rPr>
                  <w:rFonts w:ascii="Arial" w:cs="Arial" w:eastAsia="Arial" w:hAnsi="Arial"/>
                  <w:sz w:val="16"/>
                  <w:szCs w:val="16"/>
                  <w:color w:val="0000FF"/>
                  <w:w w:val="91"/>
                </w:rPr>
                <w:t>Supplemental Indenture, dated March 12, 2018, between Analog Devices, Inc. and The Bank of New York Mellon Trust Company, N.A., as trustee</w:t>
              </w:r>
            </w:hyperlink>
            <w:r>
              <w:rPr>
                <w:rFonts w:ascii="Arial" w:cs="Arial" w:eastAsia="Arial" w:hAnsi="Arial"/>
                <w:sz w:val="16"/>
                <w:szCs w:val="16"/>
                <w:color w:val="000000"/>
                <w:w w:val="91"/>
              </w:rPr>
              <w:t>,</w:t>
            </w:r>
            <w:r>
              <w:rPr>
                <w:rFonts w:ascii="Arial" w:cs="Arial" w:eastAsia="Arial" w:hAnsi="Arial"/>
                <w:sz w:val="16"/>
                <w:szCs w:val="16"/>
                <w:color w:val="0000FF"/>
                <w:w w:val="91"/>
              </w:rPr>
              <w:t xml:space="preserve"> </w:t>
            </w:r>
            <w:r>
              <w:rPr>
                <w:rFonts w:ascii="Arial" w:cs="Arial" w:eastAsia="Arial" w:hAnsi="Arial"/>
                <w:sz w:val="16"/>
                <w:szCs w:val="16"/>
                <w:color w:val="000000"/>
                <w:w w:val="91"/>
              </w:rPr>
              <w:t>filed as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40" w:type="dxa"/>
            <w:vAlign w:val="bottom"/>
            <w:gridSpan w:val="20"/>
          </w:tcPr>
          <w:p>
            <w:pPr>
              <w:spacing w:after="0" w:line="121" w:lineRule="exact"/>
              <w:rPr>
                <w:sz w:val="20"/>
                <w:szCs w:val="20"/>
                <w:color w:val="auto"/>
              </w:rPr>
            </w:pPr>
            <w:r>
              <w:rPr>
                <w:rFonts w:ascii="Arial" w:cs="Arial" w:eastAsia="Arial" w:hAnsi="Arial"/>
                <w:sz w:val="13"/>
                <w:szCs w:val="13"/>
                <w:color w:val="auto"/>
              </w:rPr>
              <w:t>exhibit 4.2 to the Company's Current Report on Form 8-K (File No. 1-7819) as filed with the Commission on March 12, 2018 and incorporated herein by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80"/>
              </w:rPr>
              <w:t>4.9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20"/>
          </w:tcPr>
          <w:p>
            <w:pPr>
              <w:spacing w:after="0"/>
              <w:rPr>
                <w:rFonts w:ascii="Arial" w:cs="Arial" w:eastAsia="Arial" w:hAnsi="Arial"/>
                <w:sz w:val="16"/>
                <w:szCs w:val="16"/>
                <w:color w:val="0000FF"/>
                <w:w w:val="89"/>
              </w:rPr>
            </w:pPr>
            <w:hyperlink r:id="rId134">
              <w:r>
                <w:rPr>
                  <w:rFonts w:ascii="Arial" w:cs="Arial" w:eastAsia="Arial" w:hAnsi="Arial"/>
                  <w:sz w:val="16"/>
                  <w:szCs w:val="16"/>
                  <w:color w:val="0000FF"/>
                  <w:w w:val="89"/>
                </w:rPr>
                <w:t xml:space="preserve">Supplemental Indenture, dated April 8, 2020, between Analog Devices and The Bank of New York Mellon Trust Company, N.A., as trustee </w:t>
              </w:r>
            </w:hyperlink>
            <w:r>
              <w:rPr>
                <w:rFonts w:ascii="Arial" w:cs="Arial" w:eastAsia="Arial" w:hAnsi="Arial"/>
                <w:sz w:val="16"/>
                <w:szCs w:val="16"/>
                <w:color w:val="000000"/>
                <w:w w:val="89"/>
              </w:rPr>
              <w:t>(including</w:t>
            </w:r>
            <w:r>
              <w:rPr>
                <w:rFonts w:ascii="Arial" w:cs="Arial" w:eastAsia="Arial" w:hAnsi="Arial"/>
                <w:sz w:val="16"/>
                <w:szCs w:val="16"/>
                <w:color w:val="0000FF"/>
                <w:w w:val="89"/>
              </w:rPr>
              <w:t xml:space="preserve"> </w:t>
            </w:r>
            <w:r>
              <w:rPr>
                <w:rFonts w:ascii="Arial" w:cs="Arial" w:eastAsia="Arial" w:hAnsi="Arial"/>
                <w:sz w:val="16"/>
                <w:szCs w:val="16"/>
                <w:color w:val="000000"/>
                <w:w w:val="89"/>
              </w:rPr>
              <w:t>the form</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700" w:type="dxa"/>
            <w:vAlign w:val="bottom"/>
            <w:tcBorders>
              <w:top w:val="single" w:sz="8" w:color="0000FF"/>
            </w:tcBorders>
            <w:gridSpan w:val="10"/>
          </w:tcPr>
          <w:p>
            <w:pPr>
              <w:spacing w:after="0" w:line="121" w:lineRule="exact"/>
              <w:rPr>
                <w:sz w:val="20"/>
                <w:szCs w:val="20"/>
                <w:color w:val="auto"/>
              </w:rPr>
            </w:pPr>
            <w:r>
              <w:rPr>
                <w:rFonts w:ascii="Arial" w:cs="Arial" w:eastAsia="Arial" w:hAnsi="Arial"/>
                <w:sz w:val="13"/>
                <w:szCs w:val="13"/>
                <w:color w:val="auto"/>
              </w:rPr>
              <w:t>of note contained therein), filed as exhibit 4.2 to the Company’s Current Report on Form 8-K (File No. 1-7819) as filed with the Commission</w:t>
            </w:r>
          </w:p>
        </w:tc>
        <w:tc>
          <w:tcPr>
            <w:tcW w:w="1340" w:type="dxa"/>
            <w:vAlign w:val="bottom"/>
            <w:gridSpan w:val="10"/>
          </w:tcPr>
          <w:p>
            <w:pPr>
              <w:ind w:left="140"/>
              <w:spacing w:after="0" w:line="121" w:lineRule="exact"/>
              <w:rPr>
                <w:sz w:val="20"/>
                <w:szCs w:val="20"/>
                <w:color w:val="auto"/>
              </w:rPr>
            </w:pPr>
            <w:r>
              <w:rPr>
                <w:rFonts w:ascii="Arial" w:cs="Arial" w:eastAsia="Arial" w:hAnsi="Arial"/>
                <w:sz w:val="13"/>
                <w:szCs w:val="13"/>
                <w:color w:val="auto"/>
              </w:rPr>
              <w:t>on April 8, 2020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sz w:val="20"/>
                <w:szCs w:val="20"/>
                <w:color w:val="auto"/>
              </w:rPr>
            </w:pPr>
            <w:r>
              <w:rPr>
                <w:rFonts w:ascii="Arial" w:cs="Arial" w:eastAsia="Arial" w:hAnsi="Arial"/>
                <w:sz w:val="16"/>
                <w:szCs w:val="16"/>
                <w:color w:val="auto"/>
              </w:rPr>
              <w:t>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3"/>
              </w:rPr>
              <w:t>4.10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90"/>
              </w:rPr>
            </w:pPr>
            <w:hyperlink r:id="rId135">
              <w:r>
                <w:rPr>
                  <w:rFonts w:ascii="Arial" w:cs="Arial" w:eastAsia="Arial" w:hAnsi="Arial"/>
                  <w:sz w:val="16"/>
                  <w:szCs w:val="16"/>
                  <w:color w:val="0000FF"/>
                  <w:w w:val="90"/>
                </w:rPr>
                <w:t xml:space="preserve">Supplemental Indenture, dated October 5, 2021, between Analog Devices and The Bank of New York Mellon Trust Company, N.A., as trustee </w:t>
              </w:r>
            </w:hyperlink>
            <w:r>
              <w:rPr>
                <w:rFonts w:ascii="Arial" w:cs="Arial" w:eastAsia="Arial" w:hAnsi="Arial"/>
                <w:sz w:val="16"/>
                <w:szCs w:val="16"/>
                <w:color w:val="000000"/>
                <w:w w:val="90"/>
              </w:rPr>
              <w:t>(including</w:t>
            </w:r>
            <w:r>
              <w:rPr>
                <w:rFonts w:ascii="Arial" w:cs="Arial" w:eastAsia="Arial" w:hAnsi="Arial"/>
                <w:sz w:val="16"/>
                <w:szCs w:val="16"/>
                <w:color w:val="0000FF"/>
                <w:w w:val="90"/>
              </w:rPr>
              <w:t xml:space="preserve"> </w:t>
            </w:r>
            <w:r>
              <w:rPr>
                <w:rFonts w:ascii="Arial" w:cs="Arial" w:eastAsia="Arial" w:hAnsi="Arial"/>
                <w:sz w:val="16"/>
                <w:szCs w:val="16"/>
                <w:color w:val="000000"/>
                <w:w w:val="90"/>
              </w:rPr>
              <w:t>the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40" w:type="dxa"/>
            <w:vAlign w:val="bottom"/>
            <w:gridSpan w:val="20"/>
          </w:tcPr>
          <w:p>
            <w:pPr>
              <w:spacing w:after="0" w:line="121" w:lineRule="exact"/>
              <w:rPr>
                <w:sz w:val="20"/>
                <w:szCs w:val="20"/>
                <w:color w:val="auto"/>
              </w:rPr>
            </w:pPr>
            <w:r>
              <w:rPr>
                <w:rFonts w:ascii="Arial" w:cs="Arial" w:eastAsia="Arial" w:hAnsi="Arial"/>
                <w:sz w:val="13"/>
                <w:szCs w:val="13"/>
                <w:color w:val="auto"/>
              </w:rPr>
              <w:t>forms of note contained therein), filed as exhibit 4.2 to the Company's Current Report on Form 8-K (File No. 1-7819) as filed with the Commission on October</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sz w:val="20"/>
                <w:szCs w:val="20"/>
                <w:color w:val="auto"/>
              </w:rPr>
            </w:pPr>
            <w:r>
              <w:rPr>
                <w:rFonts w:ascii="Arial" w:cs="Arial" w:eastAsia="Arial" w:hAnsi="Arial"/>
                <w:sz w:val="16"/>
                <w:szCs w:val="16"/>
                <w:color w:val="auto"/>
              </w:rPr>
              <w:t>5, 2021 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83"/>
              </w:rPr>
              <w:t>4.11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90"/>
              </w:rPr>
            </w:pPr>
            <w:hyperlink r:id="rId136">
              <w:r>
                <w:rPr>
                  <w:rFonts w:ascii="Arial" w:cs="Arial" w:eastAsia="Arial" w:hAnsi="Arial"/>
                  <w:sz w:val="16"/>
                  <w:szCs w:val="16"/>
                  <w:color w:val="0000FF"/>
                  <w:w w:val="90"/>
                </w:rPr>
                <w:t>Description of Registrant's Securities</w:t>
              </w:r>
            </w:hyperlink>
            <w:r>
              <w:rPr>
                <w:rFonts w:ascii="Arial" w:cs="Arial" w:eastAsia="Arial" w:hAnsi="Arial"/>
                <w:sz w:val="16"/>
                <w:szCs w:val="16"/>
                <w:color w:val="000000"/>
                <w:w w:val="90"/>
              </w:rPr>
              <w:t>,</w:t>
            </w:r>
            <w:r>
              <w:rPr>
                <w:rFonts w:ascii="Arial" w:cs="Arial" w:eastAsia="Arial" w:hAnsi="Arial"/>
                <w:sz w:val="16"/>
                <w:szCs w:val="16"/>
                <w:color w:val="0000FF"/>
                <w:w w:val="90"/>
              </w:rPr>
              <w:t xml:space="preserve"> </w:t>
            </w:r>
            <w:r>
              <w:rPr>
                <w:rFonts w:ascii="Arial" w:cs="Arial" w:eastAsia="Arial" w:hAnsi="Arial"/>
                <w:sz w:val="16"/>
                <w:szCs w:val="16"/>
                <w:color w:val="000000"/>
                <w:w w:val="90"/>
              </w:rPr>
              <w:t>filed as exhibit 4.6 to the Company's Annual Report on Form 10-K for the fiscal year ended November 2, 2019 (File No.</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top w:val="single" w:sz="8" w:color="0000FF"/>
            </w:tcBorders>
            <w:gridSpan w:val="3"/>
          </w:tcPr>
          <w:p>
            <w:pPr>
              <w:spacing w:after="0" w:line="166" w:lineRule="exact"/>
              <w:rPr>
                <w:sz w:val="20"/>
                <w:szCs w:val="20"/>
                <w:color w:val="auto"/>
              </w:rPr>
            </w:pPr>
            <w:r>
              <w:rPr>
                <w:rFonts w:ascii="Arial" w:cs="Arial" w:eastAsia="Arial" w:hAnsi="Arial"/>
                <w:sz w:val="16"/>
                <w:szCs w:val="16"/>
                <w:color w:val="auto"/>
                <w:w w:val="87"/>
              </w:rPr>
              <w:t>1-7819) as filed with the Commission</w:t>
            </w:r>
          </w:p>
        </w:tc>
        <w:tc>
          <w:tcPr>
            <w:tcW w:w="7720" w:type="dxa"/>
            <w:vAlign w:val="bottom"/>
            <w:gridSpan w:val="17"/>
          </w:tcPr>
          <w:p>
            <w:pPr>
              <w:ind w:left="80"/>
              <w:spacing w:after="0" w:line="166" w:lineRule="exact"/>
              <w:rPr>
                <w:sz w:val="20"/>
                <w:szCs w:val="20"/>
                <w:color w:val="auto"/>
              </w:rPr>
            </w:pPr>
            <w:r>
              <w:rPr>
                <w:rFonts w:ascii="Arial" w:cs="Arial" w:eastAsia="Arial" w:hAnsi="Arial"/>
                <w:sz w:val="16"/>
                <w:szCs w:val="16"/>
                <w:color w:val="auto"/>
              </w:rPr>
              <w:t>on November 26, 2019 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89"/>
              </w:rPr>
            </w:pPr>
            <w:hyperlink r:id="rId137">
              <w:r>
                <w:rPr>
                  <w:rFonts w:ascii="Arial" w:cs="Arial" w:eastAsia="Arial" w:hAnsi="Arial"/>
                  <w:sz w:val="16"/>
                  <w:szCs w:val="16"/>
                  <w:color w:val="0000FF"/>
                  <w:w w:val="89"/>
                </w:rPr>
                <w:t>Analog Devices, Inc. Amended and Restated Deferred Compensation Plan</w:t>
              </w:r>
            </w:hyperlink>
            <w:r>
              <w:rPr>
                <w:rFonts w:ascii="Arial" w:cs="Arial" w:eastAsia="Arial" w:hAnsi="Arial"/>
                <w:sz w:val="16"/>
                <w:szCs w:val="16"/>
                <w:color w:val="000000"/>
                <w:w w:val="89"/>
              </w:rPr>
              <w:t>,</w:t>
            </w:r>
            <w:r>
              <w:rPr>
                <w:rFonts w:ascii="Arial" w:cs="Arial" w:eastAsia="Arial" w:hAnsi="Arial"/>
                <w:sz w:val="16"/>
                <w:szCs w:val="16"/>
                <w:color w:val="0000FF"/>
                <w:w w:val="89"/>
              </w:rPr>
              <w:t xml:space="preserve"> </w:t>
            </w:r>
            <w:r>
              <w:rPr>
                <w:rFonts w:ascii="Arial" w:cs="Arial" w:eastAsia="Arial" w:hAnsi="Arial"/>
                <w:sz w:val="16"/>
                <w:szCs w:val="16"/>
                <w:color w:val="000000"/>
                <w:w w:val="89"/>
              </w:rPr>
              <w:t>filed as exhibit 10.1 to the Company's Current Report on Form 8-K as filed with the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6" w:lineRule="exact"/>
              <w:rPr>
                <w:sz w:val="20"/>
                <w:szCs w:val="20"/>
                <w:color w:val="auto"/>
              </w:rPr>
            </w:pPr>
            <w:r>
              <w:rPr>
                <w:rFonts w:ascii="Arial" w:cs="Arial" w:eastAsia="Arial" w:hAnsi="Arial"/>
                <w:sz w:val="16"/>
                <w:szCs w:val="16"/>
                <w:color w:val="auto"/>
              </w:rPr>
              <w:t>Commission on December 8, 2008 (File No. 1-7819) 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89"/>
              </w:rPr>
            </w:pPr>
            <w:hyperlink r:id="rId138">
              <w:r>
                <w:rPr>
                  <w:rFonts w:ascii="Arial" w:cs="Arial" w:eastAsia="Arial" w:hAnsi="Arial"/>
                  <w:sz w:val="16"/>
                  <w:szCs w:val="16"/>
                  <w:color w:val="0000FF"/>
                  <w:w w:val="89"/>
                </w:rPr>
                <w:t>First Amendment to the Analog Devices, Inc. Amended and Restated Deferred Compensation Plan</w:t>
              </w:r>
            </w:hyperlink>
            <w:r>
              <w:rPr>
                <w:rFonts w:ascii="Arial" w:cs="Arial" w:eastAsia="Arial" w:hAnsi="Arial"/>
                <w:sz w:val="16"/>
                <w:szCs w:val="16"/>
                <w:color w:val="000000"/>
                <w:w w:val="89"/>
              </w:rPr>
              <w:t>,</w:t>
            </w:r>
            <w:r>
              <w:rPr>
                <w:rFonts w:ascii="Arial" w:cs="Arial" w:eastAsia="Arial" w:hAnsi="Arial"/>
                <w:sz w:val="16"/>
                <w:szCs w:val="16"/>
                <w:color w:val="0000FF"/>
                <w:w w:val="89"/>
              </w:rPr>
              <w:t xml:space="preserve"> </w:t>
            </w:r>
            <w:r>
              <w:rPr>
                <w:rFonts w:ascii="Arial" w:cs="Arial" w:eastAsia="Arial" w:hAnsi="Arial"/>
                <w:sz w:val="16"/>
                <w:szCs w:val="16"/>
                <w:color w:val="000000"/>
                <w:w w:val="89"/>
              </w:rPr>
              <w:t>filed as exhibit 10.1 to the Company's Quarterly Report 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60" w:type="dxa"/>
            <w:vAlign w:val="bottom"/>
            <w:tcBorders>
              <w:top w:val="single" w:sz="8" w:color="0000FF"/>
            </w:tcBorders>
            <w:gridSpan w:val="7"/>
          </w:tcPr>
          <w:p>
            <w:pPr>
              <w:spacing w:after="0" w:line="166" w:lineRule="exact"/>
              <w:rPr>
                <w:sz w:val="20"/>
                <w:szCs w:val="20"/>
                <w:color w:val="auto"/>
              </w:rPr>
            </w:pPr>
            <w:r>
              <w:rPr>
                <w:rFonts w:ascii="Arial" w:cs="Arial" w:eastAsia="Arial" w:hAnsi="Arial"/>
                <w:sz w:val="16"/>
                <w:szCs w:val="16"/>
                <w:color w:val="auto"/>
                <w:w w:val="87"/>
              </w:rPr>
              <w:t>Form 10-Q for the fiscal quarter ended July 30, 2011 (File No. 1-7819) as filed with the Commission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gridSpan w:val="11"/>
          </w:tcPr>
          <w:p>
            <w:pPr>
              <w:spacing w:after="0" w:line="166" w:lineRule="exact"/>
              <w:rPr>
                <w:sz w:val="20"/>
                <w:szCs w:val="20"/>
                <w:color w:val="auto"/>
              </w:rPr>
            </w:pPr>
            <w:r>
              <w:rPr>
                <w:rFonts w:ascii="Arial" w:cs="Arial" w:eastAsia="Arial" w:hAnsi="Arial"/>
                <w:sz w:val="16"/>
                <w:szCs w:val="16"/>
                <w:color w:val="auto"/>
                <w:w w:val="89"/>
              </w:rPr>
              <w:t>on August 16, 2011 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89"/>
              </w:rPr>
            </w:pPr>
            <w:hyperlink r:id="rId139">
              <w:r>
                <w:rPr>
                  <w:rFonts w:ascii="Arial" w:cs="Arial" w:eastAsia="Arial" w:hAnsi="Arial"/>
                  <w:sz w:val="16"/>
                  <w:szCs w:val="16"/>
                  <w:color w:val="0000FF"/>
                  <w:w w:val="89"/>
                </w:rPr>
                <w:t>Second Amendment to the Analog Devices, Inc. Amended and Restated Deferred Compensation Plan</w:t>
              </w:r>
            </w:hyperlink>
            <w:r>
              <w:rPr>
                <w:rFonts w:ascii="Arial" w:cs="Arial" w:eastAsia="Arial" w:hAnsi="Arial"/>
                <w:sz w:val="16"/>
                <w:szCs w:val="16"/>
                <w:color w:val="000000"/>
                <w:w w:val="89"/>
              </w:rPr>
              <w:t>,</w:t>
            </w:r>
            <w:r>
              <w:rPr>
                <w:rFonts w:ascii="Arial" w:cs="Arial" w:eastAsia="Arial" w:hAnsi="Arial"/>
                <w:sz w:val="16"/>
                <w:szCs w:val="16"/>
                <w:color w:val="0000FF"/>
                <w:w w:val="89"/>
              </w:rPr>
              <w:t xml:space="preserve"> </w:t>
            </w:r>
            <w:r>
              <w:rPr>
                <w:rFonts w:ascii="Arial" w:cs="Arial" w:eastAsia="Arial" w:hAnsi="Arial"/>
                <w:sz w:val="16"/>
                <w:szCs w:val="16"/>
                <w:color w:val="000000"/>
                <w:w w:val="89"/>
              </w:rPr>
              <w:t>filed as exhibit 10.1 to the Company's Quarterly Report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40" w:type="dxa"/>
            <w:vAlign w:val="bottom"/>
            <w:gridSpan w:val="20"/>
          </w:tcPr>
          <w:p>
            <w:pPr>
              <w:spacing w:after="0" w:line="121" w:lineRule="exact"/>
              <w:rPr>
                <w:sz w:val="20"/>
                <w:szCs w:val="20"/>
                <w:color w:val="auto"/>
              </w:rPr>
            </w:pPr>
            <w:r>
              <w:rPr>
                <w:rFonts w:ascii="Arial" w:cs="Arial" w:eastAsia="Arial" w:hAnsi="Arial"/>
                <w:sz w:val="13"/>
                <w:szCs w:val="13"/>
                <w:color w:val="auto"/>
              </w:rPr>
              <w:t>on Form 10-Q for the fiscal quarter ended August 1, 2015 (File No. 1-7819) as filed with the Commission on August 18, 2015 and incorporated herein 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89"/>
              </w:rPr>
            </w:pPr>
            <w:hyperlink r:id="rId140">
              <w:r>
                <w:rPr>
                  <w:rFonts w:ascii="Arial" w:cs="Arial" w:eastAsia="Arial" w:hAnsi="Arial"/>
                  <w:sz w:val="16"/>
                  <w:szCs w:val="16"/>
                  <w:color w:val="0000FF"/>
                  <w:w w:val="89"/>
                </w:rPr>
                <w:t>Third Amendment to the Analog Devices, Inc. Amended and Restated Deferred Compensation Plan</w:t>
              </w:r>
            </w:hyperlink>
            <w:r>
              <w:rPr>
                <w:rFonts w:ascii="Arial" w:cs="Arial" w:eastAsia="Arial" w:hAnsi="Arial"/>
                <w:sz w:val="16"/>
                <w:szCs w:val="16"/>
                <w:color w:val="000000"/>
                <w:w w:val="89"/>
              </w:rPr>
              <w:t>,</w:t>
            </w:r>
            <w:r>
              <w:rPr>
                <w:rFonts w:ascii="Arial" w:cs="Arial" w:eastAsia="Arial" w:hAnsi="Arial"/>
                <w:sz w:val="16"/>
                <w:szCs w:val="16"/>
                <w:color w:val="0000FF"/>
                <w:w w:val="89"/>
              </w:rPr>
              <w:t xml:space="preserve"> </w:t>
            </w:r>
            <w:r>
              <w:rPr>
                <w:rFonts w:ascii="Arial" w:cs="Arial" w:eastAsia="Arial" w:hAnsi="Arial"/>
                <w:sz w:val="16"/>
                <w:szCs w:val="16"/>
                <w:color w:val="000000"/>
                <w:w w:val="89"/>
              </w:rPr>
              <w:t>filed as exhibit 10.6 to the Company's Quarterly Report 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tcBorders>
              <w:top w:val="single" w:sz="8" w:color="0000FF"/>
            </w:tcBorders>
            <w:gridSpan w:val="8"/>
          </w:tcPr>
          <w:p>
            <w:pPr>
              <w:spacing w:after="0" w:line="166" w:lineRule="exact"/>
              <w:rPr>
                <w:sz w:val="20"/>
                <w:szCs w:val="20"/>
                <w:color w:val="auto"/>
              </w:rPr>
            </w:pPr>
            <w:r>
              <w:rPr>
                <w:rFonts w:ascii="Arial" w:cs="Arial" w:eastAsia="Arial" w:hAnsi="Arial"/>
                <w:sz w:val="16"/>
                <w:szCs w:val="16"/>
                <w:color w:val="auto"/>
                <w:w w:val="88"/>
              </w:rPr>
              <w:t>Form 10-Q for the fiscal quarter ended July 29, 2017 (File No. 1-7819) as filed with the Commission</w:t>
            </w:r>
          </w:p>
        </w:tc>
        <w:tc>
          <w:tcPr>
            <w:tcW w:w="120" w:type="dxa"/>
            <w:vAlign w:val="bottom"/>
          </w:tcPr>
          <w:p>
            <w:pPr>
              <w:spacing w:after="0"/>
              <w:rPr>
                <w:sz w:val="14"/>
                <w:szCs w:val="14"/>
                <w:color w:val="auto"/>
              </w:rPr>
            </w:pPr>
          </w:p>
        </w:tc>
        <w:tc>
          <w:tcPr>
            <w:tcW w:w="3700" w:type="dxa"/>
            <w:vAlign w:val="bottom"/>
            <w:gridSpan w:val="11"/>
          </w:tcPr>
          <w:p>
            <w:pPr>
              <w:spacing w:after="0" w:line="166" w:lineRule="exact"/>
              <w:rPr>
                <w:sz w:val="20"/>
                <w:szCs w:val="20"/>
                <w:color w:val="auto"/>
              </w:rPr>
            </w:pPr>
            <w:r>
              <w:rPr>
                <w:rFonts w:ascii="Arial" w:cs="Arial" w:eastAsia="Arial" w:hAnsi="Arial"/>
                <w:sz w:val="16"/>
                <w:szCs w:val="16"/>
                <w:color w:val="auto"/>
                <w:w w:val="89"/>
              </w:rPr>
              <w:t>on August 30, 2017 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89"/>
              </w:rPr>
            </w:pPr>
            <w:hyperlink r:id="rId141">
              <w:r>
                <w:rPr>
                  <w:rFonts w:ascii="Arial" w:cs="Arial" w:eastAsia="Arial" w:hAnsi="Arial"/>
                  <w:sz w:val="16"/>
                  <w:szCs w:val="16"/>
                  <w:color w:val="0000FF"/>
                  <w:w w:val="89"/>
                </w:rPr>
                <w:t>Fourth Amendment to the Analog Devices, Inc. Amended and Restated Deferred Compensation Plan</w:t>
              </w:r>
            </w:hyperlink>
            <w:r>
              <w:rPr>
                <w:rFonts w:ascii="Arial" w:cs="Arial" w:eastAsia="Arial" w:hAnsi="Arial"/>
                <w:sz w:val="16"/>
                <w:szCs w:val="16"/>
                <w:color w:val="000000"/>
                <w:w w:val="89"/>
              </w:rPr>
              <w:t>,</w:t>
            </w:r>
            <w:r>
              <w:rPr>
                <w:rFonts w:ascii="Arial" w:cs="Arial" w:eastAsia="Arial" w:hAnsi="Arial"/>
                <w:sz w:val="16"/>
                <w:szCs w:val="16"/>
                <w:color w:val="0000FF"/>
                <w:w w:val="89"/>
              </w:rPr>
              <w:t xml:space="preserve"> </w:t>
            </w:r>
            <w:r>
              <w:rPr>
                <w:rFonts w:ascii="Arial" w:cs="Arial" w:eastAsia="Arial" w:hAnsi="Arial"/>
                <w:sz w:val="16"/>
                <w:szCs w:val="16"/>
                <w:color w:val="000000"/>
                <w:w w:val="89"/>
              </w:rPr>
              <w:t>filed as exhibit 10.5 to the Company's Annual Report 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340" w:type="dxa"/>
            <w:vAlign w:val="bottom"/>
            <w:tcBorders>
              <w:top w:val="single" w:sz="8" w:color="0000FF"/>
            </w:tcBorders>
            <w:gridSpan w:val="9"/>
          </w:tcPr>
          <w:p>
            <w:pPr>
              <w:spacing w:after="0" w:line="121" w:lineRule="exact"/>
              <w:rPr>
                <w:sz w:val="20"/>
                <w:szCs w:val="20"/>
                <w:color w:val="auto"/>
              </w:rPr>
            </w:pPr>
            <w:r>
              <w:rPr>
                <w:rFonts w:ascii="Arial" w:cs="Arial" w:eastAsia="Arial" w:hAnsi="Arial"/>
                <w:sz w:val="13"/>
                <w:szCs w:val="13"/>
                <w:color w:val="auto"/>
              </w:rPr>
              <w:t>Form 10-K for the fiscal year ended November 2, 2019 (File No. 1-7819) as filed with the Commission</w:t>
            </w:r>
          </w:p>
        </w:tc>
        <w:tc>
          <w:tcPr>
            <w:tcW w:w="3700" w:type="dxa"/>
            <w:vAlign w:val="bottom"/>
            <w:gridSpan w:val="11"/>
          </w:tcPr>
          <w:p>
            <w:pPr>
              <w:ind w:left="140"/>
              <w:spacing w:after="0" w:line="121" w:lineRule="exact"/>
              <w:rPr>
                <w:sz w:val="20"/>
                <w:szCs w:val="20"/>
                <w:color w:val="auto"/>
              </w:rPr>
            </w:pPr>
            <w:r>
              <w:rPr>
                <w:rFonts w:ascii="Arial" w:cs="Arial" w:eastAsia="Arial" w:hAnsi="Arial"/>
                <w:sz w:val="13"/>
                <w:szCs w:val="13"/>
                <w:color w:val="auto"/>
              </w:rPr>
              <w:t>on November 26, 2019 and incorporated herein 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90"/>
              </w:rPr>
            </w:pPr>
            <w:hyperlink r:id="rId142">
              <w:r>
                <w:rPr>
                  <w:rFonts w:ascii="Arial" w:cs="Arial" w:eastAsia="Arial" w:hAnsi="Arial"/>
                  <w:sz w:val="16"/>
                  <w:szCs w:val="16"/>
                  <w:color w:val="0000FF"/>
                  <w:w w:val="90"/>
                </w:rPr>
                <w:t>Fifth Amendment to the Analog Devices, Inc. Amended and Restate Deferred Compensation Plan</w:t>
              </w:r>
            </w:hyperlink>
            <w:r>
              <w:rPr>
                <w:rFonts w:ascii="Arial" w:cs="Arial" w:eastAsia="Arial" w:hAnsi="Arial"/>
                <w:sz w:val="16"/>
                <w:szCs w:val="16"/>
                <w:color w:val="000000"/>
                <w:w w:val="90"/>
              </w:rPr>
              <w:t>,</w:t>
            </w:r>
            <w:r>
              <w:rPr>
                <w:rFonts w:ascii="Arial" w:cs="Arial" w:eastAsia="Arial" w:hAnsi="Arial"/>
                <w:sz w:val="16"/>
                <w:szCs w:val="16"/>
                <w:color w:val="0000FF"/>
                <w:w w:val="90"/>
              </w:rPr>
              <w:t xml:space="preserve"> </w:t>
            </w:r>
            <w:r>
              <w:rPr>
                <w:rFonts w:ascii="Arial" w:cs="Arial" w:eastAsia="Arial" w:hAnsi="Arial"/>
                <w:sz w:val="16"/>
                <w:szCs w:val="16"/>
                <w:color w:val="000000"/>
                <w:w w:val="90"/>
              </w:rPr>
              <w:t>filed as exhibit 10.1 to the Company's Quarterly Report 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00" w:type="dxa"/>
            <w:vAlign w:val="bottom"/>
            <w:tcBorders>
              <w:top w:val="single" w:sz="8" w:color="0000FF"/>
            </w:tcBorders>
            <w:gridSpan w:val="6"/>
          </w:tcPr>
          <w:p>
            <w:pPr>
              <w:spacing w:after="0" w:line="166" w:lineRule="exact"/>
              <w:rPr>
                <w:sz w:val="20"/>
                <w:szCs w:val="20"/>
                <w:color w:val="auto"/>
              </w:rPr>
            </w:pPr>
            <w:r>
              <w:rPr>
                <w:rFonts w:ascii="Arial" w:cs="Arial" w:eastAsia="Arial" w:hAnsi="Arial"/>
                <w:sz w:val="16"/>
                <w:szCs w:val="16"/>
                <w:color w:val="auto"/>
                <w:w w:val="86"/>
              </w:rPr>
              <w:t>Form 10-Q for the fiscal quarter ended July 31, 2021 (File No. 1-7819) as filed with the Commission</w:t>
            </w:r>
          </w:p>
        </w:tc>
        <w:tc>
          <w:tcPr>
            <w:tcW w:w="3940" w:type="dxa"/>
            <w:vAlign w:val="bottom"/>
            <w:gridSpan w:val="14"/>
          </w:tcPr>
          <w:p>
            <w:pPr>
              <w:ind w:left="240"/>
              <w:spacing w:after="0" w:line="166" w:lineRule="exact"/>
              <w:rPr>
                <w:sz w:val="20"/>
                <w:szCs w:val="20"/>
                <w:color w:val="auto"/>
              </w:rPr>
            </w:pPr>
            <w:r>
              <w:rPr>
                <w:rFonts w:ascii="Arial" w:cs="Arial" w:eastAsia="Arial" w:hAnsi="Arial"/>
                <w:sz w:val="16"/>
                <w:szCs w:val="16"/>
                <w:color w:val="auto"/>
                <w:w w:val="89"/>
              </w:rPr>
              <w:t>on August 18, 2021 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88"/>
              </w:rPr>
            </w:pPr>
            <w:hyperlink r:id="rId143">
              <w:r>
                <w:rPr>
                  <w:rFonts w:ascii="Arial" w:cs="Arial" w:eastAsia="Arial" w:hAnsi="Arial"/>
                  <w:sz w:val="16"/>
                  <w:szCs w:val="16"/>
                  <w:color w:val="0000FF"/>
                  <w:w w:val="88"/>
                </w:rPr>
                <w:t>Trust Agreement for Deferred Compensation Plan dated as of October 1, 2003 between Analog Devices, Inc. and Fidelity Management Trust Company</w:t>
              </w:r>
            </w:hyperlink>
            <w:r>
              <w:rPr>
                <w:rFonts w:ascii="Arial" w:cs="Arial" w:eastAsia="Arial" w:hAnsi="Arial"/>
                <w:sz w:val="16"/>
                <w:szCs w:val="16"/>
                <w:color w:val="000000"/>
                <w:w w:val="88"/>
              </w:rPr>
              <w:t>,</w:t>
            </w:r>
            <w:r>
              <w:rPr>
                <w:rFonts w:ascii="Arial" w:cs="Arial" w:eastAsia="Arial" w:hAnsi="Arial"/>
                <w:sz w:val="16"/>
                <w:szCs w:val="16"/>
                <w:color w:val="0000FF"/>
                <w:w w:val="88"/>
              </w:rPr>
              <w:t xml:space="preserve"> </w:t>
            </w:r>
            <w:r>
              <w:rPr>
                <w:rFonts w:ascii="Arial" w:cs="Arial" w:eastAsia="Arial" w:hAnsi="Arial"/>
                <w:sz w:val="16"/>
                <w:szCs w:val="16"/>
                <w:color w:val="000000"/>
                <w:w w:val="88"/>
              </w:rPr>
              <w:t>filed as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40" w:type="dxa"/>
            <w:vAlign w:val="bottom"/>
            <w:tcBorders>
              <w:top w:val="single" w:sz="8" w:color="0000FF"/>
            </w:tcBorders>
            <w:gridSpan w:val="15"/>
          </w:tcPr>
          <w:p>
            <w:pPr>
              <w:spacing w:after="0" w:line="121" w:lineRule="exact"/>
              <w:rPr>
                <w:sz w:val="20"/>
                <w:szCs w:val="20"/>
                <w:color w:val="auto"/>
              </w:rPr>
            </w:pPr>
            <w:r>
              <w:rPr>
                <w:rFonts w:ascii="Arial" w:cs="Arial" w:eastAsia="Arial" w:hAnsi="Arial"/>
                <w:sz w:val="13"/>
                <w:szCs w:val="13"/>
                <w:color w:val="auto"/>
              </w:rPr>
              <w:t>exhibit 10.28 to the Company's Annual Report on Form 10-K for the fiscal year ended November 1, 2003 (File No. 1-7819) as filed with the Commission</w:t>
            </w:r>
          </w:p>
        </w:tc>
        <w:tc>
          <w:tcPr>
            <w:tcW w:w="600" w:type="dxa"/>
            <w:vAlign w:val="bottom"/>
            <w:gridSpan w:val="5"/>
          </w:tcPr>
          <w:p>
            <w:pPr>
              <w:ind w:left="180"/>
              <w:spacing w:after="0" w:line="121" w:lineRule="exact"/>
              <w:rPr>
                <w:sz w:val="20"/>
                <w:szCs w:val="20"/>
                <w:color w:val="auto"/>
              </w:rPr>
            </w:pPr>
            <w:r>
              <w:rPr>
                <w:rFonts w:ascii="Arial" w:cs="Arial" w:eastAsia="Arial" w:hAnsi="Arial"/>
                <w:sz w:val="13"/>
                <w:szCs w:val="13"/>
                <w:color w:val="auto"/>
              </w:rPr>
              <w:t>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sz w:val="20"/>
                <w:szCs w:val="20"/>
                <w:color w:val="auto"/>
              </w:rPr>
            </w:pPr>
            <w:r>
              <w:rPr>
                <w:rFonts w:ascii="Arial" w:cs="Arial" w:eastAsia="Arial" w:hAnsi="Arial"/>
                <w:sz w:val="16"/>
                <w:szCs w:val="16"/>
                <w:color w:val="auto"/>
              </w:rPr>
              <w:t>December 23, 2003 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91"/>
              </w:rPr>
            </w:pPr>
            <w:hyperlink r:id="rId144">
              <w:r>
                <w:rPr>
                  <w:rFonts w:ascii="Arial" w:cs="Arial" w:eastAsia="Arial" w:hAnsi="Arial"/>
                  <w:sz w:val="16"/>
                  <w:szCs w:val="16"/>
                  <w:color w:val="0000FF"/>
                  <w:w w:val="91"/>
                </w:rPr>
                <w:t>First Amendment to Trust Agreement for Deferred Compensation Plan between Analog Devices, Inc. and Fidelity Management Trust Company dated as of</w:t>
              </w:r>
            </w:hyperlink>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80" w:type="dxa"/>
            <w:vAlign w:val="bottom"/>
            <w:tcBorders>
              <w:top w:val="single" w:sz="8" w:color="0000FF"/>
            </w:tcBorders>
            <w:gridSpan w:val="16"/>
          </w:tcPr>
          <w:p>
            <w:pPr>
              <w:spacing w:after="0" w:line="132" w:lineRule="exact"/>
              <w:rPr>
                <w:rFonts w:ascii="Arial" w:cs="Arial" w:eastAsia="Arial" w:hAnsi="Arial"/>
                <w:sz w:val="14"/>
                <w:szCs w:val="14"/>
                <w:color w:val="0000FF"/>
              </w:rPr>
            </w:pPr>
            <w:hyperlink r:id="rId144">
              <w:r>
                <w:rPr>
                  <w:rFonts w:ascii="Arial" w:cs="Arial" w:eastAsia="Arial" w:hAnsi="Arial"/>
                  <w:sz w:val="14"/>
                  <w:szCs w:val="14"/>
                  <w:color w:val="0000FF"/>
                </w:rPr>
                <w:t>January 1, 2005</w:t>
              </w:r>
              <w:r>
                <w:rPr>
                  <w:rFonts w:ascii="Arial" w:cs="Arial" w:eastAsia="Arial" w:hAnsi="Arial"/>
                  <w:sz w:val="14"/>
                  <w:szCs w:val="14"/>
                  <w:color w:val="000000"/>
                </w:rPr>
                <w:t>, filed as exhibit 10.3 to the Company's Annual Report on Form 10-K for the fiscal year ended October 28, 2006 (File No. 1-7819) as filed</w:t>
              </w:r>
            </w:hyperlink>
          </w:p>
        </w:tc>
        <w:tc>
          <w:tcPr>
            <w:tcW w:w="360" w:type="dxa"/>
            <w:vAlign w:val="bottom"/>
            <w:gridSpan w:val="4"/>
          </w:tcPr>
          <w:p>
            <w:pPr>
              <w:spacing w:after="0" w:line="132" w:lineRule="exact"/>
              <w:rPr>
                <w:sz w:val="20"/>
                <w:szCs w:val="20"/>
                <w:color w:val="auto"/>
              </w:rPr>
            </w:pPr>
            <w:r>
              <w:rPr>
                <w:rFonts w:ascii="Arial" w:cs="Arial" w:eastAsia="Arial" w:hAnsi="Arial"/>
                <w:sz w:val="14"/>
                <w:szCs w:val="14"/>
                <w:color w:val="auto"/>
              </w:rPr>
              <w:t>with</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0000FF"/>
            </w:tcBorders>
          </w:tcPr>
          <w:p>
            <w:pPr>
              <w:spacing w:after="0" w:line="166" w:lineRule="exact"/>
              <w:rPr>
                <w:sz w:val="20"/>
                <w:szCs w:val="20"/>
                <w:color w:val="auto"/>
              </w:rPr>
            </w:pPr>
            <w:r>
              <w:rPr>
                <w:rFonts w:ascii="Arial" w:cs="Arial" w:eastAsia="Arial" w:hAnsi="Arial"/>
                <w:sz w:val="16"/>
                <w:szCs w:val="16"/>
                <w:color w:val="auto"/>
                <w:w w:val="83"/>
              </w:rPr>
              <w:t>the Commission</w:t>
            </w:r>
          </w:p>
        </w:tc>
        <w:tc>
          <w:tcPr>
            <w:tcW w:w="9060" w:type="dxa"/>
            <w:vAlign w:val="bottom"/>
            <w:gridSpan w:val="19"/>
          </w:tcPr>
          <w:p>
            <w:pPr>
              <w:ind w:left="80"/>
              <w:spacing w:after="0" w:line="166" w:lineRule="exact"/>
              <w:rPr>
                <w:sz w:val="20"/>
                <w:szCs w:val="20"/>
                <w:color w:val="auto"/>
              </w:rPr>
            </w:pPr>
            <w:r>
              <w:rPr>
                <w:rFonts w:ascii="Arial" w:cs="Arial" w:eastAsia="Arial" w:hAnsi="Arial"/>
                <w:sz w:val="16"/>
                <w:szCs w:val="16"/>
                <w:color w:val="auto"/>
              </w:rPr>
              <w:t>on November 20, 2006 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18"/>
          </w:tcPr>
          <w:p>
            <w:pPr>
              <w:spacing w:after="0" w:line="165" w:lineRule="exact"/>
              <w:rPr>
                <w:rFonts w:ascii="Arial" w:cs="Arial" w:eastAsia="Arial" w:hAnsi="Arial"/>
                <w:sz w:val="16"/>
                <w:szCs w:val="16"/>
                <w:color w:val="0000FF"/>
                <w:w w:val="88"/>
              </w:rPr>
            </w:pPr>
            <w:hyperlink r:id="rId145">
              <w:r>
                <w:rPr>
                  <w:rFonts w:ascii="Arial" w:cs="Arial" w:eastAsia="Arial" w:hAnsi="Arial"/>
                  <w:sz w:val="16"/>
                  <w:szCs w:val="16"/>
                  <w:color w:val="0000FF"/>
                  <w:w w:val="88"/>
                </w:rPr>
                <w:t>Second Amendment to Trust Agreement for Deferred Compensation Plan between Analog Devices, Inc. and Fidelity Management Trust Company dated as of</w:t>
              </w:r>
            </w:hyperlink>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40" w:type="dxa"/>
            <w:vAlign w:val="bottom"/>
            <w:gridSpan w:val="20"/>
          </w:tcPr>
          <w:p>
            <w:pPr>
              <w:spacing w:after="0" w:line="132" w:lineRule="exact"/>
              <w:rPr>
                <w:rFonts w:ascii="Arial" w:cs="Arial" w:eastAsia="Arial" w:hAnsi="Arial"/>
                <w:sz w:val="14"/>
                <w:szCs w:val="14"/>
                <w:color w:val="0000FF"/>
              </w:rPr>
            </w:pPr>
            <w:hyperlink r:id="rId145">
              <w:r>
                <w:rPr>
                  <w:rFonts w:ascii="Arial" w:cs="Arial" w:eastAsia="Arial" w:hAnsi="Arial"/>
                  <w:sz w:val="14"/>
                  <w:szCs w:val="14"/>
                  <w:color w:val="0000FF"/>
                </w:rPr>
                <w:t>December 10, 2007</w:t>
              </w:r>
              <w:r>
                <w:rPr>
                  <w:rFonts w:ascii="Arial" w:cs="Arial" w:eastAsia="Arial" w:hAnsi="Arial"/>
                  <w:sz w:val="14"/>
                  <w:szCs w:val="14"/>
                  <w:color w:val="000000"/>
                </w:rPr>
                <w:t xml:space="preserve">, filed as exhibit 10.41 to the Company's Annual Report on Form 10-K for the fiscal year ended November 1, 2008 (File No. 1-7819) as </w:t>
              </w:r>
            </w:hyperlink>
            <w:r>
              <w:rPr>
                <w:rFonts w:ascii="Arial" w:cs="Arial" w:eastAsia="Arial" w:hAnsi="Arial"/>
                <w:sz w:val="14"/>
                <w:szCs w:val="14"/>
                <w:color w:val="0000FF"/>
              </w:rPr>
              <w:t>filed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Borders>
              <w:top w:val="single" w:sz="8" w:color="0000FF"/>
            </w:tcBorders>
            <w:gridSpan w:val="2"/>
          </w:tcPr>
          <w:p>
            <w:pPr>
              <w:spacing w:after="0" w:line="166" w:lineRule="exact"/>
              <w:rPr>
                <w:sz w:val="20"/>
                <w:szCs w:val="20"/>
                <w:color w:val="auto"/>
              </w:rPr>
            </w:pPr>
            <w:r>
              <w:rPr>
                <w:rFonts w:ascii="Arial" w:cs="Arial" w:eastAsia="Arial" w:hAnsi="Arial"/>
                <w:sz w:val="16"/>
                <w:szCs w:val="16"/>
                <w:color w:val="auto"/>
                <w:w w:val="81"/>
              </w:rPr>
              <w:t>with the Commission</w:t>
            </w:r>
          </w:p>
        </w:tc>
        <w:tc>
          <w:tcPr>
            <w:tcW w:w="8820" w:type="dxa"/>
            <w:vAlign w:val="bottom"/>
            <w:gridSpan w:val="18"/>
          </w:tcPr>
          <w:p>
            <w:pPr>
              <w:ind w:left="140"/>
              <w:spacing w:after="0" w:line="166" w:lineRule="exact"/>
              <w:rPr>
                <w:sz w:val="20"/>
                <w:szCs w:val="20"/>
                <w:color w:val="auto"/>
              </w:rPr>
            </w:pPr>
            <w:r>
              <w:rPr>
                <w:rFonts w:ascii="Arial" w:cs="Arial" w:eastAsia="Arial" w:hAnsi="Arial"/>
                <w:sz w:val="16"/>
                <w:szCs w:val="16"/>
                <w:color w:val="auto"/>
              </w:rPr>
              <w:t>on November 25, 2008 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89"/>
              </w:rPr>
            </w:pPr>
            <w:hyperlink r:id="rId146">
              <w:r>
                <w:rPr>
                  <w:rFonts w:ascii="Arial" w:cs="Arial" w:eastAsia="Arial" w:hAnsi="Arial"/>
                  <w:sz w:val="16"/>
                  <w:szCs w:val="16"/>
                  <w:color w:val="0000FF"/>
                  <w:w w:val="89"/>
                </w:rPr>
                <w:t>Amended and Restated 2006 Stock Incentive Plan of Analog Devices, Inc.</w:t>
              </w:r>
            </w:hyperlink>
            <w:r>
              <w:rPr>
                <w:rFonts w:ascii="Arial" w:cs="Arial" w:eastAsia="Arial" w:hAnsi="Arial"/>
                <w:sz w:val="16"/>
                <w:szCs w:val="16"/>
                <w:color w:val="000000"/>
                <w:w w:val="89"/>
              </w:rPr>
              <w:t>,</w:t>
            </w:r>
            <w:r>
              <w:rPr>
                <w:rFonts w:ascii="Arial" w:cs="Arial" w:eastAsia="Arial" w:hAnsi="Arial"/>
                <w:sz w:val="16"/>
                <w:szCs w:val="16"/>
                <w:color w:val="0000FF"/>
                <w:w w:val="89"/>
              </w:rPr>
              <w:t xml:space="preserve"> </w:t>
            </w:r>
            <w:r>
              <w:rPr>
                <w:rFonts w:ascii="Arial" w:cs="Arial" w:eastAsia="Arial" w:hAnsi="Arial"/>
                <w:sz w:val="16"/>
                <w:szCs w:val="16"/>
                <w:color w:val="000000"/>
                <w:w w:val="89"/>
              </w:rPr>
              <w:t>filed as exhibit 10.1 to the Company's Quarterly Report on Form 10-Q for the fiscal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6" w:lineRule="exact"/>
              <w:rPr>
                <w:sz w:val="20"/>
                <w:szCs w:val="20"/>
                <w:color w:val="auto"/>
              </w:rPr>
            </w:pPr>
            <w:r>
              <w:rPr>
                <w:rFonts w:ascii="Arial" w:cs="Arial" w:eastAsia="Arial" w:hAnsi="Arial"/>
                <w:sz w:val="16"/>
                <w:szCs w:val="16"/>
                <w:color w:val="auto"/>
              </w:rPr>
              <w:t>quarter ended February 1, 2014 (File No. 1-7819) as filed with the Commission on February 18, 2014 and incorporated herein by reference.</w:t>
            </w:r>
          </w:p>
        </w:tc>
        <w:tc>
          <w:tcPr>
            <w:tcW w:w="0" w:type="dxa"/>
            <w:vAlign w:val="bottom"/>
          </w:tcPr>
          <w:p>
            <w:pPr>
              <w:spacing w:after="0"/>
              <w:rPr>
                <w:sz w:val="1"/>
                <w:szCs w:val="1"/>
                <w:color w:val="auto"/>
              </w:rPr>
            </w:pPr>
          </w:p>
        </w:tc>
      </w:tr>
      <w:tr>
        <w:trPr>
          <w:trHeight w:val="165"/>
        </w:trPr>
        <w:tc>
          <w:tcPr>
            <w:tcW w:w="1100" w:type="dxa"/>
            <w:vAlign w:val="bottom"/>
            <w:gridSpan w:val="2"/>
          </w:tcPr>
          <w:p>
            <w:pPr>
              <w:jc w:val="center"/>
              <w:spacing w:after="0" w:line="165" w:lineRule="exact"/>
              <w:rPr>
                <w:sz w:val="20"/>
                <w:szCs w:val="20"/>
                <w:color w:val="auto"/>
              </w:rPr>
            </w:pPr>
            <w:r>
              <w:rPr>
                <w:rFonts w:ascii="Arial" w:cs="Arial" w:eastAsia="Arial" w:hAnsi="Arial"/>
                <w:sz w:val="16"/>
                <w:szCs w:val="16"/>
                <w:color w:val="auto"/>
                <w:w w:val="90"/>
              </w:rPr>
              <w:t>*10.11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20"/>
          </w:tcPr>
          <w:p>
            <w:pPr>
              <w:spacing w:after="0" w:line="165" w:lineRule="exact"/>
              <w:rPr>
                <w:rFonts w:ascii="Arial" w:cs="Arial" w:eastAsia="Arial" w:hAnsi="Arial"/>
                <w:sz w:val="16"/>
                <w:szCs w:val="16"/>
                <w:color w:val="0000FF"/>
                <w:w w:val="89"/>
              </w:rPr>
            </w:pPr>
            <w:hyperlink r:id="rId147">
              <w:r>
                <w:rPr>
                  <w:rFonts w:ascii="Arial" w:cs="Arial" w:eastAsia="Arial" w:hAnsi="Arial"/>
                  <w:sz w:val="16"/>
                  <w:szCs w:val="16"/>
                  <w:color w:val="0000FF"/>
                  <w:w w:val="89"/>
                </w:rPr>
                <w:t>Linear Technology Corporation Amended and Restated 2005 Equity Incentive Plan</w:t>
              </w:r>
            </w:hyperlink>
            <w:r>
              <w:rPr>
                <w:rFonts w:ascii="Arial" w:cs="Arial" w:eastAsia="Arial" w:hAnsi="Arial"/>
                <w:sz w:val="16"/>
                <w:szCs w:val="16"/>
                <w:color w:val="000000"/>
                <w:w w:val="89"/>
              </w:rPr>
              <w:t>,</w:t>
            </w:r>
            <w:r>
              <w:rPr>
                <w:rFonts w:ascii="Arial" w:cs="Arial" w:eastAsia="Arial" w:hAnsi="Arial"/>
                <w:sz w:val="16"/>
                <w:szCs w:val="16"/>
                <w:color w:val="0000FF"/>
                <w:w w:val="89"/>
              </w:rPr>
              <w:t xml:space="preserve"> </w:t>
            </w:r>
            <w:r>
              <w:rPr>
                <w:rFonts w:ascii="Arial" w:cs="Arial" w:eastAsia="Arial" w:hAnsi="Arial"/>
                <w:sz w:val="16"/>
                <w:szCs w:val="16"/>
                <w:color w:val="000000"/>
                <w:w w:val="89"/>
              </w:rPr>
              <w:t>filed as Exhibit 4.1 to the Post-Effective Amendment No. 1 on Form S-8 to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tcBorders>
              <w:top w:val="single" w:sz="8" w:color="0000FF"/>
            </w:tcBorders>
            <w:gridSpan w:val="5"/>
          </w:tcPr>
          <w:p>
            <w:pPr>
              <w:spacing w:after="0" w:line="121" w:lineRule="exact"/>
              <w:rPr>
                <w:sz w:val="20"/>
                <w:szCs w:val="20"/>
                <w:color w:val="auto"/>
              </w:rPr>
            </w:pPr>
            <w:r>
              <w:rPr>
                <w:rFonts w:ascii="Arial" w:cs="Arial" w:eastAsia="Arial" w:hAnsi="Arial"/>
                <w:sz w:val="13"/>
                <w:szCs w:val="13"/>
                <w:color w:val="auto"/>
              </w:rPr>
              <w:t>the Company's Registration Statement on Form S-4 (File No. 333-213454) as filed</w:t>
            </w:r>
          </w:p>
        </w:tc>
        <w:tc>
          <w:tcPr>
            <w:tcW w:w="4860" w:type="dxa"/>
            <w:vAlign w:val="bottom"/>
            <w:gridSpan w:val="15"/>
          </w:tcPr>
          <w:p>
            <w:pPr>
              <w:spacing w:after="0" w:line="121" w:lineRule="exact"/>
              <w:rPr>
                <w:sz w:val="20"/>
                <w:szCs w:val="20"/>
                <w:color w:val="auto"/>
              </w:rPr>
            </w:pPr>
            <w:r>
              <w:rPr>
                <w:rFonts w:ascii="Arial" w:cs="Arial" w:eastAsia="Arial" w:hAnsi="Arial"/>
                <w:sz w:val="13"/>
                <w:szCs w:val="13"/>
                <w:color w:val="auto"/>
              </w:rPr>
              <w:t>with the Commission on March 15, 2017 and incorporated herein by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20"/>
          </w:tcPr>
          <w:p>
            <w:pPr>
              <w:spacing w:after="0"/>
              <w:rPr>
                <w:sz w:val="20"/>
                <w:szCs w:val="20"/>
                <w:color w:val="auto"/>
              </w:rPr>
            </w:pPr>
            <w:r>
              <w:rPr>
                <w:rFonts w:ascii="Arial" w:cs="Arial" w:eastAsia="Arial" w:hAnsi="Arial"/>
                <w:sz w:val="16"/>
                <w:szCs w:val="16"/>
                <w:color w:val="auto"/>
              </w:rPr>
              <w:t>reference.</w:t>
            </w:r>
          </w:p>
        </w:tc>
        <w:tc>
          <w:tcPr>
            <w:tcW w:w="0" w:type="dxa"/>
            <w:vAlign w:val="bottom"/>
          </w:tcPr>
          <w:p>
            <w:pPr>
              <w:spacing w:after="0"/>
              <w:rPr>
                <w:sz w:val="1"/>
                <w:szCs w:val="1"/>
                <w:color w:val="auto"/>
              </w:rPr>
            </w:pPr>
          </w:p>
        </w:tc>
      </w:tr>
      <w:tr>
        <w:trPr>
          <w:trHeight w:val="845"/>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95" w:name="page96"/>
    <w:bookmarkEnd w:id="95"/>
    <w:p>
      <w:pPr>
        <w:spacing w:after="0"/>
        <w:tabs>
          <w:tab w:leader="none" w:pos="5660"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21590</wp:posOffset>
            </wp:positionV>
            <wp:extent cx="713613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36130" cy="7620"/>
                    </a:xfrm>
                    <a:prstGeom prst="rect">
                      <a:avLst/>
                    </a:prstGeom>
                    <a:noFill/>
                  </pic:spPr>
                </pic:pic>
              </a:graphicData>
            </a:graphic>
          </wp:anchor>
        </w:drawing>
      </w:r>
    </w:p>
    <w:p>
      <w:pPr>
        <w:spacing w:after="0" w:line="25" w:lineRule="exact"/>
        <w:rPr>
          <w:sz w:val="20"/>
          <w:szCs w:val="20"/>
          <w:color w:val="auto"/>
        </w:rPr>
      </w:pPr>
    </w:p>
    <w:p>
      <w:pPr>
        <w:ind w:left="980" w:right="120" w:hanging="878"/>
        <w:spacing w:after="0" w:line="261" w:lineRule="auto"/>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*10.12</w:t>
      </w:r>
      <w:r>
        <w:rPr>
          <w:sz w:val="20"/>
          <w:szCs w:val="20"/>
          <w:color w:val="auto"/>
        </w:rPr>
        <w:tab/>
      </w:r>
      <w:hyperlink r:id="rId151">
        <w:r>
          <w:rPr>
            <w:rFonts w:ascii="Arial" w:cs="Arial" w:eastAsia="Arial" w:hAnsi="Arial"/>
            <w:sz w:val="14"/>
            <w:szCs w:val="14"/>
            <w:u w:val="single" w:color="auto"/>
            <w:color w:val="0000FF"/>
          </w:rPr>
          <w:t>Analog Devices, Inc. Amended and Restated 2010 Equity Incentive Plan</w:t>
        </w:r>
      </w:hyperlink>
      <w:r>
        <w:rPr>
          <w:rFonts w:ascii="Arial" w:cs="Arial" w:eastAsia="Arial" w:hAnsi="Arial"/>
          <w:sz w:val="14"/>
          <w:szCs w:val="14"/>
          <w:color w:val="000000"/>
        </w:rPr>
        <w:t>,</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filed as Exhibit 4.2 to the Post-Effective Amendment No. 1 on Form S-8 to the</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Company's Registration Statement on Form S-4 (File No. 333-213454) as filed with the Commission on March 15, 2017 and incorporated herein by reference.</w:t>
      </w:r>
    </w:p>
    <w:p>
      <w:pPr>
        <w:spacing w:after="0" w:line="1" w:lineRule="exact"/>
        <w:rPr>
          <w:sz w:val="20"/>
          <w:szCs w:val="20"/>
          <w:color w:val="auto"/>
        </w:rPr>
      </w:pPr>
    </w:p>
    <w:p>
      <w:pPr>
        <w:jc w:val="both"/>
        <w:ind w:left="980" w:right="4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*10.13</w:t>
      </w:r>
      <w:r>
        <w:rPr>
          <w:sz w:val="20"/>
          <w:szCs w:val="20"/>
          <w:color w:val="auto"/>
        </w:rPr>
        <w:tab/>
      </w:r>
      <w:hyperlink r:id="rId152">
        <w:r>
          <w:rPr>
            <w:rFonts w:ascii="Arial" w:cs="Arial" w:eastAsia="Arial" w:hAnsi="Arial"/>
            <w:sz w:val="16"/>
            <w:szCs w:val="16"/>
            <w:u w:val="single" w:color="auto"/>
            <w:color w:val="0000FF"/>
          </w:rPr>
          <w:t>Form of Global Non-Qualified Stock Option Agreement for Employees for usage under the Company's Amended and Restated 2006 Stock Incentive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as exhibit 10.1 to the Company's Quarterly Report on Form 10-Q for the fiscal quarter ended February 2, 2019 (File No. 1-7819) as filed with the Commission on February 20, 2019 and incorporated herein by reference.</w:t>
      </w:r>
    </w:p>
    <w:p>
      <w:pPr>
        <w:spacing w:after="0" w:line="1" w:lineRule="exact"/>
        <w:rPr>
          <w:sz w:val="20"/>
          <w:szCs w:val="20"/>
          <w:color w:val="auto"/>
        </w:rPr>
      </w:pPr>
    </w:p>
    <w:p>
      <w:pPr>
        <w:ind w:left="980" w:right="8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*10.14</w:t>
      </w:r>
      <w:r>
        <w:rPr>
          <w:sz w:val="20"/>
          <w:szCs w:val="20"/>
          <w:color w:val="auto"/>
        </w:rPr>
        <w:tab/>
      </w:r>
      <w:hyperlink r:id="rId153">
        <w:r>
          <w:rPr>
            <w:rFonts w:ascii="Arial" w:cs="Arial" w:eastAsia="Arial" w:hAnsi="Arial"/>
            <w:sz w:val="16"/>
            <w:szCs w:val="16"/>
            <w:u w:val="single" w:color="auto"/>
            <w:color w:val="0000FF"/>
          </w:rPr>
          <w:t>Form of Non-Qualified Stock Option Agreement for Directors for usage under the Company's Amended and Restated 2006 Stock Incentive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exhibit 10.4 to the Company's Quarterly Report on Form 10-Q for the fiscal quarter ended January 28, 2017 (File No. 1-7819) as filed with the Commission on February 15, 2017 and incorporated herein by reference.</w:t>
      </w:r>
    </w:p>
    <w:p>
      <w:pPr>
        <w:spacing w:after="0" w:line="1" w:lineRule="exact"/>
        <w:rPr>
          <w:sz w:val="20"/>
          <w:szCs w:val="20"/>
          <w:color w:val="auto"/>
        </w:rPr>
      </w:pPr>
    </w:p>
    <w:p>
      <w:pPr>
        <w:ind w:left="980" w:right="8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*10.15</w:t>
      </w:r>
      <w:r>
        <w:rPr>
          <w:sz w:val="20"/>
          <w:szCs w:val="20"/>
          <w:color w:val="auto"/>
        </w:rPr>
        <w:tab/>
      </w:r>
      <w:hyperlink r:id="rId154">
        <w:r>
          <w:rPr>
            <w:rFonts w:ascii="Arial" w:cs="Arial" w:eastAsia="Arial" w:hAnsi="Arial"/>
            <w:sz w:val="16"/>
            <w:szCs w:val="16"/>
            <w:u w:val="single" w:color="auto"/>
            <w:color w:val="0000FF"/>
          </w:rPr>
          <w:t>Form of Global Restricted Stock Unit Agreement for Employees for usage under the Company's Amended and Restated 2006 Stock Incentive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exhibit 10.2 to the Company's Quarterly Report on Form 10-Q for the fiscal quarter ended February 2, 2019 (File No. 1-7819) as filed with the Commission on February 20, 2019 and incorporated herein by reference.</w:t>
      </w:r>
    </w:p>
    <w:p>
      <w:pPr>
        <w:spacing w:after="0" w:line="1" w:lineRule="exact"/>
        <w:rPr>
          <w:sz w:val="20"/>
          <w:szCs w:val="20"/>
          <w:color w:val="auto"/>
        </w:rPr>
      </w:pPr>
    </w:p>
    <w:p>
      <w:pPr>
        <w:jc w:val="both"/>
        <w:ind w:left="980" w:right="10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*10.16</w:t>
      </w:r>
      <w:r>
        <w:rPr>
          <w:sz w:val="20"/>
          <w:szCs w:val="20"/>
          <w:color w:val="auto"/>
        </w:rPr>
        <w:tab/>
      </w:r>
      <w:hyperlink r:id="rId155">
        <w:r>
          <w:rPr>
            <w:rFonts w:ascii="Arial" w:cs="Arial" w:eastAsia="Arial" w:hAnsi="Arial"/>
            <w:sz w:val="16"/>
            <w:szCs w:val="16"/>
            <w:u w:val="single" w:color="auto"/>
            <w:color w:val="0000FF"/>
          </w:rPr>
          <w:t>Form of Performance Restricted Stock Unit Agreement for Employees for usage under the Company's Amended and Restated 2006 Stock Incentive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as exhibit 10.7 to the Company's Quarterly Report on Form 10-Q for the fiscal quarter ended February 3, 2018 (File No. 1-7819) as filed with the Commission on February 28, 2018 and incorporated herein by reference.</w:t>
      </w:r>
    </w:p>
    <w:p>
      <w:pPr>
        <w:spacing w:after="0" w:line="1" w:lineRule="exact"/>
        <w:rPr>
          <w:sz w:val="20"/>
          <w:szCs w:val="20"/>
          <w:color w:val="auto"/>
        </w:rPr>
      </w:pPr>
    </w:p>
    <w:p>
      <w:pPr>
        <w:ind w:left="980" w:right="140" w:hanging="878"/>
        <w:spacing w:after="0" w:line="218" w:lineRule="auto"/>
        <w:tabs>
          <w:tab w:leader="none" w:pos="960" w:val="left"/>
        </w:tabs>
        <w:rPr>
          <w:rFonts w:ascii="Arial" w:cs="Arial" w:eastAsia="Arial" w:hAnsi="Arial"/>
          <w:sz w:val="16"/>
          <w:szCs w:val="16"/>
          <w:color w:val="0000FF"/>
        </w:rPr>
      </w:pPr>
      <w:r>
        <w:rPr>
          <w:rFonts w:ascii="Arial" w:cs="Arial" w:eastAsia="Arial" w:hAnsi="Arial"/>
          <w:sz w:val="16"/>
          <w:szCs w:val="16"/>
          <w:color w:val="auto"/>
        </w:rPr>
        <w:t>*10.17</w:t>
      </w:r>
      <w:r>
        <w:rPr>
          <w:sz w:val="20"/>
          <w:szCs w:val="20"/>
          <w:color w:val="auto"/>
        </w:rPr>
        <w:tab/>
      </w:r>
      <w:hyperlink r:id="rId156">
        <w:r>
          <w:rPr>
            <w:rFonts w:ascii="Arial" w:cs="Arial" w:eastAsia="Arial" w:hAnsi="Arial"/>
            <w:sz w:val="16"/>
            <w:szCs w:val="16"/>
            <w:u w:val="single" w:color="auto"/>
            <w:color w:val="0000FF"/>
          </w:rPr>
          <w:t>Form of Relative TSR Performance Restricted Stock Unit Agreement for Employees for usage under the Company's Amended and Restated 2006 Stock</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Incentive Plan</w:t>
        </w:r>
        <w:r>
          <w:rPr>
            <w:rFonts w:ascii="Arial" w:cs="Arial" w:eastAsia="Arial" w:hAnsi="Arial"/>
            <w:sz w:val="16"/>
            <w:szCs w:val="16"/>
            <w:color w:val="000000"/>
          </w:rPr>
          <w:t xml:space="preserve">, filed as exhibit 10.1 to the Company's Quarterly Report on Form 10-Q for the fiscal quarter ended May 4, 2019 (File No. 1-7819) as filed </w:t>
        </w:r>
      </w:hyperlink>
      <w:r>
        <w:rPr>
          <w:rFonts w:ascii="Arial" w:cs="Arial" w:eastAsia="Arial" w:hAnsi="Arial"/>
          <w:sz w:val="16"/>
          <w:szCs w:val="16"/>
          <w:color w:val="0000FF"/>
        </w:rPr>
        <w:t xml:space="preserve">with </w:t>
      </w:r>
      <w:r>
        <w:rPr>
          <w:rFonts w:ascii="Arial" w:cs="Arial" w:eastAsia="Arial" w:hAnsi="Arial"/>
          <w:sz w:val="16"/>
          <w:szCs w:val="16"/>
          <w:color w:val="000000"/>
        </w:rPr>
        <w:t>the Commission on May 22, 2019 and incorporated herein by reference.</w:t>
      </w:r>
    </w:p>
    <w:p>
      <w:pPr>
        <w:spacing w:after="0" w:line="1" w:lineRule="exact"/>
        <w:rPr>
          <w:sz w:val="20"/>
          <w:szCs w:val="20"/>
          <w:color w:val="auto"/>
        </w:rPr>
      </w:pPr>
    </w:p>
    <w:p>
      <w:pPr>
        <w:ind w:left="980" w:right="20" w:hanging="878"/>
        <w:spacing w:after="0" w:line="218" w:lineRule="auto"/>
        <w:tabs>
          <w:tab w:leader="none" w:pos="960" w:val="left"/>
        </w:tabs>
        <w:rPr>
          <w:rFonts w:ascii="Arial" w:cs="Arial" w:eastAsia="Arial" w:hAnsi="Arial"/>
          <w:sz w:val="16"/>
          <w:szCs w:val="16"/>
          <w:color w:val="0000FF"/>
        </w:rPr>
      </w:pPr>
      <w:r>
        <w:rPr>
          <w:rFonts w:ascii="Arial" w:cs="Arial" w:eastAsia="Arial" w:hAnsi="Arial"/>
          <w:sz w:val="16"/>
          <w:szCs w:val="16"/>
          <w:color w:val="auto"/>
        </w:rPr>
        <w:t>*10.18</w:t>
      </w:r>
      <w:r>
        <w:rPr>
          <w:sz w:val="20"/>
          <w:szCs w:val="20"/>
          <w:color w:val="auto"/>
        </w:rPr>
        <w:tab/>
      </w:r>
      <w:hyperlink r:id="rId157">
        <w:r>
          <w:rPr>
            <w:rFonts w:ascii="Arial" w:cs="Arial" w:eastAsia="Arial" w:hAnsi="Arial"/>
            <w:sz w:val="16"/>
            <w:szCs w:val="16"/>
            <w:u w:val="single" w:color="auto"/>
            <w:color w:val="0000FF"/>
          </w:rPr>
          <w:t>Form of Financial Key Metric Performance Restricted Stock Unit Agreement for Employees for usage under the Company's Amended and Restated 2006 Stock</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Incentive Plan</w:t>
        </w:r>
        <w:r>
          <w:rPr>
            <w:rFonts w:ascii="Arial" w:cs="Arial" w:eastAsia="Arial" w:hAnsi="Arial"/>
            <w:sz w:val="16"/>
            <w:szCs w:val="16"/>
            <w:color w:val="000000"/>
          </w:rPr>
          <w:t>, filed as Exhibit 10.2 to the Company's Quarterly Report on Form 10-Q for the fiscal quarter ended May 4, 2019 (File No. 1-7819) as filed with</w:t>
        </w:r>
      </w:hyperlink>
      <w:r>
        <w:rPr>
          <w:rFonts w:ascii="Arial" w:cs="Arial" w:eastAsia="Arial" w:hAnsi="Arial"/>
          <w:sz w:val="16"/>
          <w:szCs w:val="16"/>
          <w:color w:val="0000FF"/>
        </w:rPr>
        <w:t xml:space="preserve"> </w:t>
      </w:r>
      <w:r>
        <w:rPr>
          <w:rFonts w:ascii="Arial" w:cs="Arial" w:eastAsia="Arial" w:hAnsi="Arial"/>
          <w:sz w:val="16"/>
          <w:szCs w:val="16"/>
          <w:color w:val="000000"/>
        </w:rPr>
        <w:t>the Commission on May 22, 2019 and incorporated herein by reference.</w:t>
      </w:r>
    </w:p>
    <w:p>
      <w:pPr>
        <w:spacing w:after="0" w:line="1" w:lineRule="exact"/>
        <w:rPr>
          <w:sz w:val="20"/>
          <w:szCs w:val="20"/>
          <w:color w:val="auto"/>
        </w:rPr>
      </w:pPr>
    </w:p>
    <w:p>
      <w:pPr>
        <w:jc w:val="both"/>
        <w:ind w:left="980" w:right="4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*10.19</w:t>
      </w:r>
      <w:r>
        <w:rPr>
          <w:sz w:val="20"/>
          <w:szCs w:val="20"/>
          <w:color w:val="auto"/>
        </w:rPr>
        <w:tab/>
      </w:r>
      <w:hyperlink r:id="rId158">
        <w:r>
          <w:rPr>
            <w:rFonts w:ascii="Arial" w:cs="Arial" w:eastAsia="Arial" w:hAnsi="Arial"/>
            <w:sz w:val="16"/>
            <w:szCs w:val="16"/>
            <w:u w:val="single" w:color="auto"/>
            <w:color w:val="0000FF"/>
          </w:rPr>
          <w:t>Form of Restricted Stock Unit Agreement for Directors for usage under the Company's Amended and Restated 2006 Stock Incentive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 exhibit 10.3</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to the Company's Quarterly Report on Form 10-Q for the fiscal quarter ended February 2, 2019 (File No. 1-7819) as filed with the Commission on February 20, 2019 and incorporated herein by reference.</w:t>
      </w:r>
    </w:p>
    <w:p>
      <w:pPr>
        <w:spacing w:after="0" w:line="1" w:lineRule="exact"/>
        <w:rPr>
          <w:sz w:val="20"/>
          <w:szCs w:val="20"/>
          <w:color w:val="auto"/>
        </w:rPr>
      </w:pPr>
    </w:p>
    <w:p>
      <w:pPr>
        <w:jc w:val="both"/>
        <w:ind w:left="980" w:right="20" w:hanging="878"/>
        <w:spacing w:after="0" w:line="261" w:lineRule="auto"/>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*10.20</w:t>
      </w:r>
      <w:r>
        <w:rPr>
          <w:sz w:val="20"/>
          <w:szCs w:val="20"/>
          <w:color w:val="auto"/>
        </w:rPr>
        <w:tab/>
      </w:r>
      <w:hyperlink r:id="rId159">
        <w:r>
          <w:rPr>
            <w:rFonts w:ascii="Arial" w:cs="Arial" w:eastAsia="Arial" w:hAnsi="Arial"/>
            <w:sz w:val="14"/>
            <w:szCs w:val="14"/>
            <w:u w:val="single" w:color="auto"/>
            <w:color w:val="0000FF"/>
          </w:rPr>
          <w:t>Form of Analog Devices, Inc. Equity Award Conversion Notice to Linear employees</w:t>
        </w:r>
      </w:hyperlink>
      <w:r>
        <w:rPr>
          <w:rFonts w:ascii="Arial" w:cs="Arial" w:eastAsia="Arial" w:hAnsi="Arial"/>
          <w:sz w:val="14"/>
          <w:szCs w:val="14"/>
          <w:color w:val="000000"/>
        </w:rPr>
        <w:t>,</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filed as exhibit 10.1 to the Company's Quarterly Report on Form 10-Q for</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the fiscal quarter ended April 29, 2017 (File No. 1-7819) as filed with the Commission on May 31, 2017 and incorporated herein by reference.</w:t>
      </w:r>
    </w:p>
    <w:p>
      <w:pPr>
        <w:spacing w:after="0" w:line="1" w:lineRule="exact"/>
        <w:rPr>
          <w:sz w:val="20"/>
          <w:szCs w:val="20"/>
          <w:color w:val="auto"/>
        </w:rPr>
      </w:pPr>
    </w:p>
    <w:p>
      <w:pPr>
        <w:ind w:left="980" w:hanging="878"/>
        <w:spacing w:after="0" w:line="218" w:lineRule="auto"/>
        <w:tabs>
          <w:tab w:leader="none" w:pos="960" w:val="left"/>
        </w:tabs>
        <w:rPr>
          <w:rFonts w:ascii="Arial" w:cs="Arial" w:eastAsia="Arial" w:hAnsi="Arial"/>
          <w:sz w:val="16"/>
          <w:szCs w:val="16"/>
          <w:color w:val="0000FF"/>
        </w:rPr>
      </w:pPr>
      <w:r>
        <w:rPr>
          <w:rFonts w:ascii="Arial" w:cs="Arial" w:eastAsia="Arial" w:hAnsi="Arial"/>
          <w:sz w:val="16"/>
          <w:szCs w:val="16"/>
          <w:color w:val="auto"/>
        </w:rPr>
        <w:t>*10.21</w:t>
      </w:r>
      <w:r>
        <w:rPr>
          <w:sz w:val="20"/>
          <w:szCs w:val="20"/>
          <w:color w:val="auto"/>
        </w:rPr>
        <w:tab/>
      </w:r>
      <w:hyperlink r:id="rId160">
        <w:r>
          <w:rPr>
            <w:rFonts w:ascii="Arial" w:cs="Arial" w:eastAsia="Arial" w:hAnsi="Arial"/>
            <w:sz w:val="16"/>
            <w:szCs w:val="16"/>
            <w:u w:val="single" w:color="auto"/>
            <w:color w:val="0000FF"/>
          </w:rPr>
          <w:t>Form of Linear Integration Performance Restricted Stock Unit Agreement for Employees for usage under the Analog Devices, Inc. Amended and Restated 2006</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Stock Incentive Plan</w:t>
        </w:r>
        <w:r>
          <w:rPr>
            <w:rFonts w:ascii="Arial" w:cs="Arial" w:eastAsia="Arial" w:hAnsi="Arial"/>
            <w:sz w:val="16"/>
            <w:szCs w:val="16"/>
            <w:color w:val="000000"/>
          </w:rPr>
          <w:t>, filed as Exhibit 10.1 to the Company's Current Report on Form 8-K (File No. 1-7819) as filed with the Commission on July 11, 2017 and</w:t>
        </w:r>
      </w:hyperlink>
      <w:r>
        <w:rPr>
          <w:rFonts w:ascii="Arial" w:cs="Arial" w:eastAsia="Arial" w:hAnsi="Arial"/>
          <w:sz w:val="16"/>
          <w:szCs w:val="16"/>
          <w:color w:val="0000FF"/>
        </w:rPr>
        <w:t xml:space="preserve"> </w:t>
      </w:r>
      <w:r>
        <w:rPr>
          <w:rFonts w:ascii="Arial" w:cs="Arial" w:eastAsia="Arial" w:hAnsi="Arial"/>
          <w:sz w:val="16"/>
          <w:szCs w:val="16"/>
          <w:color w:val="000000"/>
        </w:rPr>
        <w:t>incorporated by herein reference.</w:t>
      </w:r>
    </w:p>
    <w:p>
      <w:pPr>
        <w:spacing w:after="0" w:line="1" w:lineRule="exact"/>
        <w:rPr>
          <w:sz w:val="20"/>
          <w:szCs w:val="20"/>
          <w:color w:val="auto"/>
        </w:rPr>
      </w:pPr>
    </w:p>
    <w:p>
      <w:pPr>
        <w:ind w:left="980" w:right="280" w:hanging="878"/>
        <w:spacing w:after="0" w:line="22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*10.22</w:t>
      </w:r>
      <w:r>
        <w:rPr>
          <w:sz w:val="20"/>
          <w:szCs w:val="20"/>
          <w:color w:val="auto"/>
        </w:rPr>
        <w:tab/>
      </w:r>
      <w:hyperlink r:id="rId161">
        <w:r>
          <w:rPr>
            <w:rFonts w:ascii="Arial" w:cs="Arial" w:eastAsia="Arial" w:hAnsi="Arial"/>
            <w:sz w:val="16"/>
            <w:szCs w:val="16"/>
            <w:u w:val="single" w:color="auto"/>
            <w:color w:val="0000FF"/>
          </w:rPr>
          <w:t>Analog Devices, Inc. 2020 Equity Incentive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 Appendix B to the Company’s Definitive Proxy Statement on Schedule 14A (File No. 1-7819), as</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with the Commission on January 24, 2020 and incorporated herein by reference.</w:t>
      </w:r>
    </w:p>
    <w:p>
      <w:pPr>
        <w:spacing w:after="0" w:line="1" w:lineRule="exact"/>
        <w:rPr>
          <w:sz w:val="20"/>
          <w:szCs w:val="20"/>
          <w:color w:val="auto"/>
        </w:rPr>
      </w:pPr>
    </w:p>
    <w:p>
      <w:pPr>
        <w:ind w:left="980" w:right="8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*10.23</w:t>
      </w:r>
      <w:r>
        <w:rPr>
          <w:sz w:val="20"/>
          <w:szCs w:val="20"/>
          <w:color w:val="auto"/>
        </w:rPr>
        <w:tab/>
      </w:r>
      <w:hyperlink r:id="rId162">
        <w:r>
          <w:rPr>
            <w:rFonts w:ascii="Arial" w:cs="Arial" w:eastAsia="Arial" w:hAnsi="Arial"/>
            <w:sz w:val="16"/>
            <w:szCs w:val="16"/>
            <w:u w:val="single" w:color="auto"/>
            <w:color w:val="0000FF"/>
          </w:rPr>
          <w:t>Form of Financial Metric Performance Restricted Stock Unit Agreement for Employees for usage under the Company's 2020 Equity Incentive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exhibit 10.1 to the Company’s Quarterly Report on Form 10-Q for the fiscal quarter ended February 1, 2020 (File No. 1-7819) as filed with the Commission on February 19, 2020 and incorporated herein by reference.</w:t>
      </w:r>
    </w:p>
    <w:p>
      <w:pPr>
        <w:spacing w:after="0" w:line="1" w:lineRule="exact"/>
        <w:rPr>
          <w:sz w:val="20"/>
          <w:szCs w:val="20"/>
          <w:color w:val="auto"/>
        </w:rPr>
      </w:pPr>
    </w:p>
    <w:p>
      <w:pPr>
        <w:jc w:val="both"/>
        <w:ind w:left="980" w:right="6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*10.24</w:t>
      </w:r>
      <w:r>
        <w:rPr>
          <w:sz w:val="20"/>
          <w:szCs w:val="20"/>
          <w:color w:val="auto"/>
        </w:rPr>
        <w:tab/>
      </w:r>
      <w:hyperlink r:id="rId163">
        <w:r>
          <w:rPr>
            <w:rFonts w:ascii="Arial" w:cs="Arial" w:eastAsia="Arial" w:hAnsi="Arial"/>
            <w:sz w:val="16"/>
            <w:szCs w:val="16"/>
            <w:u w:val="single" w:color="auto"/>
            <w:color w:val="0000FF"/>
          </w:rPr>
          <w:t xml:space="preserve">Form of Global Non-Qualified Stock Option Agreement for Employees for usage under the Company's 2020 Equity Incentive Plan, </w:t>
        </w:r>
      </w:hyperlink>
      <w:r>
        <w:rPr>
          <w:rFonts w:ascii="Arial" w:cs="Arial" w:eastAsia="Arial" w:hAnsi="Arial"/>
          <w:sz w:val="16"/>
          <w:szCs w:val="16"/>
          <w:color w:val="000000"/>
        </w:rPr>
        <w:t>filed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as exhibit 10.2 to the</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Company’s Quarterly Report on Form 10-Q for the fiscal quarter ended February 1, 2020 (File No. 1-7819) as filed with the Commission on February 19, 2020 and incorporated herein by reference.</w:t>
      </w:r>
    </w:p>
    <w:p>
      <w:pPr>
        <w:spacing w:after="0" w:line="1" w:lineRule="exact"/>
        <w:rPr>
          <w:sz w:val="20"/>
          <w:szCs w:val="20"/>
          <w:color w:val="auto"/>
        </w:rPr>
      </w:pPr>
    </w:p>
    <w:p>
      <w:pPr>
        <w:ind w:left="980" w:right="6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164">
        <w:r>
          <w:rPr>
            <w:rFonts w:ascii="Arial" w:cs="Arial" w:eastAsia="Arial" w:hAnsi="Arial"/>
            <w:sz w:val="16"/>
            <w:szCs w:val="16"/>
            <w:u w:val="single" w:color="auto"/>
            <w:color w:val="0000FF"/>
          </w:rPr>
          <w:t xml:space="preserve">Form of Global Restricted Stock Unit Agreement for Employees for usage under the Company's 2020 Equity Incentive Plan, </w:t>
        </w:r>
      </w:hyperlink>
      <w:r>
        <w:rPr>
          <w:rFonts w:ascii="Arial" w:cs="Arial" w:eastAsia="Arial" w:hAnsi="Arial"/>
          <w:sz w:val="16"/>
          <w:szCs w:val="16"/>
          <w:color w:val="000000"/>
        </w:rPr>
        <w:t>filed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as exhibit 10.3 to the</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Company’s Quarterly Report on Form 10-Q for the fiscal quarter ended February 1, 2020 (File No. 1-7819) as filed with the Commission on February 19, 2020 and incorporated herein by reference.</w:t>
      </w:r>
    </w:p>
    <w:p>
      <w:pPr>
        <w:spacing w:after="0" w:line="1" w:lineRule="exact"/>
        <w:rPr>
          <w:sz w:val="20"/>
          <w:szCs w:val="20"/>
          <w:color w:val="auto"/>
        </w:rPr>
      </w:pPr>
    </w:p>
    <w:p>
      <w:pPr>
        <w:ind w:left="980" w:right="38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*10.26</w:t>
      </w:r>
      <w:r>
        <w:rPr>
          <w:sz w:val="20"/>
          <w:szCs w:val="20"/>
          <w:color w:val="auto"/>
        </w:rPr>
        <w:tab/>
      </w:r>
      <w:hyperlink r:id="rId165">
        <w:r>
          <w:rPr>
            <w:rFonts w:ascii="Arial" w:cs="Arial" w:eastAsia="Arial" w:hAnsi="Arial"/>
            <w:sz w:val="16"/>
            <w:szCs w:val="16"/>
            <w:u w:val="single" w:color="auto"/>
            <w:color w:val="0000FF"/>
          </w:rPr>
          <w:t>Form of Restricted Stock Unit Agreement for Directors for usage under the Company's 2020 Equity Incentive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 exhibit 10.4 to the Company’s</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Quarterly Report on Form 10-Q for the fiscal quarter ended February 1, 2020 (File No. 1-7819) as filed with the Commission on February 19, 2020 and incorporated herein by reference.</w:t>
      </w:r>
    </w:p>
    <w:p>
      <w:pPr>
        <w:spacing w:after="0" w:line="1" w:lineRule="exact"/>
        <w:rPr>
          <w:sz w:val="20"/>
          <w:szCs w:val="20"/>
          <w:color w:val="auto"/>
        </w:rPr>
      </w:pPr>
    </w:p>
    <w:p>
      <w:pPr>
        <w:ind w:left="980" w:right="40" w:hanging="878"/>
        <w:spacing w:after="0" w:line="218" w:lineRule="auto"/>
        <w:tabs>
          <w:tab w:leader="none" w:pos="960" w:val="left"/>
        </w:tabs>
        <w:rPr>
          <w:rFonts w:ascii="Arial" w:cs="Arial" w:eastAsia="Arial" w:hAnsi="Arial"/>
          <w:sz w:val="16"/>
          <w:szCs w:val="16"/>
          <w:color w:val="0000FF"/>
        </w:rPr>
      </w:pPr>
      <w:r>
        <w:rPr>
          <w:rFonts w:ascii="Arial" w:cs="Arial" w:eastAsia="Arial" w:hAnsi="Arial"/>
          <w:sz w:val="16"/>
          <w:szCs w:val="16"/>
          <w:color w:val="auto"/>
        </w:rPr>
        <w:t>*10.27</w:t>
      </w:r>
      <w:r>
        <w:rPr>
          <w:sz w:val="20"/>
          <w:szCs w:val="20"/>
          <w:color w:val="auto"/>
        </w:rPr>
        <w:tab/>
      </w:r>
      <w:hyperlink r:id="rId166">
        <w:r>
          <w:rPr>
            <w:rFonts w:ascii="Arial" w:cs="Arial" w:eastAsia="Arial" w:hAnsi="Arial"/>
            <w:sz w:val="16"/>
            <w:szCs w:val="16"/>
            <w:u w:val="single" w:color="auto"/>
            <w:color w:val="0000FF"/>
          </w:rPr>
          <w:t>Form of Relative Total Shareholder Return Performance Restricted Stock Unit Agreement for Employees for usage under the Company's 2020 Equity Incentive</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Plan,</w:t>
        </w:r>
        <w:r>
          <w:rPr>
            <w:rFonts w:ascii="Arial" w:cs="Arial" w:eastAsia="Arial" w:hAnsi="Arial"/>
            <w:sz w:val="16"/>
            <w:szCs w:val="16"/>
            <w:color w:val="0000FF"/>
          </w:rPr>
          <w:t xml:space="preserve"> </w:t>
        </w:r>
        <w:r>
          <w:rPr>
            <w:rFonts w:ascii="Arial" w:cs="Arial" w:eastAsia="Arial" w:hAnsi="Arial"/>
            <w:sz w:val="16"/>
            <w:szCs w:val="16"/>
            <w:color w:val="000000"/>
          </w:rPr>
          <w:t>filed as exhibit 10.5 to the Company’s Quarterly Report on Form 10-Q for the fiscal quarter ended February 1, 2020 (File No. 1-7819) as filed with the</w:t>
        </w:r>
      </w:hyperlink>
      <w:r>
        <w:rPr>
          <w:rFonts w:ascii="Arial" w:cs="Arial" w:eastAsia="Arial" w:hAnsi="Arial"/>
          <w:sz w:val="16"/>
          <w:szCs w:val="16"/>
          <w:color w:val="0000FF"/>
        </w:rPr>
        <w:t xml:space="preserve"> </w:t>
      </w:r>
      <w:r>
        <w:rPr>
          <w:rFonts w:ascii="Arial" w:cs="Arial" w:eastAsia="Arial" w:hAnsi="Arial"/>
          <w:sz w:val="16"/>
          <w:szCs w:val="16"/>
          <w:color w:val="000000"/>
        </w:rPr>
        <w:t>Commission on February 19,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523240</wp:posOffset>
            </wp:positionV>
            <wp:extent cx="717613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0"/>
          </w:cols>
          <w:pgMar w:left="560" w:top="821" w:right="359" w:bottom="1440" w:gutter="0" w:footer="0" w:header="0"/>
        </w:sectPr>
      </w:pPr>
    </w:p>
    <w:bookmarkStart w:id="96" w:name="page97"/>
    <w:bookmarkEnd w:id="96"/>
    <w:p>
      <w:pPr>
        <w:spacing w:after="0"/>
        <w:tabs>
          <w:tab w:leader="none" w:pos="5660" w:val="left"/>
        </w:tabs>
        <w:rPr>
          <w:sz w:val="20"/>
          <w:szCs w:val="20"/>
          <w:color w:val="auto"/>
        </w:rPr>
      </w:pPr>
      <w:r>
        <w:rPr>
          <w:rFonts w:ascii="Arial" w:cs="Arial" w:eastAsia="Arial" w:hAnsi="Arial"/>
          <w:sz w:val="12"/>
          <w:szCs w:val="12"/>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21590</wp:posOffset>
            </wp:positionV>
            <wp:extent cx="713613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136130" cy="7620"/>
                    </a:xfrm>
                    <a:prstGeom prst="rect">
                      <a:avLst/>
                    </a:prstGeom>
                    <a:noFill/>
                  </pic:spPr>
                </pic:pic>
              </a:graphicData>
            </a:graphic>
          </wp:anchor>
        </w:drawing>
      </w:r>
    </w:p>
    <w:p>
      <w:pPr>
        <w:spacing w:after="0" w:line="7" w:lineRule="exact"/>
        <w:rPr>
          <w:sz w:val="20"/>
          <w:szCs w:val="20"/>
          <w:color w:val="auto"/>
        </w:rPr>
      </w:pPr>
    </w:p>
    <w:p>
      <w:pPr>
        <w:ind w:left="10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*10.28</w:t>
      </w:r>
      <w:r>
        <w:rPr>
          <w:sz w:val="20"/>
          <w:szCs w:val="20"/>
          <w:color w:val="auto"/>
        </w:rPr>
        <w:tab/>
      </w:r>
      <w:hyperlink r:id="rId169">
        <w:r>
          <w:rPr>
            <w:rFonts w:ascii="Arial" w:cs="Arial" w:eastAsia="Arial" w:hAnsi="Arial"/>
            <w:sz w:val="14"/>
            <w:szCs w:val="14"/>
            <w:u w:val="single" w:color="auto"/>
            <w:color w:val="0000FF"/>
          </w:rPr>
          <w:t>Non-Qualified Performance Stock Option Agreement – CEO Performance Stock Option Award</w:t>
        </w:r>
      </w:hyperlink>
      <w:r>
        <w:rPr>
          <w:rFonts w:ascii="Arial" w:cs="Arial" w:eastAsia="Arial" w:hAnsi="Arial"/>
          <w:sz w:val="14"/>
          <w:szCs w:val="14"/>
          <w:color w:val="000000"/>
        </w:rPr>
        <w:t>,</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filed as Exhibit 10.1 to the Company’s Current Report on Form</w:t>
      </w:r>
    </w:p>
    <w:p>
      <w:pPr>
        <w:ind w:left="980"/>
        <w:spacing w:after="0"/>
        <w:rPr>
          <w:sz w:val="20"/>
          <w:szCs w:val="20"/>
          <w:color w:val="auto"/>
        </w:rPr>
      </w:pPr>
      <w:r>
        <w:rPr>
          <w:rFonts w:ascii="Arial" w:cs="Arial" w:eastAsia="Arial" w:hAnsi="Arial"/>
          <w:sz w:val="16"/>
          <w:szCs w:val="16"/>
          <w:color w:val="auto"/>
        </w:rPr>
        <w:t>8-K (File No. 001-07819) as filed with the Commission on December 17, 2020 and incorporated herein by reference.</w:t>
      </w:r>
    </w:p>
    <w:p>
      <w:pPr>
        <w:ind w:left="10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*10.29</w:t>
      </w:r>
      <w:r>
        <w:rPr>
          <w:sz w:val="20"/>
          <w:szCs w:val="20"/>
          <w:color w:val="auto"/>
        </w:rPr>
        <w:tab/>
      </w:r>
      <w:hyperlink r:id="rId170">
        <w:r>
          <w:rPr>
            <w:rFonts w:ascii="Arial" w:cs="Arial" w:eastAsia="Arial" w:hAnsi="Arial"/>
            <w:sz w:val="14"/>
            <w:szCs w:val="14"/>
            <w:u w:val="single" w:color="auto"/>
            <w:color w:val="0000FF"/>
          </w:rPr>
          <w:t>Form of Performance Restricted Stock Unit Agreement – Integration Award</w:t>
        </w:r>
      </w:hyperlink>
      <w:r>
        <w:rPr>
          <w:rFonts w:ascii="Arial" w:cs="Arial" w:eastAsia="Arial" w:hAnsi="Arial"/>
          <w:sz w:val="14"/>
          <w:szCs w:val="14"/>
          <w:color w:val="000000"/>
        </w:rPr>
        <w:t>,</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filed as Exhibit 10.2 to the Company’s Current Report on Form 8-K (File No. 001-</w:t>
      </w:r>
    </w:p>
    <w:p>
      <w:pPr>
        <w:ind w:left="980"/>
        <w:spacing w:after="0"/>
        <w:rPr>
          <w:sz w:val="20"/>
          <w:szCs w:val="20"/>
          <w:color w:val="auto"/>
        </w:rPr>
      </w:pPr>
      <w:r>
        <w:rPr>
          <w:rFonts w:ascii="Arial" w:cs="Arial" w:eastAsia="Arial" w:hAnsi="Arial"/>
          <w:sz w:val="16"/>
          <w:szCs w:val="16"/>
          <w:color w:val="auto"/>
        </w:rPr>
        <w:t>07819) as filed with the Commission on December 17, 2020 and incorporated herein by reference.</w:t>
      </w:r>
    </w:p>
    <w:p>
      <w:pPr>
        <w:spacing w:after="0" w:line="1" w:lineRule="exact"/>
        <w:rPr>
          <w:sz w:val="20"/>
          <w:szCs w:val="20"/>
          <w:color w:val="auto"/>
        </w:rPr>
      </w:pPr>
    </w:p>
    <w:p>
      <w:pPr>
        <w:ind w:left="980" w:right="8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*10.30</w:t>
      </w:r>
      <w:r>
        <w:rPr>
          <w:sz w:val="20"/>
          <w:szCs w:val="20"/>
          <w:color w:val="auto"/>
        </w:rPr>
        <w:tab/>
      </w:r>
      <w:hyperlink r:id="rId171">
        <w:r>
          <w:rPr>
            <w:rFonts w:ascii="Arial" w:cs="Arial" w:eastAsia="Arial" w:hAnsi="Arial"/>
            <w:sz w:val="16"/>
            <w:szCs w:val="16"/>
            <w:u w:val="single" w:color="auto"/>
            <w:color w:val="0000FF"/>
          </w:rPr>
          <w:t>Form of Restricted Stock Unit Agreement for Non-Employee Directors for usage under the Company’s 2020 Equity Incentive Plan adopted December 8, 2020,</w:t>
        </w:r>
      </w:hyperlink>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 exhibit 10.3 to the Company's Quarterly Report on Form 10-Q for the fiscal quarter ended January 30, 2021 (File No. 1-7819) as filed with the Commission on February 17, 2021 and incorporated herein by reference.</w:t>
      </w:r>
    </w:p>
    <w:p>
      <w:pPr>
        <w:spacing w:after="0" w:line="1" w:lineRule="exact"/>
        <w:rPr>
          <w:sz w:val="20"/>
          <w:szCs w:val="20"/>
          <w:color w:val="auto"/>
        </w:rPr>
      </w:pPr>
    </w:p>
    <w:p>
      <w:pPr>
        <w:ind w:left="980" w:right="6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*10.31</w:t>
      </w:r>
      <w:r>
        <w:rPr>
          <w:sz w:val="20"/>
          <w:szCs w:val="20"/>
          <w:color w:val="auto"/>
        </w:rPr>
        <w:tab/>
      </w:r>
      <w:hyperlink r:id="rId172">
        <w:r>
          <w:rPr>
            <w:rFonts w:ascii="Arial" w:cs="Arial" w:eastAsia="Arial" w:hAnsi="Arial"/>
            <w:sz w:val="16"/>
            <w:szCs w:val="16"/>
            <w:u w:val="single" w:color="auto"/>
            <w:color w:val="0000FF"/>
          </w:rPr>
          <w:t>Form of Global Non-Qualified Stock Option Agreement for Employees for usage under the Company’s 2020 Equity Incentive Plan adopted December 8, 2020</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 exhibit 10.4 to the Company's Quarterly Report on Form 10-Q for the fiscal quarter ended January 30, 2021 (File No. 1-7819) as filed with the Commission on February 17, 2021 and incorporated herein by reference.</w:t>
      </w:r>
    </w:p>
    <w:p>
      <w:pPr>
        <w:spacing w:after="0" w:line="1" w:lineRule="exact"/>
        <w:rPr>
          <w:sz w:val="20"/>
          <w:szCs w:val="20"/>
          <w:color w:val="auto"/>
        </w:rPr>
      </w:pPr>
    </w:p>
    <w:p>
      <w:pPr>
        <w:ind w:left="98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*10.32</w:t>
      </w:r>
      <w:r>
        <w:rPr>
          <w:sz w:val="20"/>
          <w:szCs w:val="20"/>
          <w:color w:val="auto"/>
        </w:rPr>
        <w:tab/>
      </w:r>
      <w:hyperlink r:id="rId173">
        <w:r>
          <w:rPr>
            <w:rFonts w:ascii="Arial" w:cs="Arial" w:eastAsia="Arial" w:hAnsi="Arial"/>
            <w:sz w:val="16"/>
            <w:szCs w:val="16"/>
            <w:u w:val="single" w:color="auto"/>
            <w:color w:val="0000FF"/>
          </w:rPr>
          <w:t>Form of Global Restricted Stock Unit Agreement for Employees for usage under the Company’s 2020 Equity Incentive Plan adopted December 8, 2020</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exhibit 10.5 to the Company's Quarterly Report on Form 10-Q for the fiscal quarter ended January 30, 2021 (File No. 1-7819) as filed with the Commission on February 17, 2021 and incorporated herein by reference.</w:t>
      </w:r>
    </w:p>
    <w:p>
      <w:pPr>
        <w:spacing w:after="0" w:line="1" w:lineRule="exact"/>
        <w:rPr>
          <w:sz w:val="20"/>
          <w:szCs w:val="20"/>
          <w:color w:val="auto"/>
        </w:rPr>
      </w:pPr>
    </w:p>
    <w:p>
      <w:pPr>
        <w:ind w:left="980" w:right="40" w:hanging="878"/>
        <w:spacing w:after="0" w:line="236" w:lineRule="auto"/>
        <w:tabs>
          <w:tab w:leader="none" w:pos="960" w:val="left"/>
        </w:tabs>
        <w:rPr>
          <w:rFonts w:ascii="Arial" w:cs="Arial" w:eastAsia="Arial" w:hAnsi="Arial"/>
          <w:sz w:val="14"/>
          <w:szCs w:val="14"/>
          <w:color w:val="0000FF"/>
        </w:rPr>
      </w:pPr>
      <w:r>
        <w:rPr>
          <w:rFonts w:ascii="Arial" w:cs="Arial" w:eastAsia="Arial" w:hAnsi="Arial"/>
          <w:sz w:val="16"/>
          <w:szCs w:val="16"/>
          <w:color w:val="auto"/>
        </w:rPr>
        <w:t>*10.33</w:t>
      </w:r>
      <w:r>
        <w:rPr>
          <w:sz w:val="20"/>
          <w:szCs w:val="20"/>
          <w:color w:val="auto"/>
        </w:rPr>
        <w:tab/>
      </w:r>
      <w:hyperlink r:id="rId174">
        <w:r>
          <w:rPr>
            <w:rFonts w:ascii="Arial" w:cs="Arial" w:eastAsia="Arial" w:hAnsi="Arial"/>
            <w:sz w:val="14"/>
            <w:szCs w:val="14"/>
            <w:u w:val="single" w:color="auto"/>
            <w:color w:val="0000FF"/>
          </w:rPr>
          <w:t>Form of Relative Total Shareholder Return Performance Restricted Stock Unit Agreement for Employees for usage under the Company's 2020 Equity Incentive</w:t>
        </w:r>
      </w:hyperlink>
      <w:r>
        <w:rPr>
          <w:rFonts w:ascii="Arial" w:cs="Arial" w:eastAsia="Arial" w:hAnsi="Arial"/>
          <w:sz w:val="14"/>
          <w:szCs w:val="14"/>
          <w:u w:val="single" w:color="auto"/>
          <w:color w:val="0000FF"/>
        </w:rPr>
        <w:t xml:space="preserve"> </w:t>
      </w:r>
      <w:hyperlink r:id="rId174">
        <w:r>
          <w:rPr>
            <w:rFonts w:ascii="Arial" w:cs="Arial" w:eastAsia="Arial" w:hAnsi="Arial"/>
            <w:sz w:val="14"/>
            <w:szCs w:val="14"/>
            <w:u w:val="single" w:color="auto"/>
            <w:color w:val="0000FF"/>
          </w:rPr>
          <w:t>Plan adopted December 8, 2020</w:t>
        </w:r>
        <w:r>
          <w:rPr>
            <w:rFonts w:ascii="Arial" w:cs="Arial" w:eastAsia="Arial" w:hAnsi="Arial"/>
            <w:sz w:val="14"/>
            <w:szCs w:val="14"/>
            <w:color w:val="000000"/>
          </w:rPr>
          <w:t>, filed as exhibit 10.6 to the Company's Quarterly Report on Form 10-Q for the fiscal quarter ended January 30, 2021 (File No.</w:t>
        </w:r>
      </w:hyperlink>
    </w:p>
    <w:p>
      <w:pPr>
        <w:spacing w:after="0" w:line="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1-7819) as filed with the Commission on February 17, 2021 and incorporated herein by reference.</w:t>
      </w:r>
    </w:p>
    <w:p>
      <w:pPr>
        <w:spacing w:after="0" w:line="1" w:lineRule="exact"/>
        <w:rPr>
          <w:sz w:val="20"/>
          <w:szCs w:val="20"/>
          <w:color w:val="auto"/>
        </w:rPr>
      </w:pPr>
    </w:p>
    <w:p>
      <w:pPr>
        <w:jc w:val="both"/>
        <w:ind w:left="980" w:right="180" w:hanging="878"/>
        <w:spacing w:after="0" w:line="218" w:lineRule="auto"/>
        <w:tabs>
          <w:tab w:leader="none" w:pos="960" w:val="left"/>
        </w:tabs>
        <w:rPr>
          <w:rFonts w:ascii="Arial" w:cs="Arial" w:eastAsia="Arial" w:hAnsi="Arial"/>
          <w:sz w:val="16"/>
          <w:szCs w:val="16"/>
          <w:color w:val="0000FF"/>
        </w:rPr>
      </w:pPr>
      <w:r>
        <w:rPr>
          <w:rFonts w:ascii="Arial" w:cs="Arial" w:eastAsia="Arial" w:hAnsi="Arial"/>
          <w:sz w:val="16"/>
          <w:szCs w:val="16"/>
          <w:color w:val="auto"/>
        </w:rPr>
        <w:t>*10.34</w:t>
      </w:r>
      <w:r>
        <w:rPr>
          <w:sz w:val="20"/>
          <w:szCs w:val="20"/>
          <w:color w:val="auto"/>
        </w:rPr>
        <w:tab/>
      </w:r>
      <w:hyperlink r:id="rId175">
        <w:r>
          <w:rPr>
            <w:rFonts w:ascii="Arial" w:cs="Arial" w:eastAsia="Arial" w:hAnsi="Arial"/>
            <w:sz w:val="16"/>
            <w:szCs w:val="16"/>
            <w:u w:val="single" w:color="auto"/>
            <w:color w:val="0000FF"/>
          </w:rPr>
          <w:t>Form of Financial Metric Performance Restricted Stock Unit Agreement for Employees for usage under the 2020 Equity Incentive Plan adopted December 8,</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2020</w:t>
        </w:r>
        <w:r>
          <w:rPr>
            <w:rFonts w:ascii="Arial" w:cs="Arial" w:eastAsia="Arial" w:hAnsi="Arial"/>
            <w:sz w:val="16"/>
            <w:szCs w:val="16"/>
            <w:color w:val="000000"/>
          </w:rPr>
          <w:t>, filed as exhibit 10.7 to the Company's Quarterly Report on Form 10-Q for the fiscal quarter ended January 30, 2021 (File No. 1-7819) as filed with the</w:t>
        </w:r>
      </w:hyperlink>
      <w:r>
        <w:rPr>
          <w:rFonts w:ascii="Arial" w:cs="Arial" w:eastAsia="Arial" w:hAnsi="Arial"/>
          <w:sz w:val="16"/>
          <w:szCs w:val="16"/>
          <w:color w:val="0000FF"/>
        </w:rPr>
        <w:t xml:space="preserve"> </w:t>
      </w:r>
      <w:r>
        <w:rPr>
          <w:rFonts w:ascii="Arial" w:cs="Arial" w:eastAsia="Arial" w:hAnsi="Arial"/>
          <w:sz w:val="16"/>
          <w:szCs w:val="16"/>
          <w:color w:val="000000"/>
        </w:rPr>
        <w:t>Commission on February 17, 2021 and incorporated herein by reference.</w:t>
      </w:r>
    </w:p>
    <w:p>
      <w:pPr>
        <w:spacing w:after="0" w:line="1" w:lineRule="exact"/>
        <w:rPr>
          <w:sz w:val="20"/>
          <w:szCs w:val="20"/>
          <w:color w:val="auto"/>
        </w:rPr>
      </w:pPr>
    </w:p>
    <w:p>
      <w:pPr>
        <w:jc w:val="both"/>
        <w:ind w:left="980" w:right="220" w:hanging="878"/>
        <w:spacing w:after="0" w:line="218" w:lineRule="auto"/>
        <w:tabs>
          <w:tab w:leader="none" w:pos="960" w:val="left"/>
        </w:tabs>
        <w:rPr>
          <w:rFonts w:ascii="Arial" w:cs="Arial" w:eastAsia="Arial" w:hAnsi="Arial"/>
          <w:sz w:val="16"/>
          <w:szCs w:val="16"/>
          <w:color w:val="0000FF"/>
        </w:rPr>
      </w:pPr>
      <w:r>
        <w:rPr>
          <w:rFonts w:ascii="Arial" w:cs="Arial" w:eastAsia="Arial" w:hAnsi="Arial"/>
          <w:sz w:val="16"/>
          <w:szCs w:val="16"/>
          <w:color w:val="auto"/>
        </w:rPr>
        <w:t>*10.35</w:t>
      </w:r>
      <w:r>
        <w:rPr>
          <w:sz w:val="20"/>
          <w:szCs w:val="20"/>
          <w:color w:val="auto"/>
        </w:rPr>
        <w:tab/>
      </w:r>
      <w:hyperlink r:id="rId176">
        <w:r>
          <w:rPr>
            <w:rFonts w:ascii="Arial" w:cs="Arial" w:eastAsia="Arial" w:hAnsi="Arial"/>
            <w:sz w:val="16"/>
            <w:szCs w:val="16"/>
            <w:u w:val="single" w:color="auto"/>
            <w:color w:val="0000FF"/>
          </w:rPr>
          <w:t>Form of Financial Metric Performance Restricted Stock Unit Agreement for China Employees for usage under the 2020 Equity Stock Incentive Plan adopted</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December 8, 2020</w:t>
        </w:r>
        <w:r>
          <w:rPr>
            <w:rFonts w:ascii="Arial" w:cs="Arial" w:eastAsia="Arial" w:hAnsi="Arial"/>
            <w:sz w:val="16"/>
            <w:szCs w:val="16"/>
            <w:color w:val="000000"/>
          </w:rPr>
          <w:t>, filed as exhibit 10.8 to the Company's Quarterly Report on Form 10-Q for the fiscal quarter ended January 30, 2021 (File No. 1-7819) as</w:t>
        </w:r>
      </w:hyperlink>
      <w:r>
        <w:rPr>
          <w:rFonts w:ascii="Arial" w:cs="Arial" w:eastAsia="Arial" w:hAnsi="Arial"/>
          <w:sz w:val="16"/>
          <w:szCs w:val="16"/>
          <w:color w:val="0000FF"/>
        </w:rPr>
        <w:t xml:space="preserve"> </w:t>
      </w:r>
      <w:r>
        <w:rPr>
          <w:rFonts w:ascii="Arial" w:cs="Arial" w:eastAsia="Arial" w:hAnsi="Arial"/>
          <w:sz w:val="16"/>
          <w:szCs w:val="16"/>
          <w:color w:val="000000"/>
        </w:rPr>
        <w:t>filed with the Commission on February 17, 2021 and incorporated herein by reference.</w:t>
      </w:r>
    </w:p>
    <w:p>
      <w:pPr>
        <w:spacing w:after="0" w:line="1" w:lineRule="exact"/>
        <w:rPr>
          <w:sz w:val="20"/>
          <w:szCs w:val="20"/>
          <w:color w:val="auto"/>
        </w:rPr>
      </w:pPr>
    </w:p>
    <w:p>
      <w:pPr>
        <w:ind w:left="100"/>
        <w:spacing w:after="0"/>
        <w:tabs>
          <w:tab w:leader="none" w:pos="960" w:val="left"/>
        </w:tabs>
        <w:rPr>
          <w:rFonts w:ascii="Arial" w:cs="Arial" w:eastAsia="Arial" w:hAnsi="Arial"/>
          <w:sz w:val="16"/>
          <w:szCs w:val="16"/>
          <w:color w:val="0000FF"/>
        </w:rPr>
      </w:pPr>
      <w:r>
        <w:rPr>
          <w:rFonts w:ascii="Arial" w:cs="Arial" w:eastAsia="Arial" w:hAnsi="Arial"/>
          <w:sz w:val="16"/>
          <w:szCs w:val="16"/>
          <w:color w:val="auto"/>
        </w:rPr>
        <w:t>†10.36</w:t>
      </w:r>
      <w:r>
        <w:rPr>
          <w:sz w:val="20"/>
          <w:szCs w:val="20"/>
          <w:color w:val="auto"/>
        </w:rPr>
        <w:tab/>
      </w:r>
      <w:hyperlink w:anchor="page104">
        <w:r>
          <w:rPr>
            <w:rFonts w:ascii="Arial" w:cs="Arial" w:eastAsia="Arial" w:hAnsi="Arial"/>
            <w:sz w:val="16"/>
            <w:szCs w:val="16"/>
            <w:u w:val="single" w:color="auto"/>
            <w:color w:val="0000FF"/>
          </w:rPr>
          <w:t>Amended and Restated 1996 Stock Incentive Plan</w:t>
        </w:r>
      </w:hyperlink>
      <w:r>
        <w:rPr>
          <w:rFonts w:ascii="Arial" w:cs="Arial" w:eastAsia="Arial" w:hAnsi="Arial"/>
          <w:sz w:val="16"/>
          <w:szCs w:val="16"/>
          <w:color w:val="000000"/>
        </w:rPr>
        <w:t>.</w:t>
      </w:r>
    </w:p>
    <w:p>
      <w:pPr>
        <w:spacing w:after="0" w:line="15" w:lineRule="exact"/>
        <w:rPr>
          <w:sz w:val="20"/>
          <w:szCs w:val="20"/>
          <w:color w:val="auto"/>
        </w:rPr>
      </w:pPr>
    </w:p>
    <w:p>
      <w:pPr>
        <w:ind w:left="100"/>
        <w:spacing w:after="0"/>
        <w:tabs>
          <w:tab w:leader="none" w:pos="960" w:val="left"/>
        </w:tabs>
        <w:rPr>
          <w:rFonts w:ascii="Arial" w:cs="Arial" w:eastAsia="Arial" w:hAnsi="Arial"/>
          <w:sz w:val="16"/>
          <w:szCs w:val="16"/>
          <w:color w:val="0000FF"/>
        </w:rPr>
      </w:pPr>
      <w:r>
        <w:rPr>
          <w:rFonts w:ascii="Arial" w:cs="Arial" w:eastAsia="Arial" w:hAnsi="Arial"/>
          <w:sz w:val="16"/>
          <w:szCs w:val="16"/>
          <w:color w:val="auto"/>
        </w:rPr>
        <w:t>†10.37</w:t>
      </w:r>
      <w:r>
        <w:rPr>
          <w:sz w:val="20"/>
          <w:szCs w:val="20"/>
          <w:color w:val="auto"/>
        </w:rPr>
        <w:tab/>
      </w:r>
      <w:hyperlink w:anchor="page114">
        <w:r>
          <w:rPr>
            <w:rFonts w:ascii="Arial" w:cs="Arial" w:eastAsia="Arial" w:hAnsi="Arial"/>
            <w:sz w:val="16"/>
            <w:szCs w:val="16"/>
            <w:u w:val="single" w:color="auto"/>
            <w:color w:val="0000FF"/>
          </w:rPr>
          <w:t>Form of Global Restricted Stock Unit Agreement for usage under the Amended and Restated 1996 Stock Incentive Plan</w:t>
        </w:r>
      </w:hyperlink>
      <w:r>
        <w:rPr>
          <w:rFonts w:ascii="Arial" w:cs="Arial" w:eastAsia="Arial" w:hAnsi="Arial"/>
          <w:sz w:val="16"/>
          <w:szCs w:val="16"/>
          <w:color w:val="000000"/>
        </w:rPr>
        <w:t>.</w:t>
      </w:r>
    </w:p>
    <w:p>
      <w:pPr>
        <w:spacing w:after="0" w:line="15" w:lineRule="exact"/>
        <w:rPr>
          <w:sz w:val="20"/>
          <w:szCs w:val="20"/>
          <w:color w:val="auto"/>
        </w:rPr>
      </w:pPr>
    </w:p>
    <w:p>
      <w:pPr>
        <w:ind w:left="100"/>
        <w:spacing w:after="0"/>
        <w:tabs>
          <w:tab w:leader="none" w:pos="960" w:val="left"/>
        </w:tabs>
        <w:rPr>
          <w:rFonts w:ascii="Arial" w:cs="Arial" w:eastAsia="Arial" w:hAnsi="Arial"/>
          <w:sz w:val="16"/>
          <w:szCs w:val="16"/>
          <w:color w:val="0000FF"/>
        </w:rPr>
      </w:pPr>
      <w:r>
        <w:rPr>
          <w:rFonts w:ascii="Arial" w:cs="Arial" w:eastAsia="Arial" w:hAnsi="Arial"/>
          <w:sz w:val="16"/>
          <w:szCs w:val="16"/>
          <w:color w:val="auto"/>
        </w:rPr>
        <w:t>†10.38</w:t>
      </w:r>
      <w:r>
        <w:rPr>
          <w:sz w:val="20"/>
          <w:szCs w:val="20"/>
          <w:color w:val="auto"/>
        </w:rPr>
        <w:tab/>
      </w:r>
      <w:hyperlink w:anchor="page151">
        <w:r>
          <w:rPr>
            <w:rFonts w:ascii="Arial" w:cs="Arial" w:eastAsia="Arial" w:hAnsi="Arial"/>
            <w:sz w:val="16"/>
            <w:szCs w:val="16"/>
            <w:u w:val="single" w:color="auto"/>
            <w:color w:val="0000FF"/>
          </w:rPr>
          <w:t>Form of Global Non-Qualified Stock Option Agreement for usage under the Amended and Restated 1996 Stock Incentive Plan</w:t>
        </w:r>
      </w:hyperlink>
      <w:r>
        <w:rPr>
          <w:rFonts w:ascii="Arial" w:cs="Arial" w:eastAsia="Arial" w:hAnsi="Arial"/>
          <w:sz w:val="16"/>
          <w:szCs w:val="16"/>
          <w:color w:val="000000"/>
        </w:rPr>
        <w:t>.</w:t>
      </w:r>
    </w:p>
    <w:p>
      <w:pPr>
        <w:spacing w:after="0" w:line="15" w:lineRule="exact"/>
        <w:rPr>
          <w:sz w:val="20"/>
          <w:szCs w:val="20"/>
          <w:color w:val="auto"/>
        </w:rPr>
      </w:pPr>
    </w:p>
    <w:p>
      <w:pPr>
        <w:ind w:left="980" w:right="180" w:hanging="878"/>
        <w:spacing w:after="0" w:line="22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*10.39</w:t>
      </w:r>
      <w:r>
        <w:rPr>
          <w:sz w:val="20"/>
          <w:szCs w:val="20"/>
          <w:color w:val="auto"/>
        </w:rPr>
        <w:tab/>
      </w:r>
      <w:hyperlink r:id="rId177">
        <w:r>
          <w:rPr>
            <w:rFonts w:ascii="Arial" w:cs="Arial" w:eastAsia="Arial" w:hAnsi="Arial"/>
            <w:sz w:val="16"/>
            <w:szCs w:val="16"/>
            <w:u w:val="single" w:color="auto"/>
            <w:color w:val="0000FF"/>
          </w:rPr>
          <w:t>2021 Executive Performance Incentive Plan</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 exhibit 10.28 to the Company's Annual Report on Form 10-K for the fiscal year ended October 31, 2020</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 No. 1-7819) as filed with the Commission on November 24, 2020 and incorporated herein by reference.</w:t>
      </w:r>
    </w:p>
    <w:p>
      <w:pPr>
        <w:spacing w:after="0" w:line="1" w:lineRule="exact"/>
        <w:rPr>
          <w:sz w:val="20"/>
          <w:szCs w:val="20"/>
          <w:color w:val="auto"/>
        </w:rPr>
      </w:pPr>
    </w:p>
    <w:p>
      <w:pPr>
        <w:ind w:left="100"/>
        <w:spacing w:after="0"/>
        <w:tabs>
          <w:tab w:leader="none" w:pos="960" w:val="left"/>
        </w:tabs>
        <w:rPr>
          <w:rFonts w:ascii="Arial" w:cs="Arial" w:eastAsia="Arial" w:hAnsi="Arial"/>
          <w:sz w:val="16"/>
          <w:szCs w:val="16"/>
          <w:color w:val="0000FF"/>
        </w:rPr>
      </w:pPr>
      <w:r>
        <w:rPr>
          <w:rFonts w:ascii="Arial" w:cs="Arial" w:eastAsia="Arial" w:hAnsi="Arial"/>
          <w:sz w:val="16"/>
          <w:szCs w:val="16"/>
          <w:color w:val="auto"/>
        </w:rPr>
        <w:t>†10.40</w:t>
      </w:r>
      <w:r>
        <w:rPr>
          <w:sz w:val="20"/>
          <w:szCs w:val="20"/>
          <w:color w:val="auto"/>
        </w:rPr>
        <w:tab/>
      </w:r>
      <w:hyperlink w:anchor="page180">
        <w:r>
          <w:rPr>
            <w:rFonts w:ascii="Arial" w:cs="Arial" w:eastAsia="Arial" w:hAnsi="Arial"/>
            <w:sz w:val="16"/>
            <w:szCs w:val="16"/>
            <w:u w:val="single" w:color="auto"/>
            <w:color w:val="0000FF"/>
          </w:rPr>
          <w:t>2022 First and Second Fiscal Quarters Executive Performance Incentive Plan</w:t>
        </w:r>
      </w:hyperlink>
      <w:r>
        <w:rPr>
          <w:rFonts w:ascii="Arial" w:cs="Arial" w:eastAsia="Arial" w:hAnsi="Arial"/>
          <w:sz w:val="16"/>
          <w:szCs w:val="16"/>
          <w:color w:val="000000"/>
        </w:rPr>
        <w:t>.</w:t>
      </w:r>
    </w:p>
    <w:p>
      <w:pPr>
        <w:spacing w:after="0" w:line="15" w:lineRule="exact"/>
        <w:rPr>
          <w:sz w:val="20"/>
          <w:szCs w:val="20"/>
          <w:color w:val="auto"/>
        </w:rPr>
      </w:pPr>
    </w:p>
    <w:p>
      <w:pPr>
        <w:ind w:left="980" w:right="440" w:hanging="878"/>
        <w:spacing w:after="0" w:line="22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*10.41</w:t>
      </w:r>
      <w:r>
        <w:rPr>
          <w:sz w:val="20"/>
          <w:szCs w:val="20"/>
          <w:color w:val="auto"/>
        </w:rPr>
        <w:tab/>
      </w:r>
      <w:hyperlink r:id="rId178">
        <w:r>
          <w:rPr>
            <w:rFonts w:ascii="Arial" w:cs="Arial" w:eastAsia="Arial" w:hAnsi="Arial"/>
            <w:sz w:val="16"/>
            <w:szCs w:val="16"/>
            <w:u w:val="single" w:color="auto"/>
            <w:color w:val="0000FF"/>
          </w:rPr>
          <w:t>Form of Employee Retention Agreement</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 exhibit 10.1 to the Company's Quarterly Report on Form 10-Q for the fiscal quarter ended May 5, 2012</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 No. 1-7819) as filed with the Commission on May 22, 2012 and incorporated herein by reference.</w:t>
      </w:r>
    </w:p>
    <w:p>
      <w:pPr>
        <w:spacing w:after="0" w:line="1" w:lineRule="exact"/>
        <w:rPr>
          <w:sz w:val="20"/>
          <w:szCs w:val="20"/>
          <w:color w:val="auto"/>
        </w:rPr>
      </w:pPr>
    </w:p>
    <w:p>
      <w:pPr>
        <w:jc w:val="center"/>
        <w:spacing w:after="0" w:line="261" w:lineRule="auto"/>
        <w:rPr>
          <w:rFonts w:ascii="Arial" w:cs="Arial" w:eastAsia="Arial" w:hAnsi="Arial"/>
          <w:sz w:val="14"/>
          <w:szCs w:val="14"/>
          <w:color w:val="auto"/>
        </w:rPr>
      </w:pPr>
      <w:r>
        <w:rPr>
          <w:rFonts w:ascii="Arial" w:cs="Arial" w:eastAsia="Arial" w:hAnsi="Arial"/>
          <w:sz w:val="14"/>
          <w:szCs w:val="14"/>
          <w:color w:val="auto"/>
        </w:rPr>
        <w:t xml:space="preserve">*10.42      </w:t>
      </w:r>
      <w:hyperlink r:id="rId179">
        <w:r>
          <w:rPr>
            <w:rFonts w:ascii="Arial" w:cs="Arial" w:eastAsia="Arial" w:hAnsi="Arial"/>
            <w:sz w:val="14"/>
            <w:szCs w:val="14"/>
            <w:u w:val="single" w:color="auto"/>
            <w:color w:val="0000FF"/>
          </w:rPr>
          <w:t>Employee Change in Control Severance Policy of Analog Devices, Inc., as amended</w:t>
        </w:r>
      </w:hyperlink>
      <w:r>
        <w:rPr>
          <w:rFonts w:ascii="Arial" w:cs="Arial" w:eastAsia="Arial" w:hAnsi="Arial"/>
          <w:sz w:val="14"/>
          <w:szCs w:val="14"/>
          <w:color w:val="auto"/>
        </w:rPr>
        <w:t>, filed as exhibit 10.20 to the Company's Annual Report on Form 10-K for the fiscal year ended October 30, 1999 (File No. 1-7819) as filed with the Commission on January 28, 2000 and incorporated herein by reference.</w:t>
      </w:r>
    </w:p>
    <w:p>
      <w:pPr>
        <w:ind w:left="10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*10.43</w:t>
      </w:r>
      <w:r>
        <w:rPr>
          <w:sz w:val="20"/>
          <w:szCs w:val="20"/>
          <w:color w:val="auto"/>
        </w:rPr>
        <w:tab/>
      </w:r>
      <w:hyperlink r:id="rId179">
        <w:r>
          <w:rPr>
            <w:rFonts w:ascii="Arial" w:cs="Arial" w:eastAsia="Arial" w:hAnsi="Arial"/>
            <w:sz w:val="14"/>
            <w:szCs w:val="14"/>
            <w:u w:val="single" w:color="auto"/>
            <w:color w:val="0000FF"/>
          </w:rPr>
          <w:t>Senior Management Change in Control Severance Policy of Analog Devices, Inc., as amended</w:t>
        </w:r>
      </w:hyperlink>
      <w:r>
        <w:rPr>
          <w:rFonts w:ascii="Arial" w:cs="Arial" w:eastAsia="Arial" w:hAnsi="Arial"/>
          <w:sz w:val="14"/>
          <w:szCs w:val="14"/>
          <w:color w:val="000000"/>
        </w:rPr>
        <w:t>,</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filed as exhibit 10.21 to the Company's Annual Report on Form</w:t>
      </w:r>
    </w:p>
    <w:p>
      <w:pPr>
        <w:ind w:left="980"/>
        <w:spacing w:after="0"/>
        <w:rPr>
          <w:sz w:val="20"/>
          <w:szCs w:val="20"/>
          <w:color w:val="auto"/>
        </w:rPr>
      </w:pPr>
      <w:r>
        <w:rPr>
          <w:rFonts w:ascii="Arial" w:cs="Arial" w:eastAsia="Arial" w:hAnsi="Arial"/>
          <w:sz w:val="14"/>
          <w:szCs w:val="14"/>
          <w:color w:val="auto"/>
        </w:rPr>
        <w:t>10-K for the fiscal year ended October 30, 1999 (File No. 1-7819) as filed with the Commission on January 28, 2000 and incorporated herein by reference.</w:t>
      </w:r>
    </w:p>
    <w:p>
      <w:pPr>
        <w:spacing w:after="0" w:line="24" w:lineRule="exact"/>
        <w:rPr>
          <w:sz w:val="20"/>
          <w:szCs w:val="20"/>
          <w:color w:val="auto"/>
        </w:rPr>
      </w:pPr>
    </w:p>
    <w:p>
      <w:pPr>
        <w:ind w:left="980" w:right="340" w:hanging="878"/>
        <w:spacing w:after="0" w:line="261" w:lineRule="auto"/>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*10.44</w:t>
      </w:r>
      <w:r>
        <w:rPr>
          <w:sz w:val="20"/>
          <w:szCs w:val="20"/>
          <w:color w:val="auto"/>
        </w:rPr>
        <w:tab/>
      </w:r>
      <w:hyperlink r:id="rId180">
        <w:r>
          <w:rPr>
            <w:rFonts w:ascii="Arial" w:cs="Arial" w:eastAsia="Arial" w:hAnsi="Arial"/>
            <w:sz w:val="14"/>
            <w:szCs w:val="14"/>
            <w:u w:val="single" w:color="auto"/>
            <w:color w:val="0000FF"/>
          </w:rPr>
          <w:t xml:space="preserve">Offer Letter for Prashanth Mahendra-Rajah, dated August 4, 2017, </w:t>
        </w:r>
      </w:hyperlink>
      <w:r>
        <w:rPr>
          <w:rFonts w:ascii="Arial" w:cs="Arial" w:eastAsia="Arial" w:hAnsi="Arial"/>
          <w:sz w:val="14"/>
          <w:szCs w:val="14"/>
          <w:color w:val="000000"/>
        </w:rPr>
        <w:t>filed</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as exhibit 10.28 to the Company's Annual Report on Form 10-K for the fiscal year</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ended October 28, 2017 (File No. 1-7819) as filed with the Commission on November 22, 2017 and incorporated herein by reference.</w:t>
      </w:r>
    </w:p>
    <w:p>
      <w:pPr>
        <w:ind w:left="100"/>
        <w:spacing w:after="0"/>
        <w:tabs>
          <w:tab w:leader="none" w:pos="960" w:val="left"/>
        </w:tabs>
        <w:rPr>
          <w:rFonts w:ascii="Arial" w:cs="Arial" w:eastAsia="Arial" w:hAnsi="Arial"/>
          <w:sz w:val="14"/>
          <w:szCs w:val="14"/>
          <w:u w:val="single" w:color="auto"/>
          <w:color w:val="0000FF"/>
        </w:rPr>
      </w:pPr>
      <w:r>
        <w:rPr>
          <w:rFonts w:ascii="Arial" w:cs="Arial" w:eastAsia="Arial" w:hAnsi="Arial"/>
          <w:sz w:val="16"/>
          <w:szCs w:val="16"/>
          <w:color w:val="auto"/>
        </w:rPr>
        <w:t>*10.45</w:t>
      </w:r>
      <w:r>
        <w:rPr>
          <w:sz w:val="20"/>
          <w:szCs w:val="20"/>
          <w:color w:val="auto"/>
        </w:rPr>
        <w:tab/>
      </w:r>
      <w:hyperlink r:id="rId181">
        <w:r>
          <w:rPr>
            <w:rFonts w:ascii="Arial" w:cs="Arial" w:eastAsia="Arial" w:hAnsi="Arial"/>
            <w:sz w:val="14"/>
            <w:szCs w:val="14"/>
            <w:u w:val="single" w:color="auto"/>
            <w:color w:val="0000FF"/>
          </w:rPr>
          <w:t>Severance Agreement and Release between Analog Devices, Inc. and Steven Pietkiewicz, dated February 15, 2021</w:t>
        </w:r>
      </w:hyperlink>
      <w:r>
        <w:rPr>
          <w:rFonts w:ascii="Arial" w:cs="Arial" w:eastAsia="Arial" w:hAnsi="Arial"/>
          <w:sz w:val="14"/>
          <w:szCs w:val="14"/>
          <w:color w:val="000000"/>
        </w:rPr>
        <w:t>,</w:t>
      </w:r>
      <w:r>
        <w:rPr>
          <w:rFonts w:ascii="Arial" w:cs="Arial" w:eastAsia="Arial" w:hAnsi="Arial"/>
          <w:sz w:val="14"/>
          <w:szCs w:val="14"/>
          <w:u w:val="single" w:color="auto"/>
          <w:color w:val="0000FF"/>
        </w:rPr>
        <w:t xml:space="preserve"> </w:t>
      </w:r>
      <w:r>
        <w:rPr>
          <w:rFonts w:ascii="Arial" w:cs="Arial" w:eastAsia="Arial" w:hAnsi="Arial"/>
          <w:sz w:val="14"/>
          <w:szCs w:val="14"/>
          <w:color w:val="000000"/>
        </w:rPr>
        <w:t>filed as exhibit 10.9 to the Company's</w:t>
      </w:r>
    </w:p>
    <w:p>
      <w:pPr>
        <w:ind w:left="980" w:right="540"/>
        <w:spacing w:after="0" w:line="227" w:lineRule="auto"/>
        <w:rPr>
          <w:sz w:val="20"/>
          <w:szCs w:val="20"/>
          <w:color w:val="auto"/>
        </w:rPr>
      </w:pPr>
      <w:r>
        <w:rPr>
          <w:rFonts w:ascii="Arial" w:cs="Arial" w:eastAsia="Arial" w:hAnsi="Arial"/>
          <w:sz w:val="16"/>
          <w:szCs w:val="16"/>
          <w:color w:val="auto"/>
        </w:rPr>
        <w:t>Quarterly Report on Form 10-Q for the fiscal quarter ended January 30, 2021 (File No. 1-7819) as filed with the Commission on February 17, 2021 and incorporated herein by reference.</w:t>
      </w:r>
    </w:p>
    <w:p>
      <w:pPr>
        <w:spacing w:after="0" w:line="12" w:lineRule="exact"/>
        <w:rPr>
          <w:sz w:val="20"/>
          <w:szCs w:val="20"/>
          <w:color w:val="auto"/>
        </w:rPr>
      </w:pPr>
    </w:p>
    <w:p>
      <w:pPr>
        <w:ind w:left="980" w:right="480" w:hanging="878"/>
        <w:spacing w:after="0" w:line="218" w:lineRule="auto"/>
        <w:tabs>
          <w:tab w:leader="none" w:pos="960" w:val="left"/>
        </w:tabs>
        <w:rPr>
          <w:rFonts w:ascii="Arial" w:cs="Arial" w:eastAsia="Arial" w:hAnsi="Arial"/>
          <w:sz w:val="16"/>
          <w:szCs w:val="16"/>
          <w:u w:val="single" w:color="auto"/>
          <w:color w:val="0000FF"/>
        </w:rPr>
      </w:pPr>
      <w:r>
        <w:rPr>
          <w:rFonts w:ascii="Arial" w:cs="Arial" w:eastAsia="Arial" w:hAnsi="Arial"/>
          <w:sz w:val="16"/>
          <w:szCs w:val="16"/>
          <w:color w:val="auto"/>
        </w:rPr>
        <w:t>*10.46</w:t>
      </w:r>
      <w:r>
        <w:rPr>
          <w:sz w:val="20"/>
          <w:szCs w:val="20"/>
          <w:color w:val="auto"/>
        </w:rPr>
        <w:tab/>
      </w:r>
      <w:hyperlink r:id="rId182">
        <w:r>
          <w:rPr>
            <w:rFonts w:ascii="Arial" w:cs="Arial" w:eastAsia="Arial" w:hAnsi="Arial"/>
            <w:sz w:val="16"/>
            <w:szCs w:val="16"/>
            <w:u w:val="single" w:color="auto"/>
            <w:color w:val="0000FF"/>
          </w:rPr>
          <w:t>Maxim Integrated Products, Inc. Amended and Restated Change in Control Employee Severance Plan for U.S. Based Employees</w:t>
        </w:r>
      </w:hyperlink>
      <w:r>
        <w:rPr>
          <w:rFonts w:ascii="Arial" w:cs="Arial" w:eastAsia="Arial" w:hAnsi="Arial"/>
          <w:sz w:val="16"/>
          <w:szCs w:val="16"/>
          <w:color w:val="000000"/>
        </w:rPr>
        <w:t>,</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filed as exhibit 10.1 to</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Maxim Integrated Products, Inc.'s Quarterly Report on Form 10-Q for the fiscal quarter ended December 26, 2020 (File No. 1-34192) as filed with the Commission on January 27, 2021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523240</wp:posOffset>
            </wp:positionV>
            <wp:extent cx="717613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0"/>
          </w:cols>
          <w:pgMar w:left="560" w:top="821" w:right="3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6"/>
        </w:trPr>
        <w:tc>
          <w:tcPr>
            <w:tcW w:w="12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Exhibit No.</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340" w:type="dxa"/>
            <w:vAlign w:val="bottom"/>
            <w:gridSpan w:val="6"/>
          </w:tcPr>
          <w:p>
            <w:pPr>
              <w:ind w:left="20"/>
              <w:spacing w:after="0"/>
              <w:rPr>
                <w:sz w:val="20"/>
                <w:szCs w:val="20"/>
                <w:color w:val="auto"/>
              </w:rPr>
            </w:pPr>
            <w:r>
              <w:rPr>
                <w:rFonts w:ascii="Arial" w:cs="Arial" w:eastAsia="Arial" w:hAnsi="Arial"/>
                <w:sz w:val="12"/>
                <w:szCs w:val="12"/>
                <w:b w:val="1"/>
                <w:bCs w:val="1"/>
                <w:color w:val="auto"/>
              </w:rPr>
              <w:t>Description</w:t>
            </w:r>
          </w:p>
        </w:tc>
      </w:tr>
      <w:tr>
        <w:trPr>
          <w:trHeight w:val="161"/>
        </w:trPr>
        <w:tc>
          <w:tcPr>
            <w:tcW w:w="110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color w:val="auto"/>
                <w:w w:val="90"/>
              </w:rPr>
              <w:t>*10.47</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20" w:type="dxa"/>
            <w:vAlign w:val="bottom"/>
            <w:tcBorders>
              <w:top w:val="single" w:sz="8" w:color="auto"/>
            </w:tcBorders>
            <w:gridSpan w:val="13"/>
          </w:tcPr>
          <w:p>
            <w:pPr>
              <w:spacing w:after="0" w:line="161" w:lineRule="exact"/>
              <w:rPr>
                <w:rFonts w:ascii="Arial" w:cs="Arial" w:eastAsia="Arial" w:hAnsi="Arial"/>
                <w:sz w:val="16"/>
                <w:szCs w:val="16"/>
                <w:color w:val="0000FF"/>
                <w:w w:val="90"/>
              </w:rPr>
            </w:pPr>
            <w:hyperlink r:id="rId184">
              <w:r>
                <w:rPr>
                  <w:rFonts w:ascii="Arial" w:cs="Arial" w:eastAsia="Arial" w:hAnsi="Arial"/>
                  <w:sz w:val="16"/>
                  <w:szCs w:val="16"/>
                  <w:color w:val="0000FF"/>
                  <w:w w:val="90"/>
                </w:rPr>
                <w:t>Form of Indemnification Agreement for Directors and Officers</w:t>
              </w:r>
            </w:hyperlink>
            <w:r>
              <w:rPr>
                <w:rFonts w:ascii="Arial" w:cs="Arial" w:eastAsia="Arial" w:hAnsi="Arial"/>
                <w:sz w:val="16"/>
                <w:szCs w:val="16"/>
                <w:color w:val="000000"/>
                <w:w w:val="90"/>
              </w:rPr>
              <w:t>,</w:t>
            </w:r>
            <w:r>
              <w:rPr>
                <w:rFonts w:ascii="Arial" w:cs="Arial" w:eastAsia="Arial" w:hAnsi="Arial"/>
                <w:sz w:val="16"/>
                <w:szCs w:val="16"/>
                <w:color w:val="0000FF"/>
                <w:w w:val="90"/>
              </w:rPr>
              <w:t xml:space="preserve"> </w:t>
            </w:r>
            <w:r>
              <w:rPr>
                <w:rFonts w:ascii="Arial" w:cs="Arial" w:eastAsia="Arial" w:hAnsi="Arial"/>
                <w:sz w:val="16"/>
                <w:szCs w:val="16"/>
                <w:color w:val="000000"/>
                <w:w w:val="90"/>
              </w:rPr>
              <w:t>filed as exhibit 10.30 to the Company's Annual Report on Form 10-K for the fiscal year ended</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6"/>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3"/>
          </w:tcPr>
          <w:p>
            <w:pPr>
              <w:spacing w:after="0" w:line="166" w:lineRule="exact"/>
              <w:rPr>
                <w:sz w:val="20"/>
                <w:szCs w:val="20"/>
                <w:color w:val="auto"/>
              </w:rPr>
            </w:pPr>
            <w:r>
              <w:rPr>
                <w:rFonts w:ascii="Arial" w:cs="Arial" w:eastAsia="Arial" w:hAnsi="Arial"/>
                <w:sz w:val="16"/>
                <w:szCs w:val="16"/>
                <w:color w:val="auto"/>
              </w:rPr>
              <w:t>November 1, 2008 (File No. 1-7819) as filed with the Commission on November 25, 2008 and incorporated herein by reference.</w:t>
            </w:r>
          </w:p>
        </w:tc>
      </w:tr>
      <w:tr>
        <w:trPr>
          <w:trHeight w:val="165"/>
        </w:trPr>
        <w:tc>
          <w:tcPr>
            <w:tcW w:w="1100" w:type="dxa"/>
            <w:vAlign w:val="bottom"/>
          </w:tcPr>
          <w:p>
            <w:pPr>
              <w:jc w:val="center"/>
              <w:spacing w:after="0" w:line="165" w:lineRule="exact"/>
              <w:rPr>
                <w:sz w:val="20"/>
                <w:szCs w:val="20"/>
                <w:color w:val="auto"/>
              </w:rPr>
            </w:pPr>
            <w:r>
              <w:rPr>
                <w:rFonts w:ascii="Arial" w:cs="Arial" w:eastAsia="Arial" w:hAnsi="Arial"/>
                <w:sz w:val="16"/>
                <w:szCs w:val="16"/>
                <w:color w:val="auto"/>
                <w:w w:val="90"/>
              </w:rPr>
              <w:t>*10.48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3"/>
          </w:tcPr>
          <w:p>
            <w:pPr>
              <w:spacing w:after="0" w:line="165" w:lineRule="exact"/>
              <w:rPr>
                <w:rFonts w:ascii="Arial" w:cs="Arial" w:eastAsia="Arial" w:hAnsi="Arial"/>
                <w:sz w:val="16"/>
                <w:szCs w:val="16"/>
                <w:color w:val="0000FF"/>
                <w:w w:val="88"/>
              </w:rPr>
            </w:pPr>
            <w:hyperlink r:id="rId185">
              <w:r>
                <w:rPr>
                  <w:rFonts w:ascii="Arial" w:cs="Arial" w:eastAsia="Arial" w:hAnsi="Arial"/>
                  <w:sz w:val="16"/>
                  <w:szCs w:val="16"/>
                  <w:color w:val="0000FF"/>
                  <w:w w:val="88"/>
                </w:rPr>
                <w:t>Credit Agreement, dated as of June 28, 2019, among Analog Devices, Inc., as Borrower, JPMorgan Chase Bank, N.A. as Administrative Agent and each lender</w:t>
              </w:r>
            </w:hyperlink>
          </w:p>
        </w:tc>
      </w:tr>
      <w:tr>
        <w:trPr>
          <w:trHeight w:val="132"/>
        </w:trPr>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40" w:type="dxa"/>
            <w:vAlign w:val="bottom"/>
            <w:tcBorders>
              <w:top w:val="single" w:sz="8" w:color="0000FF"/>
            </w:tcBorders>
            <w:gridSpan w:val="12"/>
          </w:tcPr>
          <w:p>
            <w:pPr>
              <w:spacing w:after="0" w:line="132" w:lineRule="exact"/>
              <w:rPr>
                <w:rFonts w:ascii="Arial" w:cs="Arial" w:eastAsia="Arial" w:hAnsi="Arial"/>
                <w:sz w:val="14"/>
                <w:szCs w:val="14"/>
                <w:color w:val="0000FF"/>
              </w:rPr>
            </w:pPr>
            <w:hyperlink r:id="rId185">
              <w:r>
                <w:rPr>
                  <w:rFonts w:ascii="Arial" w:cs="Arial" w:eastAsia="Arial" w:hAnsi="Arial"/>
                  <w:sz w:val="14"/>
                  <w:szCs w:val="14"/>
                  <w:color w:val="0000FF"/>
                </w:rPr>
                <w:t>from time to time party thereto</w:t>
              </w:r>
              <w:r>
                <w:rPr>
                  <w:rFonts w:ascii="Arial" w:cs="Arial" w:eastAsia="Arial" w:hAnsi="Arial"/>
                  <w:sz w:val="14"/>
                  <w:szCs w:val="14"/>
                  <w:color w:val="000000"/>
                </w:rPr>
                <w:t>, filed as exhibit 10.1 to the Company's Current Report on Form 8-K (File No. 1-7819) as filed with the Commission on July 1,</w:t>
              </w:r>
            </w:hyperlink>
          </w:p>
        </w:tc>
        <w:tc>
          <w:tcPr>
            <w:tcW w:w="80" w:type="dxa"/>
            <w:vAlign w:val="bottom"/>
          </w:tcPr>
          <w:p>
            <w:pPr>
              <w:spacing w:after="0"/>
              <w:rPr>
                <w:sz w:val="11"/>
                <w:szCs w:val="1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66"/>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3"/>
          </w:tcPr>
          <w:p>
            <w:pPr>
              <w:spacing w:after="0" w:line="166" w:lineRule="exact"/>
              <w:rPr>
                <w:sz w:val="20"/>
                <w:szCs w:val="20"/>
                <w:color w:val="auto"/>
              </w:rPr>
            </w:pPr>
            <w:r>
              <w:rPr>
                <w:rFonts w:ascii="Arial" w:cs="Arial" w:eastAsia="Arial" w:hAnsi="Arial"/>
                <w:sz w:val="16"/>
                <w:szCs w:val="16"/>
                <w:color w:val="auto"/>
              </w:rPr>
              <w:t>2019 and incorporated herein by reference.</w:t>
            </w:r>
          </w:p>
        </w:tc>
      </w:tr>
      <w:tr>
        <w:trPr>
          <w:trHeight w:val="165"/>
        </w:trPr>
        <w:tc>
          <w:tcPr>
            <w:tcW w:w="1100" w:type="dxa"/>
            <w:vAlign w:val="bottom"/>
          </w:tcPr>
          <w:p>
            <w:pPr>
              <w:jc w:val="center"/>
              <w:spacing w:after="0" w:line="165" w:lineRule="exact"/>
              <w:rPr>
                <w:sz w:val="20"/>
                <w:szCs w:val="20"/>
                <w:color w:val="auto"/>
              </w:rPr>
            </w:pPr>
            <w:r>
              <w:rPr>
                <w:rFonts w:ascii="Arial" w:cs="Arial" w:eastAsia="Arial" w:hAnsi="Arial"/>
                <w:sz w:val="16"/>
                <w:szCs w:val="16"/>
                <w:color w:val="auto"/>
                <w:w w:val="90"/>
              </w:rPr>
              <w:t>*10.49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3"/>
          </w:tcPr>
          <w:p>
            <w:pPr>
              <w:spacing w:after="0" w:line="165" w:lineRule="exact"/>
              <w:rPr>
                <w:rFonts w:ascii="Arial" w:cs="Arial" w:eastAsia="Arial" w:hAnsi="Arial"/>
                <w:sz w:val="16"/>
                <w:szCs w:val="16"/>
                <w:color w:val="0000FF"/>
                <w:w w:val="97"/>
              </w:rPr>
            </w:pPr>
            <w:hyperlink r:id="rId186">
              <w:r>
                <w:rPr>
                  <w:rFonts w:ascii="Arial" w:cs="Arial" w:eastAsia="Arial" w:hAnsi="Arial"/>
                  <w:sz w:val="16"/>
                  <w:szCs w:val="16"/>
                  <w:color w:val="0000FF"/>
                  <w:w w:val="97"/>
                </w:rPr>
                <w:t>Third Amended and Restated Credit Agreement, dated as of June 23, 2021, among Analog Devices, Inc., as Borrower, Bank of America, N.A. as</w:t>
              </w:r>
            </w:hyperlink>
          </w:p>
        </w:tc>
      </w:tr>
      <w:tr>
        <w:trPr>
          <w:trHeight w:val="132"/>
        </w:trPr>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40" w:type="dxa"/>
            <w:vAlign w:val="bottom"/>
            <w:tcBorders>
              <w:top w:val="single" w:sz="8" w:color="0000FF"/>
            </w:tcBorders>
            <w:gridSpan w:val="10"/>
          </w:tcPr>
          <w:p>
            <w:pPr>
              <w:spacing w:after="0" w:line="132" w:lineRule="exact"/>
              <w:rPr>
                <w:rFonts w:ascii="Arial" w:cs="Arial" w:eastAsia="Arial" w:hAnsi="Arial"/>
                <w:sz w:val="14"/>
                <w:szCs w:val="14"/>
                <w:color w:val="0000FF"/>
              </w:rPr>
            </w:pPr>
            <w:hyperlink r:id="rId186">
              <w:r>
                <w:rPr>
                  <w:rFonts w:ascii="Arial" w:cs="Arial" w:eastAsia="Arial" w:hAnsi="Arial"/>
                  <w:sz w:val="14"/>
                  <w:szCs w:val="14"/>
                  <w:color w:val="0000FF"/>
                </w:rPr>
                <w:t>Administrative Agent, Swing Line Lender and L/C Issuer, and each lender from time to time party thereto</w:t>
              </w:r>
              <w:r>
                <w:rPr>
                  <w:rFonts w:ascii="Arial" w:cs="Arial" w:eastAsia="Arial" w:hAnsi="Arial"/>
                  <w:sz w:val="14"/>
                  <w:szCs w:val="14"/>
                  <w:color w:val="000000"/>
                </w:rPr>
                <w:t>, filed as exhibit 10.1 to the Company's</w:t>
              </w:r>
            </w:hyperlink>
          </w:p>
        </w:tc>
        <w:tc>
          <w:tcPr>
            <w:tcW w:w="980" w:type="dxa"/>
            <w:vAlign w:val="bottom"/>
            <w:gridSpan w:val="3"/>
          </w:tcPr>
          <w:p>
            <w:pPr>
              <w:ind w:left="40"/>
              <w:spacing w:after="0" w:line="132" w:lineRule="exact"/>
              <w:rPr>
                <w:sz w:val="20"/>
                <w:szCs w:val="20"/>
                <w:color w:val="auto"/>
              </w:rPr>
            </w:pPr>
            <w:r>
              <w:rPr>
                <w:rFonts w:ascii="Arial" w:cs="Arial" w:eastAsia="Arial" w:hAnsi="Arial"/>
                <w:sz w:val="14"/>
                <w:szCs w:val="14"/>
                <w:color w:val="auto"/>
              </w:rPr>
              <w:t>Current</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66"/>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gridSpan w:val="4"/>
          </w:tcPr>
          <w:p>
            <w:pPr>
              <w:spacing w:after="0" w:line="166" w:lineRule="exact"/>
              <w:rPr>
                <w:sz w:val="20"/>
                <w:szCs w:val="20"/>
                <w:color w:val="auto"/>
              </w:rPr>
            </w:pPr>
            <w:r>
              <w:rPr>
                <w:rFonts w:ascii="Arial" w:cs="Arial" w:eastAsia="Arial" w:hAnsi="Arial"/>
                <w:sz w:val="16"/>
                <w:szCs w:val="16"/>
                <w:color w:val="auto"/>
                <w:w w:val="94"/>
              </w:rPr>
              <w:t>Report on Form 8-K (File No. 1-7819) as filed with the</w:t>
            </w:r>
          </w:p>
        </w:tc>
        <w:tc>
          <w:tcPr>
            <w:tcW w:w="6400" w:type="dxa"/>
            <w:vAlign w:val="bottom"/>
            <w:gridSpan w:val="9"/>
          </w:tcPr>
          <w:p>
            <w:pPr>
              <w:spacing w:after="0" w:line="166" w:lineRule="exact"/>
              <w:rPr>
                <w:sz w:val="20"/>
                <w:szCs w:val="20"/>
                <w:color w:val="auto"/>
              </w:rPr>
            </w:pPr>
            <w:r>
              <w:rPr>
                <w:rFonts w:ascii="Arial" w:cs="Arial" w:eastAsia="Arial" w:hAnsi="Arial"/>
                <w:sz w:val="16"/>
                <w:szCs w:val="16"/>
                <w:color w:val="auto"/>
              </w:rPr>
              <w:t>Commission on June 23, 2021 and incorporated herein by reference.</w:t>
            </w:r>
          </w:p>
        </w:tc>
      </w:tr>
      <w:tr>
        <w:trPr>
          <w:trHeight w:val="165"/>
        </w:trPr>
        <w:tc>
          <w:tcPr>
            <w:tcW w:w="1200" w:type="dxa"/>
            <w:vAlign w:val="bottom"/>
            <w:gridSpan w:val="2"/>
          </w:tcPr>
          <w:p>
            <w:pPr>
              <w:jc w:val="center"/>
              <w:ind w:right="100"/>
              <w:spacing w:after="0" w:line="165" w:lineRule="exact"/>
              <w:rPr>
                <w:sz w:val="20"/>
                <w:szCs w:val="20"/>
                <w:color w:val="auto"/>
              </w:rPr>
            </w:pPr>
            <w:r>
              <w:rPr>
                <w:rFonts w:ascii="Arial" w:cs="Arial" w:eastAsia="Arial" w:hAnsi="Arial"/>
                <w:sz w:val="16"/>
                <w:szCs w:val="16"/>
                <w:color w:val="auto"/>
                <w:w w:val="82"/>
              </w:rPr>
              <w:t>†21</w:t>
            </w:r>
          </w:p>
        </w:tc>
        <w:tc>
          <w:tcPr>
            <w:tcW w:w="20" w:type="dxa"/>
            <w:vAlign w:val="bottom"/>
          </w:tcPr>
          <w:p>
            <w:pPr>
              <w:spacing w:after="0"/>
              <w:rPr>
                <w:sz w:val="14"/>
                <w:szCs w:val="14"/>
                <w:color w:val="auto"/>
              </w:rPr>
            </w:pPr>
          </w:p>
        </w:tc>
        <w:tc>
          <w:tcPr>
            <w:tcW w:w="10020" w:type="dxa"/>
            <w:vAlign w:val="bottom"/>
            <w:gridSpan w:val="13"/>
          </w:tcPr>
          <w:p>
            <w:pPr>
              <w:spacing w:after="0" w:line="165" w:lineRule="exact"/>
              <w:rPr>
                <w:rFonts w:ascii="Arial" w:cs="Arial" w:eastAsia="Arial" w:hAnsi="Arial"/>
                <w:sz w:val="16"/>
                <w:szCs w:val="16"/>
                <w:color w:val="0000FF"/>
              </w:rPr>
            </w:pPr>
            <w:hyperlink w:anchor="page182">
              <w:r>
                <w:rPr>
                  <w:rFonts w:ascii="Arial" w:cs="Arial" w:eastAsia="Arial" w:hAnsi="Arial"/>
                  <w:sz w:val="16"/>
                  <w:szCs w:val="16"/>
                  <w:color w:val="0000FF"/>
                </w:rPr>
                <w:t>Subsidiaries of the Company</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79"/>
        </w:trPr>
        <w:tc>
          <w:tcPr>
            <w:tcW w:w="1200" w:type="dxa"/>
            <w:vAlign w:val="bottom"/>
            <w:gridSpan w:val="2"/>
          </w:tcPr>
          <w:p>
            <w:pPr>
              <w:jc w:val="center"/>
              <w:ind w:right="100"/>
              <w:spacing w:after="0" w:line="179" w:lineRule="exact"/>
              <w:rPr>
                <w:sz w:val="20"/>
                <w:szCs w:val="20"/>
                <w:color w:val="auto"/>
              </w:rPr>
            </w:pPr>
            <w:r>
              <w:rPr>
                <w:rFonts w:ascii="Arial" w:cs="Arial" w:eastAsia="Arial" w:hAnsi="Arial"/>
                <w:sz w:val="16"/>
                <w:szCs w:val="16"/>
                <w:color w:val="auto"/>
                <w:w w:val="82"/>
              </w:rPr>
              <w:t>†23</w:t>
            </w:r>
          </w:p>
        </w:tc>
        <w:tc>
          <w:tcPr>
            <w:tcW w:w="20" w:type="dxa"/>
            <w:vAlign w:val="bottom"/>
          </w:tcPr>
          <w:p>
            <w:pPr>
              <w:spacing w:after="0"/>
              <w:rPr>
                <w:sz w:val="15"/>
                <w:szCs w:val="15"/>
                <w:color w:val="auto"/>
              </w:rPr>
            </w:pPr>
          </w:p>
        </w:tc>
        <w:tc>
          <w:tcPr>
            <w:tcW w:w="10020" w:type="dxa"/>
            <w:vAlign w:val="bottom"/>
            <w:gridSpan w:val="13"/>
          </w:tcPr>
          <w:p>
            <w:pPr>
              <w:spacing w:after="0" w:line="179" w:lineRule="exact"/>
              <w:rPr>
                <w:rFonts w:ascii="Arial" w:cs="Arial" w:eastAsia="Arial" w:hAnsi="Arial"/>
                <w:sz w:val="16"/>
                <w:szCs w:val="16"/>
                <w:color w:val="0000FF"/>
              </w:rPr>
            </w:pPr>
            <w:hyperlink w:anchor="page186">
              <w:r>
                <w:rPr>
                  <w:rFonts w:ascii="Arial" w:cs="Arial" w:eastAsia="Arial" w:hAnsi="Arial"/>
                  <w:sz w:val="16"/>
                  <w:szCs w:val="16"/>
                  <w:color w:val="0000FF"/>
                </w:rPr>
                <w:t>Consent of Ernst &amp; Young LLP, Independent Registered Public Accounting Firm</w:t>
              </w:r>
            </w:hyperlink>
            <w:r>
              <w:rPr>
                <w:rFonts w:ascii="Arial" w:cs="Arial" w:eastAsia="Arial" w:hAnsi="Arial"/>
                <w:sz w:val="16"/>
                <w:szCs w:val="16"/>
                <w:color w:val="000000"/>
              </w:rPr>
              <w:t>.</w:t>
            </w: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52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179"/>
        </w:trPr>
        <w:tc>
          <w:tcPr>
            <w:tcW w:w="1200" w:type="dxa"/>
            <w:vAlign w:val="bottom"/>
            <w:gridSpan w:val="2"/>
          </w:tcPr>
          <w:p>
            <w:pPr>
              <w:jc w:val="center"/>
              <w:ind w:right="100"/>
              <w:spacing w:after="0" w:line="179" w:lineRule="exact"/>
              <w:rPr>
                <w:sz w:val="20"/>
                <w:szCs w:val="20"/>
                <w:color w:val="auto"/>
              </w:rPr>
            </w:pPr>
            <w:r>
              <w:rPr>
                <w:rFonts w:ascii="Arial" w:cs="Arial" w:eastAsia="Arial" w:hAnsi="Arial"/>
                <w:sz w:val="16"/>
                <w:szCs w:val="16"/>
                <w:color w:val="auto"/>
                <w:w w:val="84"/>
              </w:rPr>
              <w:t>†31.1</w:t>
            </w:r>
          </w:p>
        </w:tc>
        <w:tc>
          <w:tcPr>
            <w:tcW w:w="20" w:type="dxa"/>
            <w:vAlign w:val="bottom"/>
          </w:tcPr>
          <w:p>
            <w:pPr>
              <w:spacing w:after="0"/>
              <w:rPr>
                <w:sz w:val="15"/>
                <w:szCs w:val="15"/>
                <w:color w:val="auto"/>
              </w:rPr>
            </w:pPr>
          </w:p>
        </w:tc>
        <w:tc>
          <w:tcPr>
            <w:tcW w:w="10020" w:type="dxa"/>
            <w:vAlign w:val="bottom"/>
            <w:gridSpan w:val="13"/>
          </w:tcPr>
          <w:p>
            <w:pPr>
              <w:spacing w:after="0" w:line="179" w:lineRule="exact"/>
              <w:rPr>
                <w:rFonts w:ascii="Arial" w:cs="Arial" w:eastAsia="Arial" w:hAnsi="Arial"/>
                <w:sz w:val="16"/>
                <w:szCs w:val="16"/>
                <w:color w:val="0000FF"/>
                <w:w w:val="91"/>
              </w:rPr>
            </w:pPr>
            <w:hyperlink w:anchor="page187">
              <w:r>
                <w:rPr>
                  <w:rFonts w:ascii="Arial" w:cs="Arial" w:eastAsia="Arial" w:hAnsi="Arial"/>
                  <w:sz w:val="16"/>
                  <w:szCs w:val="16"/>
                  <w:color w:val="0000FF"/>
                  <w:w w:val="91"/>
                </w:rPr>
                <w:t>Certification Pursuant to Rule 13a-14(a) and 15d-14(a) of the Exchange Act, as Adopted Pursuant to Section 302 of the Sarbanes-Oxley Act of 2002 (Chief</w:t>
              </w:r>
            </w:hyperlink>
          </w:p>
        </w:tc>
      </w:tr>
      <w:tr>
        <w:trPr>
          <w:trHeight w:val="132"/>
        </w:trPr>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00" w:type="dxa"/>
            <w:vAlign w:val="bottom"/>
            <w:tcBorders>
              <w:top w:val="single" w:sz="8" w:color="0000FF"/>
            </w:tcBorders>
            <w:gridSpan w:val="11"/>
          </w:tcPr>
          <w:p>
            <w:pPr>
              <w:spacing w:after="0" w:line="132" w:lineRule="exact"/>
              <w:rPr>
                <w:rFonts w:ascii="Arial" w:cs="Arial" w:eastAsia="Arial" w:hAnsi="Arial"/>
                <w:sz w:val="14"/>
                <w:szCs w:val="14"/>
                <w:color w:val="0000FF"/>
              </w:rPr>
            </w:pPr>
            <w:hyperlink w:anchor="page187">
              <w:r>
                <w:rPr>
                  <w:rFonts w:ascii="Arial" w:cs="Arial" w:eastAsia="Arial" w:hAnsi="Arial"/>
                  <w:sz w:val="14"/>
                  <w:szCs w:val="14"/>
                  <w:color w:val="0000FF"/>
                </w:rPr>
                <w:t>Executive Officer)</w:t>
              </w:r>
              <w:r>
                <w:rPr>
                  <w:rFonts w:ascii="Arial" w:cs="Arial" w:eastAsia="Arial" w:hAnsi="Arial"/>
                  <w:sz w:val="14"/>
                  <w:szCs w:val="14"/>
                  <w:color w:val="000000"/>
                </w:rPr>
                <w:t>.</w:t>
              </w:r>
            </w:hyperlink>
          </w:p>
        </w:tc>
        <w:tc>
          <w:tcPr>
            <w:tcW w:w="320" w:type="dxa"/>
            <w:vAlign w:val="bottom"/>
            <w:gridSpan w:val="2"/>
          </w:tcPr>
          <w:p>
            <w:pPr>
              <w:spacing w:after="0"/>
              <w:rPr>
                <w:sz w:val="11"/>
                <w:szCs w:val="1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520" w:type="dxa"/>
            <w:vAlign w:val="bottom"/>
            <w:tcBorders>
              <w:left w:val="single" w:sz="8" w:color="0000FF"/>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r>
      <w:tr>
        <w:trPr>
          <w:trHeight w:val="179"/>
        </w:trPr>
        <w:tc>
          <w:tcPr>
            <w:tcW w:w="1200" w:type="dxa"/>
            <w:vAlign w:val="bottom"/>
            <w:gridSpan w:val="2"/>
          </w:tcPr>
          <w:p>
            <w:pPr>
              <w:jc w:val="center"/>
              <w:ind w:right="100"/>
              <w:spacing w:after="0" w:line="179" w:lineRule="exact"/>
              <w:rPr>
                <w:sz w:val="20"/>
                <w:szCs w:val="20"/>
                <w:color w:val="auto"/>
              </w:rPr>
            </w:pPr>
            <w:r>
              <w:rPr>
                <w:rFonts w:ascii="Arial" w:cs="Arial" w:eastAsia="Arial" w:hAnsi="Arial"/>
                <w:sz w:val="16"/>
                <w:szCs w:val="16"/>
                <w:color w:val="auto"/>
                <w:w w:val="84"/>
              </w:rPr>
              <w:t>†31.2</w:t>
            </w:r>
          </w:p>
        </w:tc>
        <w:tc>
          <w:tcPr>
            <w:tcW w:w="20" w:type="dxa"/>
            <w:vAlign w:val="bottom"/>
          </w:tcPr>
          <w:p>
            <w:pPr>
              <w:spacing w:after="0"/>
              <w:rPr>
                <w:sz w:val="15"/>
                <w:szCs w:val="15"/>
                <w:color w:val="auto"/>
              </w:rPr>
            </w:pPr>
          </w:p>
        </w:tc>
        <w:tc>
          <w:tcPr>
            <w:tcW w:w="10020" w:type="dxa"/>
            <w:vAlign w:val="bottom"/>
            <w:gridSpan w:val="13"/>
          </w:tcPr>
          <w:p>
            <w:pPr>
              <w:spacing w:after="0" w:line="179" w:lineRule="exact"/>
              <w:rPr>
                <w:rFonts w:ascii="Arial" w:cs="Arial" w:eastAsia="Arial" w:hAnsi="Arial"/>
                <w:sz w:val="16"/>
                <w:szCs w:val="16"/>
                <w:color w:val="0000FF"/>
                <w:w w:val="91"/>
              </w:rPr>
            </w:pPr>
            <w:hyperlink w:anchor="page188">
              <w:r>
                <w:rPr>
                  <w:rFonts w:ascii="Arial" w:cs="Arial" w:eastAsia="Arial" w:hAnsi="Arial"/>
                  <w:sz w:val="16"/>
                  <w:szCs w:val="16"/>
                  <w:color w:val="0000FF"/>
                  <w:w w:val="91"/>
                </w:rPr>
                <w:t>Certification Pursuant to Rule 13a-14(a) and 15d-14(a) of the Exchange Act, as Adopted Pursuant to Section 302 of the Sarbanes-Oxley Act of 2002 (Chief</w:t>
              </w:r>
            </w:hyperlink>
          </w:p>
        </w:tc>
      </w:tr>
      <w:tr>
        <w:trPr>
          <w:trHeight w:val="132"/>
        </w:trPr>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00" w:type="dxa"/>
            <w:vAlign w:val="bottom"/>
            <w:tcBorders>
              <w:top w:val="single" w:sz="8" w:color="0000FF"/>
            </w:tcBorders>
            <w:gridSpan w:val="11"/>
          </w:tcPr>
          <w:p>
            <w:pPr>
              <w:spacing w:after="0" w:line="132" w:lineRule="exact"/>
              <w:rPr>
                <w:rFonts w:ascii="Arial" w:cs="Arial" w:eastAsia="Arial" w:hAnsi="Arial"/>
                <w:sz w:val="14"/>
                <w:szCs w:val="14"/>
                <w:color w:val="0000FF"/>
              </w:rPr>
            </w:pPr>
            <w:hyperlink w:anchor="page188">
              <w:r>
                <w:rPr>
                  <w:rFonts w:ascii="Arial" w:cs="Arial" w:eastAsia="Arial" w:hAnsi="Arial"/>
                  <w:sz w:val="14"/>
                  <w:szCs w:val="14"/>
                  <w:color w:val="0000FF"/>
                </w:rPr>
                <w:t>Financial Officer)</w:t>
              </w:r>
              <w:r>
                <w:rPr>
                  <w:rFonts w:ascii="Arial" w:cs="Arial" w:eastAsia="Arial" w:hAnsi="Arial"/>
                  <w:sz w:val="14"/>
                  <w:szCs w:val="14"/>
                  <w:color w:val="000000"/>
                </w:rPr>
                <w:t>.</w:t>
              </w:r>
            </w:hyperlink>
          </w:p>
        </w:tc>
        <w:tc>
          <w:tcPr>
            <w:tcW w:w="320" w:type="dxa"/>
            <w:vAlign w:val="bottom"/>
            <w:gridSpan w:val="2"/>
          </w:tcPr>
          <w:p>
            <w:pPr>
              <w:spacing w:after="0"/>
              <w:rPr>
                <w:sz w:val="11"/>
                <w:szCs w:val="1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r>
      <w:tr>
        <w:trPr>
          <w:trHeight w:val="179"/>
        </w:trPr>
        <w:tc>
          <w:tcPr>
            <w:tcW w:w="1200" w:type="dxa"/>
            <w:vAlign w:val="bottom"/>
            <w:gridSpan w:val="2"/>
          </w:tcPr>
          <w:p>
            <w:pPr>
              <w:jc w:val="center"/>
              <w:ind w:right="100"/>
              <w:spacing w:after="0" w:line="179" w:lineRule="exact"/>
              <w:rPr>
                <w:sz w:val="20"/>
                <w:szCs w:val="20"/>
                <w:color w:val="auto"/>
              </w:rPr>
            </w:pPr>
            <w:r>
              <w:rPr>
                <w:rFonts w:ascii="Arial" w:cs="Arial" w:eastAsia="Arial" w:hAnsi="Arial"/>
                <w:sz w:val="16"/>
                <w:szCs w:val="16"/>
                <w:color w:val="auto"/>
                <w:w w:val="84"/>
              </w:rPr>
              <w:t>†32.1</w:t>
            </w:r>
          </w:p>
        </w:tc>
        <w:tc>
          <w:tcPr>
            <w:tcW w:w="20" w:type="dxa"/>
            <w:vAlign w:val="bottom"/>
          </w:tcPr>
          <w:p>
            <w:pPr>
              <w:spacing w:after="0"/>
              <w:rPr>
                <w:sz w:val="15"/>
                <w:szCs w:val="15"/>
                <w:color w:val="auto"/>
              </w:rPr>
            </w:pPr>
          </w:p>
        </w:tc>
        <w:tc>
          <w:tcPr>
            <w:tcW w:w="10020" w:type="dxa"/>
            <w:vAlign w:val="bottom"/>
            <w:gridSpan w:val="13"/>
          </w:tcPr>
          <w:p>
            <w:pPr>
              <w:spacing w:after="0" w:line="179" w:lineRule="exact"/>
              <w:rPr>
                <w:rFonts w:ascii="Arial" w:cs="Arial" w:eastAsia="Arial" w:hAnsi="Arial"/>
                <w:sz w:val="16"/>
                <w:szCs w:val="16"/>
                <w:color w:val="0000FF"/>
              </w:rPr>
            </w:pPr>
            <w:hyperlink w:anchor="page189">
              <w:r>
                <w:rPr>
                  <w:rFonts w:ascii="Arial" w:cs="Arial" w:eastAsia="Arial" w:hAnsi="Arial"/>
                  <w:sz w:val="16"/>
                  <w:szCs w:val="16"/>
                  <w:color w:val="0000FF"/>
                </w:rPr>
                <w:t>Certification Pursuant to 18 U.S.C. Section 1350 (Chief Executive Officer)</w:t>
              </w:r>
            </w:hyperlink>
            <w:r>
              <w:rPr>
                <w:rFonts w:ascii="Arial" w:cs="Arial" w:eastAsia="Arial" w:hAnsi="Arial"/>
                <w:sz w:val="16"/>
                <w:szCs w:val="16"/>
                <w:color w:val="000000"/>
              </w:rPr>
              <w:t>.</w:t>
            </w:r>
          </w:p>
        </w:tc>
      </w:tr>
      <w:tr>
        <w:trPr>
          <w:trHeight w:val="179"/>
        </w:trPr>
        <w:tc>
          <w:tcPr>
            <w:tcW w:w="1200" w:type="dxa"/>
            <w:vAlign w:val="bottom"/>
            <w:gridSpan w:val="2"/>
          </w:tcPr>
          <w:p>
            <w:pPr>
              <w:jc w:val="center"/>
              <w:ind w:right="100"/>
              <w:spacing w:after="0" w:line="179" w:lineRule="exact"/>
              <w:rPr>
                <w:sz w:val="20"/>
                <w:szCs w:val="20"/>
                <w:color w:val="auto"/>
              </w:rPr>
            </w:pPr>
            <w:r>
              <w:rPr>
                <w:rFonts w:ascii="Arial" w:cs="Arial" w:eastAsia="Arial" w:hAnsi="Arial"/>
                <w:sz w:val="16"/>
                <w:szCs w:val="16"/>
                <w:color w:val="auto"/>
                <w:w w:val="84"/>
              </w:rPr>
              <w:t>†32.2</w:t>
            </w:r>
          </w:p>
        </w:tc>
        <w:tc>
          <w:tcPr>
            <w:tcW w:w="20" w:type="dxa"/>
            <w:vAlign w:val="bottom"/>
          </w:tcPr>
          <w:p>
            <w:pPr>
              <w:spacing w:after="0"/>
              <w:rPr>
                <w:sz w:val="15"/>
                <w:szCs w:val="15"/>
                <w:color w:val="auto"/>
              </w:rPr>
            </w:pPr>
          </w:p>
        </w:tc>
        <w:tc>
          <w:tcPr>
            <w:tcW w:w="4680" w:type="dxa"/>
            <w:vAlign w:val="bottom"/>
            <w:tcBorders>
              <w:top w:val="single" w:sz="8" w:color="0000FF"/>
            </w:tcBorders>
            <w:gridSpan w:val="7"/>
          </w:tcPr>
          <w:p>
            <w:pPr>
              <w:spacing w:after="0" w:line="179" w:lineRule="exact"/>
              <w:rPr>
                <w:rFonts w:ascii="Arial" w:cs="Arial" w:eastAsia="Arial" w:hAnsi="Arial"/>
                <w:sz w:val="16"/>
                <w:szCs w:val="16"/>
                <w:color w:val="0000FF"/>
                <w:w w:val="89"/>
              </w:rPr>
            </w:pPr>
            <w:hyperlink w:anchor="page190">
              <w:r>
                <w:rPr>
                  <w:rFonts w:ascii="Arial" w:cs="Arial" w:eastAsia="Arial" w:hAnsi="Arial"/>
                  <w:sz w:val="16"/>
                  <w:szCs w:val="16"/>
                  <w:color w:val="0000FF"/>
                  <w:w w:val="89"/>
                </w:rPr>
                <w:t>Certification Pursuant to 18 U.S.C. Section 1350 (Chief Financial Officer)</w:t>
              </w:r>
            </w:hyperlink>
            <w:r>
              <w:rPr>
                <w:rFonts w:ascii="Arial" w:cs="Arial" w:eastAsia="Arial" w:hAnsi="Arial"/>
                <w:sz w:val="16"/>
                <w:szCs w:val="16"/>
                <w:color w:val="000000"/>
                <w:w w:val="89"/>
              </w:rPr>
              <w:t>.</w:t>
            </w:r>
          </w:p>
        </w:tc>
        <w:tc>
          <w:tcPr>
            <w:tcW w:w="5340" w:type="dxa"/>
            <w:vAlign w:val="bottom"/>
            <w:gridSpan w:val="6"/>
          </w:tcPr>
          <w:p>
            <w:pPr>
              <w:spacing w:after="0"/>
              <w:rPr>
                <w:sz w:val="15"/>
                <w:szCs w:val="15"/>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6"/>
            <w:shd w:val="clear" w:color="auto" w:fill="0000FF"/>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r>
      <w:tr>
        <w:trPr>
          <w:trHeight w:val="213"/>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101. INS</w:t>
            </w:r>
          </w:p>
        </w:tc>
        <w:tc>
          <w:tcPr>
            <w:tcW w:w="20" w:type="dxa"/>
            <w:vAlign w:val="bottom"/>
          </w:tcPr>
          <w:p>
            <w:pPr>
              <w:spacing w:after="0"/>
              <w:rPr>
                <w:sz w:val="18"/>
                <w:szCs w:val="18"/>
                <w:color w:val="auto"/>
              </w:rPr>
            </w:pPr>
          </w:p>
        </w:tc>
        <w:tc>
          <w:tcPr>
            <w:tcW w:w="10020" w:type="dxa"/>
            <w:vAlign w:val="bottom"/>
            <w:gridSpan w:val="13"/>
          </w:tcPr>
          <w:p>
            <w:pPr>
              <w:spacing w:after="0"/>
              <w:rPr>
                <w:sz w:val="20"/>
                <w:szCs w:val="20"/>
                <w:color w:val="auto"/>
              </w:rPr>
            </w:pPr>
            <w:r>
              <w:rPr>
                <w:rFonts w:ascii="Arial" w:cs="Arial" w:eastAsia="Arial" w:hAnsi="Arial"/>
                <w:sz w:val="16"/>
                <w:szCs w:val="16"/>
                <w:color w:val="auto"/>
                <w:w w:val="99"/>
              </w:rPr>
              <w:t>The instance document does not appear in the Interactive Data File because its XBRL tags are embedded within the inline XBRL document.**</w:t>
            </w:r>
          </w:p>
        </w:tc>
      </w:tr>
      <w:tr>
        <w:trPr>
          <w:trHeight w:val="199"/>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101. SCH</w:t>
            </w:r>
          </w:p>
        </w:tc>
        <w:tc>
          <w:tcPr>
            <w:tcW w:w="20" w:type="dxa"/>
            <w:vAlign w:val="bottom"/>
          </w:tcPr>
          <w:p>
            <w:pPr>
              <w:spacing w:after="0"/>
              <w:rPr>
                <w:sz w:val="17"/>
                <w:szCs w:val="17"/>
                <w:color w:val="auto"/>
              </w:rPr>
            </w:pPr>
          </w:p>
        </w:tc>
        <w:tc>
          <w:tcPr>
            <w:tcW w:w="10020" w:type="dxa"/>
            <w:vAlign w:val="bottom"/>
            <w:gridSpan w:val="13"/>
          </w:tcPr>
          <w:p>
            <w:pPr>
              <w:spacing w:after="0"/>
              <w:rPr>
                <w:sz w:val="20"/>
                <w:szCs w:val="20"/>
                <w:color w:val="auto"/>
              </w:rPr>
            </w:pPr>
            <w:r>
              <w:rPr>
                <w:rFonts w:ascii="Arial" w:cs="Arial" w:eastAsia="Arial" w:hAnsi="Arial"/>
                <w:sz w:val="16"/>
                <w:szCs w:val="16"/>
                <w:color w:val="auto"/>
              </w:rPr>
              <w:t>Inline XBRL Schema Document.**</w:t>
            </w:r>
          </w:p>
        </w:tc>
      </w:tr>
      <w:tr>
        <w:trPr>
          <w:trHeight w:val="199"/>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101. CAL</w:t>
            </w:r>
          </w:p>
        </w:tc>
        <w:tc>
          <w:tcPr>
            <w:tcW w:w="20" w:type="dxa"/>
            <w:vAlign w:val="bottom"/>
          </w:tcPr>
          <w:p>
            <w:pPr>
              <w:spacing w:after="0"/>
              <w:rPr>
                <w:sz w:val="17"/>
                <w:szCs w:val="17"/>
                <w:color w:val="auto"/>
              </w:rPr>
            </w:pPr>
          </w:p>
        </w:tc>
        <w:tc>
          <w:tcPr>
            <w:tcW w:w="10020" w:type="dxa"/>
            <w:vAlign w:val="bottom"/>
            <w:gridSpan w:val="13"/>
          </w:tcPr>
          <w:p>
            <w:pPr>
              <w:spacing w:after="0"/>
              <w:rPr>
                <w:sz w:val="20"/>
                <w:szCs w:val="20"/>
                <w:color w:val="auto"/>
              </w:rPr>
            </w:pPr>
            <w:r>
              <w:rPr>
                <w:rFonts w:ascii="Arial" w:cs="Arial" w:eastAsia="Arial" w:hAnsi="Arial"/>
                <w:sz w:val="16"/>
                <w:szCs w:val="16"/>
                <w:color w:val="auto"/>
              </w:rPr>
              <w:t>Inline XBRL Calculation Linkbase Document.**</w:t>
            </w:r>
          </w:p>
        </w:tc>
      </w:tr>
      <w:tr>
        <w:trPr>
          <w:trHeight w:val="199"/>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101. LAB</w:t>
            </w:r>
          </w:p>
        </w:tc>
        <w:tc>
          <w:tcPr>
            <w:tcW w:w="20" w:type="dxa"/>
            <w:vAlign w:val="bottom"/>
          </w:tcPr>
          <w:p>
            <w:pPr>
              <w:spacing w:after="0"/>
              <w:rPr>
                <w:sz w:val="17"/>
                <w:szCs w:val="17"/>
                <w:color w:val="auto"/>
              </w:rPr>
            </w:pPr>
          </w:p>
        </w:tc>
        <w:tc>
          <w:tcPr>
            <w:tcW w:w="10020" w:type="dxa"/>
            <w:vAlign w:val="bottom"/>
            <w:gridSpan w:val="13"/>
          </w:tcPr>
          <w:p>
            <w:pPr>
              <w:spacing w:after="0"/>
              <w:rPr>
                <w:sz w:val="20"/>
                <w:szCs w:val="20"/>
                <w:color w:val="auto"/>
              </w:rPr>
            </w:pPr>
            <w:r>
              <w:rPr>
                <w:rFonts w:ascii="Arial" w:cs="Arial" w:eastAsia="Arial" w:hAnsi="Arial"/>
                <w:sz w:val="16"/>
                <w:szCs w:val="16"/>
                <w:color w:val="auto"/>
              </w:rPr>
              <w:t>Inline XBRL Labels Linkbase Document.**</w:t>
            </w:r>
          </w:p>
        </w:tc>
      </w:tr>
      <w:tr>
        <w:trPr>
          <w:trHeight w:val="199"/>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101. PRE</w:t>
            </w:r>
          </w:p>
        </w:tc>
        <w:tc>
          <w:tcPr>
            <w:tcW w:w="20" w:type="dxa"/>
            <w:vAlign w:val="bottom"/>
          </w:tcPr>
          <w:p>
            <w:pPr>
              <w:spacing w:after="0"/>
              <w:rPr>
                <w:sz w:val="17"/>
                <w:szCs w:val="17"/>
                <w:color w:val="auto"/>
              </w:rPr>
            </w:pPr>
          </w:p>
        </w:tc>
        <w:tc>
          <w:tcPr>
            <w:tcW w:w="10020" w:type="dxa"/>
            <w:vAlign w:val="bottom"/>
            <w:gridSpan w:val="13"/>
          </w:tcPr>
          <w:p>
            <w:pPr>
              <w:spacing w:after="0"/>
              <w:rPr>
                <w:sz w:val="20"/>
                <w:szCs w:val="20"/>
                <w:color w:val="auto"/>
              </w:rPr>
            </w:pPr>
            <w:r>
              <w:rPr>
                <w:rFonts w:ascii="Arial" w:cs="Arial" w:eastAsia="Arial" w:hAnsi="Arial"/>
                <w:sz w:val="16"/>
                <w:szCs w:val="16"/>
                <w:color w:val="auto"/>
              </w:rPr>
              <w:t>Inline XBRL Presentation Linkbase Document.**</w:t>
            </w:r>
          </w:p>
        </w:tc>
      </w:tr>
      <w:tr>
        <w:trPr>
          <w:trHeight w:val="199"/>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101. DEF</w:t>
            </w:r>
          </w:p>
        </w:tc>
        <w:tc>
          <w:tcPr>
            <w:tcW w:w="20" w:type="dxa"/>
            <w:vAlign w:val="bottom"/>
          </w:tcPr>
          <w:p>
            <w:pPr>
              <w:spacing w:after="0"/>
              <w:rPr>
                <w:sz w:val="17"/>
                <w:szCs w:val="17"/>
                <w:color w:val="auto"/>
              </w:rPr>
            </w:pPr>
          </w:p>
        </w:tc>
        <w:tc>
          <w:tcPr>
            <w:tcW w:w="10020" w:type="dxa"/>
            <w:vAlign w:val="bottom"/>
            <w:gridSpan w:val="13"/>
          </w:tcPr>
          <w:p>
            <w:pPr>
              <w:spacing w:after="0"/>
              <w:rPr>
                <w:sz w:val="20"/>
                <w:szCs w:val="20"/>
                <w:color w:val="auto"/>
              </w:rPr>
            </w:pPr>
            <w:r>
              <w:rPr>
                <w:rFonts w:ascii="Arial" w:cs="Arial" w:eastAsia="Arial" w:hAnsi="Arial"/>
                <w:sz w:val="16"/>
                <w:szCs w:val="16"/>
                <w:color w:val="auto"/>
              </w:rPr>
              <w:t>Inline XBRL Definition Linkbase Document**</w:t>
            </w:r>
          </w:p>
        </w:tc>
      </w:tr>
      <w:tr>
        <w:trPr>
          <w:trHeight w:val="199"/>
        </w:trPr>
        <w:tc>
          <w:tcPr>
            <w:tcW w:w="1100" w:type="dxa"/>
            <w:vAlign w:val="bottom"/>
          </w:tcPr>
          <w:p>
            <w:pPr>
              <w:jc w:val="center"/>
              <w:spacing w:after="0"/>
              <w:rPr>
                <w:sz w:val="20"/>
                <w:szCs w:val="20"/>
                <w:color w:val="auto"/>
              </w:rPr>
            </w:pPr>
            <w:r>
              <w:rPr>
                <w:rFonts w:ascii="Arial" w:cs="Arial" w:eastAsia="Arial" w:hAnsi="Arial"/>
                <w:sz w:val="16"/>
                <w:szCs w:val="16"/>
                <w:color w:val="auto"/>
                <w:w w:val="82"/>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3"/>
          </w:tcPr>
          <w:p>
            <w:pPr>
              <w:spacing w:after="0"/>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41" w:lineRule="exact"/>
        <w:rPr>
          <w:sz w:val="20"/>
          <w:szCs w:val="20"/>
          <w:color w:val="auto"/>
        </w:rPr>
      </w:pPr>
    </w:p>
    <w:p>
      <w:pPr>
        <w:ind w:left="760" w:hanging="751"/>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5" w:lineRule="exact"/>
        <w:rPr>
          <w:sz w:val="20"/>
          <w:szCs w:val="20"/>
          <w:color w:val="auto"/>
        </w:rPr>
      </w:pPr>
    </w:p>
    <w:p>
      <w:pPr>
        <w:ind w:left="760" w:hanging="751"/>
        <w:spacing w:after="0"/>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Management contracts and compensatory plan or arrangements required to be filed as an Exhibit pursuant to Item 15(b) of Form 10-K.</w:t>
      </w:r>
    </w:p>
    <w:p>
      <w:pPr>
        <w:spacing w:after="0" w:line="15" w:lineRule="exact"/>
        <w:rPr>
          <w:sz w:val="20"/>
          <w:szCs w:val="20"/>
          <w:color w:val="auto"/>
        </w:rPr>
      </w:pPr>
    </w:p>
    <w:p>
      <w:pPr>
        <w:ind w:left="760" w:hanging="751"/>
        <w:spacing w:after="0"/>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Submitted electronically herewith.</w:t>
      </w:r>
    </w:p>
    <w:p>
      <w:pPr>
        <w:spacing w:after="0" w:line="190" w:lineRule="exact"/>
        <w:rPr>
          <w:sz w:val="20"/>
          <w:szCs w:val="20"/>
          <w:color w:val="auto"/>
        </w:rPr>
      </w:pPr>
    </w:p>
    <w:p>
      <w:pPr>
        <w:jc w:val="both"/>
        <w:ind w:right="80"/>
        <w:spacing w:after="0" w:line="293" w:lineRule="auto"/>
        <w:rPr>
          <w:sz w:val="20"/>
          <w:szCs w:val="20"/>
          <w:color w:val="auto"/>
        </w:rPr>
      </w:pPr>
      <w:r>
        <w:rPr>
          <w:rFonts w:ascii="Arial" w:cs="Arial" w:eastAsia="Arial" w:hAnsi="Arial"/>
          <w:sz w:val="14"/>
          <w:szCs w:val="14"/>
          <w:color w:val="auto"/>
        </w:rPr>
        <w:t>Attached as Exhibit 101 to this report are the following formatted in iXBRL (Inline Extensible Business Reporting Language): (i) Consolidated Statements of Income for the years ended October 30, 2021, October 31, 2020 and November 2, 2019, (ii) Consolidated Balance Sheets as of October 30, 2021 and October 31, 2020, (iii) Consolidated Statements of Shareholders’ Equity for the years ended October 30, 2021, October 31, 2020 and November 2, 2019, (iv) Consolidated Statements of Comprehensive Income for the years ended October 30, 2021, October 31, 2020 and November 2, 2019, (v) Consolidated Statements of Cash Flows for the years ended October 30, 2021, October 31, 2020 and November 2, 2019, (vi) Notes to Consolidated Financial Statements for the years ended October 30, 2021, October 31, 2020 and November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447675</wp:posOffset>
            </wp:positionV>
            <wp:extent cx="7176135"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REPORT ON FORM 10-K</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OCTOBER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STATEMENT SCHEDULE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56515</wp:posOffset>
            </wp:positionV>
            <wp:extent cx="717613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II — VALUATION AND QUALIFYING ACCOUNTS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Years ended October 30, 2021, October 31, 2020 and November 2, 2019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 amounts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Balance at Beginning of</w:t>
            </w:r>
          </w:p>
        </w:tc>
        <w:tc>
          <w:tcPr>
            <w:tcW w:w="14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2"/>
              </w:rPr>
              <w:t>Additions (Reductions)</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restart"/>
          </w:tcPr>
          <w:p>
            <w:pPr>
              <w:jc w:val="right"/>
              <w:ind w:right="326"/>
              <w:spacing w:after="0"/>
              <w:rPr>
                <w:sz w:val="20"/>
                <w:szCs w:val="20"/>
                <w:color w:val="auto"/>
              </w:rPr>
            </w:pPr>
            <w:r>
              <w:rPr>
                <w:rFonts w:ascii="Arial" w:cs="Arial" w:eastAsia="Arial" w:hAnsi="Arial"/>
                <w:sz w:val="12"/>
                <w:szCs w:val="12"/>
                <w:b w:val="1"/>
                <w:bCs w:val="1"/>
                <w:color w:val="auto"/>
              </w:rPr>
              <w:t>Balance at</w:t>
            </w:r>
          </w:p>
        </w:tc>
        <w:tc>
          <w:tcPr>
            <w:tcW w:w="0" w:type="dxa"/>
            <w:vAlign w:val="bottom"/>
          </w:tcPr>
          <w:p>
            <w:pPr>
              <w:spacing w:after="0"/>
              <w:rPr>
                <w:sz w:val="1"/>
                <w:szCs w:val="1"/>
                <w:color w:val="auto"/>
              </w:rPr>
            </w:pPr>
          </w:p>
        </w:tc>
      </w:tr>
      <w:tr>
        <w:trPr>
          <w:trHeight w:val="117"/>
        </w:trPr>
        <w:tc>
          <w:tcPr>
            <w:tcW w:w="3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Description</w:t>
            </w:r>
          </w:p>
        </w:tc>
        <w:tc>
          <w:tcPr>
            <w:tcW w:w="14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w w:val="93"/>
              </w:rPr>
              <w:t>Charged to Income</w:t>
            </w:r>
          </w:p>
        </w:tc>
        <w:tc>
          <w:tcPr>
            <w:tcW w:w="300" w:type="dxa"/>
            <w:vAlign w:val="bottom"/>
          </w:tcPr>
          <w:p>
            <w:pPr>
              <w:spacing w:after="0"/>
              <w:rPr>
                <w:sz w:val="10"/>
                <w:szCs w:val="10"/>
                <w:color w:val="auto"/>
              </w:rPr>
            </w:pPr>
          </w:p>
        </w:tc>
        <w:tc>
          <w:tcPr>
            <w:tcW w:w="1040" w:type="dxa"/>
            <w:vAlign w:val="bottom"/>
            <w:vMerge w:val="restart"/>
          </w:tcPr>
          <w:p>
            <w:pPr>
              <w:jc w:val="right"/>
              <w:ind w:right="424"/>
              <w:spacing w:after="0"/>
              <w:rPr>
                <w:sz w:val="20"/>
                <w:szCs w:val="20"/>
                <w:color w:val="auto"/>
              </w:rPr>
            </w:pPr>
            <w:r>
              <w:rPr>
                <w:rFonts w:ascii="Arial" w:cs="Arial" w:eastAsia="Arial" w:hAnsi="Arial"/>
                <w:sz w:val="12"/>
                <w:szCs w:val="12"/>
                <w:b w:val="1"/>
                <w:bCs w:val="1"/>
                <w:color w:val="auto"/>
              </w:rPr>
              <w:t>Other</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Deductions</w:t>
            </w:r>
          </w:p>
        </w:tc>
        <w:tc>
          <w:tcPr>
            <w:tcW w:w="2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9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2"/>
                <w:szCs w:val="12"/>
                <w:b w:val="1"/>
                <w:bCs w:val="1"/>
                <w:color w:val="auto"/>
              </w:rPr>
              <w:t>Period</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Statement</w:t>
            </w:r>
          </w:p>
        </w:tc>
        <w:tc>
          <w:tcPr>
            <w:tcW w:w="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26"/>
              <w:spacing w:after="0"/>
              <w:rPr>
                <w:sz w:val="20"/>
                <w:szCs w:val="20"/>
                <w:color w:val="auto"/>
              </w:rPr>
            </w:pPr>
            <w:r>
              <w:rPr>
                <w:rFonts w:ascii="Arial" w:cs="Arial" w:eastAsia="Arial" w:hAnsi="Arial"/>
                <w:sz w:val="12"/>
                <w:szCs w:val="12"/>
                <w:b w:val="1"/>
                <w:bCs w:val="1"/>
                <w:color w:val="auto"/>
              </w:rPr>
              <w:t>End of Period</w:t>
            </w:r>
          </w:p>
        </w:tc>
        <w:tc>
          <w:tcPr>
            <w:tcW w:w="0" w:type="dxa"/>
            <w:vAlign w:val="bottom"/>
          </w:tcPr>
          <w:p>
            <w:pPr>
              <w:spacing w:after="0"/>
              <w:rPr>
                <w:sz w:val="1"/>
                <w:szCs w:val="1"/>
                <w:color w:val="auto"/>
              </w:rPr>
            </w:pPr>
          </w:p>
        </w:tc>
      </w:tr>
      <w:tr>
        <w:trPr>
          <w:trHeight w:val="192"/>
        </w:trPr>
        <w:tc>
          <w:tcPr>
            <w:tcW w:w="38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Accounts Receivable Reserves and Allowances:</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Year ended November 2, 2019</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00" w:type="dxa"/>
            <w:vAlign w:val="bottom"/>
            <w:gridSpan w:val="2"/>
          </w:tcPr>
          <w:p>
            <w:pPr>
              <w:spacing w:after="0" w:line="165" w:lineRule="exact"/>
              <w:rPr>
                <w:sz w:val="20"/>
                <w:szCs w:val="20"/>
                <w:color w:val="auto"/>
              </w:rPr>
            </w:pPr>
            <w:r>
              <w:rPr>
                <w:rFonts w:ascii="Arial" w:cs="Arial" w:eastAsia="Arial" w:hAnsi="Arial"/>
                <w:sz w:val="16"/>
                <w:szCs w:val="16"/>
                <w:color w:val="auto"/>
              </w:rPr>
              <w:t>Year ended October 31, 2020</w:t>
            </w:r>
          </w:p>
        </w:tc>
        <w:tc>
          <w:tcPr>
            <w:tcW w:w="280" w:type="dxa"/>
            <w:vAlign w:val="bottom"/>
            <w:tcBorders>
              <w:bottom w:val="single" w:sz="8" w:color="auto"/>
            </w:tcBorders>
          </w:tcPr>
          <w:p>
            <w:pPr>
              <w:ind w:left="20"/>
              <w:spacing w:after="0" w:line="165"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8,387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1,318</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22"/>
              <w:spacing w:after="0" w:line="165"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240" w:type="dxa"/>
            <w:vAlign w:val="bottom"/>
            <w:tcBorders>
              <w:bottom w:val="single" w:sz="8" w:color="auto"/>
            </w:tcBorders>
          </w:tcPr>
          <w:p>
            <w:pPr>
              <w:jc w:val="right"/>
              <w:ind w:right="62"/>
              <w:spacing w:after="0" w:line="165"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5,355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2"/>
              <w:spacing w:after="0" w:line="165"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Year ended October 30, 2021</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2"/>
            <w:vMerge w:val="restart"/>
          </w:tcPr>
          <w:p>
            <w:pPr>
              <w:spacing w:after="0" w:line="182" w:lineRule="exact"/>
              <w:rPr>
                <w:sz w:val="20"/>
                <w:szCs w:val="20"/>
                <w:color w:val="auto"/>
              </w:rPr>
            </w:pPr>
            <w:r>
              <w:rPr>
                <w:rFonts w:ascii="Arial" w:cs="Arial" w:eastAsia="Arial" w:hAnsi="Arial"/>
                <w:sz w:val="16"/>
                <w:szCs w:val="16"/>
                <w:b w:val="1"/>
                <w:bCs w:val="1"/>
                <w:color w:val="auto"/>
              </w:rPr>
              <w:t>Valuation Allowance for Deferred Tax Asset: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Year ended November 2, 2019</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116,349</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00" w:type="dxa"/>
            <w:vAlign w:val="bottom"/>
            <w:gridSpan w:val="2"/>
          </w:tcPr>
          <w:p>
            <w:pPr>
              <w:spacing w:after="0" w:line="165" w:lineRule="exact"/>
              <w:rPr>
                <w:sz w:val="20"/>
                <w:szCs w:val="20"/>
                <w:color w:val="auto"/>
              </w:rPr>
            </w:pPr>
            <w:r>
              <w:rPr>
                <w:rFonts w:ascii="Arial" w:cs="Arial" w:eastAsia="Arial" w:hAnsi="Arial"/>
                <w:sz w:val="16"/>
                <w:szCs w:val="16"/>
                <w:color w:val="auto"/>
              </w:rPr>
              <w:t>Year ended October 31, 2020</w:t>
            </w:r>
          </w:p>
        </w:tc>
        <w:tc>
          <w:tcPr>
            <w:tcW w:w="280" w:type="dxa"/>
            <w:vAlign w:val="bottom"/>
            <w:tcBorders>
              <w:top w:val="single" w:sz="8" w:color="auto"/>
              <w:bottom w:val="single" w:sz="8" w:color="auto"/>
            </w:tcBorders>
          </w:tcPr>
          <w:p>
            <w:pPr>
              <w:ind w:left="20"/>
              <w:spacing w:after="0" w:line="165"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116,349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37,622</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2"/>
              <w:spacing w:after="0" w:line="165"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159</w:t>
            </w:r>
          </w:p>
        </w:tc>
        <w:tc>
          <w:tcPr>
            <w:tcW w:w="3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2"/>
              <w:spacing w:after="0" w:line="165"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2"/>
              <w:spacing w:after="0" w:line="165"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line="165" w:lineRule="exact"/>
              <w:rPr>
                <w:sz w:val="20"/>
                <w:szCs w:val="20"/>
                <w:color w:val="auto"/>
              </w:rPr>
            </w:pPr>
            <w:r>
              <w:rPr>
                <w:rFonts w:ascii="Arial" w:cs="Arial" w:eastAsia="Arial" w:hAnsi="Arial"/>
                <w:sz w:val="16"/>
                <w:szCs w:val="16"/>
                <w:color w:val="auto"/>
              </w:rPr>
              <w:t>154,130</w:t>
            </w:r>
          </w:p>
        </w:tc>
        <w:tc>
          <w:tcPr>
            <w:tcW w:w="0" w:type="dxa"/>
            <w:vAlign w:val="bottom"/>
          </w:tcPr>
          <w:p>
            <w:pPr>
              <w:spacing w:after="0"/>
              <w:rPr>
                <w:sz w:val="1"/>
                <w:szCs w:val="1"/>
                <w:color w:val="auto"/>
              </w:rPr>
            </w:pP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Year ended October 30, 2021</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154,130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147,590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315,434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19" w:lineRule="exact"/>
        <w:rPr>
          <w:sz w:val="20"/>
          <w:szCs w:val="20"/>
          <w:color w:val="auto"/>
        </w:rPr>
      </w:pPr>
    </w:p>
    <w:p>
      <w:pPr>
        <w:ind w:left="300" w:hanging="271"/>
        <w:spacing w:after="0"/>
        <w:tabs>
          <w:tab w:leader="none" w:pos="300" w:val="left"/>
        </w:tabs>
        <w:numPr>
          <w:ilvl w:val="0"/>
          <w:numId w:val="68"/>
        </w:numPr>
        <w:rPr>
          <w:rFonts w:ascii="Arial" w:cs="Arial" w:eastAsia="Arial" w:hAnsi="Arial"/>
          <w:sz w:val="14"/>
          <w:szCs w:val="14"/>
          <w:color w:val="auto"/>
        </w:rPr>
      </w:pPr>
      <w:r>
        <w:rPr>
          <w:rFonts w:ascii="Arial" w:cs="Arial" w:eastAsia="Arial" w:hAnsi="Arial"/>
          <w:sz w:val="16"/>
          <w:szCs w:val="16"/>
          <w:color w:val="auto"/>
        </w:rPr>
        <w:t>Represents balances assumed as part of the Acquisition.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0" w:name="page101"/>
    <w:bookmarkEnd w:id="100"/>
    <w:p>
      <w:pPr>
        <w:spacing w:after="0"/>
        <w:tabs>
          <w:tab w:leader="none" w:pos="78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83"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176135"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789"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9" w:lineRule="exact"/>
        <w:rPr>
          <w:sz w:val="20"/>
          <w:szCs w:val="20"/>
          <w:color w:val="auto"/>
        </w:rPr>
      </w:pPr>
    </w:p>
    <w:p>
      <w:pPr>
        <w:ind w:right="540" w:firstLine="386"/>
        <w:spacing w:after="0" w:line="248"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8"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ANALOG DEVICES, INC.</w:t>
      </w:r>
    </w:p>
    <w:p>
      <w:pPr>
        <w:spacing w:after="0" w:line="62" w:lineRule="exact"/>
        <w:rPr>
          <w:sz w:val="20"/>
          <w:szCs w:val="20"/>
          <w:color w:val="auto"/>
        </w:rPr>
      </w:pPr>
    </w:p>
    <w:p>
      <w:pPr>
        <w:spacing w:after="0"/>
        <w:tabs>
          <w:tab w:leader="none" w:pos="4020" w:val="left"/>
          <w:tab w:leader="none" w:pos="7380" w:val="left"/>
        </w:tabs>
        <w:rPr>
          <w:sz w:val="20"/>
          <w:szCs w:val="20"/>
          <w:color w:val="auto"/>
        </w:rPr>
      </w:pPr>
      <w:r>
        <w:rPr>
          <w:rFonts w:ascii="Arial" w:cs="Arial" w:eastAsia="Arial" w:hAnsi="Arial"/>
          <w:sz w:val="16"/>
          <w:szCs w:val="16"/>
          <w:color w:val="auto"/>
        </w:rPr>
        <w:t>Date: December 3,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10160</wp:posOffset>
            </wp:positionV>
            <wp:extent cx="418020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1">
                      <a:extLst>
                        <a:ext uri="{28A0092B-C50C-407E-A947-70E740481C1C}"/>
                      </a:extLst>
                    </a:blip>
                    <a:srcRect/>
                    <a:stretch>
                      <a:fillRect/>
                    </a:stretch>
                  </pic:blipFill>
                  <pic:spPr bwMode="auto">
                    <a:xfrm>
                      <a:off x="0" y="0"/>
                      <a:ext cx="4180205" cy="7620"/>
                    </a:xfrm>
                    <a:prstGeom prst="rect">
                      <a:avLst/>
                    </a:prstGeom>
                    <a:noFill/>
                  </pic:spPr>
                </pic:pic>
              </a:graphicData>
            </a:graphic>
          </wp:anchor>
        </w:drawing>
      </w:r>
    </w:p>
    <w:p>
      <w:pPr>
        <w:jc w:val="center"/>
        <w:ind w:left="4680"/>
        <w:spacing w:after="0"/>
        <w:rPr>
          <w:sz w:val="20"/>
          <w:szCs w:val="20"/>
          <w:color w:val="auto"/>
        </w:rPr>
      </w:pPr>
      <w:r>
        <w:rPr>
          <w:rFonts w:ascii="Arial" w:cs="Arial" w:eastAsia="Arial" w:hAnsi="Arial"/>
          <w:sz w:val="16"/>
          <w:szCs w:val="16"/>
          <w:color w:val="auto"/>
        </w:rPr>
        <w:t>Vincent Roche</w:t>
      </w:r>
    </w:p>
    <w:p>
      <w:pPr>
        <w:jc w:val="center"/>
        <w:ind w:left="4680"/>
        <w:spacing w:after="0" w:line="198" w:lineRule="auto"/>
        <w:rPr>
          <w:sz w:val="20"/>
          <w:szCs w:val="20"/>
          <w:color w:val="auto"/>
        </w:rPr>
      </w:pPr>
      <w:r>
        <w:rPr>
          <w:rFonts w:ascii="Arial" w:cs="Arial" w:eastAsia="Arial" w:hAnsi="Arial"/>
          <w:sz w:val="16"/>
          <w:szCs w:val="16"/>
          <w:color w:val="auto"/>
        </w:rPr>
        <w:t>President and Chief Executive Officer</w:t>
      </w:r>
    </w:p>
    <w:p>
      <w:pPr>
        <w:jc w:val="center"/>
        <w:ind w:left="4680"/>
        <w:spacing w:after="0"/>
        <w:rPr>
          <w:sz w:val="20"/>
          <w:szCs w:val="20"/>
          <w:color w:val="auto"/>
        </w:rPr>
      </w:pPr>
      <w:r>
        <w:rPr>
          <w:rFonts w:ascii="Arial" w:cs="Arial" w:eastAsia="Arial" w:hAnsi="Arial"/>
          <w:sz w:val="16"/>
          <w:szCs w:val="16"/>
          <w:color w:val="auto"/>
        </w:rPr>
        <w:t>(Principal Executive Officer)</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and Exchange Act of 1934, this report has been signed below by the following persons on behalf of the registrant and in the capacities</w:t>
      </w:r>
    </w:p>
    <w:p>
      <w:pPr>
        <w:sectPr>
          <w:pgSz w:w="11900" w:h="16838" w:orient="portrait"/>
          <w:cols w:equalWidth="0" w:num="1">
            <w:col w:w="11240"/>
          </w:cols>
          <w:pgMar w:left="320" w:top="1105" w:right="3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on the dates indicated.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293306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2">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153"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Ray Stata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93306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Ray Stata</w:t>
      </w:r>
    </w:p>
    <w:p>
      <w:pPr>
        <w:spacing w:after="0" w:line="331"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93306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4">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30"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Vincent Roche</w:t>
      </w:r>
    </w:p>
    <w:p>
      <w:pPr>
        <w:spacing w:after="0" w:line="249"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93306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5">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100"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Prashanth Mahendra-Rajah</w:t>
      </w:r>
    </w:p>
    <w:p>
      <w:pPr>
        <w:spacing w:after="0" w:line="272"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Michael Sondel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93306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6">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77"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Michael Sondel</w:t>
      </w:r>
    </w:p>
    <w:p>
      <w:pPr>
        <w:spacing w:after="0" w:line="249"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James A. Champy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93306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7">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James A. Champy</w:t>
      </w:r>
    </w:p>
    <w:p>
      <w:pPr>
        <w:spacing w:after="0" w:line="249" w:lineRule="exact"/>
        <w:rPr>
          <w:sz w:val="20"/>
          <w:szCs w:val="20"/>
          <w:color w:val="auto"/>
        </w:rPr>
      </w:pPr>
    </w:p>
    <w:p>
      <w:pPr>
        <w:jc w:val="center"/>
        <w:ind w:left="220"/>
        <w:spacing w:after="0"/>
        <w:rPr>
          <w:sz w:val="20"/>
          <w:szCs w:val="20"/>
          <w:color w:val="auto"/>
        </w:rPr>
      </w:pPr>
      <w:r>
        <w:rPr>
          <w:rFonts w:ascii="Arial" w:cs="Arial" w:eastAsia="Arial" w:hAnsi="Arial"/>
          <w:sz w:val="14"/>
          <w:szCs w:val="14"/>
          <w:color w:val="auto"/>
        </w:rPr>
        <w:t>/s/ Anantha P. Chandrakasan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93306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8">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29"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Anantha P. Chandrakasan</w:t>
      </w:r>
    </w:p>
    <w:p>
      <w:pPr>
        <w:spacing w:after="0" w:line="214"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Tunç Doluca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93306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9">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Tunc Doluca</w:t>
      </w:r>
    </w:p>
    <w:p>
      <w:pPr>
        <w:spacing w:after="0" w:line="249"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Bruce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93306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0">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Bruce R. Evans</w:t>
      </w:r>
    </w:p>
    <w:p>
      <w:pPr>
        <w:spacing w:after="0" w:line="249"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Edward H.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93306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1">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Edward H. Frank</w:t>
      </w:r>
    </w:p>
    <w:p>
      <w:pPr>
        <w:spacing w:after="0" w:line="249"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Laurie H. Glimcher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93306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2">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Laurie H. Glimcher</w:t>
      </w:r>
    </w:p>
    <w:p>
      <w:pPr>
        <w:spacing w:after="0" w:line="249"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/s/ Karen M. Golz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93306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3">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6"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auto"/>
        </w:rPr>
        <w:t>Karen M. Golz</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Title</w:t>
            </w:r>
          </w:p>
        </w:tc>
        <w:tc>
          <w:tcPr>
            <w:tcW w:w="48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r>
      <w:tr>
        <w:trPr>
          <w:trHeight w:val="324"/>
        </w:trPr>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89"/>
              </w:rPr>
              <w:t>Chairman of the Board</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597"/>
        </w:trPr>
        <w:tc>
          <w:tcPr>
            <w:tcW w:w="4160" w:type="dxa"/>
            <w:vAlign w:val="bottom"/>
            <w:gridSpan w:val="2"/>
          </w:tcPr>
          <w:p>
            <w:pPr>
              <w:jc w:val="center"/>
              <w:ind w:right="540"/>
              <w:spacing w:after="0"/>
              <w:rPr>
                <w:sz w:val="20"/>
                <w:szCs w:val="20"/>
                <w:color w:val="auto"/>
              </w:rPr>
            </w:pPr>
            <w:r>
              <w:rPr>
                <w:rFonts w:ascii="Arial" w:cs="Arial" w:eastAsia="Arial" w:hAnsi="Arial"/>
                <w:sz w:val="16"/>
                <w:szCs w:val="16"/>
                <w:color w:val="auto"/>
                <w:w w:val="88"/>
              </w:rPr>
              <w:t>President and Chief Executive</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152"/>
        </w:trPr>
        <w:tc>
          <w:tcPr>
            <w:tcW w:w="4160" w:type="dxa"/>
            <w:vAlign w:val="bottom"/>
            <w:gridSpan w:val="2"/>
          </w:tcPr>
          <w:p>
            <w:pPr>
              <w:jc w:val="center"/>
              <w:ind w:right="500"/>
              <w:spacing w:after="0" w:line="152" w:lineRule="exact"/>
              <w:rPr>
                <w:sz w:val="20"/>
                <w:szCs w:val="20"/>
                <w:color w:val="auto"/>
              </w:rPr>
            </w:pPr>
            <w:r>
              <w:rPr>
                <w:rFonts w:ascii="Arial" w:cs="Arial" w:eastAsia="Arial" w:hAnsi="Arial"/>
                <w:sz w:val="16"/>
                <w:szCs w:val="16"/>
                <w:color w:val="auto"/>
                <w:w w:val="90"/>
              </w:rPr>
              <w:t>Officer and Director</w:t>
            </w:r>
          </w:p>
        </w:tc>
        <w:tc>
          <w:tcPr>
            <w:tcW w:w="1960" w:type="dxa"/>
            <w:vAlign w:val="bottom"/>
          </w:tcPr>
          <w:p>
            <w:pPr>
              <w:spacing w:after="0"/>
              <w:rPr>
                <w:sz w:val="13"/>
                <w:szCs w:val="13"/>
                <w:color w:val="auto"/>
              </w:rPr>
            </w:pPr>
          </w:p>
        </w:tc>
      </w:tr>
      <w:tr>
        <w:trPr>
          <w:trHeight w:val="199"/>
        </w:trPr>
        <w:tc>
          <w:tcPr>
            <w:tcW w:w="4160" w:type="dxa"/>
            <w:vAlign w:val="bottom"/>
            <w:gridSpan w:val="2"/>
          </w:tcPr>
          <w:p>
            <w:pPr>
              <w:jc w:val="center"/>
              <w:ind w:right="500"/>
              <w:spacing w:after="0"/>
              <w:rPr>
                <w:sz w:val="20"/>
                <w:szCs w:val="20"/>
                <w:color w:val="auto"/>
              </w:rPr>
            </w:pPr>
            <w:r>
              <w:rPr>
                <w:rFonts w:ascii="Arial" w:cs="Arial" w:eastAsia="Arial" w:hAnsi="Arial"/>
                <w:sz w:val="16"/>
                <w:szCs w:val="16"/>
                <w:color w:val="auto"/>
                <w:w w:val="92"/>
              </w:rPr>
              <w:t>(Principal Executive Officer)</w:t>
            </w:r>
          </w:p>
        </w:tc>
        <w:tc>
          <w:tcPr>
            <w:tcW w:w="1960" w:type="dxa"/>
            <w:vAlign w:val="bottom"/>
          </w:tcPr>
          <w:p>
            <w:pPr>
              <w:spacing w:after="0"/>
              <w:rPr>
                <w:sz w:val="17"/>
                <w:szCs w:val="17"/>
                <w:color w:val="auto"/>
              </w:rPr>
            </w:pPr>
          </w:p>
        </w:tc>
      </w:tr>
      <w:tr>
        <w:trPr>
          <w:trHeight w:val="374"/>
        </w:trPr>
        <w:tc>
          <w:tcPr>
            <w:tcW w:w="4160" w:type="dxa"/>
            <w:vAlign w:val="bottom"/>
            <w:gridSpan w:val="2"/>
          </w:tcPr>
          <w:p>
            <w:pPr>
              <w:jc w:val="center"/>
              <w:ind w:right="500"/>
              <w:spacing w:after="0"/>
              <w:rPr>
                <w:sz w:val="20"/>
                <w:szCs w:val="20"/>
                <w:color w:val="auto"/>
              </w:rPr>
            </w:pPr>
            <w:r>
              <w:rPr>
                <w:rFonts w:ascii="Arial" w:cs="Arial" w:eastAsia="Arial" w:hAnsi="Arial"/>
                <w:sz w:val="16"/>
                <w:szCs w:val="16"/>
                <w:color w:val="auto"/>
                <w:w w:val="86"/>
              </w:rPr>
              <w:t>Senior Vice President, Finance and</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152"/>
        </w:trPr>
        <w:tc>
          <w:tcPr>
            <w:tcW w:w="4160" w:type="dxa"/>
            <w:vAlign w:val="bottom"/>
            <w:gridSpan w:val="2"/>
          </w:tcPr>
          <w:p>
            <w:pPr>
              <w:jc w:val="center"/>
              <w:ind w:right="500"/>
              <w:spacing w:after="0" w:line="152" w:lineRule="exact"/>
              <w:rPr>
                <w:sz w:val="20"/>
                <w:szCs w:val="20"/>
                <w:color w:val="auto"/>
              </w:rPr>
            </w:pPr>
            <w:r>
              <w:rPr>
                <w:rFonts w:ascii="Arial" w:cs="Arial" w:eastAsia="Arial" w:hAnsi="Arial"/>
                <w:sz w:val="16"/>
                <w:szCs w:val="16"/>
                <w:color w:val="auto"/>
                <w:w w:val="92"/>
              </w:rPr>
              <w:t>Chief Financial Officer</w:t>
            </w:r>
          </w:p>
        </w:tc>
        <w:tc>
          <w:tcPr>
            <w:tcW w:w="1960" w:type="dxa"/>
            <w:vAlign w:val="bottom"/>
          </w:tcPr>
          <w:p>
            <w:pPr>
              <w:spacing w:after="0"/>
              <w:rPr>
                <w:sz w:val="13"/>
                <w:szCs w:val="13"/>
                <w:color w:val="auto"/>
              </w:rPr>
            </w:pPr>
          </w:p>
        </w:tc>
      </w:tr>
      <w:tr>
        <w:trPr>
          <w:trHeight w:val="199"/>
        </w:trPr>
        <w:tc>
          <w:tcPr>
            <w:tcW w:w="4160" w:type="dxa"/>
            <w:vAlign w:val="bottom"/>
            <w:gridSpan w:val="2"/>
          </w:tcPr>
          <w:p>
            <w:pPr>
              <w:jc w:val="center"/>
              <w:ind w:right="500"/>
              <w:spacing w:after="0"/>
              <w:rPr>
                <w:sz w:val="20"/>
                <w:szCs w:val="20"/>
                <w:color w:val="auto"/>
              </w:rPr>
            </w:pPr>
            <w:r>
              <w:rPr>
                <w:rFonts w:ascii="Arial" w:cs="Arial" w:eastAsia="Arial" w:hAnsi="Arial"/>
                <w:sz w:val="16"/>
                <w:szCs w:val="16"/>
                <w:color w:val="auto"/>
                <w:w w:val="92"/>
              </w:rPr>
              <w:t>(Principal Financial Officer)</w:t>
            </w:r>
          </w:p>
        </w:tc>
        <w:tc>
          <w:tcPr>
            <w:tcW w:w="1960" w:type="dxa"/>
            <w:vAlign w:val="bottom"/>
          </w:tcPr>
          <w:p>
            <w:pPr>
              <w:spacing w:after="0"/>
              <w:rPr>
                <w:sz w:val="17"/>
                <w:szCs w:val="17"/>
                <w:color w:val="auto"/>
              </w:rPr>
            </w:pPr>
          </w:p>
        </w:tc>
      </w:tr>
      <w:tr>
        <w:trPr>
          <w:trHeight w:val="351"/>
        </w:trPr>
        <w:tc>
          <w:tcPr>
            <w:tcW w:w="4160" w:type="dxa"/>
            <w:vAlign w:val="bottom"/>
            <w:gridSpan w:val="2"/>
          </w:tcPr>
          <w:p>
            <w:pPr>
              <w:jc w:val="center"/>
              <w:ind w:right="540"/>
              <w:spacing w:after="0"/>
              <w:rPr>
                <w:sz w:val="20"/>
                <w:szCs w:val="20"/>
                <w:color w:val="auto"/>
              </w:rPr>
            </w:pPr>
            <w:r>
              <w:rPr>
                <w:rFonts w:ascii="Arial" w:cs="Arial" w:eastAsia="Arial" w:hAnsi="Arial"/>
                <w:sz w:val="16"/>
                <w:szCs w:val="16"/>
                <w:color w:val="auto"/>
                <w:w w:val="88"/>
              </w:rPr>
              <w:t>Corporate Vice President and Chief</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152"/>
        </w:trPr>
        <w:tc>
          <w:tcPr>
            <w:tcW w:w="4160" w:type="dxa"/>
            <w:vAlign w:val="bottom"/>
            <w:gridSpan w:val="2"/>
          </w:tcPr>
          <w:p>
            <w:pPr>
              <w:jc w:val="center"/>
              <w:ind w:right="500"/>
              <w:spacing w:after="0" w:line="152" w:lineRule="exact"/>
              <w:rPr>
                <w:sz w:val="20"/>
                <w:szCs w:val="20"/>
                <w:color w:val="auto"/>
              </w:rPr>
            </w:pPr>
            <w:r>
              <w:rPr>
                <w:rFonts w:ascii="Arial" w:cs="Arial" w:eastAsia="Arial" w:hAnsi="Arial"/>
                <w:sz w:val="16"/>
                <w:szCs w:val="16"/>
                <w:color w:val="auto"/>
                <w:w w:val="93"/>
              </w:rPr>
              <w:t>Accounting Officer</w:t>
            </w:r>
          </w:p>
        </w:tc>
        <w:tc>
          <w:tcPr>
            <w:tcW w:w="1960" w:type="dxa"/>
            <w:vAlign w:val="bottom"/>
          </w:tcPr>
          <w:p>
            <w:pPr>
              <w:spacing w:after="0"/>
              <w:rPr>
                <w:sz w:val="13"/>
                <w:szCs w:val="13"/>
                <w:color w:val="auto"/>
              </w:rPr>
            </w:pPr>
          </w:p>
        </w:tc>
      </w:tr>
      <w:tr>
        <w:trPr>
          <w:trHeight w:val="199"/>
        </w:trPr>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(Principal Accounting Officer)</w:t>
            </w:r>
          </w:p>
        </w:tc>
        <w:tc>
          <w:tcPr>
            <w:tcW w:w="1960" w:type="dxa"/>
            <w:vAlign w:val="bottom"/>
          </w:tcPr>
          <w:p>
            <w:pPr>
              <w:spacing w:after="0"/>
              <w:rPr>
                <w:sz w:val="17"/>
                <w:szCs w:val="17"/>
                <w:color w:val="auto"/>
              </w:rPr>
            </w:pPr>
          </w:p>
        </w:tc>
      </w:tr>
      <w:tr>
        <w:trPr>
          <w:trHeight w:val="443"/>
        </w:trPr>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643"/>
        </w:trPr>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608"/>
        </w:trPr>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643"/>
        </w:trPr>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643"/>
        </w:trPr>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643"/>
        </w:trPr>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643"/>
        </w:trPr>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bl>
    <w:p>
      <w:pPr>
        <w:spacing w:after="0" w:line="395" w:lineRule="exact"/>
        <w:rPr>
          <w:sz w:val="20"/>
          <w:szCs w:val="20"/>
          <w:color w:val="auto"/>
        </w:rPr>
      </w:pPr>
    </w:p>
    <w:p>
      <w:pPr>
        <w:sectPr>
          <w:pgSz w:w="11900" w:h="16838" w:orient="portrait"/>
          <w:cols w:equalWidth="0" w:num="2">
            <w:col w:w="4380" w:space="720"/>
            <w:col w:w="6140"/>
          </w:cols>
          <w:pgMar w:left="320" w:top="1105" w:right="339" w:bottom="1440" w:gutter="0" w:footer="0" w:header="0"/>
          <w:type w:val="continuous"/>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71120</wp:posOffset>
            </wp:positionV>
            <wp:extent cx="7176135"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66"/>
        </w:trPr>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480" w:type="dxa"/>
            <w:vAlign w:val="bottom"/>
          </w:tcPr>
          <w:p>
            <w:pPr>
              <w:spacing w:after="0"/>
              <w:rPr>
                <w:sz w:val="14"/>
                <w:szCs w:val="1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Title</w:t>
            </w:r>
          </w:p>
        </w:tc>
        <w:tc>
          <w:tcPr>
            <w:tcW w:w="480" w:type="dxa"/>
            <w:vAlign w:val="bottom"/>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r>
      <w:tr>
        <w:trPr>
          <w:trHeight w:val="418"/>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/s/ Mercedes Johnson</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191"/>
        </w:trPr>
        <w:tc>
          <w:tcPr>
            <w:tcW w:w="4620" w:type="dxa"/>
            <w:vAlign w:val="bottom"/>
          </w:tcPr>
          <w:p>
            <w:pPr>
              <w:jc w:val="center"/>
              <w:spacing w:after="0"/>
              <w:rPr>
                <w:sz w:val="20"/>
                <w:szCs w:val="20"/>
                <w:color w:val="auto"/>
              </w:rPr>
            </w:pPr>
            <w:r>
              <w:rPr>
                <w:rFonts w:ascii="Arial" w:cs="Arial" w:eastAsia="Arial" w:hAnsi="Arial"/>
                <w:sz w:val="16"/>
                <w:szCs w:val="16"/>
                <w:color w:val="auto"/>
                <w:w w:val="85"/>
              </w:rPr>
              <w:t>Mercedes Johnson</w:t>
            </w: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432"/>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Mark M. Little</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191"/>
        </w:trPr>
        <w:tc>
          <w:tcPr>
            <w:tcW w:w="4620" w:type="dxa"/>
            <w:vAlign w:val="bottom"/>
          </w:tcPr>
          <w:p>
            <w:pPr>
              <w:jc w:val="center"/>
              <w:spacing w:after="0"/>
              <w:rPr>
                <w:sz w:val="20"/>
                <w:szCs w:val="20"/>
                <w:color w:val="auto"/>
              </w:rPr>
            </w:pPr>
            <w:r>
              <w:rPr>
                <w:rFonts w:ascii="Arial" w:cs="Arial" w:eastAsia="Arial" w:hAnsi="Arial"/>
                <w:sz w:val="16"/>
                <w:szCs w:val="16"/>
                <w:color w:val="auto"/>
                <w:w w:val="95"/>
              </w:rPr>
              <w:t>Mark M. Little</w:t>
            </w: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397"/>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Kenton J. Sicchitano</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191"/>
        </w:trPr>
        <w:tc>
          <w:tcPr>
            <w:tcW w:w="4620" w:type="dxa"/>
            <w:vAlign w:val="bottom"/>
          </w:tcPr>
          <w:p>
            <w:pPr>
              <w:jc w:val="center"/>
              <w:spacing w:after="0"/>
              <w:rPr>
                <w:sz w:val="20"/>
                <w:szCs w:val="20"/>
                <w:color w:val="auto"/>
              </w:rPr>
            </w:pPr>
            <w:r>
              <w:rPr>
                <w:rFonts w:ascii="Arial" w:cs="Arial" w:eastAsia="Arial" w:hAnsi="Arial"/>
                <w:sz w:val="16"/>
                <w:szCs w:val="16"/>
                <w:color w:val="auto"/>
                <w:w w:val="89"/>
              </w:rPr>
              <w:t>Kenton J. Sicchitano</w:t>
            </w: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432"/>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Susie Wee</w:t>
            </w:r>
          </w:p>
        </w:tc>
        <w:tc>
          <w:tcPr>
            <w:tcW w:w="480" w:type="dxa"/>
            <w:vAlign w:val="bottom"/>
          </w:tcPr>
          <w:p>
            <w:pPr>
              <w:spacing w:after="0"/>
              <w:rPr>
                <w:sz w:val="24"/>
                <w:szCs w:val="24"/>
                <w:color w:val="auto"/>
              </w:rPr>
            </w:pPr>
          </w:p>
        </w:tc>
        <w:tc>
          <w:tcPr>
            <w:tcW w:w="4160" w:type="dxa"/>
            <w:vAlign w:val="bottom"/>
            <w:gridSpan w:val="2"/>
          </w:tcPr>
          <w:p>
            <w:pPr>
              <w:jc w:val="center"/>
              <w:ind w:right="480"/>
              <w:spacing w:after="0"/>
              <w:rPr>
                <w:sz w:val="20"/>
                <w:szCs w:val="20"/>
                <w:color w:val="auto"/>
              </w:rPr>
            </w:pPr>
            <w:r>
              <w:rPr>
                <w:rFonts w:ascii="Arial" w:cs="Arial" w:eastAsia="Arial" w:hAnsi="Arial"/>
                <w:sz w:val="16"/>
                <w:szCs w:val="16"/>
                <w:color w:val="auto"/>
                <w:w w:val="92"/>
              </w:rPr>
              <w:t>Director</w:t>
            </w:r>
          </w:p>
        </w:tc>
        <w:tc>
          <w:tcPr>
            <w:tcW w:w="1960" w:type="dxa"/>
            <w:vAlign w:val="bottom"/>
          </w:tcPr>
          <w:p>
            <w:pPr>
              <w:jc w:val="center"/>
              <w:spacing w:after="0"/>
              <w:rPr>
                <w:sz w:val="20"/>
                <w:szCs w:val="20"/>
                <w:color w:val="auto"/>
              </w:rPr>
            </w:pPr>
            <w:r>
              <w:rPr>
                <w:rFonts w:ascii="Arial" w:cs="Arial" w:eastAsia="Arial" w:hAnsi="Arial"/>
                <w:sz w:val="16"/>
                <w:szCs w:val="16"/>
                <w:color w:val="auto"/>
                <w:w w:val="88"/>
              </w:rPr>
              <w:t>December 3, 2021</w:t>
            </w:r>
          </w:p>
        </w:tc>
      </w:tr>
      <w:tr>
        <w:trPr>
          <w:trHeight w:val="191"/>
        </w:trPr>
        <w:tc>
          <w:tcPr>
            <w:tcW w:w="4620" w:type="dxa"/>
            <w:vAlign w:val="bottom"/>
          </w:tcPr>
          <w:p>
            <w:pPr>
              <w:jc w:val="center"/>
              <w:spacing w:after="0"/>
              <w:rPr>
                <w:sz w:val="20"/>
                <w:szCs w:val="20"/>
                <w:color w:val="auto"/>
              </w:rPr>
            </w:pPr>
            <w:r>
              <w:rPr>
                <w:rFonts w:ascii="Arial" w:cs="Arial" w:eastAsia="Arial" w:hAnsi="Arial"/>
                <w:sz w:val="16"/>
                <w:szCs w:val="16"/>
                <w:color w:val="auto"/>
                <w:w w:val="82"/>
              </w:rPr>
              <w:t>Susie Wee</w:t>
            </w:r>
          </w:p>
        </w:tc>
        <w:tc>
          <w:tcPr>
            <w:tcW w:w="4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220"/>
          </w:cols>
          <w:pgMar w:left="320" w:top="821" w:right="3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color w:val="auto"/>
        </w:rPr>
        <w:t>Exhibit 10.36</w:t>
      </w:r>
    </w:p>
    <w:p>
      <w:pPr>
        <w:spacing w:after="0" w:line="339"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231F20"/>
        </w:rPr>
        <w:t>ANALOG DEVICES, INC.</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231F20"/>
        </w:rPr>
        <w:t>A</w:t>
      </w:r>
      <w:r>
        <w:rPr>
          <w:rFonts w:ascii="Arial" w:cs="Arial" w:eastAsia="Arial" w:hAnsi="Arial"/>
          <w:sz w:val="11"/>
          <w:szCs w:val="11"/>
          <w:b w:val="1"/>
          <w:bCs w:val="1"/>
          <w:color w:val="231F20"/>
        </w:rPr>
        <w:t>MENDED AND</w:t>
      </w:r>
      <w:r>
        <w:rPr>
          <w:rFonts w:ascii="Arial" w:cs="Arial" w:eastAsia="Arial" w:hAnsi="Arial"/>
          <w:sz w:val="16"/>
          <w:szCs w:val="16"/>
          <w:b w:val="1"/>
          <w:bCs w:val="1"/>
          <w:color w:val="231F20"/>
        </w:rPr>
        <w:t xml:space="preserve"> R</w:t>
      </w:r>
      <w:r>
        <w:rPr>
          <w:rFonts w:ascii="Arial" w:cs="Arial" w:eastAsia="Arial" w:hAnsi="Arial"/>
          <w:sz w:val="11"/>
          <w:szCs w:val="11"/>
          <w:b w:val="1"/>
          <w:bCs w:val="1"/>
          <w:color w:val="231F20"/>
        </w:rPr>
        <w:t>ESTATED</w:t>
      </w:r>
      <w:r>
        <w:rPr>
          <w:rFonts w:ascii="Arial" w:cs="Arial" w:eastAsia="Arial" w:hAnsi="Arial"/>
          <w:sz w:val="16"/>
          <w:szCs w:val="16"/>
          <w:b w:val="1"/>
          <w:bCs w:val="1"/>
          <w:color w:val="231F20"/>
        </w:rPr>
        <w:t xml:space="preserve"> 1996 S</w:t>
      </w:r>
      <w:r>
        <w:rPr>
          <w:rFonts w:ascii="Arial" w:cs="Arial" w:eastAsia="Arial" w:hAnsi="Arial"/>
          <w:sz w:val="11"/>
          <w:szCs w:val="11"/>
          <w:b w:val="1"/>
          <w:bCs w:val="1"/>
          <w:color w:val="231F20"/>
        </w:rPr>
        <w:t>TOCK</w:t>
      </w:r>
      <w:r>
        <w:rPr>
          <w:rFonts w:ascii="Arial" w:cs="Arial" w:eastAsia="Arial" w:hAnsi="Arial"/>
          <w:sz w:val="16"/>
          <w:szCs w:val="16"/>
          <w:b w:val="1"/>
          <w:bCs w:val="1"/>
          <w:color w:val="231F20"/>
        </w:rPr>
        <w:t xml:space="preserve"> I</w:t>
      </w:r>
      <w:r>
        <w:rPr>
          <w:rFonts w:ascii="Arial" w:cs="Arial" w:eastAsia="Arial" w:hAnsi="Arial"/>
          <w:sz w:val="11"/>
          <w:szCs w:val="11"/>
          <w:b w:val="1"/>
          <w:bCs w:val="1"/>
          <w:color w:val="231F20"/>
        </w:rPr>
        <w:t>NCENTIVE</w:t>
      </w:r>
      <w:r>
        <w:rPr>
          <w:rFonts w:ascii="Arial" w:cs="Arial" w:eastAsia="Arial" w:hAnsi="Arial"/>
          <w:sz w:val="16"/>
          <w:szCs w:val="16"/>
          <w:b w:val="1"/>
          <w:bCs w:val="1"/>
          <w:color w:val="231F20"/>
        </w:rPr>
        <w:t xml:space="preserve"> P</w:t>
      </w:r>
      <w:r>
        <w:rPr>
          <w:rFonts w:ascii="Arial" w:cs="Arial" w:eastAsia="Arial" w:hAnsi="Arial"/>
          <w:sz w:val="11"/>
          <w:szCs w:val="11"/>
          <w:b w:val="1"/>
          <w:bCs w:val="1"/>
          <w:color w:val="231F20"/>
        </w:rPr>
        <w:t>LAN</w:t>
      </w:r>
    </w:p>
    <w:p>
      <w:pPr>
        <w:spacing w:after="0" w:line="206" w:lineRule="exact"/>
        <w:rPr>
          <w:sz w:val="20"/>
          <w:szCs w:val="20"/>
          <w:color w:val="auto"/>
        </w:rPr>
      </w:pPr>
    </w:p>
    <w:p>
      <w:pPr>
        <w:jc w:val="both"/>
        <w:ind w:left="9" w:right="60" w:hanging="9"/>
        <w:spacing w:after="0" w:line="252" w:lineRule="auto"/>
        <w:tabs>
          <w:tab w:leader="none" w:pos="147" w:val="left"/>
        </w:tabs>
        <w:numPr>
          <w:ilvl w:val="0"/>
          <w:numId w:val="69"/>
        </w:numPr>
        <w:rPr>
          <w:rFonts w:ascii="Arial" w:cs="Arial" w:eastAsia="Arial" w:hAnsi="Arial"/>
          <w:sz w:val="12"/>
          <w:szCs w:val="12"/>
          <w:color w:val="231F20"/>
        </w:rPr>
      </w:pPr>
      <w:r>
        <w:rPr>
          <w:rFonts w:ascii="Arial" w:cs="Arial" w:eastAsia="Arial" w:hAnsi="Arial"/>
          <w:sz w:val="12"/>
          <w:szCs w:val="12"/>
          <w:i w:val="1"/>
          <w:iCs w:val="1"/>
          <w:color w:val="231F20"/>
        </w:rPr>
        <w:t>Establishment and Purposes of the Plan</w:t>
      </w:r>
      <w:r>
        <w:rPr>
          <w:rFonts w:ascii="Arial" w:cs="Arial" w:eastAsia="Arial" w:hAnsi="Arial"/>
          <w:sz w:val="12"/>
          <w:szCs w:val="12"/>
          <w:color w:val="231F20"/>
        </w:rPr>
        <w:t>. The Analog Devices, Inc. Amended and Restated 1996 Stock Incentive Plan constitutes an amendment, restatement and renaming of the Maxim Integrated</w:t>
      </w:r>
      <w:r>
        <w:rPr>
          <w:rFonts w:ascii="Arial" w:cs="Arial" w:eastAsia="Arial" w:hAnsi="Arial"/>
          <w:sz w:val="12"/>
          <w:szCs w:val="12"/>
          <w:i w:val="1"/>
          <w:iCs w:val="1"/>
          <w:color w:val="231F20"/>
        </w:rPr>
        <w:t xml:space="preserve"> </w:t>
      </w:r>
      <w:r>
        <w:rPr>
          <w:rFonts w:ascii="Arial" w:cs="Arial" w:eastAsia="Arial" w:hAnsi="Arial"/>
          <w:sz w:val="12"/>
          <w:szCs w:val="12"/>
          <w:color w:val="231F20"/>
        </w:rPr>
        <w:t>Products, Inc. 1996 Stock Incentive Plan, which was most recently approved by the stockholders of Maxim on November 9, 2016, assumed by the Company following its acquisition of Maxim and amended and restated by the Board as of April 26, 2021. The Plan is established to utilize all unissued shares of Maxim common stock reserved for issuance under the Maxim Integrated Products, Inc. 1996 Stock Incentive Plan as of the Effective Time (as adjusted for issuance under the Plan). The purposes of this 1996 Stock Incentive Plan are to attract and retain the best available personnel for positions of substantial responsibility, to provide additional incentive to Employees, Directors and Consultants of the Company and its Subsidiaries and to promote the success of the Company’s business.</w:t>
      </w:r>
    </w:p>
    <w:p>
      <w:pPr>
        <w:spacing w:after="0" w:line="327" w:lineRule="exact"/>
        <w:rPr>
          <w:rFonts w:ascii="Arial" w:cs="Arial" w:eastAsia="Arial" w:hAnsi="Arial"/>
          <w:sz w:val="12"/>
          <w:szCs w:val="12"/>
          <w:color w:val="231F20"/>
        </w:rPr>
      </w:pPr>
    </w:p>
    <w:p>
      <w:pPr>
        <w:ind w:left="129" w:hanging="129"/>
        <w:spacing w:after="0"/>
        <w:tabs>
          <w:tab w:leader="none" w:pos="129" w:val="left"/>
        </w:tabs>
        <w:numPr>
          <w:ilvl w:val="0"/>
          <w:numId w:val="69"/>
        </w:numPr>
        <w:rPr>
          <w:rFonts w:ascii="Arial" w:cs="Arial" w:eastAsia="Arial" w:hAnsi="Arial"/>
          <w:sz w:val="12"/>
          <w:szCs w:val="12"/>
          <w:color w:val="231F20"/>
        </w:rPr>
      </w:pPr>
      <w:r>
        <w:rPr>
          <w:rFonts w:ascii="Arial" w:cs="Arial" w:eastAsia="Arial" w:hAnsi="Arial"/>
          <w:sz w:val="12"/>
          <w:szCs w:val="12"/>
          <w:i w:val="1"/>
          <w:iCs w:val="1"/>
          <w:color w:val="231F20"/>
        </w:rPr>
        <w:t>Definitions</w:t>
      </w:r>
      <w:r>
        <w:rPr>
          <w:rFonts w:ascii="Arial" w:cs="Arial" w:eastAsia="Arial" w:hAnsi="Arial"/>
          <w:sz w:val="12"/>
          <w:szCs w:val="12"/>
          <w:color w:val="231F20"/>
        </w:rPr>
        <w:t>. As used herein, the following definitions shall apply:</w:t>
      </w:r>
    </w:p>
    <w:p>
      <w:pPr>
        <w:spacing w:after="0" w:line="212" w:lineRule="exact"/>
        <w:rPr>
          <w:rFonts w:ascii="Arial" w:cs="Arial" w:eastAsia="Arial" w:hAnsi="Arial"/>
          <w:sz w:val="12"/>
          <w:szCs w:val="12"/>
          <w:color w:val="231F20"/>
        </w:rPr>
      </w:pPr>
    </w:p>
    <w:p>
      <w:pPr>
        <w:ind w:left="369" w:hanging="182"/>
        <w:spacing w:after="0"/>
        <w:tabs>
          <w:tab w:leader="none" w:pos="369" w:val="left"/>
        </w:tabs>
        <w:numPr>
          <w:ilvl w:val="1"/>
          <w:numId w:val="69"/>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Administrator</w:t>
      </w:r>
      <w:r>
        <w:rPr>
          <w:rFonts w:ascii="Arial" w:cs="Arial" w:eastAsia="Arial" w:hAnsi="Arial"/>
          <w:sz w:val="12"/>
          <w:szCs w:val="12"/>
          <w:color w:val="231F20"/>
        </w:rPr>
        <w:t>” means the Board or any of the Committees appointed to administer the Plan.</w:t>
      </w:r>
    </w:p>
    <w:p>
      <w:pPr>
        <w:spacing w:after="0" w:line="212" w:lineRule="exact"/>
        <w:rPr>
          <w:rFonts w:ascii="Arial" w:cs="Arial" w:eastAsia="Arial" w:hAnsi="Arial"/>
          <w:sz w:val="12"/>
          <w:szCs w:val="12"/>
          <w:color w:val="231F20"/>
        </w:rPr>
      </w:pPr>
    </w:p>
    <w:p>
      <w:pPr>
        <w:ind w:left="369" w:hanging="182"/>
        <w:spacing w:after="0"/>
        <w:tabs>
          <w:tab w:leader="none" w:pos="369" w:val="left"/>
        </w:tabs>
        <w:numPr>
          <w:ilvl w:val="1"/>
          <w:numId w:val="69"/>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Affiliate</w:t>
      </w:r>
      <w:r>
        <w:rPr>
          <w:rFonts w:ascii="Arial" w:cs="Arial" w:eastAsia="Arial" w:hAnsi="Arial"/>
          <w:sz w:val="12"/>
          <w:szCs w:val="12"/>
          <w:color w:val="231F20"/>
        </w:rPr>
        <w:t>” and “</w:t>
      </w:r>
      <w:r>
        <w:rPr>
          <w:rFonts w:ascii="Arial" w:cs="Arial" w:eastAsia="Arial" w:hAnsi="Arial"/>
          <w:sz w:val="12"/>
          <w:szCs w:val="12"/>
          <w:i w:val="1"/>
          <w:iCs w:val="1"/>
          <w:color w:val="231F20"/>
        </w:rPr>
        <w:t>Associate</w:t>
      </w:r>
      <w:r>
        <w:rPr>
          <w:rFonts w:ascii="Arial" w:cs="Arial" w:eastAsia="Arial" w:hAnsi="Arial"/>
          <w:sz w:val="12"/>
          <w:szCs w:val="12"/>
          <w:color w:val="231F20"/>
        </w:rPr>
        <w:t>” shall have the respective meanings ascribed to such terms in Rule 12b-2 promulgated under the Exchange</w:t>
      </w:r>
    </w:p>
    <w:p>
      <w:pPr>
        <w:spacing w:after="0" w:line="14" w:lineRule="exact"/>
        <w:rPr>
          <w:sz w:val="20"/>
          <w:szCs w:val="20"/>
          <w:color w:val="auto"/>
        </w:rPr>
      </w:pPr>
    </w:p>
    <w:p>
      <w:pPr>
        <w:ind w:left="189"/>
        <w:spacing w:after="0"/>
        <w:rPr>
          <w:sz w:val="20"/>
          <w:szCs w:val="20"/>
          <w:color w:val="auto"/>
        </w:rPr>
      </w:pPr>
      <w:r>
        <w:rPr>
          <w:rFonts w:ascii="Arial" w:cs="Arial" w:eastAsia="Arial" w:hAnsi="Arial"/>
          <w:sz w:val="12"/>
          <w:szCs w:val="12"/>
          <w:color w:val="231F20"/>
        </w:rPr>
        <w:t>Act.</w:t>
      </w:r>
    </w:p>
    <w:p>
      <w:pPr>
        <w:spacing w:after="0" w:line="201" w:lineRule="exact"/>
        <w:rPr>
          <w:sz w:val="20"/>
          <w:szCs w:val="20"/>
          <w:color w:val="auto"/>
        </w:rPr>
      </w:pPr>
    </w:p>
    <w:p>
      <w:pPr>
        <w:ind w:left="189" w:right="20" w:hanging="2"/>
        <w:spacing w:after="0" w:line="283" w:lineRule="auto"/>
        <w:tabs>
          <w:tab w:leader="none" w:pos="369" w:val="left"/>
        </w:tabs>
        <w:numPr>
          <w:ilvl w:val="0"/>
          <w:numId w:val="70"/>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Applicable Laws</w:t>
      </w:r>
      <w:r>
        <w:rPr>
          <w:rFonts w:ascii="Arial" w:cs="Arial" w:eastAsia="Arial" w:hAnsi="Arial"/>
          <w:sz w:val="12"/>
          <w:szCs w:val="12"/>
          <w:color w:val="231F20"/>
        </w:rPr>
        <w:t>” means the legal requirements relating to the administration of stock incentive plans, if any, under applicable provisions of federal securities laws, state corporate and securities laws, the Code, the rules of any applicable stock exchange or national market system, and the rules of any foreign jurisdiction applicable to Awards granted to residents therein.</w:t>
      </w:r>
    </w:p>
    <w:p>
      <w:pPr>
        <w:spacing w:after="0" w:line="165" w:lineRule="exact"/>
        <w:rPr>
          <w:rFonts w:ascii="Arial" w:cs="Arial" w:eastAsia="Arial" w:hAnsi="Arial"/>
          <w:sz w:val="12"/>
          <w:szCs w:val="12"/>
          <w:color w:val="231F20"/>
        </w:rPr>
      </w:pPr>
    </w:p>
    <w:p>
      <w:pPr>
        <w:ind w:left="369" w:hanging="182"/>
        <w:spacing w:after="0"/>
        <w:tabs>
          <w:tab w:leader="none" w:pos="369" w:val="left"/>
        </w:tabs>
        <w:numPr>
          <w:ilvl w:val="0"/>
          <w:numId w:val="70"/>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Award</w:t>
      </w:r>
      <w:r>
        <w:rPr>
          <w:rFonts w:ascii="Arial" w:cs="Arial" w:eastAsia="Arial" w:hAnsi="Arial"/>
          <w:sz w:val="12"/>
          <w:szCs w:val="12"/>
          <w:color w:val="231F20"/>
        </w:rPr>
        <w:t>” means, individually or collectively, a grant under the Plan of Options, Restricted Stock and Restricted Stock Units.</w:t>
      </w:r>
    </w:p>
    <w:p>
      <w:pPr>
        <w:spacing w:after="0" w:line="212" w:lineRule="exact"/>
        <w:rPr>
          <w:rFonts w:ascii="Arial" w:cs="Arial" w:eastAsia="Arial" w:hAnsi="Arial"/>
          <w:sz w:val="12"/>
          <w:szCs w:val="12"/>
          <w:color w:val="231F20"/>
        </w:rPr>
      </w:pPr>
    </w:p>
    <w:p>
      <w:pPr>
        <w:ind w:left="189" w:right="20" w:hanging="2"/>
        <w:spacing w:after="0" w:line="283" w:lineRule="auto"/>
        <w:tabs>
          <w:tab w:leader="none" w:pos="376" w:val="left"/>
        </w:tabs>
        <w:numPr>
          <w:ilvl w:val="0"/>
          <w:numId w:val="70"/>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Award Agreement</w:t>
      </w:r>
      <w:r>
        <w:rPr>
          <w:rFonts w:ascii="Arial" w:cs="Arial" w:eastAsia="Arial" w:hAnsi="Arial"/>
          <w:sz w:val="12"/>
          <w:szCs w:val="12"/>
          <w:color w:val="231F20"/>
        </w:rPr>
        <w:t>” means the written or electronic agreement setting forth the terms and provisions applicable to each Award granted under the Plan, including an Option Agreement. The Award Agreement is subject to the terms and conditions of the Plan.</w:t>
      </w:r>
    </w:p>
    <w:p>
      <w:pPr>
        <w:spacing w:after="0" w:line="165" w:lineRule="exact"/>
        <w:rPr>
          <w:rFonts w:ascii="Arial" w:cs="Arial" w:eastAsia="Arial" w:hAnsi="Arial"/>
          <w:sz w:val="12"/>
          <w:szCs w:val="12"/>
          <w:color w:val="231F20"/>
        </w:rPr>
      </w:pPr>
    </w:p>
    <w:p>
      <w:pPr>
        <w:ind w:left="349" w:hanging="162"/>
        <w:spacing w:after="0"/>
        <w:tabs>
          <w:tab w:leader="none" w:pos="349" w:val="left"/>
        </w:tabs>
        <w:numPr>
          <w:ilvl w:val="0"/>
          <w:numId w:val="70"/>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Board</w:t>
      </w:r>
      <w:r>
        <w:rPr>
          <w:rFonts w:ascii="Arial" w:cs="Arial" w:eastAsia="Arial" w:hAnsi="Arial"/>
          <w:sz w:val="12"/>
          <w:szCs w:val="12"/>
          <w:color w:val="231F20"/>
        </w:rPr>
        <w:t>” means the Board of Directors of the Company.</w:t>
      </w:r>
    </w:p>
    <w:p>
      <w:pPr>
        <w:spacing w:after="0" w:line="212" w:lineRule="exact"/>
        <w:rPr>
          <w:rFonts w:ascii="Arial" w:cs="Arial" w:eastAsia="Arial" w:hAnsi="Arial"/>
          <w:sz w:val="12"/>
          <w:szCs w:val="12"/>
          <w:color w:val="231F20"/>
        </w:rPr>
      </w:pPr>
    </w:p>
    <w:p>
      <w:pPr>
        <w:ind w:left="369" w:hanging="182"/>
        <w:spacing w:after="0"/>
        <w:tabs>
          <w:tab w:leader="none" w:pos="369" w:val="left"/>
        </w:tabs>
        <w:numPr>
          <w:ilvl w:val="0"/>
          <w:numId w:val="70"/>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Cause</w:t>
      </w:r>
      <w:r>
        <w:rPr>
          <w:rFonts w:ascii="Arial" w:cs="Arial" w:eastAsia="Arial" w:hAnsi="Arial"/>
          <w:sz w:val="12"/>
          <w:szCs w:val="12"/>
          <w:color w:val="231F20"/>
        </w:rPr>
        <w:t>” means:</w:t>
      </w:r>
    </w:p>
    <w:p>
      <w:pPr>
        <w:spacing w:after="0" w:line="224" w:lineRule="exact"/>
        <w:rPr>
          <w:rFonts w:ascii="Arial" w:cs="Arial" w:eastAsia="Arial" w:hAnsi="Arial"/>
          <w:sz w:val="12"/>
          <w:szCs w:val="12"/>
          <w:color w:val="231F20"/>
        </w:rPr>
      </w:pPr>
    </w:p>
    <w:p>
      <w:pPr>
        <w:ind w:left="489" w:hanging="145"/>
        <w:spacing w:after="0"/>
        <w:tabs>
          <w:tab w:leader="none" w:pos="489" w:val="left"/>
        </w:tabs>
        <w:numPr>
          <w:ilvl w:val="1"/>
          <w:numId w:val="70"/>
        </w:numPr>
        <w:rPr>
          <w:rFonts w:ascii="Arial" w:cs="Arial" w:eastAsia="Arial" w:hAnsi="Arial"/>
          <w:sz w:val="12"/>
          <w:szCs w:val="12"/>
          <w:color w:val="auto"/>
        </w:rPr>
      </w:pPr>
      <w:r>
        <w:rPr>
          <w:rFonts w:ascii="Arial" w:cs="Arial" w:eastAsia="Arial" w:hAnsi="Arial"/>
          <w:sz w:val="12"/>
          <w:szCs w:val="12"/>
          <w:color w:val="auto"/>
        </w:rPr>
        <w:t>any willful failure by the Grantee, which failure is not cured within 30 days of written notice to the Grantee from the Company, to perform his or her material responsibilities to the Company; or</w:t>
      </w:r>
    </w:p>
    <w:p>
      <w:pPr>
        <w:spacing w:after="0" w:line="212" w:lineRule="exact"/>
        <w:rPr>
          <w:rFonts w:ascii="Arial" w:cs="Arial" w:eastAsia="Arial" w:hAnsi="Arial"/>
          <w:sz w:val="12"/>
          <w:szCs w:val="12"/>
          <w:color w:val="auto"/>
        </w:rPr>
      </w:pPr>
    </w:p>
    <w:p>
      <w:pPr>
        <w:ind w:left="509" w:hanging="165"/>
        <w:spacing w:after="0"/>
        <w:tabs>
          <w:tab w:leader="none" w:pos="509" w:val="left"/>
        </w:tabs>
        <w:numPr>
          <w:ilvl w:val="1"/>
          <w:numId w:val="70"/>
        </w:numPr>
        <w:rPr>
          <w:rFonts w:ascii="Arial" w:cs="Arial" w:eastAsia="Arial" w:hAnsi="Arial"/>
          <w:sz w:val="12"/>
          <w:szCs w:val="12"/>
          <w:color w:val="auto"/>
        </w:rPr>
      </w:pPr>
      <w:r>
        <w:rPr>
          <w:rFonts w:ascii="Arial" w:cs="Arial" w:eastAsia="Arial" w:hAnsi="Arial"/>
          <w:sz w:val="12"/>
          <w:szCs w:val="12"/>
          <w:color w:val="auto"/>
        </w:rPr>
        <w:t>any willful misconduct by the Grantee which affects the business reputation of the Company.</w:t>
      </w:r>
    </w:p>
    <w:p>
      <w:pPr>
        <w:spacing w:after="0" w:line="200" w:lineRule="exact"/>
        <w:rPr>
          <w:rFonts w:ascii="Arial" w:cs="Arial" w:eastAsia="Arial" w:hAnsi="Arial"/>
          <w:sz w:val="12"/>
          <w:szCs w:val="12"/>
          <w:color w:val="auto"/>
        </w:rPr>
      </w:pPr>
    </w:p>
    <w:p>
      <w:pPr>
        <w:ind w:left="369" w:hanging="182"/>
        <w:spacing w:after="0"/>
        <w:tabs>
          <w:tab w:leader="none" w:pos="369" w:val="left"/>
        </w:tabs>
        <w:numPr>
          <w:ilvl w:val="0"/>
          <w:numId w:val="70"/>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Change in Control Event</w:t>
      </w:r>
      <w:r>
        <w:rPr>
          <w:rFonts w:ascii="Arial" w:cs="Arial" w:eastAsia="Arial" w:hAnsi="Arial"/>
          <w:sz w:val="12"/>
          <w:szCs w:val="12"/>
          <w:color w:val="231F20"/>
        </w:rPr>
        <w:t>” means:</w:t>
      </w:r>
    </w:p>
    <w:p>
      <w:pPr>
        <w:spacing w:after="0" w:line="212" w:lineRule="exact"/>
        <w:rPr>
          <w:rFonts w:ascii="Arial" w:cs="Arial" w:eastAsia="Arial" w:hAnsi="Arial"/>
          <w:sz w:val="12"/>
          <w:szCs w:val="12"/>
          <w:color w:val="231F20"/>
        </w:rPr>
      </w:pPr>
    </w:p>
    <w:p>
      <w:pPr>
        <w:jc w:val="both"/>
        <w:ind w:left="369" w:right="60" w:firstLine="6"/>
        <w:spacing w:after="0" w:line="249" w:lineRule="auto"/>
        <w:tabs>
          <w:tab w:leader="none" w:pos="514" w:val="left"/>
        </w:tabs>
        <w:numPr>
          <w:ilvl w:val="2"/>
          <w:numId w:val="70"/>
        </w:numPr>
        <w:rPr>
          <w:rFonts w:ascii="Arial" w:cs="Arial" w:eastAsia="Arial" w:hAnsi="Arial"/>
          <w:sz w:val="12"/>
          <w:szCs w:val="12"/>
          <w:color w:val="231F20"/>
        </w:rPr>
      </w:pPr>
      <w:r>
        <w:rPr>
          <w:rFonts w:ascii="Arial" w:cs="Arial" w:eastAsia="Arial" w:hAnsi="Arial"/>
          <w:sz w:val="12"/>
          <w:szCs w:val="12"/>
          <w:color w:val="auto"/>
        </w:rPr>
        <w:t>the acquisition by an individual, entity or group (within the meaning of Section 13(d)(3) or 14(d)(2) of the Exchange Act) (a “</w:t>
      </w:r>
      <w:r>
        <w:rPr>
          <w:rFonts w:ascii="Arial" w:cs="Arial" w:eastAsia="Arial" w:hAnsi="Arial"/>
          <w:sz w:val="12"/>
          <w:szCs w:val="12"/>
          <w:i w:val="1"/>
          <w:iCs w:val="1"/>
          <w:color w:val="auto"/>
        </w:rPr>
        <w:t>Person</w:t>
      </w:r>
      <w:r>
        <w:rPr>
          <w:rFonts w:ascii="Arial" w:cs="Arial" w:eastAsia="Arial" w:hAnsi="Arial"/>
          <w:sz w:val="12"/>
          <w:szCs w:val="12"/>
          <w:color w:val="auto"/>
        </w:rPr>
        <w:t>”) of beneficial ownership of any capital stock of the Company if, after such acquisition, such Person beneficially owns (within the meaning of Rule 13d-3 promulgated under the Exchange Act) 50% or more of either (x) the then-outstanding shares of Common Stock (the “</w:t>
      </w:r>
      <w:r>
        <w:rPr>
          <w:rFonts w:ascii="Arial" w:cs="Arial" w:eastAsia="Arial" w:hAnsi="Arial"/>
          <w:sz w:val="12"/>
          <w:szCs w:val="12"/>
          <w:i w:val="1"/>
          <w:iCs w:val="1"/>
          <w:color w:val="auto"/>
        </w:rPr>
        <w:t>Outstanding Company Common Stock</w:t>
      </w:r>
      <w:r>
        <w:rPr>
          <w:rFonts w:ascii="Arial" w:cs="Arial" w:eastAsia="Arial" w:hAnsi="Arial"/>
          <w:sz w:val="12"/>
          <w:szCs w:val="12"/>
          <w:color w:val="auto"/>
        </w:rPr>
        <w:t>”) or (y) the combined voting power of the then-outstanding securities of the Company entitled to vote generally in the election of directors (the “</w:t>
      </w:r>
      <w:r>
        <w:rPr>
          <w:rFonts w:ascii="Arial" w:cs="Arial" w:eastAsia="Arial" w:hAnsi="Arial"/>
          <w:sz w:val="12"/>
          <w:szCs w:val="12"/>
          <w:i w:val="1"/>
          <w:iCs w:val="1"/>
          <w:color w:val="auto"/>
        </w:rPr>
        <w:t>Outstanding Company Voting Securities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for purposes of this subsection (i),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(ii) of this definition; or</w:t>
      </w:r>
    </w:p>
    <w:p>
      <w:pPr>
        <w:spacing w:after="0" w:line="199" w:lineRule="exact"/>
        <w:rPr>
          <w:rFonts w:ascii="Arial" w:cs="Arial" w:eastAsia="Arial" w:hAnsi="Arial"/>
          <w:sz w:val="12"/>
          <w:szCs w:val="12"/>
          <w:color w:val="231F20"/>
        </w:rPr>
      </w:pPr>
    </w:p>
    <w:p>
      <w:pPr>
        <w:jc w:val="both"/>
        <w:ind w:left="369" w:right="60" w:firstLine="6"/>
        <w:spacing w:after="0" w:line="246" w:lineRule="auto"/>
        <w:tabs>
          <w:tab w:leader="none" w:pos="541" w:val="left"/>
        </w:tabs>
        <w:numPr>
          <w:ilvl w:val="2"/>
          <w:numId w:val="70"/>
        </w:numPr>
        <w:rPr>
          <w:rFonts w:ascii="Arial" w:cs="Arial" w:eastAsia="Arial" w:hAnsi="Arial"/>
          <w:sz w:val="12"/>
          <w:szCs w:val="12"/>
          <w:color w:val="231F20"/>
        </w:rPr>
      </w:pPr>
      <w:r>
        <w:rPr>
          <w:rFonts w:ascii="Arial" w:cs="Arial" w:eastAsia="Arial" w:hAnsi="Arial"/>
          <w:sz w:val="12"/>
          <w:szCs w:val="12"/>
          <w:color w:val="auto"/>
        </w:rPr>
        <w:t>the consummation of a merger, consolidation, reorganization, recapitalization or share exchange involving the Company or a sale or other disposition of all or substantially all of the assets of the Company (a “</w:t>
      </w:r>
      <w:r>
        <w:rPr>
          <w:rFonts w:ascii="Arial" w:cs="Arial" w:eastAsia="Arial" w:hAnsi="Arial"/>
          <w:sz w:val="12"/>
          <w:szCs w:val="12"/>
          <w:i w:val="1"/>
          <w:iCs w:val="1"/>
          <w:color w:val="auto"/>
        </w:rPr>
        <w:t>Business Combination</w:t>
      </w:r>
      <w:r>
        <w:rPr>
          <w:rFonts w:ascii="Arial" w:cs="Arial" w:eastAsia="Arial" w:hAnsi="Arial"/>
          <w:sz w:val="12"/>
          <w:szCs w:val="12"/>
          <w:color w:val="auto"/>
        </w:rPr>
        <w:t>”),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w:t>
      </w:r>
      <w:r>
        <w:rPr>
          <w:rFonts w:ascii="Arial" w:cs="Arial" w:eastAsia="Arial" w:hAnsi="Arial"/>
          <w:sz w:val="12"/>
          <w:szCs w:val="12"/>
          <w:i w:val="1"/>
          <w:iCs w:val="1"/>
          <w:color w:val="auto"/>
        </w:rPr>
        <w:t>Acquiring</w:t>
      </w:r>
      <w:r>
        <w:rPr>
          <w:rFonts w:ascii="Arial" w:cs="Arial" w:eastAsia="Arial" w:hAnsi="Arial"/>
          <w:sz w:val="12"/>
          <w:szCs w:val="12"/>
          <w:color w:val="auto"/>
        </w:rPr>
        <w:t xml:space="preserve"> </w:t>
      </w:r>
      <w:r>
        <w:rPr>
          <w:rFonts w:ascii="Arial" w:cs="Arial" w:eastAsia="Arial" w:hAnsi="Arial"/>
          <w:sz w:val="12"/>
          <w:szCs w:val="12"/>
          <w:i w:val="1"/>
          <w:iCs w:val="1"/>
          <w:color w:val="auto"/>
        </w:rPr>
        <w:t>Corporation</w:t>
      </w:r>
      <w:r>
        <w:rPr>
          <w:rFonts w:ascii="Arial" w:cs="Arial" w:eastAsia="Arial" w:hAnsi="Arial"/>
          <w:sz w:val="12"/>
          <w:szCs w:val="12"/>
          <w:color w:val="auto"/>
        </w:rPr>
        <w:t>”) in substantially the same proportions as their ownership of the Outstanding Company Common Stock and Outstanding Company Voting Securities, respectively, immediately prior to</w:t>
      </w:r>
      <w:r>
        <w:rPr>
          <w:rFonts w:ascii="Arial" w:cs="Arial" w:eastAsia="Arial" w:hAnsi="Arial"/>
          <w:sz w:val="12"/>
          <w:szCs w:val="12"/>
          <w:i w:val="1"/>
          <w:iCs w:val="1"/>
          <w:color w:val="auto"/>
        </w:rPr>
        <w:t xml:space="preserve"> </w:t>
      </w:r>
      <w:r>
        <w:rPr>
          <w:rFonts w:ascii="Arial" w:cs="Arial" w:eastAsia="Arial" w:hAnsi="Arial"/>
          <w:sz w:val="12"/>
          <w:szCs w:val="12"/>
          <w:color w:val="auto"/>
        </w:rPr>
        <w:t>such Business Combination and (y) no Person (excluding any employee benefit plan (or related trust) maintained or sponsored by the Company or by the Acquiring Corporation) beneficially owns, directly or indirectly, 30%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199" w:lineRule="exact"/>
        <w:rPr>
          <w:rFonts w:ascii="Arial" w:cs="Arial" w:eastAsia="Arial" w:hAnsi="Arial"/>
          <w:sz w:val="12"/>
          <w:szCs w:val="12"/>
          <w:color w:val="231F20"/>
        </w:rPr>
      </w:pPr>
    </w:p>
    <w:p>
      <w:pPr>
        <w:ind w:left="569" w:hanging="194"/>
        <w:spacing w:after="0"/>
        <w:tabs>
          <w:tab w:leader="none" w:pos="569" w:val="left"/>
        </w:tabs>
        <w:numPr>
          <w:ilvl w:val="2"/>
          <w:numId w:val="70"/>
        </w:numPr>
        <w:rPr>
          <w:rFonts w:ascii="Arial" w:cs="Arial" w:eastAsia="Arial" w:hAnsi="Arial"/>
          <w:sz w:val="12"/>
          <w:szCs w:val="12"/>
          <w:color w:val="auto"/>
        </w:rPr>
      </w:pPr>
      <w:r>
        <w:rPr>
          <w:rFonts w:ascii="Arial" w:cs="Arial" w:eastAsia="Arial" w:hAnsi="Arial"/>
          <w:sz w:val="12"/>
          <w:szCs w:val="12"/>
          <w:color w:val="auto"/>
        </w:rPr>
        <w:t>the liquidation or dissolution of the Company.</w:t>
      </w:r>
    </w:p>
    <w:p>
      <w:pPr>
        <w:sectPr>
          <w:pgSz w:w="11900" w:h="16838" w:orient="portrait"/>
          <w:cols w:equalWidth="0" w:num="1">
            <w:col w:w="11189"/>
          </w:cols>
          <w:pgMar w:left="391" w:top="358" w:right="319" w:bottom="1440" w:gutter="0" w:footer="0" w:header="0"/>
        </w:sectPr>
      </w:pPr>
    </w:p>
    <w:bookmarkStart w:id="104" w:name="page105"/>
    <w:bookmarkEnd w:id="104"/>
    <w:p>
      <w:pPr>
        <w:ind w:left="142" w:hanging="142"/>
        <w:spacing w:after="0"/>
        <w:tabs>
          <w:tab w:leader="none" w:pos="142" w:val="left"/>
        </w:tabs>
        <w:numPr>
          <w:ilvl w:val="0"/>
          <w:numId w:val="71"/>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Code</w:t>
      </w:r>
      <w:r>
        <w:rPr>
          <w:rFonts w:ascii="Arial" w:cs="Arial" w:eastAsia="Arial" w:hAnsi="Arial"/>
          <w:sz w:val="12"/>
          <w:szCs w:val="12"/>
          <w:color w:val="231F20"/>
        </w:rPr>
        <w:t>” means the U.S. Internal Revenue Code of 1986, as amended.</w:t>
      </w:r>
    </w:p>
    <w:p>
      <w:pPr>
        <w:spacing w:after="0" w:line="212" w:lineRule="exact"/>
        <w:rPr>
          <w:rFonts w:ascii="Arial" w:cs="Arial" w:eastAsia="Arial" w:hAnsi="Arial"/>
          <w:sz w:val="12"/>
          <w:szCs w:val="12"/>
          <w:color w:val="231F20"/>
        </w:rPr>
      </w:pPr>
    </w:p>
    <w:p>
      <w:pPr>
        <w:ind w:left="142" w:hanging="142"/>
        <w:spacing w:after="0"/>
        <w:tabs>
          <w:tab w:leader="none" w:pos="142" w:val="left"/>
        </w:tabs>
        <w:numPr>
          <w:ilvl w:val="0"/>
          <w:numId w:val="71"/>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Committee</w:t>
      </w:r>
      <w:r>
        <w:rPr>
          <w:rFonts w:ascii="Arial" w:cs="Arial" w:eastAsia="Arial" w:hAnsi="Arial"/>
          <w:sz w:val="12"/>
          <w:szCs w:val="12"/>
          <w:color w:val="231F20"/>
        </w:rPr>
        <w:t>” means any committee appointed by the Board to administer the Plan. (k) “</w:t>
      </w:r>
      <w:r>
        <w:rPr>
          <w:rFonts w:ascii="Arial" w:cs="Arial" w:eastAsia="Arial" w:hAnsi="Arial"/>
          <w:sz w:val="12"/>
          <w:szCs w:val="12"/>
          <w:i w:val="1"/>
          <w:iCs w:val="1"/>
          <w:color w:val="231F20"/>
        </w:rPr>
        <w:t>Common Stock</w:t>
      </w:r>
      <w:r>
        <w:rPr>
          <w:rFonts w:ascii="Arial" w:cs="Arial" w:eastAsia="Arial" w:hAnsi="Arial"/>
          <w:sz w:val="12"/>
          <w:szCs w:val="12"/>
          <w:color w:val="231F20"/>
        </w:rPr>
        <w:t>” means the Common Stock of the Company.</w:t>
      </w:r>
    </w:p>
    <w:p>
      <w:pPr>
        <w:spacing w:after="0" w:line="212" w:lineRule="exact"/>
        <w:rPr>
          <w:rFonts w:ascii="Arial" w:cs="Arial" w:eastAsia="Arial" w:hAnsi="Arial"/>
          <w:sz w:val="12"/>
          <w:szCs w:val="12"/>
          <w:color w:val="231F20"/>
        </w:rPr>
      </w:pPr>
    </w:p>
    <w:p>
      <w:pPr>
        <w:ind w:left="142" w:hanging="142"/>
        <w:spacing w:after="0"/>
        <w:tabs>
          <w:tab w:leader="none" w:pos="142" w:val="left"/>
        </w:tabs>
        <w:numPr>
          <w:ilvl w:val="0"/>
          <w:numId w:val="72"/>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Company</w:t>
      </w:r>
      <w:r>
        <w:rPr>
          <w:rFonts w:ascii="Arial" w:cs="Arial" w:eastAsia="Arial" w:hAnsi="Arial"/>
          <w:sz w:val="12"/>
          <w:szCs w:val="12"/>
          <w:color w:val="231F20"/>
        </w:rPr>
        <w:t>” means Analog Devices, Inc., a Massachusetts corporation.</w:t>
      </w:r>
    </w:p>
    <w:p>
      <w:pPr>
        <w:spacing w:after="0" w:line="213" w:lineRule="exact"/>
        <w:rPr>
          <w:sz w:val="20"/>
          <w:szCs w:val="20"/>
          <w:color w:val="auto"/>
        </w:rPr>
      </w:pPr>
    </w:p>
    <w:p>
      <w:pPr>
        <w:ind w:left="2" w:right="20" w:hanging="2"/>
        <w:spacing w:after="0" w:line="283" w:lineRule="auto"/>
        <w:tabs>
          <w:tab w:leader="none" w:pos="235"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Consultant</w:t>
      </w:r>
      <w:r>
        <w:rPr>
          <w:rFonts w:ascii="Arial" w:cs="Arial" w:eastAsia="Arial" w:hAnsi="Arial"/>
          <w:sz w:val="12"/>
          <w:szCs w:val="12"/>
          <w:color w:val="231F20"/>
        </w:rPr>
        <w:t>” means any person who is a consultant, advisor, independent contractor, vendor, customer or other person having a past, current or prospective business relationship with the Company or any Parent or Subsidiary.</w:t>
      </w:r>
    </w:p>
    <w:p>
      <w:pPr>
        <w:spacing w:after="0" w:line="165" w:lineRule="exact"/>
        <w:rPr>
          <w:rFonts w:ascii="Arial" w:cs="Arial" w:eastAsia="Arial" w:hAnsi="Arial"/>
          <w:sz w:val="12"/>
          <w:szCs w:val="12"/>
          <w:color w:val="231F20"/>
        </w:rPr>
      </w:pPr>
    </w:p>
    <w:p>
      <w:pPr>
        <w:jc w:val="both"/>
        <w:ind w:left="2" w:hanging="2"/>
        <w:spacing w:after="0" w:line="263" w:lineRule="auto"/>
        <w:tabs>
          <w:tab w:leader="none" w:pos="200"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Continuous Status as an Employee, Director or Consultant</w:t>
      </w:r>
      <w:r>
        <w:rPr>
          <w:rFonts w:ascii="Arial" w:cs="Arial" w:eastAsia="Arial" w:hAnsi="Arial"/>
          <w:sz w:val="12"/>
          <w:szCs w:val="12"/>
          <w:color w:val="231F20"/>
        </w:rPr>
        <w:t>” means that the employment, director or consulting relationship with the Company, any Parent, or Subsidiary, is not interrupted or terminated. Continuous Status as an Employee, Director or Consultant shall not be considered interrupted in the case of (i) any leave of absence approved by the Company or (ii) transfers between locations of the Company or between the Company, its Parent, any Subsidiary, or any successor.</w:t>
      </w:r>
    </w:p>
    <w:p>
      <w:pPr>
        <w:spacing w:after="0" w:line="200" w:lineRule="exact"/>
        <w:rPr>
          <w:rFonts w:ascii="Arial" w:cs="Arial" w:eastAsia="Arial" w:hAnsi="Arial"/>
          <w:sz w:val="12"/>
          <w:szCs w:val="12"/>
          <w:color w:val="231F20"/>
        </w:rPr>
      </w:pPr>
    </w:p>
    <w:p>
      <w:pPr>
        <w:spacing w:after="0" w:line="270" w:lineRule="exact"/>
        <w:rPr>
          <w:rFonts w:ascii="Arial" w:cs="Arial" w:eastAsia="Arial" w:hAnsi="Arial"/>
          <w:sz w:val="12"/>
          <w:szCs w:val="12"/>
          <w:color w:val="231F20"/>
        </w:rPr>
      </w:pPr>
    </w:p>
    <w:p>
      <w:pPr>
        <w:ind w:left="182" w:hanging="182"/>
        <w:spacing w:after="0"/>
        <w:tabs>
          <w:tab w:leader="none" w:pos="182"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Director</w:t>
      </w:r>
      <w:r>
        <w:rPr>
          <w:rFonts w:ascii="Arial" w:cs="Arial" w:eastAsia="Arial" w:hAnsi="Arial"/>
          <w:sz w:val="12"/>
          <w:szCs w:val="12"/>
          <w:color w:val="231F20"/>
        </w:rPr>
        <w:t>” means a member of the Board who is an Employee.</w:t>
      </w:r>
    </w:p>
    <w:p>
      <w:pPr>
        <w:spacing w:after="0" w:line="247" w:lineRule="exact"/>
        <w:rPr>
          <w:rFonts w:ascii="Arial" w:cs="Arial" w:eastAsia="Arial" w:hAnsi="Arial"/>
          <w:sz w:val="12"/>
          <w:szCs w:val="12"/>
          <w:color w:val="231F20"/>
        </w:rPr>
      </w:pPr>
    </w:p>
    <w:p>
      <w:pPr>
        <w:ind w:left="2" w:right="20" w:hanging="2"/>
        <w:spacing w:after="0" w:line="324" w:lineRule="auto"/>
        <w:tabs>
          <w:tab w:leader="none" w:pos="189"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Effective Time</w:t>
      </w:r>
      <w:r>
        <w:rPr>
          <w:rFonts w:ascii="Arial" w:cs="Arial" w:eastAsia="Arial" w:hAnsi="Arial"/>
          <w:sz w:val="12"/>
          <w:szCs w:val="12"/>
          <w:color w:val="231F20"/>
        </w:rPr>
        <w:t>” means the time the "Certificate of Merger" (as such term is defined in the Merger Agreement) is filed with the Delaware Secretary of State or such later time as may be mutually agreed to in writing by the Company and Maxim and specified in the Certificate of Merger.</w:t>
      </w:r>
    </w:p>
    <w:p>
      <w:pPr>
        <w:spacing w:after="0" w:line="141" w:lineRule="exact"/>
        <w:rPr>
          <w:rFonts w:ascii="Arial" w:cs="Arial" w:eastAsia="Arial" w:hAnsi="Arial"/>
          <w:sz w:val="12"/>
          <w:szCs w:val="12"/>
          <w:color w:val="231F20"/>
        </w:rPr>
      </w:pPr>
    </w:p>
    <w:p>
      <w:pPr>
        <w:jc w:val="both"/>
        <w:ind w:left="2" w:hanging="2"/>
        <w:spacing w:after="0" w:line="257" w:lineRule="auto"/>
        <w:tabs>
          <w:tab w:leader="none" w:pos="189"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Employee</w:t>
      </w:r>
      <w:r>
        <w:rPr>
          <w:rFonts w:ascii="Arial" w:cs="Arial" w:eastAsia="Arial" w:hAnsi="Arial"/>
          <w:sz w:val="12"/>
          <w:szCs w:val="12"/>
          <w:color w:val="231F20"/>
        </w:rPr>
        <w:t>” means any person, including an Officer or Director, who (i) was not employed by the Company, any Parent or Subsidiary of the Company (other than Maxim or its subsidiaries acquired by the Company under the Merger Agreement), or any other affiliated entity of the Company at or immediately prior to the Effective Time; and (ii) is treated as an employee (including an Officer or a Director who is also treated as an employee) in the records of the Company or a Parent or Subsidiary of the Company; provided, however, that neither service as a Director nor payment of a Director's fee shall be sufficient to constitute employment for purposes of the Plan.</w:t>
      </w:r>
    </w:p>
    <w:p>
      <w:pPr>
        <w:spacing w:after="0" w:line="180" w:lineRule="exact"/>
        <w:rPr>
          <w:rFonts w:ascii="Arial" w:cs="Arial" w:eastAsia="Arial" w:hAnsi="Arial"/>
          <w:sz w:val="12"/>
          <w:szCs w:val="12"/>
          <w:color w:val="231F20"/>
        </w:rPr>
      </w:pPr>
    </w:p>
    <w:p>
      <w:pPr>
        <w:ind w:left="162" w:hanging="162"/>
        <w:spacing w:after="0"/>
        <w:tabs>
          <w:tab w:leader="none" w:pos="162"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Exchange Act</w:t>
      </w:r>
      <w:r>
        <w:rPr>
          <w:rFonts w:ascii="Arial" w:cs="Arial" w:eastAsia="Arial" w:hAnsi="Arial"/>
          <w:sz w:val="12"/>
          <w:szCs w:val="12"/>
          <w:color w:val="231F20"/>
        </w:rPr>
        <w:t>” means the U.S. Securities Exchange Act of 1934, as amended.</w:t>
      </w:r>
    </w:p>
    <w:p>
      <w:pPr>
        <w:spacing w:after="0" w:line="212" w:lineRule="exact"/>
        <w:rPr>
          <w:rFonts w:ascii="Arial" w:cs="Arial" w:eastAsia="Arial" w:hAnsi="Arial"/>
          <w:sz w:val="12"/>
          <w:szCs w:val="12"/>
          <w:color w:val="231F20"/>
        </w:rPr>
      </w:pPr>
    </w:p>
    <w:p>
      <w:pPr>
        <w:ind w:left="182" w:hanging="182"/>
        <w:spacing w:after="0"/>
        <w:tabs>
          <w:tab w:leader="none" w:pos="182"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Fair Market Value</w:t>
      </w:r>
      <w:r>
        <w:rPr>
          <w:rFonts w:ascii="Arial" w:cs="Arial" w:eastAsia="Arial" w:hAnsi="Arial"/>
          <w:sz w:val="12"/>
          <w:szCs w:val="12"/>
          <w:color w:val="231F20"/>
        </w:rPr>
        <w:t>” means, as of any date, the value of Common Stock determined as follows:</w:t>
      </w:r>
    </w:p>
    <w:p>
      <w:pPr>
        <w:spacing w:after="0" w:line="224" w:lineRule="exact"/>
        <w:rPr>
          <w:rFonts w:ascii="Arial" w:cs="Arial" w:eastAsia="Arial" w:hAnsi="Arial"/>
          <w:sz w:val="12"/>
          <w:szCs w:val="12"/>
          <w:color w:val="231F20"/>
        </w:rPr>
      </w:pPr>
    </w:p>
    <w:p>
      <w:pPr>
        <w:jc w:val="both"/>
        <w:ind w:left="182" w:right="60" w:firstLine="6"/>
        <w:spacing w:after="0" w:line="247" w:lineRule="auto"/>
        <w:tabs>
          <w:tab w:leader="none" w:pos="339" w:val="left"/>
        </w:tabs>
        <w:numPr>
          <w:ilvl w:val="1"/>
          <w:numId w:val="73"/>
        </w:numPr>
        <w:rPr>
          <w:rFonts w:ascii="Arial" w:cs="Arial" w:eastAsia="Arial" w:hAnsi="Arial"/>
          <w:sz w:val="12"/>
          <w:szCs w:val="12"/>
          <w:color w:val="231F20"/>
        </w:rPr>
      </w:pPr>
      <w:r>
        <w:rPr>
          <w:rFonts w:ascii="Arial" w:cs="Arial" w:eastAsia="Arial" w:hAnsi="Arial"/>
          <w:sz w:val="12"/>
          <w:szCs w:val="12"/>
          <w:color w:val="231F20"/>
        </w:rPr>
        <w:t>Where there exists a public market for the Common Stock, the Fair Market Value of a share of Common Stock shall be (A) the closing sale price of the Common Stock on the date of the determination (or, if no sales were reported on such date, on the last trading date on which sales were reported) on (1) the stock exchange determined by the Administrator to be the primary market for the Common Stock, or (2) the Nasdaq National Market, or (3) ,as reported by Market Sweep, a service from Interactive Data Services, Inc., or such other reporting source as the Administrator deems reliable; whichever is applicable or (B) if the Common Stock is not traded on any such exchange or national market system, the closing price of a Share on the Nasdaq Small Cap Market or over-the-counter (Pink Over-The- Counter Markets Inc. Electronic Quotation Service), as applicable, on the date of the determination (or, if no such price was reported on that date, on the last date on which such price was reported), as reported in The Wall Street Journal or such other source as the Administrator deems reliable; or</w:t>
      </w:r>
    </w:p>
    <w:p>
      <w:pPr>
        <w:spacing w:after="0" w:line="200" w:lineRule="exact"/>
        <w:rPr>
          <w:rFonts w:ascii="Arial" w:cs="Arial" w:eastAsia="Arial" w:hAnsi="Arial"/>
          <w:sz w:val="12"/>
          <w:szCs w:val="12"/>
          <w:color w:val="231F20"/>
        </w:rPr>
      </w:pPr>
    </w:p>
    <w:p>
      <w:pPr>
        <w:ind w:left="182" w:right="80" w:firstLine="6"/>
        <w:spacing w:after="0" w:line="262" w:lineRule="auto"/>
        <w:tabs>
          <w:tab w:leader="none" w:pos="362" w:val="left"/>
        </w:tabs>
        <w:numPr>
          <w:ilvl w:val="1"/>
          <w:numId w:val="73"/>
        </w:numPr>
        <w:rPr>
          <w:rFonts w:ascii="Arial" w:cs="Arial" w:eastAsia="Arial" w:hAnsi="Arial"/>
          <w:sz w:val="12"/>
          <w:szCs w:val="12"/>
          <w:color w:val="231F20"/>
        </w:rPr>
      </w:pPr>
      <w:r>
        <w:rPr>
          <w:rFonts w:ascii="Arial" w:cs="Arial" w:eastAsia="Arial" w:hAnsi="Arial"/>
          <w:sz w:val="12"/>
          <w:szCs w:val="12"/>
          <w:color w:val="231F20"/>
        </w:rPr>
        <w:t>In the absence of an established market of the type described in (i), above, for the Common Stock, the Fair Market Value thereof shall be determined by the Administrator in good faith (in a manner intended to comply with Section 409A).</w:t>
      </w:r>
    </w:p>
    <w:p>
      <w:pPr>
        <w:spacing w:after="0" w:line="177" w:lineRule="exact"/>
        <w:rPr>
          <w:rFonts w:ascii="Arial" w:cs="Arial" w:eastAsia="Arial" w:hAnsi="Arial"/>
          <w:sz w:val="12"/>
          <w:szCs w:val="12"/>
          <w:color w:val="231F20"/>
        </w:rPr>
      </w:pPr>
    </w:p>
    <w:p>
      <w:pPr>
        <w:ind w:left="162" w:hanging="162"/>
        <w:spacing w:after="0"/>
        <w:tabs>
          <w:tab w:leader="none" w:pos="162"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Fiscal Year</w:t>
      </w:r>
      <w:r>
        <w:rPr>
          <w:rFonts w:ascii="Arial" w:cs="Arial" w:eastAsia="Arial" w:hAnsi="Arial"/>
          <w:sz w:val="12"/>
          <w:szCs w:val="12"/>
          <w:color w:val="231F20"/>
        </w:rPr>
        <w:t>” means the fiscal year of the Company.</w:t>
      </w:r>
    </w:p>
    <w:p>
      <w:pPr>
        <w:spacing w:after="0" w:line="212" w:lineRule="exact"/>
        <w:rPr>
          <w:rFonts w:ascii="Arial" w:cs="Arial" w:eastAsia="Arial" w:hAnsi="Arial"/>
          <w:sz w:val="12"/>
          <w:szCs w:val="12"/>
          <w:color w:val="231F20"/>
        </w:rPr>
      </w:pPr>
    </w:p>
    <w:p>
      <w:pPr>
        <w:jc w:val="both"/>
        <w:ind w:left="2" w:hanging="2"/>
        <w:spacing w:after="0" w:line="251" w:lineRule="auto"/>
        <w:tabs>
          <w:tab w:leader="none" w:pos="189"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Good Reason</w:t>
      </w:r>
      <w:r>
        <w:rPr>
          <w:rFonts w:ascii="Arial" w:cs="Arial" w:eastAsia="Arial" w:hAnsi="Arial"/>
          <w:sz w:val="12"/>
          <w:szCs w:val="12"/>
          <w:color w:val="231F20"/>
        </w:rPr>
        <w:t>” means any significant diminution in the Grantee’s title, authority, or responsibilities from and after such Reorganization Event or Change in Control Event, as the case may be, or any material reduction in the annual cash compensation payable to the Grantee from and after such Reorganization Event or Change in Control Event, as the case may be, or the relocation of the place of business at which the Grantee is principally located to a location that is greater than fifty (50) miles from its location immediately prior to such Reorganization Event or Change in Control Event. Notwithstanding the occurrence of any such event or circumstance, such occurrence shall not be deemed to constitute Good Reason unless (x) the Grantee gives the Company notice of termination no more than ninety (90) days after the initial existence of such event or circumstance, (y) such event or circumstance has not been fully corrected by the Company within thirty (30) days of the Company’s receipt of such notice and (z) the Grantee’s termination occurs within sixty (60) days following the Company’s receipt of such notice.</w:t>
      </w:r>
    </w:p>
    <w:p>
      <w:pPr>
        <w:spacing w:after="0" w:line="186" w:lineRule="exact"/>
        <w:rPr>
          <w:rFonts w:ascii="Arial" w:cs="Arial" w:eastAsia="Arial" w:hAnsi="Arial"/>
          <w:sz w:val="12"/>
          <w:szCs w:val="12"/>
          <w:color w:val="231F20"/>
        </w:rPr>
      </w:pPr>
    </w:p>
    <w:p>
      <w:pPr>
        <w:ind w:left="182" w:hanging="182"/>
        <w:spacing w:after="0"/>
        <w:tabs>
          <w:tab w:leader="none" w:pos="182"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Grantee</w:t>
      </w:r>
      <w:r>
        <w:rPr>
          <w:rFonts w:ascii="Arial" w:cs="Arial" w:eastAsia="Arial" w:hAnsi="Arial"/>
          <w:sz w:val="12"/>
          <w:szCs w:val="12"/>
          <w:color w:val="231F20"/>
        </w:rPr>
        <w:t>” means an Employee, Director or Consultant who receives an Award under the Plan.</w:t>
      </w:r>
    </w:p>
    <w:p>
      <w:pPr>
        <w:spacing w:after="0" w:line="212" w:lineRule="exact"/>
        <w:rPr>
          <w:rFonts w:ascii="Arial" w:cs="Arial" w:eastAsia="Arial" w:hAnsi="Arial"/>
          <w:sz w:val="12"/>
          <w:szCs w:val="12"/>
          <w:color w:val="231F20"/>
        </w:rPr>
      </w:pPr>
    </w:p>
    <w:p>
      <w:pPr>
        <w:ind w:left="202" w:hanging="202"/>
        <w:spacing w:after="0"/>
        <w:tabs>
          <w:tab w:leader="none" w:pos="202"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Maxim</w:t>
      </w:r>
      <w:r>
        <w:rPr>
          <w:rFonts w:ascii="Arial" w:cs="Arial" w:eastAsia="Arial" w:hAnsi="Arial"/>
          <w:sz w:val="12"/>
          <w:szCs w:val="12"/>
          <w:color w:val="231F20"/>
        </w:rPr>
        <w:t>” means Maxim Integrated Products, Inc., a Delaware corporation.</w:t>
      </w:r>
    </w:p>
    <w:p>
      <w:pPr>
        <w:spacing w:after="0" w:line="212" w:lineRule="exact"/>
        <w:rPr>
          <w:rFonts w:ascii="Arial" w:cs="Arial" w:eastAsia="Arial" w:hAnsi="Arial"/>
          <w:sz w:val="12"/>
          <w:szCs w:val="12"/>
          <w:color w:val="231F20"/>
        </w:rPr>
      </w:pPr>
    </w:p>
    <w:p>
      <w:pPr>
        <w:ind w:left="182" w:hanging="182"/>
        <w:spacing w:after="0"/>
        <w:tabs>
          <w:tab w:leader="none" w:pos="182"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Merger Agreement</w:t>
      </w:r>
      <w:r>
        <w:rPr>
          <w:rFonts w:ascii="Arial" w:cs="Arial" w:eastAsia="Arial" w:hAnsi="Arial"/>
          <w:sz w:val="12"/>
          <w:szCs w:val="12"/>
          <w:color w:val="231F20"/>
        </w:rPr>
        <w:t>” means the Agreement and Plan of Merger by and among the Company, Magneto Corp., and Maxim, dated as of July 12, 2020.</w:t>
      </w:r>
    </w:p>
    <w:p>
      <w:pPr>
        <w:spacing w:after="0" w:line="212" w:lineRule="exact"/>
        <w:rPr>
          <w:rFonts w:ascii="Arial" w:cs="Arial" w:eastAsia="Arial" w:hAnsi="Arial"/>
          <w:sz w:val="12"/>
          <w:szCs w:val="12"/>
          <w:color w:val="231F20"/>
        </w:rPr>
      </w:pPr>
    </w:p>
    <w:p>
      <w:pPr>
        <w:ind w:left="2" w:hanging="2"/>
        <w:spacing w:after="0" w:line="283" w:lineRule="auto"/>
        <w:tabs>
          <w:tab w:leader="none" w:pos="182"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Non-Qualified Stock Option</w:t>
      </w:r>
      <w:r>
        <w:rPr>
          <w:rFonts w:ascii="Arial" w:cs="Arial" w:eastAsia="Arial" w:hAnsi="Arial"/>
          <w:sz w:val="12"/>
          <w:szCs w:val="12"/>
          <w:color w:val="231F20"/>
        </w:rPr>
        <w:t>” means an Option that by its terms does not qualify or is not intended to qualify as an incentive stock option within the meaning of Section 422 of the Code and the regulations promulgated thereunder.</w:t>
      </w:r>
    </w:p>
    <w:p>
      <w:pPr>
        <w:spacing w:after="0" w:line="165" w:lineRule="exact"/>
        <w:rPr>
          <w:rFonts w:ascii="Arial" w:cs="Arial" w:eastAsia="Arial" w:hAnsi="Arial"/>
          <w:sz w:val="12"/>
          <w:szCs w:val="12"/>
          <w:color w:val="231F20"/>
        </w:rPr>
      </w:pPr>
    </w:p>
    <w:p>
      <w:pPr>
        <w:ind w:left="182" w:hanging="182"/>
        <w:spacing w:after="0"/>
        <w:tabs>
          <w:tab w:leader="none" w:pos="182" w:val="left"/>
        </w:tabs>
        <w:numPr>
          <w:ilvl w:val="0"/>
          <w:numId w:val="73"/>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Officer</w:t>
      </w:r>
      <w:r>
        <w:rPr>
          <w:rFonts w:ascii="Arial" w:cs="Arial" w:eastAsia="Arial" w:hAnsi="Arial"/>
          <w:sz w:val="12"/>
          <w:szCs w:val="12"/>
          <w:color w:val="231F20"/>
        </w:rPr>
        <w:t>” means a person who is an officer of the Company within the meaning of Section 16 of the Exchange Act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-4626610</wp:posOffset>
            </wp:positionV>
            <wp:extent cx="47498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5">
                      <a:extLst>
                        <a:ext uri="{28A0092B-C50C-407E-A947-70E740481C1C}"/>
                      </a:extLst>
                    </a:blip>
                    <a:srcRect/>
                    <a:stretch>
                      <a:fillRect/>
                    </a:stretch>
                  </pic:blipFill>
                  <pic:spPr bwMode="auto">
                    <a:xfrm>
                      <a:off x="0" y="0"/>
                      <a:ext cx="474980" cy="7620"/>
                    </a:xfrm>
                    <a:prstGeom prst="rect">
                      <a:avLst/>
                    </a:prstGeom>
                    <a:noFill/>
                  </pic:spPr>
                </pic:pic>
              </a:graphicData>
            </a:graphic>
          </wp:anchor>
        </w:drawing>
      </w:r>
    </w:p>
    <w:p>
      <w:pPr>
        <w:sectPr>
          <w:pgSz w:w="11900" w:h="16838" w:orient="portrait"/>
          <w:cols w:equalWidth="0" w:num="1">
            <w:col w:w="11002"/>
          </w:cols>
          <w:pgMar w:left="578" w:top="1032" w:right="319" w:bottom="1440" w:gutter="0" w:footer="0" w:header="0"/>
        </w:sectPr>
      </w:pPr>
    </w:p>
    <w:bookmarkStart w:id="105" w:name="page106"/>
    <w:bookmarkEnd w:id="105"/>
    <w:p>
      <w:pPr>
        <w:ind w:left="526" w:hanging="262"/>
        <w:spacing w:after="0"/>
        <w:tabs>
          <w:tab w:leader="none" w:pos="526"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Option</w:t>
      </w:r>
      <w:r>
        <w:rPr>
          <w:rFonts w:ascii="Arial" w:cs="Arial" w:eastAsia="Arial" w:hAnsi="Arial"/>
          <w:sz w:val="12"/>
          <w:szCs w:val="12"/>
          <w:color w:val="231F20"/>
        </w:rPr>
        <w:t>” means a Non-Qualified Stock Option granted pursuant to the Plan.</w:t>
      </w:r>
    </w:p>
    <w:p>
      <w:pPr>
        <w:spacing w:after="0" w:line="212" w:lineRule="exact"/>
        <w:rPr>
          <w:rFonts w:ascii="Arial" w:cs="Arial" w:eastAsia="Arial" w:hAnsi="Arial"/>
          <w:sz w:val="12"/>
          <w:szCs w:val="12"/>
          <w:color w:val="231F20"/>
        </w:rPr>
      </w:pPr>
    </w:p>
    <w:p>
      <w:pPr>
        <w:ind w:left="526" w:hanging="262"/>
        <w:spacing w:after="0"/>
        <w:tabs>
          <w:tab w:leader="none" w:pos="526"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Option Agreement</w:t>
      </w:r>
      <w:r>
        <w:rPr>
          <w:rFonts w:ascii="Arial" w:cs="Arial" w:eastAsia="Arial" w:hAnsi="Arial"/>
          <w:sz w:val="12"/>
          <w:szCs w:val="12"/>
          <w:color w:val="231F20"/>
        </w:rPr>
        <w:t>” means the written agreement evidencing the grant of an Option executed by the Company and the Grantee, including any amendments thereto.</w:t>
      </w:r>
    </w:p>
    <w:p>
      <w:pPr>
        <w:spacing w:after="0" w:line="212" w:lineRule="exact"/>
        <w:rPr>
          <w:rFonts w:ascii="Arial" w:cs="Arial" w:eastAsia="Arial" w:hAnsi="Arial"/>
          <w:sz w:val="12"/>
          <w:szCs w:val="12"/>
          <w:color w:val="231F20"/>
        </w:rPr>
      </w:pPr>
    </w:p>
    <w:p>
      <w:pPr>
        <w:ind w:left="506" w:hanging="242"/>
        <w:spacing w:after="0"/>
        <w:tabs>
          <w:tab w:leader="none" w:pos="506"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Parent</w:t>
      </w:r>
      <w:r>
        <w:rPr>
          <w:rFonts w:ascii="Arial" w:cs="Arial" w:eastAsia="Arial" w:hAnsi="Arial"/>
          <w:sz w:val="12"/>
          <w:szCs w:val="12"/>
          <w:color w:val="231F20"/>
        </w:rPr>
        <w:t>” means a “parent corporation,” whether now or hereafter existing, as defined in Section 424(e) of the Code.</w:t>
      </w:r>
    </w:p>
    <w:p>
      <w:pPr>
        <w:spacing w:after="0" w:line="212" w:lineRule="exact"/>
        <w:rPr>
          <w:rFonts w:ascii="Arial" w:cs="Arial" w:eastAsia="Arial" w:hAnsi="Arial"/>
          <w:sz w:val="12"/>
          <w:szCs w:val="12"/>
          <w:color w:val="231F20"/>
        </w:rPr>
      </w:pPr>
    </w:p>
    <w:p>
      <w:pPr>
        <w:ind w:left="526" w:hanging="262"/>
        <w:spacing w:after="0"/>
        <w:tabs>
          <w:tab w:leader="none" w:pos="526"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Performance Goals</w:t>
      </w:r>
      <w:r>
        <w:rPr>
          <w:rFonts w:ascii="Arial" w:cs="Arial" w:eastAsia="Arial" w:hAnsi="Arial"/>
          <w:sz w:val="12"/>
          <w:szCs w:val="12"/>
          <w:color w:val="231F20"/>
        </w:rPr>
        <w:t>” has the meaning given to it in Section 11.</w:t>
      </w:r>
    </w:p>
    <w:p>
      <w:pPr>
        <w:spacing w:after="0" w:line="212" w:lineRule="exact"/>
        <w:rPr>
          <w:rFonts w:ascii="Arial" w:cs="Arial" w:eastAsia="Arial" w:hAnsi="Arial"/>
          <w:sz w:val="12"/>
          <w:szCs w:val="12"/>
          <w:color w:val="231F20"/>
        </w:rPr>
      </w:pPr>
    </w:p>
    <w:p>
      <w:pPr>
        <w:ind w:left="526" w:hanging="262"/>
        <w:spacing w:after="0"/>
        <w:tabs>
          <w:tab w:leader="none" w:pos="526"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Performance Period</w:t>
      </w:r>
      <w:r>
        <w:rPr>
          <w:rFonts w:ascii="Arial" w:cs="Arial" w:eastAsia="Arial" w:hAnsi="Arial"/>
          <w:sz w:val="12"/>
          <w:szCs w:val="12"/>
          <w:color w:val="231F20"/>
        </w:rPr>
        <w:t>” means any Fiscal Year of the Company or such other period as determined by the Administrator in its sole discretion.</w:t>
      </w:r>
    </w:p>
    <w:p>
      <w:pPr>
        <w:spacing w:after="0" w:line="212" w:lineRule="exact"/>
        <w:rPr>
          <w:rFonts w:ascii="Arial" w:cs="Arial" w:eastAsia="Arial" w:hAnsi="Arial"/>
          <w:sz w:val="12"/>
          <w:szCs w:val="12"/>
          <w:color w:val="231F20"/>
        </w:rPr>
      </w:pPr>
    </w:p>
    <w:p>
      <w:pPr>
        <w:ind w:left="266" w:right="20" w:hanging="2"/>
        <w:spacing w:after="0" w:line="283" w:lineRule="auto"/>
        <w:tabs>
          <w:tab w:leader="none" w:pos="451"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Period of Restriction</w:t>
      </w:r>
      <w:r>
        <w:rPr>
          <w:rFonts w:ascii="Arial" w:cs="Arial" w:eastAsia="Arial" w:hAnsi="Arial"/>
          <w:sz w:val="12"/>
          <w:szCs w:val="12"/>
          <w:color w:val="231F20"/>
        </w:rPr>
        <w:t>” means the period during which the transfer of Shares of Restricted Stock are subject to restrictions and there- fore, the Shares are subject to a substantial risk of forfeiture. Such restrictions may be based on the passage of time, the achievement of Performance Goals, or the occurrence of other events as determined by the Administrator.</w:t>
      </w:r>
    </w:p>
    <w:p>
      <w:pPr>
        <w:spacing w:after="0" w:line="165" w:lineRule="exact"/>
        <w:rPr>
          <w:rFonts w:ascii="Arial" w:cs="Arial" w:eastAsia="Arial" w:hAnsi="Arial"/>
          <w:sz w:val="12"/>
          <w:szCs w:val="12"/>
          <w:color w:val="231F20"/>
        </w:rPr>
      </w:pPr>
    </w:p>
    <w:p>
      <w:pPr>
        <w:ind w:left="526" w:hanging="262"/>
        <w:spacing w:after="0"/>
        <w:tabs>
          <w:tab w:leader="none" w:pos="526"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Plan</w:t>
      </w:r>
      <w:r>
        <w:rPr>
          <w:rFonts w:ascii="Arial" w:cs="Arial" w:eastAsia="Arial" w:hAnsi="Arial"/>
          <w:sz w:val="12"/>
          <w:szCs w:val="12"/>
          <w:color w:val="231F20"/>
        </w:rPr>
        <w:t>” means this Amended and Restated 1996 Stock Incentive Plan.</w:t>
      </w:r>
    </w:p>
    <w:p>
      <w:pPr>
        <w:spacing w:after="0" w:line="212" w:lineRule="exact"/>
        <w:rPr>
          <w:rFonts w:ascii="Arial" w:cs="Arial" w:eastAsia="Arial" w:hAnsi="Arial"/>
          <w:sz w:val="12"/>
          <w:szCs w:val="12"/>
          <w:color w:val="231F20"/>
        </w:rPr>
      </w:pPr>
    </w:p>
    <w:p>
      <w:pPr>
        <w:jc w:val="both"/>
        <w:ind w:left="266" w:hanging="2"/>
        <w:spacing w:after="0" w:line="263" w:lineRule="auto"/>
        <w:tabs>
          <w:tab w:leader="none" w:pos="523"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Reorganization Event</w:t>
      </w:r>
      <w:r>
        <w:rPr>
          <w:rFonts w:ascii="Arial" w:cs="Arial" w:eastAsia="Arial" w:hAnsi="Arial"/>
          <w:sz w:val="12"/>
          <w:szCs w:val="12"/>
          <w:color w:val="231F20"/>
        </w:rPr>
        <w:t xml:space="preserve">” means </w:t>
      </w:r>
      <w:r>
        <w:rPr>
          <w:rFonts w:ascii="Arial" w:cs="Arial" w:eastAsia="Arial" w:hAnsi="Arial"/>
          <w:sz w:val="12"/>
          <w:szCs w:val="12"/>
          <w:color w:val="000000"/>
        </w:rPr>
        <w:t>(a) any merger or consolidation of the Company with or into another entity as a result of which all of the Common Stock is converted into or exchanged for the right</w:t>
      </w:r>
      <w:r>
        <w:rPr>
          <w:rFonts w:ascii="Arial" w:cs="Arial" w:eastAsia="Arial" w:hAnsi="Arial"/>
          <w:sz w:val="12"/>
          <w:szCs w:val="12"/>
          <w:color w:val="231F20"/>
        </w:rPr>
        <w:t xml:space="preserve"> </w:t>
      </w:r>
      <w:r>
        <w:rPr>
          <w:rFonts w:ascii="Arial" w:cs="Arial" w:eastAsia="Arial" w:hAnsi="Arial"/>
          <w:sz w:val="12"/>
          <w:szCs w:val="12"/>
          <w:color w:val="000000"/>
        </w:rPr>
        <w:t>to receive cash, securities or other property or is canceled, (b) any transfer or disposition of all of the Common Stock for cash, securities or other property pursuant to a share exchange or other transaction or (c) any liquidation or dissolution of the Company.</w:t>
      </w:r>
    </w:p>
    <w:p>
      <w:pPr>
        <w:spacing w:after="0" w:line="177" w:lineRule="exact"/>
        <w:rPr>
          <w:rFonts w:ascii="Arial" w:cs="Arial" w:eastAsia="Arial" w:hAnsi="Arial"/>
          <w:sz w:val="12"/>
          <w:szCs w:val="12"/>
          <w:color w:val="231F20"/>
        </w:rPr>
      </w:pPr>
    </w:p>
    <w:p>
      <w:pPr>
        <w:ind w:left="446" w:hanging="182"/>
        <w:spacing w:after="0"/>
        <w:tabs>
          <w:tab w:leader="none" w:pos="446"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Restricted Stock</w:t>
      </w:r>
      <w:r>
        <w:rPr>
          <w:rFonts w:ascii="Arial" w:cs="Arial" w:eastAsia="Arial" w:hAnsi="Arial"/>
          <w:sz w:val="12"/>
          <w:szCs w:val="12"/>
          <w:color w:val="231F20"/>
        </w:rPr>
        <w:t>” means Shares issued pursuant to a Restricted Stock award under Section 7 of the Plan, or issued pursuant to the early exercise of an Option.</w:t>
      </w:r>
    </w:p>
    <w:p>
      <w:pPr>
        <w:spacing w:after="0" w:line="212" w:lineRule="exact"/>
        <w:rPr>
          <w:rFonts w:ascii="Arial" w:cs="Arial" w:eastAsia="Arial" w:hAnsi="Arial"/>
          <w:sz w:val="12"/>
          <w:szCs w:val="12"/>
          <w:color w:val="231F20"/>
        </w:rPr>
      </w:pPr>
    </w:p>
    <w:p>
      <w:pPr>
        <w:ind w:left="266" w:hanging="2"/>
        <w:spacing w:after="0" w:line="283" w:lineRule="auto"/>
        <w:tabs>
          <w:tab w:leader="none" w:pos="439"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Restricted Stock Unit</w:t>
      </w:r>
      <w:r>
        <w:rPr>
          <w:rFonts w:ascii="Arial" w:cs="Arial" w:eastAsia="Arial" w:hAnsi="Arial"/>
          <w:sz w:val="12"/>
          <w:szCs w:val="12"/>
          <w:color w:val="231F20"/>
        </w:rPr>
        <w:t>” means a bookkeeping entry representing an amount equal to the Fair Market Value of one Share, granted pursuant to Section 8. Each Restricted Stock Unit represents an unfunded and unsecured obligation of the Company.</w:t>
      </w:r>
    </w:p>
    <w:p>
      <w:pPr>
        <w:spacing w:after="0" w:line="165" w:lineRule="exact"/>
        <w:rPr>
          <w:rFonts w:ascii="Arial" w:cs="Arial" w:eastAsia="Arial" w:hAnsi="Arial"/>
          <w:sz w:val="12"/>
          <w:szCs w:val="12"/>
          <w:color w:val="231F20"/>
        </w:rPr>
      </w:pPr>
    </w:p>
    <w:p>
      <w:pPr>
        <w:ind w:left="506" w:hanging="242"/>
        <w:spacing w:after="0"/>
        <w:tabs>
          <w:tab w:leader="none" w:pos="506" w:val="left"/>
        </w:tabs>
        <w:numPr>
          <w:ilvl w:val="0"/>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Rule 16b-3</w:t>
      </w:r>
      <w:r>
        <w:rPr>
          <w:rFonts w:ascii="Arial" w:cs="Arial" w:eastAsia="Arial" w:hAnsi="Arial"/>
          <w:sz w:val="12"/>
          <w:szCs w:val="12"/>
          <w:color w:val="231F20"/>
        </w:rPr>
        <w:t>” means Rule 16b-3 promulgated under the Exchange Act or any successor thereto.</w:t>
      </w:r>
    </w:p>
    <w:p>
      <w:pPr>
        <w:spacing w:after="0" w:line="212" w:lineRule="exact"/>
        <w:rPr>
          <w:rFonts w:ascii="Arial" w:cs="Arial" w:eastAsia="Arial" w:hAnsi="Arial"/>
          <w:sz w:val="12"/>
          <w:szCs w:val="12"/>
          <w:color w:val="231F20"/>
        </w:rPr>
      </w:pPr>
    </w:p>
    <w:p>
      <w:pPr>
        <w:ind w:left="446" w:hanging="166"/>
        <w:spacing w:after="0"/>
        <w:tabs>
          <w:tab w:leader="none" w:pos="446" w:val="left"/>
        </w:tabs>
        <w:numPr>
          <w:ilvl w:val="1"/>
          <w:numId w:val="74"/>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Section 16(b)</w:t>
      </w:r>
      <w:r>
        <w:rPr>
          <w:rFonts w:ascii="Arial" w:cs="Arial" w:eastAsia="Arial" w:hAnsi="Arial"/>
          <w:sz w:val="12"/>
          <w:szCs w:val="12"/>
          <w:color w:val="231F20"/>
        </w:rPr>
        <w:t>” means Section 16(b) of the Exchange Act.</w:t>
      </w:r>
    </w:p>
    <w:p>
      <w:pPr>
        <w:spacing w:after="0" w:line="225" w:lineRule="exact"/>
        <w:rPr>
          <w:sz w:val="20"/>
          <w:szCs w:val="20"/>
          <w:color w:val="auto"/>
        </w:rPr>
      </w:pPr>
    </w:p>
    <w:p>
      <w:pPr>
        <w:ind w:left="286" w:right="4160" w:hanging="22"/>
        <w:spacing w:after="0" w:line="620" w:lineRule="auto"/>
        <w:tabs>
          <w:tab w:leader="none" w:pos="596" w:val="left"/>
        </w:tabs>
        <w:numPr>
          <w:ilvl w:val="1"/>
          <w:numId w:val="75"/>
        </w:numPr>
        <w:rPr>
          <w:rFonts w:ascii="Arial" w:cs="Arial" w:eastAsia="Arial" w:hAnsi="Arial"/>
          <w:sz w:val="12"/>
          <w:szCs w:val="12"/>
          <w:color w:val="231F20"/>
        </w:rPr>
      </w:pPr>
      <w:r>
        <w:rPr>
          <w:rFonts w:ascii="Arial" w:cs="Arial" w:eastAsia="Arial" w:hAnsi="Arial"/>
          <w:sz w:val="12"/>
          <w:szCs w:val="12"/>
          <w:color w:val="231F20"/>
        </w:rPr>
        <w:t>“</w:t>
      </w:r>
      <w:r>
        <w:rPr>
          <w:rFonts w:ascii="Arial" w:cs="Arial" w:eastAsia="Arial" w:hAnsi="Arial"/>
          <w:sz w:val="12"/>
          <w:szCs w:val="12"/>
          <w:i w:val="1"/>
          <w:iCs w:val="1"/>
          <w:color w:val="231F20"/>
        </w:rPr>
        <w:t>Section 409A</w:t>
      </w:r>
      <w:r>
        <w:rPr>
          <w:rFonts w:ascii="Arial" w:cs="Arial" w:eastAsia="Arial" w:hAnsi="Arial"/>
          <w:sz w:val="12"/>
          <w:szCs w:val="12"/>
          <w:color w:val="231F20"/>
        </w:rPr>
        <w:t>” shall mean Section 409A of the Code and all formal guidance and regulations promulgated thereunder. (nn) “</w:t>
      </w:r>
      <w:r>
        <w:rPr>
          <w:rFonts w:ascii="Arial" w:cs="Arial" w:eastAsia="Arial" w:hAnsi="Arial"/>
          <w:sz w:val="12"/>
          <w:szCs w:val="12"/>
          <w:i w:val="1"/>
          <w:iCs w:val="1"/>
          <w:color w:val="231F20"/>
        </w:rPr>
        <w:t>Share</w:t>
      </w:r>
      <w:r>
        <w:rPr>
          <w:rFonts w:ascii="Arial" w:cs="Arial" w:eastAsia="Arial" w:hAnsi="Arial"/>
          <w:sz w:val="12"/>
          <w:szCs w:val="12"/>
          <w:color w:val="231F20"/>
        </w:rPr>
        <w:t>” means a share of the Common Stock, as adjusted in accordance with Section 13 of the Plan.</w:t>
      </w:r>
    </w:p>
    <w:p>
      <w:pPr>
        <w:ind w:left="286"/>
        <w:spacing w:after="0"/>
        <w:rPr>
          <w:rFonts w:ascii="Arial" w:cs="Arial" w:eastAsia="Arial" w:hAnsi="Arial"/>
          <w:sz w:val="12"/>
          <w:szCs w:val="12"/>
          <w:color w:val="231F20"/>
        </w:rPr>
      </w:pPr>
      <w:r>
        <w:rPr>
          <w:rFonts w:ascii="Arial" w:cs="Arial" w:eastAsia="Arial" w:hAnsi="Arial"/>
          <w:sz w:val="12"/>
          <w:szCs w:val="12"/>
          <w:color w:val="231F20"/>
        </w:rPr>
        <w:t>(oo) “</w:t>
      </w:r>
      <w:r>
        <w:rPr>
          <w:rFonts w:ascii="Arial" w:cs="Arial" w:eastAsia="Arial" w:hAnsi="Arial"/>
          <w:sz w:val="12"/>
          <w:szCs w:val="12"/>
          <w:i w:val="1"/>
          <w:iCs w:val="1"/>
          <w:color w:val="231F20"/>
        </w:rPr>
        <w:t>Subsidiary</w:t>
      </w:r>
      <w:r>
        <w:rPr>
          <w:rFonts w:ascii="Arial" w:cs="Arial" w:eastAsia="Arial" w:hAnsi="Arial"/>
          <w:sz w:val="12"/>
          <w:szCs w:val="12"/>
          <w:color w:val="231F20"/>
        </w:rPr>
        <w:t>” means a “subsidiary corporation,” whether now or hereafter existing, as defined in Section 424(f) of the Code.</w:t>
      </w:r>
    </w:p>
    <w:p>
      <w:pPr>
        <w:spacing w:after="0" w:line="236" w:lineRule="exact"/>
        <w:rPr>
          <w:rFonts w:ascii="Arial" w:cs="Arial" w:eastAsia="Arial" w:hAnsi="Arial"/>
          <w:sz w:val="12"/>
          <w:szCs w:val="12"/>
          <w:color w:val="231F20"/>
        </w:rPr>
      </w:pPr>
    </w:p>
    <w:p>
      <w:pPr>
        <w:ind w:left="526" w:hanging="262"/>
        <w:spacing w:after="0"/>
        <w:tabs>
          <w:tab w:leader="none" w:pos="526" w:val="left"/>
        </w:tabs>
        <w:numPr>
          <w:ilvl w:val="1"/>
          <w:numId w:val="76"/>
        </w:numPr>
        <w:rPr>
          <w:rFonts w:ascii="Arial" w:cs="Arial" w:eastAsia="Arial" w:hAnsi="Arial"/>
          <w:sz w:val="12"/>
          <w:szCs w:val="12"/>
          <w:color w:val="231F20"/>
        </w:rPr>
      </w:pPr>
      <w:r>
        <w:rPr>
          <w:rFonts w:ascii="Arial" w:cs="Arial" w:eastAsia="Arial" w:hAnsi="Arial"/>
          <w:sz w:val="12"/>
          <w:szCs w:val="12"/>
          <w:color w:val="231F20"/>
        </w:rPr>
        <w:t>“U.S. Taxpayer” means a Grantee who is, or may be, subject to taxation under the laws of the United States or a political subdivision thereof.</w:t>
      </w:r>
    </w:p>
    <w:p>
      <w:pPr>
        <w:spacing w:after="0" w:line="200" w:lineRule="exact"/>
        <w:rPr>
          <w:rFonts w:ascii="Arial" w:cs="Arial" w:eastAsia="Arial" w:hAnsi="Arial"/>
          <w:sz w:val="12"/>
          <w:szCs w:val="12"/>
          <w:color w:val="231F20"/>
        </w:rPr>
      </w:pPr>
    </w:p>
    <w:p>
      <w:pPr>
        <w:ind w:left="146" w:hanging="146"/>
        <w:spacing w:after="0"/>
        <w:tabs>
          <w:tab w:leader="none" w:pos="146" w:val="left"/>
        </w:tabs>
        <w:numPr>
          <w:ilvl w:val="0"/>
          <w:numId w:val="77"/>
        </w:numPr>
        <w:rPr>
          <w:rFonts w:ascii="Arial" w:cs="Arial" w:eastAsia="Arial" w:hAnsi="Arial"/>
          <w:sz w:val="12"/>
          <w:szCs w:val="12"/>
          <w:color w:val="231F20"/>
        </w:rPr>
      </w:pPr>
      <w:r>
        <w:rPr>
          <w:rFonts w:ascii="Arial" w:cs="Arial" w:eastAsia="Arial" w:hAnsi="Arial"/>
          <w:sz w:val="12"/>
          <w:szCs w:val="12"/>
          <w:i w:val="1"/>
          <w:iCs w:val="1"/>
          <w:color w:val="231F20"/>
        </w:rPr>
        <w:t>Stock Subject to the Plan</w:t>
      </w:r>
      <w:r>
        <w:rPr>
          <w:rFonts w:ascii="Arial" w:cs="Arial" w:eastAsia="Arial" w:hAnsi="Arial"/>
          <w:sz w:val="12"/>
          <w:szCs w:val="12"/>
          <w:color w:val="231F20"/>
        </w:rPr>
        <w:t>.</w:t>
      </w:r>
    </w:p>
    <w:p>
      <w:pPr>
        <w:spacing w:after="0" w:line="225" w:lineRule="exact"/>
        <w:rPr>
          <w:sz w:val="20"/>
          <w:szCs w:val="20"/>
          <w:color w:val="auto"/>
        </w:rPr>
      </w:pPr>
    </w:p>
    <w:p>
      <w:pPr>
        <w:ind w:left="466" w:hanging="186"/>
        <w:spacing w:after="0"/>
        <w:tabs>
          <w:tab w:leader="none" w:pos="466" w:val="left"/>
        </w:tabs>
        <w:numPr>
          <w:ilvl w:val="1"/>
          <w:numId w:val="78"/>
        </w:numPr>
        <w:rPr>
          <w:rFonts w:ascii="Arial" w:cs="Arial" w:eastAsia="Arial" w:hAnsi="Arial"/>
          <w:sz w:val="12"/>
          <w:szCs w:val="12"/>
          <w:color w:val="231F20"/>
        </w:rPr>
      </w:pPr>
      <w:r>
        <w:rPr>
          <w:rFonts w:ascii="Arial" w:cs="Arial" w:eastAsia="Arial" w:hAnsi="Arial"/>
          <w:sz w:val="12"/>
          <w:szCs w:val="12"/>
          <w:i w:val="1"/>
          <w:iCs w:val="1"/>
          <w:color w:val="231F20"/>
        </w:rPr>
        <w:t>Stock Subject to the Plan</w:t>
      </w:r>
      <w:r>
        <w:rPr>
          <w:rFonts w:ascii="Arial" w:cs="Arial" w:eastAsia="Arial" w:hAnsi="Arial"/>
          <w:sz w:val="12"/>
          <w:szCs w:val="12"/>
          <w:color w:val="231F20"/>
        </w:rPr>
        <w:t>. Subject to the provisions of Section 13 below, the maximum aggregate number of Shares which may be issued pursuant to this Plan is 8,309,183 Shares.</w:t>
      </w:r>
    </w:p>
    <w:p>
      <w:pPr>
        <w:spacing w:after="0" w:line="212" w:lineRule="exact"/>
        <w:rPr>
          <w:rFonts w:ascii="Arial" w:cs="Arial" w:eastAsia="Arial" w:hAnsi="Arial"/>
          <w:sz w:val="12"/>
          <w:szCs w:val="12"/>
          <w:color w:val="231F20"/>
        </w:rPr>
      </w:pPr>
    </w:p>
    <w:p>
      <w:pPr>
        <w:jc w:val="both"/>
        <w:ind w:left="286" w:right="60" w:hanging="6"/>
        <w:spacing w:after="0" w:line="257" w:lineRule="auto"/>
        <w:tabs>
          <w:tab w:leader="none" w:pos="473" w:val="left"/>
        </w:tabs>
        <w:numPr>
          <w:ilvl w:val="1"/>
          <w:numId w:val="78"/>
        </w:numPr>
        <w:rPr>
          <w:rFonts w:ascii="Arial" w:cs="Arial" w:eastAsia="Arial" w:hAnsi="Arial"/>
          <w:sz w:val="12"/>
          <w:szCs w:val="12"/>
          <w:color w:val="231F20"/>
        </w:rPr>
      </w:pPr>
      <w:r>
        <w:rPr>
          <w:rFonts w:ascii="Arial" w:cs="Arial" w:eastAsia="Arial" w:hAnsi="Arial"/>
          <w:sz w:val="12"/>
          <w:szCs w:val="12"/>
          <w:i w:val="1"/>
          <w:iCs w:val="1"/>
          <w:color w:val="231F20"/>
        </w:rPr>
        <w:t>Full Value Awards</w:t>
      </w:r>
      <w:r>
        <w:rPr>
          <w:rFonts w:ascii="Arial" w:cs="Arial" w:eastAsia="Arial" w:hAnsi="Arial"/>
          <w:sz w:val="12"/>
          <w:szCs w:val="12"/>
          <w:color w:val="231F20"/>
        </w:rPr>
        <w:t>. Any Shares subject to Options will be counted against the numerical limits of this Section 3 as one Share for every Share subject thereto. Any Shares subject to Awards of</w:t>
      </w:r>
      <w:r>
        <w:rPr>
          <w:rFonts w:ascii="Arial" w:cs="Arial" w:eastAsia="Arial" w:hAnsi="Arial"/>
          <w:sz w:val="12"/>
          <w:szCs w:val="12"/>
          <w:i w:val="1"/>
          <w:iCs w:val="1"/>
          <w:color w:val="231F20"/>
        </w:rPr>
        <w:t xml:space="preserve"> </w:t>
      </w:r>
      <w:r>
        <w:rPr>
          <w:rFonts w:ascii="Arial" w:cs="Arial" w:eastAsia="Arial" w:hAnsi="Arial"/>
          <w:sz w:val="12"/>
          <w:szCs w:val="12"/>
          <w:color w:val="231F20"/>
        </w:rPr>
        <w:t>Restricted Stock or Restricted Stock Units with a per share or unit purchase price lower than one hundred percent (100%) of Fair Market Value on the date of grant will be counted against the numerical limits of this Section 3 as two Shares for every one Share subject thereto. To the extent that a Share that was subject to an Award that counted as two Shares against the Plan reserve pursuant to the preceding sentence is recycled back into the Plan under the next paragraph of this Section 3, the Plan will be credited with two Shares.</w:t>
      </w:r>
    </w:p>
    <w:p>
      <w:pPr>
        <w:spacing w:after="0" w:line="180" w:lineRule="exact"/>
        <w:rPr>
          <w:rFonts w:ascii="Arial" w:cs="Arial" w:eastAsia="Arial" w:hAnsi="Arial"/>
          <w:sz w:val="12"/>
          <w:szCs w:val="12"/>
          <w:color w:val="231F20"/>
        </w:rPr>
      </w:pPr>
    </w:p>
    <w:p>
      <w:pPr>
        <w:jc w:val="both"/>
        <w:ind w:left="286" w:right="60" w:hanging="6"/>
        <w:spacing w:after="0" w:line="251" w:lineRule="auto"/>
        <w:tabs>
          <w:tab w:leader="none" w:pos="466" w:val="left"/>
        </w:tabs>
        <w:numPr>
          <w:ilvl w:val="1"/>
          <w:numId w:val="78"/>
        </w:numPr>
        <w:rPr>
          <w:rFonts w:ascii="Arial" w:cs="Arial" w:eastAsia="Arial" w:hAnsi="Arial"/>
          <w:sz w:val="12"/>
          <w:szCs w:val="12"/>
          <w:color w:val="231F20"/>
        </w:rPr>
      </w:pPr>
      <w:r>
        <w:rPr>
          <w:rFonts w:ascii="Arial" w:cs="Arial" w:eastAsia="Arial" w:hAnsi="Arial"/>
          <w:sz w:val="12"/>
          <w:szCs w:val="12"/>
          <w:i w:val="1"/>
          <w:iCs w:val="1"/>
          <w:color w:val="231F20"/>
        </w:rPr>
        <w:t>Lapsed Awards</w:t>
      </w:r>
      <w:r>
        <w:rPr>
          <w:rFonts w:ascii="Arial" w:cs="Arial" w:eastAsia="Arial" w:hAnsi="Arial"/>
          <w:sz w:val="12"/>
          <w:szCs w:val="12"/>
          <w:color w:val="231F20"/>
        </w:rPr>
        <w:t>. If an Award expires or becomes unexercisable without having been exercised in full, or, with respect to Restricted Stock and Restricted Stock Units, is forfeited to or repurchased</w:t>
      </w:r>
      <w:r>
        <w:rPr>
          <w:rFonts w:ascii="Arial" w:cs="Arial" w:eastAsia="Arial" w:hAnsi="Arial"/>
          <w:sz w:val="12"/>
          <w:szCs w:val="12"/>
          <w:i w:val="1"/>
          <w:iCs w:val="1"/>
          <w:color w:val="231F20"/>
        </w:rPr>
        <w:t xml:space="preserve"> </w:t>
      </w:r>
      <w:r>
        <w:rPr>
          <w:rFonts w:ascii="Arial" w:cs="Arial" w:eastAsia="Arial" w:hAnsi="Arial"/>
          <w:sz w:val="12"/>
          <w:szCs w:val="12"/>
          <w:color w:val="231F20"/>
        </w:rPr>
        <w:t>by the Company, the unexercised Shares (or for Awards other than Options, the forfeited or repurchased Shares) which were subject thereto will become available for future grant or sale under the Plan (unless the Plan has terminated). Notwithstanding anything contrary contained herein, the following Shares shall not be added to the Shares authorized for grant under Section 3(a) and will not be available for future grants of Awards under this Plan or any other plans listed in Section 3(a): (i) Shares tendered by a Grantee or withheld by the Company in payment of the exercise price of an Option (or any other option granted under any other plans listed in Section 3(a)), and (ii) Shares tendered by a Grantee or withheld by the Company to satisfy any tax with- holding obligation with respect to an Award (or any other equity award granted under any other plans listed in Section 3(a)).</w:t>
      </w:r>
    </w:p>
    <w:p>
      <w:pPr>
        <w:spacing w:after="0" w:line="186" w:lineRule="exact"/>
        <w:rPr>
          <w:rFonts w:ascii="Arial" w:cs="Arial" w:eastAsia="Arial" w:hAnsi="Arial"/>
          <w:sz w:val="12"/>
          <w:szCs w:val="12"/>
          <w:color w:val="231F20"/>
        </w:rPr>
      </w:pPr>
    </w:p>
    <w:p>
      <w:pPr>
        <w:ind w:left="146" w:hanging="146"/>
        <w:spacing w:after="0"/>
        <w:tabs>
          <w:tab w:leader="none" w:pos="146" w:val="left"/>
        </w:tabs>
        <w:numPr>
          <w:ilvl w:val="0"/>
          <w:numId w:val="79"/>
        </w:numPr>
        <w:rPr>
          <w:rFonts w:ascii="Arial" w:cs="Arial" w:eastAsia="Arial" w:hAnsi="Arial"/>
          <w:sz w:val="12"/>
          <w:szCs w:val="12"/>
          <w:color w:val="231F20"/>
        </w:rPr>
      </w:pPr>
      <w:r>
        <w:rPr>
          <w:rFonts w:ascii="Arial" w:cs="Arial" w:eastAsia="Arial" w:hAnsi="Arial"/>
          <w:sz w:val="12"/>
          <w:szCs w:val="12"/>
          <w:i w:val="1"/>
          <w:iCs w:val="1"/>
          <w:color w:val="231F20"/>
        </w:rPr>
        <w:t>Administration of the Plan</w:t>
      </w:r>
      <w:r>
        <w:rPr>
          <w:rFonts w:ascii="Arial" w:cs="Arial" w:eastAsia="Arial" w:hAnsi="Arial"/>
          <w:sz w:val="12"/>
          <w:szCs w:val="12"/>
          <w:color w:val="231F20"/>
        </w:rPr>
        <w:t>.</w:t>
      </w:r>
    </w:p>
    <w:p>
      <w:pPr>
        <w:spacing w:after="0" w:line="248" w:lineRule="exact"/>
        <w:rPr>
          <w:rFonts w:ascii="Arial" w:cs="Arial" w:eastAsia="Arial" w:hAnsi="Arial"/>
          <w:sz w:val="12"/>
          <w:szCs w:val="12"/>
          <w:color w:val="231F20"/>
        </w:rPr>
      </w:pPr>
    </w:p>
    <w:p>
      <w:pPr>
        <w:ind w:left="466" w:hanging="186"/>
        <w:spacing w:after="0"/>
        <w:tabs>
          <w:tab w:leader="none" w:pos="466" w:val="left"/>
        </w:tabs>
        <w:numPr>
          <w:ilvl w:val="1"/>
          <w:numId w:val="79"/>
        </w:numPr>
        <w:rPr>
          <w:rFonts w:ascii="Arial" w:cs="Arial" w:eastAsia="Arial" w:hAnsi="Arial"/>
          <w:sz w:val="12"/>
          <w:szCs w:val="12"/>
          <w:color w:val="231F20"/>
        </w:rPr>
      </w:pPr>
      <w:r>
        <w:rPr>
          <w:rFonts w:ascii="Arial" w:cs="Arial" w:eastAsia="Arial" w:hAnsi="Arial"/>
          <w:sz w:val="12"/>
          <w:szCs w:val="12"/>
          <w:color w:val="231F20"/>
        </w:rPr>
        <w:t>Plan Administrator.</w:t>
      </w:r>
    </w:p>
    <w:p>
      <w:pPr>
        <w:sectPr>
          <w:pgSz w:w="11900" w:h="16838" w:orient="portrait"/>
          <w:cols w:equalWidth="0" w:num="1">
            <w:col w:w="11266"/>
          </w:cols>
          <w:pgMar w:left="314" w:top="1032" w:right="319" w:bottom="1440" w:gutter="0" w:footer="0" w:header="0"/>
        </w:sectPr>
      </w:pPr>
    </w:p>
    <w:bookmarkStart w:id="106" w:name="page107"/>
    <w:bookmarkEnd w:id="106"/>
    <w:p>
      <w:pPr>
        <w:jc w:val="both"/>
        <w:ind w:left="389" w:right="60" w:firstLine="1"/>
        <w:spacing w:after="0" w:line="257" w:lineRule="auto"/>
        <w:tabs>
          <w:tab w:leader="none" w:pos="534" w:val="left"/>
        </w:tabs>
        <w:numPr>
          <w:ilvl w:val="0"/>
          <w:numId w:val="80"/>
        </w:numPr>
        <w:rPr>
          <w:rFonts w:ascii="Arial" w:cs="Arial" w:eastAsia="Arial" w:hAnsi="Arial"/>
          <w:sz w:val="12"/>
          <w:szCs w:val="12"/>
          <w:color w:val="231F20"/>
        </w:rPr>
      </w:pPr>
      <w:r>
        <w:rPr>
          <w:rFonts w:ascii="Arial" w:cs="Arial" w:eastAsia="Arial" w:hAnsi="Arial"/>
          <w:sz w:val="12"/>
          <w:szCs w:val="12"/>
          <w:i w:val="1"/>
          <w:iCs w:val="1"/>
          <w:color w:val="231F20"/>
        </w:rPr>
        <w:t>Administration with Respect to Directors and Officers</w:t>
      </w:r>
      <w:r>
        <w:rPr>
          <w:rFonts w:ascii="Arial" w:cs="Arial" w:eastAsia="Arial" w:hAnsi="Arial"/>
          <w:sz w:val="12"/>
          <w:szCs w:val="12"/>
          <w:color w:val="231F20"/>
        </w:rPr>
        <w:t>. With respect to grants of Awards to Directors or Employees who are also Officers or Directors, the Plan shall be administered by (A) the</w:t>
      </w:r>
      <w:r>
        <w:rPr>
          <w:rFonts w:ascii="Arial" w:cs="Arial" w:eastAsia="Arial" w:hAnsi="Arial"/>
          <w:sz w:val="12"/>
          <w:szCs w:val="12"/>
          <w:i w:val="1"/>
          <w:iCs w:val="1"/>
          <w:color w:val="231F20"/>
        </w:rPr>
        <w:t xml:space="preserve"> </w:t>
      </w:r>
      <w:r>
        <w:rPr>
          <w:rFonts w:ascii="Arial" w:cs="Arial" w:eastAsia="Arial" w:hAnsi="Arial"/>
          <w:sz w:val="12"/>
          <w:szCs w:val="12"/>
          <w:color w:val="231F20"/>
        </w:rPr>
        <w:t>Board or (B) a Committee designated by the Board, which Committee shall be constituted in such a manner as to satisfy the Applicable Laws and to permit such grants and related transactions under the Plan to be exempt from Section 16(b) of the Exchange Act in accordance with Rule 16b-3. Once appointed, such Committee shall continue to serve in its designated capacity until otherwise directed by the Board.</w:t>
      </w:r>
    </w:p>
    <w:p>
      <w:pPr>
        <w:spacing w:after="0" w:line="180" w:lineRule="exact"/>
        <w:rPr>
          <w:rFonts w:ascii="Arial" w:cs="Arial" w:eastAsia="Arial" w:hAnsi="Arial"/>
          <w:sz w:val="12"/>
          <w:szCs w:val="12"/>
          <w:color w:val="231F20"/>
        </w:rPr>
      </w:pPr>
    </w:p>
    <w:p>
      <w:pPr>
        <w:jc w:val="both"/>
        <w:ind w:left="389" w:right="60" w:firstLine="1"/>
        <w:spacing w:after="0" w:line="254" w:lineRule="auto"/>
        <w:tabs>
          <w:tab w:leader="none" w:pos="573" w:val="left"/>
        </w:tabs>
        <w:numPr>
          <w:ilvl w:val="0"/>
          <w:numId w:val="80"/>
        </w:numPr>
        <w:rPr>
          <w:rFonts w:ascii="Arial" w:cs="Arial" w:eastAsia="Arial" w:hAnsi="Arial"/>
          <w:sz w:val="12"/>
          <w:szCs w:val="12"/>
          <w:color w:val="231F20"/>
        </w:rPr>
      </w:pPr>
      <w:r>
        <w:rPr>
          <w:rFonts w:ascii="Arial" w:cs="Arial" w:eastAsia="Arial" w:hAnsi="Arial"/>
          <w:sz w:val="12"/>
          <w:szCs w:val="12"/>
          <w:i w:val="1"/>
          <w:iCs w:val="1"/>
          <w:color w:val="231F20"/>
        </w:rPr>
        <w:t>Administration With Respect to Consultants and Other Employees</w:t>
      </w:r>
      <w:r>
        <w:rPr>
          <w:rFonts w:ascii="Arial" w:cs="Arial" w:eastAsia="Arial" w:hAnsi="Arial"/>
          <w:sz w:val="12"/>
          <w:szCs w:val="12"/>
          <w:color w:val="231F20"/>
        </w:rPr>
        <w:t>. With respect to grants of Awards to Employees or Consultants who are neither Directors nor Officers, the Plan shall be</w:t>
      </w:r>
      <w:r>
        <w:rPr>
          <w:rFonts w:ascii="Arial" w:cs="Arial" w:eastAsia="Arial" w:hAnsi="Arial"/>
          <w:sz w:val="12"/>
          <w:szCs w:val="12"/>
          <w:i w:val="1"/>
          <w:iCs w:val="1"/>
          <w:color w:val="231F20"/>
        </w:rPr>
        <w:t xml:space="preserve"> </w:t>
      </w:r>
      <w:r>
        <w:rPr>
          <w:rFonts w:ascii="Arial" w:cs="Arial" w:eastAsia="Arial" w:hAnsi="Arial"/>
          <w:sz w:val="12"/>
          <w:szCs w:val="12"/>
          <w:color w:val="231F20"/>
        </w:rPr>
        <w:t>administered by (A) the Board or (B) a Committee designated by the Board, which Committee shall be constituted in such a manner as to satisfy the Applicable Laws. Once appointed, such Committee shall continue to serve in its designated capacity until otherwise directed by the Board. Subject to Applicable Laws, the Board may authorize one or more Officers to grant such Awards and may limit such authority by requiring that such Awards must be reported to and ratified by the Board or a Committee within six (6) months of the grant date, and if so ratified, shall be effective as of the grant date.</w:t>
      </w:r>
    </w:p>
    <w:p>
      <w:pPr>
        <w:spacing w:after="0" w:line="328" w:lineRule="exact"/>
        <w:rPr>
          <w:sz w:val="20"/>
          <w:szCs w:val="20"/>
          <w:color w:val="auto"/>
        </w:rPr>
      </w:pPr>
    </w:p>
    <w:p>
      <w:pPr>
        <w:ind w:left="369" w:right="3620" w:firstLine="6"/>
        <w:spacing w:after="0" w:line="283" w:lineRule="auto"/>
        <w:tabs>
          <w:tab w:leader="none" w:pos="569" w:val="left"/>
        </w:tabs>
        <w:numPr>
          <w:ilvl w:val="1"/>
          <w:numId w:val="81"/>
        </w:numPr>
        <w:rPr>
          <w:rFonts w:ascii="Arial" w:cs="Arial" w:eastAsia="Arial" w:hAnsi="Arial"/>
          <w:sz w:val="12"/>
          <w:szCs w:val="12"/>
          <w:color w:val="231F20"/>
        </w:rPr>
      </w:pPr>
      <w:r>
        <w:rPr>
          <w:rFonts w:ascii="Arial" w:cs="Arial" w:eastAsia="Arial" w:hAnsi="Arial"/>
          <w:sz w:val="12"/>
          <w:szCs w:val="12"/>
          <w:i w:val="1"/>
          <w:iCs w:val="1"/>
          <w:color w:val="231F20"/>
        </w:rPr>
        <w:t>Administration Errors</w:t>
      </w:r>
      <w:r>
        <w:rPr>
          <w:rFonts w:ascii="Arial" w:cs="Arial" w:eastAsia="Arial" w:hAnsi="Arial"/>
          <w:sz w:val="12"/>
          <w:szCs w:val="12"/>
          <w:color w:val="231F20"/>
        </w:rPr>
        <w:t>. In the event an Award is granted in a manner inconsistent with the provisions of this subsection (a), such</w:t>
      </w:r>
      <w:r>
        <w:rPr>
          <w:rFonts w:ascii="Arial" w:cs="Arial" w:eastAsia="Arial" w:hAnsi="Arial"/>
          <w:sz w:val="12"/>
          <w:szCs w:val="12"/>
          <w:i w:val="1"/>
          <w:iCs w:val="1"/>
          <w:color w:val="231F20"/>
        </w:rPr>
        <w:t xml:space="preserve"> </w:t>
      </w:r>
      <w:r>
        <w:rPr>
          <w:rFonts w:ascii="Arial" w:cs="Arial" w:eastAsia="Arial" w:hAnsi="Arial"/>
          <w:sz w:val="12"/>
          <w:szCs w:val="12"/>
          <w:color w:val="231F20"/>
        </w:rPr>
        <w:t>Award shall be presumptively valid as of its grant date to the extent permitted by the Applicable Laws.</w:t>
      </w:r>
    </w:p>
    <w:p>
      <w:pPr>
        <w:spacing w:after="0" w:line="165" w:lineRule="exact"/>
        <w:rPr>
          <w:rFonts w:ascii="Arial" w:cs="Arial" w:eastAsia="Arial" w:hAnsi="Arial"/>
          <w:sz w:val="12"/>
          <w:szCs w:val="12"/>
          <w:color w:val="231F20"/>
        </w:rPr>
      </w:pPr>
    </w:p>
    <w:p>
      <w:pPr>
        <w:ind w:left="189" w:right="240" w:hanging="2"/>
        <w:spacing w:after="0" w:line="283" w:lineRule="auto"/>
        <w:tabs>
          <w:tab w:leader="none" w:pos="376" w:val="left"/>
        </w:tabs>
        <w:numPr>
          <w:ilvl w:val="0"/>
          <w:numId w:val="82"/>
        </w:numPr>
        <w:rPr>
          <w:rFonts w:ascii="Arial" w:cs="Arial" w:eastAsia="Arial" w:hAnsi="Arial"/>
          <w:sz w:val="12"/>
          <w:szCs w:val="12"/>
          <w:color w:val="231F20"/>
        </w:rPr>
      </w:pPr>
      <w:r>
        <w:rPr>
          <w:rFonts w:ascii="Arial" w:cs="Arial" w:eastAsia="Arial" w:hAnsi="Arial"/>
          <w:sz w:val="12"/>
          <w:szCs w:val="12"/>
          <w:i w:val="1"/>
          <w:iCs w:val="1"/>
          <w:color w:val="231F20"/>
        </w:rPr>
        <w:t>Powers of the Administrator</w:t>
      </w:r>
      <w:r>
        <w:rPr>
          <w:rFonts w:ascii="Arial" w:cs="Arial" w:eastAsia="Arial" w:hAnsi="Arial"/>
          <w:sz w:val="12"/>
          <w:szCs w:val="12"/>
          <w:color w:val="231F20"/>
        </w:rPr>
        <w:t>. Subject to Applicable Laws and the provisions of the Plan (including any other powers given to the Admin- istrator hereunder), and except as otherwise provided by</w:t>
      </w:r>
      <w:r>
        <w:rPr>
          <w:rFonts w:ascii="Arial" w:cs="Arial" w:eastAsia="Arial" w:hAnsi="Arial"/>
          <w:sz w:val="12"/>
          <w:szCs w:val="12"/>
          <w:i w:val="1"/>
          <w:iCs w:val="1"/>
          <w:color w:val="231F20"/>
        </w:rPr>
        <w:t xml:space="preserve"> </w:t>
      </w:r>
      <w:r>
        <w:rPr>
          <w:rFonts w:ascii="Arial" w:cs="Arial" w:eastAsia="Arial" w:hAnsi="Arial"/>
          <w:sz w:val="12"/>
          <w:szCs w:val="12"/>
          <w:color w:val="231F20"/>
        </w:rPr>
        <w:t>the Board, the Administrator shall have the authority, in its discretion:</w:t>
      </w:r>
    </w:p>
    <w:p>
      <w:pPr>
        <w:spacing w:after="0" w:line="177" w:lineRule="exact"/>
        <w:rPr>
          <w:rFonts w:ascii="Arial" w:cs="Arial" w:eastAsia="Arial" w:hAnsi="Arial"/>
          <w:sz w:val="12"/>
          <w:szCs w:val="12"/>
          <w:color w:val="231F20"/>
        </w:rPr>
      </w:pPr>
    </w:p>
    <w:p>
      <w:pPr>
        <w:ind w:left="529" w:hanging="154"/>
        <w:spacing w:after="0"/>
        <w:tabs>
          <w:tab w:leader="none" w:pos="529" w:val="left"/>
        </w:tabs>
        <w:numPr>
          <w:ilvl w:val="1"/>
          <w:numId w:val="82"/>
        </w:numPr>
        <w:rPr>
          <w:rFonts w:ascii="Arial" w:cs="Arial" w:eastAsia="Arial" w:hAnsi="Arial"/>
          <w:sz w:val="12"/>
          <w:szCs w:val="12"/>
          <w:color w:val="231F20"/>
        </w:rPr>
      </w:pPr>
      <w:r>
        <w:rPr>
          <w:rFonts w:ascii="Arial" w:cs="Arial" w:eastAsia="Arial" w:hAnsi="Arial"/>
          <w:sz w:val="12"/>
          <w:szCs w:val="12"/>
          <w:color w:val="231F20"/>
        </w:rPr>
        <w:t>to select the Employees, Directors and Consultants to whom Awards may be granted from time to time hereunder; (ii) to determine whether and to what extent Awards are granted hereunder;</w:t>
      </w:r>
    </w:p>
    <w:p>
      <w:pPr>
        <w:spacing w:after="0" w:line="212" w:lineRule="exact"/>
        <w:rPr>
          <w:rFonts w:ascii="Arial" w:cs="Arial" w:eastAsia="Arial" w:hAnsi="Arial"/>
          <w:sz w:val="12"/>
          <w:szCs w:val="12"/>
          <w:color w:val="231F20"/>
        </w:rPr>
      </w:pPr>
    </w:p>
    <w:p>
      <w:pPr>
        <w:ind w:left="569" w:hanging="194"/>
        <w:spacing w:after="0"/>
        <w:tabs>
          <w:tab w:leader="none" w:pos="569" w:val="left"/>
        </w:tabs>
        <w:numPr>
          <w:ilvl w:val="1"/>
          <w:numId w:val="83"/>
        </w:numPr>
        <w:rPr>
          <w:rFonts w:ascii="Arial" w:cs="Arial" w:eastAsia="Arial" w:hAnsi="Arial"/>
          <w:sz w:val="12"/>
          <w:szCs w:val="12"/>
          <w:color w:val="231F20"/>
        </w:rPr>
      </w:pPr>
      <w:r>
        <w:rPr>
          <w:rFonts w:ascii="Arial" w:cs="Arial" w:eastAsia="Arial" w:hAnsi="Arial"/>
          <w:sz w:val="12"/>
          <w:szCs w:val="12"/>
          <w:color w:val="231F20"/>
        </w:rPr>
        <w:t>to determine the number of Shares or the amount of other consideration to be covered by each Award granted hereunder; (iv) to determine the Fair Market Value;</w:t>
      </w:r>
    </w:p>
    <w:p>
      <w:pPr>
        <w:spacing w:after="0" w:line="212" w:lineRule="exact"/>
        <w:rPr>
          <w:rFonts w:ascii="Arial" w:cs="Arial" w:eastAsia="Arial" w:hAnsi="Arial"/>
          <w:sz w:val="12"/>
          <w:szCs w:val="12"/>
          <w:color w:val="231F20"/>
        </w:rPr>
      </w:pPr>
    </w:p>
    <w:p>
      <w:pPr>
        <w:ind w:left="549" w:hanging="174"/>
        <w:spacing w:after="0"/>
        <w:tabs>
          <w:tab w:leader="none" w:pos="549" w:val="left"/>
        </w:tabs>
        <w:numPr>
          <w:ilvl w:val="1"/>
          <w:numId w:val="84"/>
        </w:numPr>
        <w:rPr>
          <w:rFonts w:ascii="Arial" w:cs="Arial" w:eastAsia="Arial" w:hAnsi="Arial"/>
          <w:sz w:val="12"/>
          <w:szCs w:val="12"/>
          <w:color w:val="231F20"/>
        </w:rPr>
      </w:pPr>
      <w:r>
        <w:rPr>
          <w:rFonts w:ascii="Arial" w:cs="Arial" w:eastAsia="Arial" w:hAnsi="Arial"/>
          <w:sz w:val="12"/>
          <w:szCs w:val="12"/>
          <w:color w:val="231F20"/>
        </w:rPr>
        <w:t>to approve forms of Award Agreement for use under the Plan;</w:t>
      </w:r>
    </w:p>
    <w:p>
      <w:pPr>
        <w:spacing w:after="0" w:line="212" w:lineRule="exact"/>
        <w:rPr>
          <w:rFonts w:ascii="Arial" w:cs="Arial" w:eastAsia="Arial" w:hAnsi="Arial"/>
          <w:sz w:val="12"/>
          <w:szCs w:val="12"/>
          <w:color w:val="231F20"/>
        </w:rPr>
      </w:pPr>
    </w:p>
    <w:p>
      <w:pPr>
        <w:ind w:left="369"/>
        <w:spacing w:after="0"/>
        <w:rPr>
          <w:rFonts w:ascii="Arial" w:cs="Arial" w:eastAsia="Arial" w:hAnsi="Arial"/>
          <w:sz w:val="12"/>
          <w:szCs w:val="12"/>
          <w:color w:val="231F20"/>
        </w:rPr>
      </w:pPr>
      <w:r>
        <w:rPr>
          <w:rFonts w:ascii="Arial" w:cs="Arial" w:eastAsia="Arial" w:hAnsi="Arial"/>
          <w:sz w:val="12"/>
          <w:szCs w:val="12"/>
          <w:color w:val="231F20"/>
        </w:rPr>
        <w:t>(vi) to determine the terms and conditions of any Award granted hereunder;</w:t>
      </w:r>
    </w:p>
    <w:p>
      <w:pPr>
        <w:spacing w:after="0" w:line="213" w:lineRule="exact"/>
        <w:rPr>
          <w:sz w:val="20"/>
          <w:szCs w:val="20"/>
          <w:color w:val="auto"/>
        </w:rPr>
      </w:pPr>
    </w:p>
    <w:p>
      <w:pPr>
        <w:jc w:val="both"/>
        <w:ind w:left="369" w:firstLine="6"/>
        <w:spacing w:after="0" w:line="253" w:lineRule="auto"/>
        <w:tabs>
          <w:tab w:leader="none" w:pos="616" w:val="left"/>
        </w:tabs>
        <w:numPr>
          <w:ilvl w:val="2"/>
          <w:numId w:val="85"/>
        </w:numPr>
        <w:rPr>
          <w:rFonts w:ascii="Arial" w:cs="Arial" w:eastAsia="Arial" w:hAnsi="Arial"/>
          <w:sz w:val="12"/>
          <w:szCs w:val="12"/>
          <w:color w:val="231F20"/>
        </w:rPr>
      </w:pPr>
      <w:r>
        <w:rPr>
          <w:rFonts w:ascii="Arial" w:cs="Arial" w:eastAsia="Arial" w:hAnsi="Arial"/>
          <w:sz w:val="12"/>
          <w:szCs w:val="12"/>
          <w:color w:val="231F20"/>
        </w:rPr>
        <w:t>to modify or amend the terms of any outstanding Award granted under the Plan in any lawful way, provided that any amendment that would adversely affect the Grantee’s rights under an outstanding Award shall not be made without the Grantee’s written consent; provided, however, that any provision of the Plan to the contrary notwithstanding, the Administrator shall not have the authority to reprice any outstanding Option, it being understood that “reprice” shall mean to amend any outstanding Option to reduce the exercise price;</w:t>
      </w:r>
    </w:p>
    <w:p>
      <w:pPr>
        <w:spacing w:after="0" w:line="195" w:lineRule="exact"/>
        <w:rPr>
          <w:rFonts w:ascii="Arial" w:cs="Arial" w:eastAsia="Arial" w:hAnsi="Arial"/>
          <w:sz w:val="12"/>
          <w:szCs w:val="12"/>
          <w:color w:val="231F20"/>
        </w:rPr>
      </w:pPr>
    </w:p>
    <w:p>
      <w:pPr>
        <w:ind w:left="629" w:hanging="254"/>
        <w:spacing w:after="0"/>
        <w:tabs>
          <w:tab w:leader="none" w:pos="629" w:val="left"/>
        </w:tabs>
        <w:numPr>
          <w:ilvl w:val="2"/>
          <w:numId w:val="85"/>
        </w:numPr>
        <w:rPr>
          <w:rFonts w:ascii="Arial" w:cs="Arial" w:eastAsia="Arial" w:hAnsi="Arial"/>
          <w:sz w:val="12"/>
          <w:szCs w:val="12"/>
          <w:color w:val="231F20"/>
        </w:rPr>
      </w:pPr>
      <w:r>
        <w:rPr>
          <w:rFonts w:ascii="Arial" w:cs="Arial" w:eastAsia="Arial" w:hAnsi="Arial"/>
          <w:sz w:val="12"/>
          <w:szCs w:val="12"/>
          <w:color w:val="231F20"/>
        </w:rPr>
        <w:t>to construe and interpret the terms of the Plan and Awards granted pursuant to the Plan;</w:t>
      </w:r>
    </w:p>
    <w:p>
      <w:pPr>
        <w:spacing w:after="0" w:line="212" w:lineRule="exact"/>
        <w:rPr>
          <w:rFonts w:ascii="Arial" w:cs="Arial" w:eastAsia="Arial" w:hAnsi="Arial"/>
          <w:sz w:val="12"/>
          <w:szCs w:val="12"/>
          <w:color w:val="231F20"/>
        </w:rPr>
      </w:pPr>
    </w:p>
    <w:p>
      <w:pPr>
        <w:jc w:val="both"/>
        <w:ind w:left="369" w:firstLine="6"/>
        <w:spacing w:after="0" w:line="246" w:lineRule="auto"/>
        <w:tabs>
          <w:tab w:leader="none" w:pos="583" w:val="left"/>
        </w:tabs>
        <w:numPr>
          <w:ilvl w:val="2"/>
          <w:numId w:val="85"/>
        </w:numPr>
        <w:rPr>
          <w:rFonts w:ascii="Arial" w:cs="Arial" w:eastAsia="Arial" w:hAnsi="Arial"/>
          <w:sz w:val="12"/>
          <w:szCs w:val="12"/>
          <w:color w:val="231F20"/>
        </w:rPr>
      </w:pPr>
      <w:r>
        <w:rPr>
          <w:rFonts w:ascii="Arial" w:cs="Arial" w:eastAsia="Arial" w:hAnsi="Arial"/>
          <w:sz w:val="12"/>
          <w:szCs w:val="12"/>
          <w:color w:val="231F20"/>
        </w:rPr>
        <w:t>notwithstanding any provision of the Plan to the contrary, in order to facilitate compliance with the tax, securities, foreign exchange, probate or other applicable provisions of the laws in other countries in which the Company or its Affiliates operate or have key employees or directors, the Administrator, in its discretion, shall have the power and authority to (A) determine which (if any) Employees, Directors, and/or Consultants rendering services or employed outside the U.S. are eligible to participate in the Plan or to receive any type of Award hereunder; (B) determine which non-U.S.-based Affiliates or operations (</w:t>
      </w:r>
      <w:r>
        <w:rPr>
          <w:rFonts w:ascii="Arial" w:cs="Arial" w:eastAsia="Arial" w:hAnsi="Arial"/>
          <w:sz w:val="12"/>
          <w:szCs w:val="12"/>
          <w:i w:val="1"/>
          <w:iCs w:val="1"/>
          <w:color w:val="231F20"/>
        </w:rPr>
        <w:t>e.g.</w:t>
      </w:r>
      <w:r>
        <w:rPr>
          <w:rFonts w:ascii="Arial" w:cs="Arial" w:eastAsia="Arial" w:hAnsi="Arial"/>
          <w:sz w:val="12"/>
          <w:szCs w:val="12"/>
          <w:color w:val="231F20"/>
        </w:rPr>
        <w:t>, branches, representative offices) participate in the Plan or any type of Award hereunder; (C) modify the terms and conditions of any Awards made to such Employees, Directors, and/or Consultants, or with respect to such non-U.S.-based Affiliates or operations; and (D) establish sub-plans, modify methods of exercise, modify payment restrictions on sale or transfer of Shares and other terms and procedures to the extent deemed necessary or desirable by the Administrator to comply with Applicable Laws of the non-U.S. jurisdiction. The Administrator shall not, however, have the power or authority to amend the Plan with respect to the maximum aggregate number of Shares that may be issued under the Plan as set forth in Section 3(a), increase the Award limits as set forth in Sections 6, 7 and 8; or lengthen the term of an Option set forth in Section 6(c); and</w:t>
      </w:r>
    </w:p>
    <w:p>
      <w:pPr>
        <w:spacing w:after="0" w:line="201" w:lineRule="exact"/>
        <w:rPr>
          <w:rFonts w:ascii="Arial" w:cs="Arial" w:eastAsia="Arial" w:hAnsi="Arial"/>
          <w:sz w:val="12"/>
          <w:szCs w:val="12"/>
          <w:color w:val="231F20"/>
        </w:rPr>
      </w:pPr>
    </w:p>
    <w:p>
      <w:pPr>
        <w:ind w:left="549" w:hanging="174"/>
        <w:spacing w:after="0"/>
        <w:tabs>
          <w:tab w:leader="none" w:pos="549" w:val="left"/>
        </w:tabs>
        <w:numPr>
          <w:ilvl w:val="2"/>
          <w:numId w:val="85"/>
        </w:numPr>
        <w:rPr>
          <w:rFonts w:ascii="Arial" w:cs="Arial" w:eastAsia="Arial" w:hAnsi="Arial"/>
          <w:sz w:val="12"/>
          <w:szCs w:val="12"/>
          <w:color w:val="231F20"/>
        </w:rPr>
      </w:pPr>
      <w:r>
        <w:rPr>
          <w:rFonts w:ascii="Arial" w:cs="Arial" w:eastAsia="Arial" w:hAnsi="Arial"/>
          <w:sz w:val="12"/>
          <w:szCs w:val="12"/>
          <w:color w:val="231F20"/>
        </w:rPr>
        <w:t>to take such other action, not inconsistent with the terms of the Plan, as the Administrator deems appropriate.</w:t>
      </w:r>
    </w:p>
    <w:p>
      <w:pPr>
        <w:spacing w:after="0" w:line="200" w:lineRule="exact"/>
        <w:rPr>
          <w:rFonts w:ascii="Arial" w:cs="Arial" w:eastAsia="Arial" w:hAnsi="Arial"/>
          <w:sz w:val="12"/>
          <w:szCs w:val="12"/>
          <w:color w:val="231F20"/>
        </w:rPr>
      </w:pPr>
    </w:p>
    <w:p>
      <w:pPr>
        <w:ind w:left="369" w:hanging="182"/>
        <w:spacing w:after="0"/>
        <w:tabs>
          <w:tab w:leader="none" w:pos="369" w:val="left"/>
        </w:tabs>
        <w:numPr>
          <w:ilvl w:val="1"/>
          <w:numId w:val="86"/>
        </w:numPr>
        <w:rPr>
          <w:rFonts w:ascii="Arial" w:cs="Arial" w:eastAsia="Arial" w:hAnsi="Arial"/>
          <w:sz w:val="12"/>
          <w:szCs w:val="12"/>
          <w:color w:val="231F20"/>
        </w:rPr>
      </w:pPr>
      <w:r>
        <w:rPr>
          <w:rFonts w:ascii="Arial" w:cs="Arial" w:eastAsia="Arial" w:hAnsi="Arial"/>
          <w:sz w:val="12"/>
          <w:szCs w:val="12"/>
          <w:i w:val="1"/>
          <w:iCs w:val="1"/>
          <w:color w:val="231F20"/>
        </w:rPr>
        <w:t>Effect of Administrator’s Decision</w:t>
      </w:r>
      <w:r>
        <w:rPr>
          <w:rFonts w:ascii="Arial" w:cs="Arial" w:eastAsia="Arial" w:hAnsi="Arial"/>
          <w:sz w:val="12"/>
          <w:szCs w:val="12"/>
          <w:color w:val="231F20"/>
        </w:rPr>
        <w:t>. All decisions, determinations and interpretations of the Administrator shall be conclusive and binding on all persons.</w:t>
      </w:r>
    </w:p>
    <w:p>
      <w:pPr>
        <w:spacing w:after="0" w:line="212" w:lineRule="exact"/>
        <w:rPr>
          <w:rFonts w:ascii="Arial" w:cs="Arial" w:eastAsia="Arial" w:hAnsi="Arial"/>
          <w:sz w:val="12"/>
          <w:szCs w:val="12"/>
          <w:color w:val="231F20"/>
        </w:rPr>
      </w:pPr>
    </w:p>
    <w:p>
      <w:pPr>
        <w:jc w:val="both"/>
        <w:ind w:left="9" w:right="60" w:hanging="9"/>
        <w:spacing w:after="0" w:line="251" w:lineRule="auto"/>
        <w:tabs>
          <w:tab w:leader="none" w:pos="159" w:val="left"/>
        </w:tabs>
        <w:numPr>
          <w:ilvl w:val="0"/>
          <w:numId w:val="87"/>
        </w:numPr>
        <w:rPr>
          <w:rFonts w:ascii="Arial" w:cs="Arial" w:eastAsia="Arial" w:hAnsi="Arial"/>
          <w:sz w:val="12"/>
          <w:szCs w:val="12"/>
          <w:color w:val="231F20"/>
        </w:rPr>
      </w:pPr>
      <w:r>
        <w:rPr>
          <w:rFonts w:ascii="Arial" w:cs="Arial" w:eastAsia="Arial" w:hAnsi="Arial"/>
          <w:sz w:val="12"/>
          <w:szCs w:val="12"/>
          <w:i w:val="1"/>
          <w:iCs w:val="1"/>
          <w:color w:val="231F20"/>
        </w:rPr>
        <w:t>Eligibility</w:t>
      </w:r>
      <w:r>
        <w:rPr>
          <w:rFonts w:ascii="Arial" w:cs="Arial" w:eastAsia="Arial" w:hAnsi="Arial"/>
          <w:sz w:val="12"/>
          <w:szCs w:val="12"/>
          <w:color w:val="231F20"/>
        </w:rPr>
        <w:t>. Non-Qualified Stock Options, Restricted Stock and Restricted Stock Units may be granted to Employees, Directors and Consultants, which awards need not be identical. Employees</w:t>
      </w:r>
      <w:r>
        <w:rPr>
          <w:rFonts w:ascii="Arial" w:cs="Arial" w:eastAsia="Arial" w:hAnsi="Arial"/>
          <w:sz w:val="12"/>
          <w:szCs w:val="12"/>
          <w:i w:val="1"/>
          <w:iCs w:val="1"/>
          <w:color w:val="231F20"/>
        </w:rPr>
        <w:t xml:space="preserve"> </w:t>
      </w:r>
      <w:r>
        <w:rPr>
          <w:rFonts w:ascii="Arial" w:cs="Arial" w:eastAsia="Arial" w:hAnsi="Arial"/>
          <w:sz w:val="12"/>
          <w:szCs w:val="12"/>
          <w:color w:val="231F20"/>
        </w:rPr>
        <w:t>providing services to an Affiliate that is not a Subsidiary are not eligible to receive Options, SARs or other “stock rights” within the meaning of Section 409A, unless (i) the Grantee is not a U.S. Taxpayer or (ii) the Committee determines that the Option, SAR or stock right is exempt from, or may be granted in compliance with, Section 409A. An Employee, Director or Consultant who has been granted an Award may, if otherwise eligible, be granted additional Awards. Awards may be granted to such Employees, Directors and Consultants who are residing in non-U.S. jurisdictions as the Administrator may determine from time to time. Designation of a Grantee in any year shall not require the Administrator to designate such person to receive an Award in any other year or, once designated, to receive the same type or amount of Award as granted to the Grantee in any other year.</w:t>
      </w:r>
    </w:p>
    <w:p>
      <w:pPr>
        <w:spacing w:after="0" w:line="186" w:lineRule="exact"/>
        <w:rPr>
          <w:rFonts w:ascii="Arial" w:cs="Arial" w:eastAsia="Arial" w:hAnsi="Arial"/>
          <w:sz w:val="12"/>
          <w:szCs w:val="12"/>
          <w:color w:val="231F20"/>
        </w:rPr>
      </w:pPr>
    </w:p>
    <w:p>
      <w:pPr>
        <w:ind w:left="129" w:hanging="129"/>
        <w:spacing w:after="0"/>
        <w:tabs>
          <w:tab w:leader="none" w:pos="129" w:val="left"/>
        </w:tabs>
        <w:numPr>
          <w:ilvl w:val="0"/>
          <w:numId w:val="87"/>
        </w:numPr>
        <w:rPr>
          <w:rFonts w:ascii="Arial" w:cs="Arial" w:eastAsia="Arial" w:hAnsi="Arial"/>
          <w:sz w:val="12"/>
          <w:szCs w:val="12"/>
          <w:color w:val="231F20"/>
        </w:rPr>
      </w:pPr>
      <w:r>
        <w:rPr>
          <w:rFonts w:ascii="Arial" w:cs="Arial" w:eastAsia="Arial" w:hAnsi="Arial"/>
          <w:sz w:val="12"/>
          <w:szCs w:val="12"/>
          <w:i w:val="1"/>
          <w:iCs w:val="1"/>
          <w:color w:val="231F20"/>
        </w:rPr>
        <w:t>Terms and Conditions of Options</w:t>
      </w:r>
      <w:r>
        <w:rPr>
          <w:rFonts w:ascii="Arial" w:cs="Arial" w:eastAsia="Arial" w:hAnsi="Arial"/>
          <w:sz w:val="12"/>
          <w:szCs w:val="12"/>
          <w:color w:val="231F20"/>
        </w:rPr>
        <w:t>.</w:t>
      </w:r>
    </w:p>
    <w:p>
      <w:pPr>
        <w:spacing w:after="0" w:line="212" w:lineRule="exact"/>
        <w:rPr>
          <w:rFonts w:ascii="Arial" w:cs="Arial" w:eastAsia="Arial" w:hAnsi="Arial"/>
          <w:sz w:val="12"/>
          <w:szCs w:val="12"/>
          <w:color w:val="231F20"/>
        </w:rPr>
      </w:pPr>
    </w:p>
    <w:p>
      <w:pPr>
        <w:ind w:left="189" w:right="60" w:hanging="2"/>
        <w:spacing w:after="0" w:line="283" w:lineRule="auto"/>
        <w:tabs>
          <w:tab w:leader="none" w:pos="387" w:val="left"/>
        </w:tabs>
        <w:numPr>
          <w:ilvl w:val="1"/>
          <w:numId w:val="87"/>
        </w:numPr>
        <w:rPr>
          <w:rFonts w:ascii="Arial" w:cs="Arial" w:eastAsia="Arial" w:hAnsi="Arial"/>
          <w:sz w:val="12"/>
          <w:szCs w:val="12"/>
          <w:color w:val="231F20"/>
        </w:rPr>
      </w:pPr>
      <w:r>
        <w:rPr>
          <w:rFonts w:ascii="Arial" w:cs="Arial" w:eastAsia="Arial" w:hAnsi="Arial"/>
          <w:sz w:val="12"/>
          <w:szCs w:val="12"/>
          <w:i w:val="1"/>
          <w:iCs w:val="1"/>
          <w:color w:val="231F20"/>
        </w:rPr>
        <w:t>Conditions of Option</w:t>
      </w:r>
      <w:r>
        <w:rPr>
          <w:rFonts w:ascii="Arial" w:cs="Arial" w:eastAsia="Arial" w:hAnsi="Arial"/>
          <w:sz w:val="12"/>
          <w:szCs w:val="12"/>
          <w:color w:val="231F20"/>
        </w:rPr>
        <w:t>. Subject to the terms of the Plan, the Administrator will determine the provisions, terms and conditions of each Option including, but not limited to, the Option vesting</w:t>
      </w:r>
      <w:r>
        <w:rPr>
          <w:rFonts w:ascii="Arial" w:cs="Arial" w:eastAsia="Arial" w:hAnsi="Arial"/>
          <w:sz w:val="12"/>
          <w:szCs w:val="12"/>
          <w:i w:val="1"/>
          <w:iCs w:val="1"/>
          <w:color w:val="231F20"/>
        </w:rPr>
        <w:t xml:space="preserve"> </w:t>
      </w:r>
      <w:r>
        <w:rPr>
          <w:rFonts w:ascii="Arial" w:cs="Arial" w:eastAsia="Arial" w:hAnsi="Arial"/>
          <w:sz w:val="12"/>
          <w:szCs w:val="12"/>
          <w:color w:val="231F20"/>
        </w:rPr>
        <w:t>schedule, form of payment upon exercise of the Option and satisfaction of any performance criteria.</w:t>
      </w:r>
    </w:p>
    <w:p>
      <w:pPr>
        <w:sectPr>
          <w:pgSz w:w="11900" w:h="16838" w:orient="portrait"/>
          <w:cols w:equalWidth="0" w:num="1">
            <w:col w:w="11189"/>
          </w:cols>
          <w:pgMar w:left="391" w:top="822" w:right="319" w:bottom="1440" w:gutter="0" w:footer="0" w:header="0"/>
        </w:sectPr>
      </w:pPr>
    </w:p>
    <w:bookmarkStart w:id="107" w:name="page108"/>
    <w:bookmarkEnd w:id="107"/>
    <w:p>
      <w:pPr>
        <w:ind w:left="2" w:right="60" w:hanging="2"/>
        <w:spacing w:after="0" w:line="283" w:lineRule="auto"/>
        <w:tabs>
          <w:tab w:leader="none" w:pos="189" w:val="left"/>
        </w:tabs>
        <w:numPr>
          <w:ilvl w:val="0"/>
          <w:numId w:val="88"/>
        </w:numPr>
        <w:rPr>
          <w:rFonts w:ascii="Arial" w:cs="Arial" w:eastAsia="Arial" w:hAnsi="Arial"/>
          <w:sz w:val="12"/>
          <w:szCs w:val="12"/>
          <w:color w:val="231F20"/>
        </w:rPr>
      </w:pPr>
      <w:r>
        <w:rPr>
          <w:rFonts w:ascii="Arial" w:cs="Arial" w:eastAsia="Arial" w:hAnsi="Arial"/>
          <w:sz w:val="12"/>
          <w:szCs w:val="12"/>
          <w:i w:val="1"/>
          <w:iCs w:val="1"/>
          <w:color w:val="231F20"/>
        </w:rPr>
        <w:t>Individual Option Limit</w:t>
      </w:r>
      <w:r>
        <w:rPr>
          <w:rFonts w:ascii="Arial" w:cs="Arial" w:eastAsia="Arial" w:hAnsi="Arial"/>
          <w:sz w:val="12"/>
          <w:szCs w:val="12"/>
          <w:color w:val="231F20"/>
        </w:rPr>
        <w:t>. The maximum number of Shares with respect to which Options may be granted to any individual in any Fiscal Year shall be 2,500,000. The foregoing limitation shall be</w:t>
      </w:r>
      <w:r>
        <w:rPr>
          <w:rFonts w:ascii="Arial" w:cs="Arial" w:eastAsia="Arial" w:hAnsi="Arial"/>
          <w:sz w:val="12"/>
          <w:szCs w:val="12"/>
          <w:i w:val="1"/>
          <w:iCs w:val="1"/>
          <w:color w:val="231F20"/>
        </w:rPr>
        <w:t xml:space="preserve"> </w:t>
      </w:r>
      <w:r>
        <w:rPr>
          <w:rFonts w:ascii="Arial" w:cs="Arial" w:eastAsia="Arial" w:hAnsi="Arial"/>
          <w:sz w:val="12"/>
          <w:szCs w:val="12"/>
          <w:color w:val="231F20"/>
        </w:rPr>
        <w:t>adjusted proportionately in connection with any change in the Company’s capitalization pursuant to Section 13.</w:t>
      </w:r>
    </w:p>
    <w:p>
      <w:pPr>
        <w:spacing w:after="0" w:line="165" w:lineRule="exact"/>
        <w:rPr>
          <w:rFonts w:ascii="Arial" w:cs="Arial" w:eastAsia="Arial" w:hAnsi="Arial"/>
          <w:sz w:val="12"/>
          <w:szCs w:val="12"/>
          <w:color w:val="231F20"/>
        </w:rPr>
      </w:pPr>
    </w:p>
    <w:p>
      <w:pPr>
        <w:ind w:left="182" w:hanging="182"/>
        <w:spacing w:after="0"/>
        <w:tabs>
          <w:tab w:leader="none" w:pos="182" w:val="left"/>
        </w:tabs>
        <w:numPr>
          <w:ilvl w:val="0"/>
          <w:numId w:val="88"/>
        </w:numPr>
        <w:rPr>
          <w:rFonts w:ascii="Arial" w:cs="Arial" w:eastAsia="Arial" w:hAnsi="Arial"/>
          <w:sz w:val="12"/>
          <w:szCs w:val="12"/>
          <w:color w:val="231F20"/>
        </w:rPr>
      </w:pPr>
      <w:r>
        <w:rPr>
          <w:rFonts w:ascii="Arial" w:cs="Arial" w:eastAsia="Arial" w:hAnsi="Arial"/>
          <w:sz w:val="12"/>
          <w:szCs w:val="12"/>
          <w:i w:val="1"/>
          <w:iCs w:val="1"/>
          <w:color w:val="231F20"/>
        </w:rPr>
        <w:t>Term of Option</w:t>
      </w:r>
      <w:r>
        <w:rPr>
          <w:rFonts w:ascii="Arial" w:cs="Arial" w:eastAsia="Arial" w:hAnsi="Arial"/>
          <w:sz w:val="12"/>
          <w:szCs w:val="12"/>
          <w:color w:val="231F20"/>
        </w:rPr>
        <w:t>. The Administrator will determine the term of each Option in its sole discretion, provided the term of an Option will not be more than ten (10) years from the date of grant.</w:t>
      </w:r>
    </w:p>
    <w:p>
      <w:pPr>
        <w:spacing w:after="0" w:line="212" w:lineRule="exact"/>
        <w:rPr>
          <w:rFonts w:ascii="Arial" w:cs="Arial" w:eastAsia="Arial" w:hAnsi="Arial"/>
          <w:sz w:val="12"/>
          <w:szCs w:val="12"/>
          <w:color w:val="231F20"/>
        </w:rPr>
      </w:pPr>
    </w:p>
    <w:p>
      <w:pPr>
        <w:ind w:left="182" w:hanging="182"/>
        <w:spacing w:after="0"/>
        <w:tabs>
          <w:tab w:leader="none" w:pos="182" w:val="left"/>
        </w:tabs>
        <w:numPr>
          <w:ilvl w:val="0"/>
          <w:numId w:val="88"/>
        </w:numPr>
        <w:rPr>
          <w:rFonts w:ascii="Arial" w:cs="Arial" w:eastAsia="Arial" w:hAnsi="Arial"/>
          <w:sz w:val="12"/>
          <w:szCs w:val="12"/>
          <w:color w:val="231F20"/>
        </w:rPr>
      </w:pPr>
      <w:r>
        <w:rPr>
          <w:rFonts w:ascii="Arial" w:cs="Arial" w:eastAsia="Arial" w:hAnsi="Arial"/>
          <w:sz w:val="12"/>
          <w:szCs w:val="12"/>
          <w:i w:val="1"/>
          <w:iCs w:val="1"/>
          <w:color w:val="231F20"/>
        </w:rPr>
        <w:t>Option Exercise Price, Consideration and Taxes</w:t>
      </w:r>
      <w:r>
        <w:rPr>
          <w:rFonts w:ascii="Arial" w:cs="Arial" w:eastAsia="Arial" w:hAnsi="Arial"/>
          <w:sz w:val="12"/>
          <w:szCs w:val="12"/>
          <w:color w:val="231F20"/>
        </w:rPr>
        <w:t>.</w:t>
      </w:r>
    </w:p>
    <w:p>
      <w:pPr>
        <w:spacing w:after="0" w:line="212" w:lineRule="exact"/>
        <w:rPr>
          <w:rFonts w:ascii="Arial" w:cs="Arial" w:eastAsia="Arial" w:hAnsi="Arial"/>
          <w:sz w:val="12"/>
          <w:szCs w:val="12"/>
          <w:color w:val="231F20"/>
        </w:rPr>
      </w:pPr>
    </w:p>
    <w:p>
      <w:pPr>
        <w:jc w:val="both"/>
        <w:ind w:left="162" w:right="20" w:hanging="5"/>
        <w:spacing w:after="0" w:line="263" w:lineRule="auto"/>
        <w:tabs>
          <w:tab w:leader="none" w:pos="318" w:val="left"/>
        </w:tabs>
        <w:numPr>
          <w:ilvl w:val="1"/>
          <w:numId w:val="88"/>
        </w:numPr>
        <w:rPr>
          <w:rFonts w:ascii="Arial" w:cs="Arial" w:eastAsia="Arial" w:hAnsi="Arial"/>
          <w:sz w:val="12"/>
          <w:szCs w:val="12"/>
          <w:color w:val="231F20"/>
        </w:rPr>
      </w:pPr>
      <w:r>
        <w:rPr>
          <w:rFonts w:ascii="Arial" w:cs="Arial" w:eastAsia="Arial" w:hAnsi="Arial"/>
          <w:sz w:val="12"/>
          <w:szCs w:val="12"/>
          <w:i w:val="1"/>
          <w:iCs w:val="1"/>
          <w:color w:val="231F20"/>
        </w:rPr>
        <w:t>Exercise Price</w:t>
      </w:r>
      <w:r>
        <w:rPr>
          <w:rFonts w:ascii="Arial" w:cs="Arial" w:eastAsia="Arial" w:hAnsi="Arial"/>
          <w:sz w:val="12"/>
          <w:szCs w:val="12"/>
          <w:color w:val="231F20"/>
        </w:rPr>
        <w:t>. The per Share exercise price for an Option shall be not less than one hundred percent (100%) of the Fair Market Value per Share on the date of grant. Notwithstanding the</w:t>
      </w:r>
      <w:r>
        <w:rPr>
          <w:rFonts w:ascii="Arial" w:cs="Arial" w:eastAsia="Arial" w:hAnsi="Arial"/>
          <w:sz w:val="12"/>
          <w:szCs w:val="12"/>
          <w:i w:val="1"/>
          <w:iCs w:val="1"/>
          <w:color w:val="231F20"/>
        </w:rPr>
        <w:t xml:space="preserve"> </w:t>
      </w:r>
      <w:r>
        <w:rPr>
          <w:rFonts w:ascii="Arial" w:cs="Arial" w:eastAsia="Arial" w:hAnsi="Arial"/>
          <w:sz w:val="12"/>
          <w:szCs w:val="12"/>
          <w:color w:val="231F20"/>
        </w:rPr>
        <w:t>foregoing, the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7" w:lineRule="exact"/>
        <w:rPr>
          <w:rFonts w:ascii="Arial" w:cs="Arial" w:eastAsia="Arial" w:hAnsi="Arial"/>
          <w:sz w:val="12"/>
          <w:szCs w:val="12"/>
          <w:color w:val="231F20"/>
        </w:rPr>
      </w:pPr>
    </w:p>
    <w:p>
      <w:pPr>
        <w:jc w:val="both"/>
        <w:ind w:left="182" w:right="60" w:firstLine="6"/>
        <w:spacing w:after="0" w:line="263" w:lineRule="auto"/>
        <w:tabs>
          <w:tab w:leader="none" w:pos="354" w:val="left"/>
        </w:tabs>
        <w:numPr>
          <w:ilvl w:val="2"/>
          <w:numId w:val="88"/>
        </w:numPr>
        <w:rPr>
          <w:rFonts w:ascii="Arial" w:cs="Arial" w:eastAsia="Arial" w:hAnsi="Arial"/>
          <w:sz w:val="12"/>
          <w:szCs w:val="12"/>
          <w:color w:val="231F20"/>
        </w:rPr>
      </w:pPr>
      <w:r>
        <w:rPr>
          <w:rFonts w:ascii="Arial" w:cs="Arial" w:eastAsia="Arial" w:hAnsi="Arial"/>
          <w:sz w:val="12"/>
          <w:szCs w:val="12"/>
          <w:i w:val="1"/>
          <w:iCs w:val="1"/>
          <w:color w:val="231F20"/>
        </w:rPr>
        <w:t>Consideration</w:t>
      </w:r>
      <w:r>
        <w:rPr>
          <w:rFonts w:ascii="Arial" w:cs="Arial" w:eastAsia="Arial" w:hAnsi="Arial"/>
          <w:sz w:val="12"/>
          <w:szCs w:val="12"/>
          <w:color w:val="231F20"/>
        </w:rPr>
        <w:t>. Subject to Applicable Laws, the consideration to be paid for the Shares to be issued upon exercise of an Option including the method of payment, shall be determined by the</w:t>
      </w:r>
      <w:r>
        <w:rPr>
          <w:rFonts w:ascii="Arial" w:cs="Arial" w:eastAsia="Arial" w:hAnsi="Arial"/>
          <w:sz w:val="12"/>
          <w:szCs w:val="12"/>
          <w:i w:val="1"/>
          <w:iCs w:val="1"/>
          <w:color w:val="231F20"/>
        </w:rPr>
        <w:t xml:space="preserve"> </w:t>
      </w:r>
      <w:r>
        <w:rPr>
          <w:rFonts w:ascii="Arial" w:cs="Arial" w:eastAsia="Arial" w:hAnsi="Arial"/>
          <w:sz w:val="12"/>
          <w:szCs w:val="12"/>
          <w:color w:val="231F20"/>
        </w:rPr>
        <w:t>Administrator. In addition to any other types of consideration the Administrator may determine, unless otherwise provided in the Award Agreement, the Administrator is authorized to accept as consideration for Shares issued under the Plan the following:</w:t>
      </w:r>
    </w:p>
    <w:p>
      <w:pPr>
        <w:spacing w:after="0" w:line="189" w:lineRule="exact"/>
        <w:rPr>
          <w:rFonts w:ascii="Arial" w:cs="Arial" w:eastAsia="Arial" w:hAnsi="Arial"/>
          <w:sz w:val="12"/>
          <w:szCs w:val="12"/>
          <w:color w:val="231F20"/>
        </w:rPr>
      </w:pPr>
    </w:p>
    <w:p>
      <w:pPr>
        <w:ind w:left="502" w:hanging="205"/>
        <w:spacing w:after="0"/>
        <w:tabs>
          <w:tab w:leader="none" w:pos="502" w:val="left"/>
        </w:tabs>
        <w:numPr>
          <w:ilvl w:val="3"/>
          <w:numId w:val="88"/>
        </w:numPr>
        <w:rPr>
          <w:rFonts w:ascii="Arial" w:cs="Arial" w:eastAsia="Arial" w:hAnsi="Arial"/>
          <w:sz w:val="12"/>
          <w:szCs w:val="12"/>
          <w:color w:val="231F20"/>
        </w:rPr>
      </w:pPr>
      <w:r>
        <w:rPr>
          <w:rFonts w:ascii="Arial" w:cs="Arial" w:eastAsia="Arial" w:hAnsi="Arial"/>
          <w:sz w:val="12"/>
          <w:szCs w:val="12"/>
          <w:color w:val="231F20"/>
        </w:rPr>
        <w:t>cash;</w:t>
      </w:r>
    </w:p>
    <w:p>
      <w:pPr>
        <w:spacing w:after="0" w:line="212" w:lineRule="exact"/>
        <w:rPr>
          <w:rFonts w:ascii="Arial" w:cs="Arial" w:eastAsia="Arial" w:hAnsi="Arial"/>
          <w:sz w:val="12"/>
          <w:szCs w:val="12"/>
          <w:color w:val="231F20"/>
        </w:rPr>
      </w:pPr>
    </w:p>
    <w:p>
      <w:pPr>
        <w:ind w:left="502" w:hanging="205"/>
        <w:spacing w:after="0"/>
        <w:tabs>
          <w:tab w:leader="none" w:pos="502" w:val="left"/>
        </w:tabs>
        <w:numPr>
          <w:ilvl w:val="3"/>
          <w:numId w:val="88"/>
        </w:numPr>
        <w:rPr>
          <w:rFonts w:ascii="Arial" w:cs="Arial" w:eastAsia="Arial" w:hAnsi="Arial"/>
          <w:sz w:val="12"/>
          <w:szCs w:val="12"/>
          <w:color w:val="231F20"/>
        </w:rPr>
      </w:pPr>
      <w:r>
        <w:rPr>
          <w:rFonts w:ascii="Arial" w:cs="Arial" w:eastAsia="Arial" w:hAnsi="Arial"/>
          <w:sz w:val="12"/>
          <w:szCs w:val="12"/>
          <w:color w:val="231F20"/>
        </w:rPr>
        <w:t>check;</w:t>
      </w:r>
    </w:p>
    <w:p>
      <w:pPr>
        <w:spacing w:after="0" w:line="224" w:lineRule="exact"/>
        <w:rPr>
          <w:rFonts w:ascii="Arial" w:cs="Arial" w:eastAsia="Arial" w:hAnsi="Arial"/>
          <w:sz w:val="12"/>
          <w:szCs w:val="12"/>
          <w:color w:val="231F20"/>
        </w:rPr>
      </w:pPr>
    </w:p>
    <w:p>
      <w:pPr>
        <w:jc w:val="both"/>
        <w:ind w:left="302" w:hanging="5"/>
        <w:spacing w:after="0" w:line="273" w:lineRule="auto"/>
        <w:tabs>
          <w:tab w:leader="none" w:pos="522" w:val="left"/>
        </w:tabs>
        <w:numPr>
          <w:ilvl w:val="3"/>
          <w:numId w:val="88"/>
        </w:numPr>
        <w:rPr>
          <w:rFonts w:ascii="Arial" w:cs="Arial" w:eastAsia="Arial" w:hAnsi="Arial"/>
          <w:sz w:val="12"/>
          <w:szCs w:val="12"/>
          <w:color w:val="231F20"/>
        </w:rPr>
      </w:pPr>
      <w:r>
        <w:rPr>
          <w:rFonts w:ascii="Arial" w:cs="Arial" w:eastAsia="Arial" w:hAnsi="Arial"/>
          <w:sz w:val="12"/>
          <w:szCs w:val="12"/>
          <w:color w:val="231F20"/>
        </w:rPr>
        <w:t>surrender of Shares (including withholding of Shares otherwise deliverable upon exercise of the Option) which have a Fair Market Value on the date of surrender equal to the aggregate exercise price of the Shares as to which said Option shall be exercised (but only to the extent that such exercise of the Option would not result in an accounting compensation charge with respect to the Shares used to pay the exercise price unless otherwise determined by the Administrator);</w:t>
      </w:r>
    </w:p>
    <w:p>
      <w:pPr>
        <w:spacing w:after="0" w:line="195" w:lineRule="exact"/>
        <w:rPr>
          <w:rFonts w:ascii="Arial" w:cs="Arial" w:eastAsia="Arial" w:hAnsi="Arial"/>
          <w:sz w:val="12"/>
          <w:szCs w:val="12"/>
          <w:color w:val="231F20"/>
        </w:rPr>
      </w:pPr>
    </w:p>
    <w:p>
      <w:pPr>
        <w:ind w:left="302" w:right="20" w:hanging="5"/>
        <w:spacing w:after="0" w:line="262" w:lineRule="auto"/>
        <w:tabs>
          <w:tab w:leader="none" w:pos="513" w:val="left"/>
        </w:tabs>
        <w:numPr>
          <w:ilvl w:val="3"/>
          <w:numId w:val="88"/>
        </w:numPr>
        <w:rPr>
          <w:rFonts w:ascii="Arial" w:cs="Arial" w:eastAsia="Arial" w:hAnsi="Arial"/>
          <w:sz w:val="12"/>
          <w:szCs w:val="12"/>
          <w:color w:val="231F20"/>
        </w:rPr>
      </w:pPr>
      <w:r>
        <w:rPr>
          <w:rFonts w:ascii="Arial" w:cs="Arial" w:eastAsia="Arial" w:hAnsi="Arial"/>
          <w:sz w:val="12"/>
          <w:szCs w:val="12"/>
          <w:color w:val="231F20"/>
        </w:rPr>
        <w:t>delivery of a properly executed exercise notice together with such other documentation as the Administrator and the broker, if applicable, shall require to effect an exercise of the Option and delivery to the Company of the sale proceeds required to pay the exercise price; or</w:t>
      </w:r>
    </w:p>
    <w:p>
      <w:pPr>
        <w:spacing w:after="0" w:line="189" w:lineRule="exact"/>
        <w:rPr>
          <w:rFonts w:ascii="Arial" w:cs="Arial" w:eastAsia="Arial" w:hAnsi="Arial"/>
          <w:sz w:val="12"/>
          <w:szCs w:val="12"/>
          <w:color w:val="231F20"/>
        </w:rPr>
      </w:pPr>
    </w:p>
    <w:p>
      <w:pPr>
        <w:ind w:left="502" w:hanging="205"/>
        <w:spacing w:after="0"/>
        <w:tabs>
          <w:tab w:leader="none" w:pos="502" w:val="left"/>
        </w:tabs>
        <w:numPr>
          <w:ilvl w:val="3"/>
          <w:numId w:val="88"/>
        </w:numPr>
        <w:rPr>
          <w:rFonts w:ascii="Arial" w:cs="Arial" w:eastAsia="Arial" w:hAnsi="Arial"/>
          <w:sz w:val="12"/>
          <w:szCs w:val="12"/>
          <w:color w:val="231F20"/>
        </w:rPr>
      </w:pPr>
      <w:r>
        <w:rPr>
          <w:rFonts w:ascii="Arial" w:cs="Arial" w:eastAsia="Arial" w:hAnsi="Arial"/>
          <w:sz w:val="12"/>
          <w:szCs w:val="12"/>
          <w:color w:val="231F20"/>
        </w:rPr>
        <w:t>any combination of the foregoing methods of payment.</w:t>
      </w:r>
    </w:p>
    <w:p>
      <w:pPr>
        <w:spacing w:after="0" w:line="200" w:lineRule="exact"/>
        <w:rPr>
          <w:rFonts w:ascii="Arial" w:cs="Arial" w:eastAsia="Arial" w:hAnsi="Arial"/>
          <w:sz w:val="12"/>
          <w:szCs w:val="12"/>
          <w:color w:val="231F20"/>
        </w:rPr>
      </w:pPr>
    </w:p>
    <w:p>
      <w:pPr>
        <w:ind w:left="182" w:hanging="182"/>
        <w:spacing w:after="0"/>
        <w:tabs>
          <w:tab w:leader="none" w:pos="182" w:val="left"/>
        </w:tabs>
        <w:numPr>
          <w:ilvl w:val="0"/>
          <w:numId w:val="88"/>
        </w:numPr>
        <w:rPr>
          <w:rFonts w:ascii="Arial" w:cs="Arial" w:eastAsia="Arial" w:hAnsi="Arial"/>
          <w:sz w:val="12"/>
          <w:szCs w:val="12"/>
          <w:color w:val="231F20"/>
        </w:rPr>
      </w:pPr>
      <w:r>
        <w:rPr>
          <w:rFonts w:ascii="Arial" w:cs="Arial" w:eastAsia="Arial" w:hAnsi="Arial"/>
          <w:sz w:val="12"/>
          <w:szCs w:val="12"/>
          <w:i w:val="1"/>
          <w:iCs w:val="1"/>
          <w:color w:val="231F20"/>
        </w:rPr>
        <w:t>Exercise of Option</w:t>
      </w:r>
      <w:r>
        <w:rPr>
          <w:rFonts w:ascii="Arial" w:cs="Arial" w:eastAsia="Arial" w:hAnsi="Arial"/>
          <w:sz w:val="12"/>
          <w:szCs w:val="12"/>
          <w:color w:val="231F20"/>
        </w:rPr>
        <w:t>.</w:t>
      </w:r>
    </w:p>
    <w:p>
      <w:pPr>
        <w:spacing w:after="0" w:line="212" w:lineRule="exact"/>
        <w:rPr>
          <w:rFonts w:ascii="Arial" w:cs="Arial" w:eastAsia="Arial" w:hAnsi="Arial"/>
          <w:sz w:val="12"/>
          <w:szCs w:val="12"/>
          <w:color w:val="231F20"/>
        </w:rPr>
      </w:pPr>
    </w:p>
    <w:p>
      <w:pPr>
        <w:ind w:left="342" w:hanging="154"/>
        <w:spacing w:after="0"/>
        <w:tabs>
          <w:tab w:leader="none" w:pos="342" w:val="left"/>
        </w:tabs>
        <w:numPr>
          <w:ilvl w:val="2"/>
          <w:numId w:val="89"/>
        </w:numPr>
        <w:rPr>
          <w:rFonts w:ascii="Arial" w:cs="Arial" w:eastAsia="Arial" w:hAnsi="Arial"/>
          <w:sz w:val="12"/>
          <w:szCs w:val="12"/>
          <w:color w:val="231F20"/>
        </w:rPr>
      </w:pPr>
      <w:r>
        <w:rPr>
          <w:rFonts w:ascii="Arial" w:cs="Arial" w:eastAsia="Arial" w:hAnsi="Arial"/>
          <w:sz w:val="12"/>
          <w:szCs w:val="12"/>
          <w:i w:val="1"/>
          <w:iCs w:val="1"/>
          <w:color w:val="231F20"/>
        </w:rPr>
        <w:t>Procedure for Exercise; Rights as a Stockholder</w:t>
      </w:r>
      <w:r>
        <w:rPr>
          <w:rFonts w:ascii="Arial" w:cs="Arial" w:eastAsia="Arial" w:hAnsi="Arial"/>
          <w:sz w:val="12"/>
          <w:szCs w:val="12"/>
          <w:color w:val="231F20"/>
        </w:rPr>
        <w:t>.</w:t>
      </w:r>
    </w:p>
    <w:p>
      <w:pPr>
        <w:spacing w:after="0" w:line="224" w:lineRule="exact"/>
        <w:rPr>
          <w:rFonts w:ascii="Arial" w:cs="Arial" w:eastAsia="Arial" w:hAnsi="Arial"/>
          <w:sz w:val="12"/>
          <w:szCs w:val="12"/>
          <w:color w:val="231F20"/>
        </w:rPr>
      </w:pPr>
    </w:p>
    <w:p>
      <w:pPr>
        <w:ind w:left="302" w:right="60" w:hanging="5"/>
        <w:spacing w:after="0" w:line="251" w:lineRule="auto"/>
        <w:tabs>
          <w:tab w:leader="none" w:pos="518" w:val="left"/>
        </w:tabs>
        <w:numPr>
          <w:ilvl w:val="3"/>
          <w:numId w:val="89"/>
        </w:numPr>
        <w:rPr>
          <w:rFonts w:ascii="Arial" w:cs="Arial" w:eastAsia="Arial" w:hAnsi="Arial"/>
          <w:sz w:val="12"/>
          <w:szCs w:val="12"/>
          <w:color w:val="231F20"/>
        </w:rPr>
      </w:pPr>
      <w:r>
        <w:rPr>
          <w:rFonts w:ascii="Arial" w:cs="Arial" w:eastAsia="Arial" w:hAnsi="Arial"/>
          <w:sz w:val="12"/>
          <w:szCs w:val="12"/>
          <w:color w:val="231F20"/>
        </w:rPr>
        <w:t>Any Option granted hereunder will be exercisable at such times and under such conditions as determined by the Administrator under the terms of the Plan and specified in the Award Agreement.</w:t>
      </w:r>
    </w:p>
    <w:p>
      <w:pPr>
        <w:spacing w:after="0" w:line="346" w:lineRule="exact"/>
        <w:rPr>
          <w:rFonts w:ascii="Arial" w:cs="Arial" w:eastAsia="Arial" w:hAnsi="Arial"/>
          <w:sz w:val="12"/>
          <w:szCs w:val="12"/>
          <w:color w:val="231F20"/>
        </w:rPr>
      </w:pPr>
    </w:p>
    <w:p>
      <w:pPr>
        <w:jc w:val="both"/>
        <w:ind w:left="302" w:right="60" w:hanging="5"/>
        <w:spacing w:after="0" w:line="247" w:lineRule="auto"/>
        <w:tabs>
          <w:tab w:leader="none" w:pos="507" w:val="left"/>
        </w:tabs>
        <w:numPr>
          <w:ilvl w:val="3"/>
          <w:numId w:val="89"/>
        </w:numPr>
        <w:rPr>
          <w:rFonts w:ascii="Arial" w:cs="Arial" w:eastAsia="Arial" w:hAnsi="Arial"/>
          <w:sz w:val="12"/>
          <w:szCs w:val="12"/>
          <w:color w:val="231F20"/>
        </w:rPr>
      </w:pPr>
      <w:r>
        <w:rPr>
          <w:rFonts w:ascii="Arial" w:cs="Arial" w:eastAsia="Arial" w:hAnsi="Arial"/>
          <w:sz w:val="12"/>
          <w:szCs w:val="12"/>
          <w:color w:val="231F20"/>
        </w:rPr>
        <w:t>An Option shall be deemed to be exercised when written notice of such exercise has been given to the Company or its designated agent (e.g., the exclusive, captive broker) in accordance with the terms of the Option, from the person entitled to exercise the Option and full payment for the Shares with respect to which the Option is exercised has been received by the Company or its designated agent, or the appropriate exercise/sale transaction has been executed under subsection 6(d)(ii)(D) above. Until the issuance (as evidenced by the appropriate entry on the books of the Company or of a duly authorized transfer agent of the Company) of the stock certificate evidencing such Shares, no right to vote or receive dividends or any other rights as a stockholder shall exist with respect to Shares subject to an Option, notwithstanding the exercise of an Option. The Company shall issue (or cause to be issued) such stock certificate in uncertificated form promptly upon exercise of the Option. No adjustment will be made for a dividend or other right for which the record date is prior to the date the stock certificate in uncertificated form is issued, except as provided in the Award Agreement or Section 13, below.</w:t>
      </w:r>
    </w:p>
    <w:p>
      <w:pPr>
        <w:spacing w:after="0" w:line="199" w:lineRule="exact"/>
        <w:rPr>
          <w:sz w:val="20"/>
          <w:szCs w:val="20"/>
          <w:color w:val="auto"/>
        </w:rPr>
      </w:pPr>
    </w:p>
    <w:p>
      <w:pPr>
        <w:jc w:val="both"/>
        <w:ind w:left="302" w:right="60"/>
        <w:spacing w:after="0" w:line="248" w:lineRule="auto"/>
        <w:rPr>
          <w:sz w:val="20"/>
          <w:szCs w:val="20"/>
          <w:color w:val="auto"/>
        </w:rPr>
      </w:pPr>
      <w:r>
        <w:rPr>
          <w:rFonts w:ascii="Arial" w:cs="Arial" w:eastAsia="Arial" w:hAnsi="Arial"/>
          <w:sz w:val="12"/>
          <w:szCs w:val="12"/>
          <w:color w:val="231F20"/>
        </w:rPr>
        <w:t>To the extent that reporting of United States taxable income with respect to an Option exercise under subsections 6(d)(ii)(A)- (C) above is based on the fair market value of the underlying Shares on the date of exercise, the Company shall use the Fair Market Value on the day the Option is deemed exercised in accordance with this Section 6(e)(i)(B), that is the closing sales price (see Section 2(s)) on the day the written notice of exercise and full payment for the Shares (i.e., cashier’s check, money order, Shares (pursuant to subsection 6(d)(ii)(C) above) or readily available funds) are received by the Company or its designated agent. In the case of an exercise under subsection 6(d)(ii)(D) above, the United States taxable income will be calculated using the actual sales price of the underlying Shares subject to the Option.</w:t>
      </w:r>
    </w:p>
    <w:p>
      <w:pPr>
        <w:spacing w:after="0" w:line="187" w:lineRule="exact"/>
        <w:rPr>
          <w:sz w:val="20"/>
          <w:szCs w:val="20"/>
          <w:color w:val="auto"/>
        </w:rPr>
      </w:pPr>
    </w:p>
    <w:p>
      <w:pPr>
        <w:jc w:val="both"/>
        <w:ind w:left="182" w:right="60" w:firstLine="6"/>
        <w:spacing w:after="0" w:line="250" w:lineRule="auto"/>
        <w:tabs>
          <w:tab w:leader="none" w:pos="366" w:val="left"/>
        </w:tabs>
        <w:numPr>
          <w:ilvl w:val="0"/>
          <w:numId w:val="90"/>
        </w:numPr>
        <w:rPr>
          <w:rFonts w:ascii="Arial" w:cs="Arial" w:eastAsia="Arial" w:hAnsi="Arial"/>
          <w:sz w:val="12"/>
          <w:szCs w:val="12"/>
          <w:color w:val="231F20"/>
        </w:rPr>
      </w:pPr>
      <w:r>
        <w:rPr>
          <w:rFonts w:ascii="Arial" w:cs="Arial" w:eastAsia="Arial" w:hAnsi="Arial"/>
          <w:sz w:val="12"/>
          <w:szCs w:val="12"/>
          <w:i w:val="1"/>
          <w:iCs w:val="1"/>
          <w:color w:val="231F20"/>
        </w:rPr>
        <w:t>Exercise of Option Following Termination of Employment, Director or Consulting Relationship</w:t>
      </w:r>
      <w:r>
        <w:rPr>
          <w:rFonts w:ascii="Arial" w:cs="Arial" w:eastAsia="Arial" w:hAnsi="Arial"/>
          <w:sz w:val="12"/>
          <w:szCs w:val="12"/>
          <w:color w:val="231F20"/>
        </w:rPr>
        <w:t>. In the event of termination of a Grantee’s Continuous Status as an Employee, Director or</w:t>
      </w:r>
      <w:r>
        <w:rPr>
          <w:rFonts w:ascii="Arial" w:cs="Arial" w:eastAsia="Arial" w:hAnsi="Arial"/>
          <w:sz w:val="12"/>
          <w:szCs w:val="12"/>
          <w:i w:val="1"/>
          <w:iCs w:val="1"/>
          <w:color w:val="231F20"/>
        </w:rPr>
        <w:t xml:space="preserve"> </w:t>
      </w:r>
      <w:r>
        <w:rPr>
          <w:rFonts w:ascii="Arial" w:cs="Arial" w:eastAsia="Arial" w:hAnsi="Arial"/>
          <w:sz w:val="12"/>
          <w:szCs w:val="12"/>
          <w:color w:val="231F20"/>
        </w:rPr>
        <w:t>Consultant with the Company for any reason other than disability or death (but not in the event of an Grantee’s change of status from Employee to Consultant or from Consultant to Employee), such Grantee may, but only within three (3) months after the date of such termination (but in no event later than the expiration date of the term of such Option as set forth in the Award Agreement), exercise his or her Option to the extent that the Grantee was entitled to exercise it at the date of such termination or to such other extent as may be determined by the Administrator. Unless other-wise provided by the Administrator, if on the date of termination the Grantee is not vested as to his or her entire Option, the Shares covered by the unvested portion of the Option will revert to the Plan. To the extent that Grantee is not entitled to exercise the Option at the date of termination, or if Grantee does not exercise such Option to the extent so entitled within the time specified herein, the Option will terminate.</w:t>
      </w:r>
    </w:p>
    <w:p>
      <w:pPr>
        <w:sectPr>
          <w:pgSz w:w="11900" w:h="16838" w:orient="portrait"/>
          <w:cols w:equalWidth="0" w:num="1">
            <w:col w:w="11002"/>
          </w:cols>
          <w:pgMar w:left="578" w:top="1032" w:right="319" w:bottom="1440" w:gutter="0" w:footer="0" w:header="0"/>
        </w:sectPr>
      </w:pPr>
    </w:p>
    <w:bookmarkStart w:id="108" w:name="page109"/>
    <w:bookmarkEnd w:id="108"/>
    <w:p>
      <w:pPr>
        <w:ind w:left="146" w:hanging="146"/>
        <w:spacing w:after="0"/>
        <w:tabs>
          <w:tab w:leader="none" w:pos="146" w:val="left"/>
        </w:tabs>
        <w:numPr>
          <w:ilvl w:val="0"/>
          <w:numId w:val="91"/>
        </w:numPr>
        <w:rPr>
          <w:rFonts w:ascii="Arial" w:cs="Arial" w:eastAsia="Arial" w:hAnsi="Arial"/>
          <w:sz w:val="12"/>
          <w:szCs w:val="12"/>
          <w:color w:val="231F20"/>
        </w:rPr>
      </w:pPr>
      <w:r>
        <w:rPr>
          <w:rFonts w:ascii="Arial" w:cs="Arial" w:eastAsia="Arial" w:hAnsi="Arial"/>
          <w:sz w:val="12"/>
          <w:szCs w:val="12"/>
          <w:i w:val="1"/>
          <w:iCs w:val="1"/>
          <w:color w:val="231F20"/>
        </w:rPr>
        <w:t>Restricted Stock</w:t>
      </w:r>
      <w:r>
        <w:rPr>
          <w:rFonts w:ascii="Arial" w:cs="Arial" w:eastAsia="Arial" w:hAnsi="Arial"/>
          <w:sz w:val="12"/>
          <w:szCs w:val="12"/>
          <w:color w:val="231F20"/>
        </w:rPr>
        <w:t>.</w:t>
      </w:r>
    </w:p>
    <w:p>
      <w:pPr>
        <w:spacing w:after="0" w:line="212" w:lineRule="exact"/>
        <w:rPr>
          <w:rFonts w:ascii="Arial" w:cs="Arial" w:eastAsia="Arial" w:hAnsi="Arial"/>
          <w:sz w:val="12"/>
          <w:szCs w:val="12"/>
          <w:color w:val="231F20"/>
        </w:rPr>
      </w:pPr>
    </w:p>
    <w:p>
      <w:pPr>
        <w:ind w:left="286" w:right="20" w:hanging="6"/>
        <w:spacing w:after="0" w:line="283" w:lineRule="auto"/>
        <w:tabs>
          <w:tab w:leader="none" w:pos="473"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Grant of Restricted Stock</w:t>
      </w:r>
      <w:r>
        <w:rPr>
          <w:rFonts w:ascii="Arial" w:cs="Arial" w:eastAsia="Arial" w:hAnsi="Arial"/>
          <w:sz w:val="12"/>
          <w:szCs w:val="12"/>
          <w:color w:val="231F20"/>
        </w:rPr>
        <w:t>. Subject to the terms and provisions of the Plan, the Administrator, at any time and from time to time, may grant Shares of Restricted Stock to Employees, Directors or</w:t>
      </w:r>
      <w:r>
        <w:rPr>
          <w:rFonts w:ascii="Arial" w:cs="Arial" w:eastAsia="Arial" w:hAnsi="Arial"/>
          <w:sz w:val="12"/>
          <w:szCs w:val="12"/>
          <w:i w:val="1"/>
          <w:iCs w:val="1"/>
          <w:color w:val="231F20"/>
        </w:rPr>
        <w:t xml:space="preserve"> </w:t>
      </w:r>
      <w:r>
        <w:rPr>
          <w:rFonts w:ascii="Arial" w:cs="Arial" w:eastAsia="Arial" w:hAnsi="Arial"/>
          <w:sz w:val="12"/>
          <w:szCs w:val="12"/>
          <w:color w:val="231F20"/>
        </w:rPr>
        <w:t>Consultants in such amounts as the Administrator, in its sole discretion, will determine.</w:t>
      </w:r>
    </w:p>
    <w:p>
      <w:pPr>
        <w:spacing w:after="0" w:line="165" w:lineRule="exact"/>
        <w:rPr>
          <w:rFonts w:ascii="Arial" w:cs="Arial" w:eastAsia="Arial" w:hAnsi="Arial"/>
          <w:sz w:val="12"/>
          <w:szCs w:val="12"/>
          <w:color w:val="231F20"/>
        </w:rPr>
      </w:pPr>
    </w:p>
    <w:p>
      <w:pPr>
        <w:jc w:val="both"/>
        <w:ind w:left="286" w:hanging="6"/>
        <w:spacing w:after="0" w:line="259" w:lineRule="auto"/>
        <w:tabs>
          <w:tab w:leader="none" w:pos="473"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Restricted Stock Agreement</w:t>
      </w:r>
      <w:r>
        <w:rPr>
          <w:rFonts w:ascii="Arial" w:cs="Arial" w:eastAsia="Arial" w:hAnsi="Arial"/>
          <w:sz w:val="12"/>
          <w:szCs w:val="12"/>
          <w:color w:val="231F20"/>
        </w:rPr>
        <w:t>. Each Award of Restricted Stock will be evidenced by an Award Agreement that will specify the Period of Restriction, the number of Shares granted, and such other</w:t>
      </w:r>
      <w:r>
        <w:rPr>
          <w:rFonts w:ascii="Arial" w:cs="Arial" w:eastAsia="Arial" w:hAnsi="Arial"/>
          <w:sz w:val="12"/>
          <w:szCs w:val="12"/>
          <w:i w:val="1"/>
          <w:iCs w:val="1"/>
          <w:color w:val="231F20"/>
        </w:rPr>
        <w:t xml:space="preserve"> </w:t>
      </w:r>
      <w:r>
        <w:rPr>
          <w:rFonts w:ascii="Arial" w:cs="Arial" w:eastAsia="Arial" w:hAnsi="Arial"/>
          <w:sz w:val="12"/>
          <w:szCs w:val="12"/>
          <w:color w:val="231F20"/>
        </w:rPr>
        <w:t>terms and conditions as the Administrator, in its sole discretion, will determine. Notwithstanding the foregoing, during any Fiscal Year no Grantee will receive more than an aggregate of 1,250,000 Shares of Restricted Stock. Unless the Administrator determines otherwise, Shares of Restricted Stock will be held by the Company as escrow agent until the restrictions on such Shares have lapsed.</w:t>
      </w:r>
    </w:p>
    <w:p>
      <w:pPr>
        <w:spacing w:after="0" w:line="325" w:lineRule="exact"/>
        <w:rPr>
          <w:rFonts w:ascii="Arial" w:cs="Arial" w:eastAsia="Arial" w:hAnsi="Arial"/>
          <w:sz w:val="12"/>
          <w:szCs w:val="12"/>
          <w:color w:val="231F20"/>
        </w:rPr>
      </w:pPr>
    </w:p>
    <w:p>
      <w:pPr>
        <w:ind w:left="286" w:hanging="6"/>
        <w:spacing w:after="0" w:line="283" w:lineRule="auto"/>
        <w:tabs>
          <w:tab w:leader="none" w:pos="478"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Transferability</w:t>
      </w:r>
      <w:r>
        <w:rPr>
          <w:rFonts w:ascii="Arial" w:cs="Arial" w:eastAsia="Arial" w:hAnsi="Arial"/>
          <w:sz w:val="12"/>
          <w:szCs w:val="12"/>
          <w:color w:val="231F20"/>
        </w:rPr>
        <w:t>. Except as provided in this Section 7, Shares of Restricted Stock may not be sold, transferred, pledged, assigned or other- wise alienated, or hypothecated until the end of the</w:t>
      </w:r>
      <w:r>
        <w:rPr>
          <w:rFonts w:ascii="Arial" w:cs="Arial" w:eastAsia="Arial" w:hAnsi="Arial"/>
          <w:sz w:val="12"/>
          <w:szCs w:val="12"/>
          <w:i w:val="1"/>
          <w:iCs w:val="1"/>
          <w:color w:val="231F20"/>
        </w:rPr>
        <w:t xml:space="preserve"> </w:t>
      </w:r>
      <w:r>
        <w:rPr>
          <w:rFonts w:ascii="Arial" w:cs="Arial" w:eastAsia="Arial" w:hAnsi="Arial"/>
          <w:sz w:val="12"/>
          <w:szCs w:val="12"/>
          <w:color w:val="231F20"/>
        </w:rPr>
        <w:t>applicable Period of Restriction.</w:t>
      </w:r>
    </w:p>
    <w:p>
      <w:pPr>
        <w:spacing w:after="0" w:line="165" w:lineRule="exact"/>
        <w:rPr>
          <w:rFonts w:ascii="Arial" w:cs="Arial" w:eastAsia="Arial" w:hAnsi="Arial"/>
          <w:sz w:val="12"/>
          <w:szCs w:val="12"/>
          <w:color w:val="231F20"/>
        </w:rPr>
      </w:pPr>
    </w:p>
    <w:p>
      <w:pPr>
        <w:ind w:left="466" w:hanging="186"/>
        <w:spacing w:after="0"/>
        <w:tabs>
          <w:tab w:leader="none" w:pos="466"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Other Restrictions</w:t>
      </w:r>
      <w:r>
        <w:rPr>
          <w:rFonts w:ascii="Arial" w:cs="Arial" w:eastAsia="Arial" w:hAnsi="Arial"/>
          <w:sz w:val="12"/>
          <w:szCs w:val="12"/>
          <w:color w:val="231F20"/>
        </w:rPr>
        <w:t>. The Administrator, in its sole discretion, may impose such other restrictions on Shares of Restricted Stock as it may deem advisable or appropriate.</w:t>
      </w:r>
    </w:p>
    <w:p>
      <w:pPr>
        <w:spacing w:after="0" w:line="212" w:lineRule="exact"/>
        <w:rPr>
          <w:rFonts w:ascii="Arial" w:cs="Arial" w:eastAsia="Arial" w:hAnsi="Arial"/>
          <w:sz w:val="12"/>
          <w:szCs w:val="12"/>
          <w:color w:val="231F20"/>
        </w:rPr>
      </w:pPr>
    </w:p>
    <w:p>
      <w:pPr>
        <w:jc w:val="both"/>
        <w:ind w:left="286" w:hanging="6"/>
        <w:spacing w:after="0" w:line="253" w:lineRule="auto"/>
        <w:tabs>
          <w:tab w:leader="none" w:pos="473"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Removal of Restrictions</w:t>
      </w:r>
      <w:r>
        <w:rPr>
          <w:rFonts w:ascii="Arial" w:cs="Arial" w:eastAsia="Arial" w:hAnsi="Arial"/>
          <w:sz w:val="12"/>
          <w:szCs w:val="12"/>
          <w:color w:val="231F20"/>
        </w:rPr>
        <w:t>. Except as otherwise provided in this Section 7, Shares of Restricted Stock covered by each Restricted Stock grant made under the Plan will be released from escrow as</w:t>
      </w:r>
      <w:r>
        <w:rPr>
          <w:rFonts w:ascii="Arial" w:cs="Arial" w:eastAsia="Arial" w:hAnsi="Arial"/>
          <w:sz w:val="12"/>
          <w:szCs w:val="12"/>
          <w:i w:val="1"/>
          <w:iCs w:val="1"/>
          <w:color w:val="231F20"/>
        </w:rPr>
        <w:t xml:space="preserve"> </w:t>
      </w:r>
      <w:r>
        <w:rPr>
          <w:rFonts w:ascii="Arial" w:cs="Arial" w:eastAsia="Arial" w:hAnsi="Arial"/>
          <w:sz w:val="12"/>
          <w:szCs w:val="12"/>
          <w:color w:val="231F20"/>
        </w:rPr>
        <w:t>soon as practicable after the last day of the Period of Restriction. The restrictions will lapse at a rate determined by the Administrator; provided, however, that Shares of Restricted Stock will not vest more rapidly than one- third (1/3rd) of the total number Shares of Restricted Stock subject to an Award each year from the date of grant (or, if applicable, the date a Grantee begins providing services to the Company or any of its Affiliates), unless the Administrator determines that the Award is to vest upon the achievement of performance criteria, provided the period for measuring such performance will cover at least twelve (12) months. After the grant of Restricted Stock, the Administrator, in its sole discretion, may reduce or waive any restrictions for such Restricted Stock.</w:t>
      </w:r>
    </w:p>
    <w:p>
      <w:pPr>
        <w:spacing w:after="0" w:line="184" w:lineRule="exact"/>
        <w:rPr>
          <w:rFonts w:ascii="Arial" w:cs="Arial" w:eastAsia="Arial" w:hAnsi="Arial"/>
          <w:sz w:val="12"/>
          <w:szCs w:val="12"/>
          <w:color w:val="231F20"/>
        </w:rPr>
      </w:pPr>
    </w:p>
    <w:p>
      <w:pPr>
        <w:ind w:left="286" w:hanging="6"/>
        <w:spacing w:after="0" w:line="283" w:lineRule="auto"/>
        <w:tabs>
          <w:tab w:leader="none" w:pos="462"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Voting Rights</w:t>
      </w:r>
      <w:r>
        <w:rPr>
          <w:rFonts w:ascii="Arial" w:cs="Arial" w:eastAsia="Arial" w:hAnsi="Arial"/>
          <w:sz w:val="12"/>
          <w:szCs w:val="12"/>
          <w:color w:val="231F20"/>
        </w:rPr>
        <w:t>. During the Period of Restriction, Grantees holding Shares of Restricted Stock granted hereunder may exercise full voting rights with respect to those Shares, unless the</w:t>
      </w:r>
      <w:r>
        <w:rPr>
          <w:rFonts w:ascii="Arial" w:cs="Arial" w:eastAsia="Arial" w:hAnsi="Arial"/>
          <w:sz w:val="12"/>
          <w:szCs w:val="12"/>
          <w:i w:val="1"/>
          <w:iCs w:val="1"/>
          <w:color w:val="231F20"/>
        </w:rPr>
        <w:t xml:space="preserve"> </w:t>
      </w:r>
      <w:r>
        <w:rPr>
          <w:rFonts w:ascii="Arial" w:cs="Arial" w:eastAsia="Arial" w:hAnsi="Arial"/>
          <w:sz w:val="12"/>
          <w:szCs w:val="12"/>
          <w:color w:val="231F20"/>
        </w:rPr>
        <w:t>Administrator determines otherwise.</w:t>
      </w:r>
    </w:p>
    <w:p>
      <w:pPr>
        <w:spacing w:after="0" w:line="165" w:lineRule="exact"/>
        <w:rPr>
          <w:rFonts w:ascii="Arial" w:cs="Arial" w:eastAsia="Arial" w:hAnsi="Arial"/>
          <w:sz w:val="12"/>
          <w:szCs w:val="12"/>
          <w:color w:val="231F20"/>
        </w:rPr>
      </w:pPr>
    </w:p>
    <w:p>
      <w:pPr>
        <w:jc w:val="both"/>
        <w:ind w:left="286" w:hanging="6"/>
        <w:spacing w:after="0" w:line="263" w:lineRule="auto"/>
        <w:tabs>
          <w:tab w:leader="none" w:pos="473"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Dividends and Other Distributions</w:t>
      </w:r>
      <w:r>
        <w:rPr>
          <w:rFonts w:ascii="Arial" w:cs="Arial" w:eastAsia="Arial" w:hAnsi="Arial"/>
          <w:sz w:val="12"/>
          <w:szCs w:val="12"/>
          <w:color w:val="231F20"/>
        </w:rPr>
        <w:t>. During the Period of Restriction, Grantees holding Shares of Restricted Stock will be entitled to receive all dividends and other distributions paid with respect to</w:t>
      </w:r>
      <w:r>
        <w:rPr>
          <w:rFonts w:ascii="Arial" w:cs="Arial" w:eastAsia="Arial" w:hAnsi="Arial"/>
          <w:sz w:val="12"/>
          <w:szCs w:val="12"/>
          <w:i w:val="1"/>
          <w:iCs w:val="1"/>
          <w:color w:val="231F20"/>
        </w:rPr>
        <w:t xml:space="preserve"> </w:t>
      </w:r>
      <w:r>
        <w:rPr>
          <w:rFonts w:ascii="Arial" w:cs="Arial" w:eastAsia="Arial" w:hAnsi="Arial"/>
          <w:sz w:val="12"/>
          <w:szCs w:val="12"/>
          <w:color w:val="231F20"/>
        </w:rPr>
        <w:t>such Shares, unless otherwise provided by the Administrator. If any such dividends or distributions are paid in Shares, the Shares will be subject to the same restrictions on transferability and forfeitability as the Shares of Restricted Stock with respect to which they were paid.</w:t>
      </w:r>
    </w:p>
    <w:p>
      <w:pPr>
        <w:spacing w:after="0" w:line="177" w:lineRule="exact"/>
        <w:rPr>
          <w:rFonts w:ascii="Arial" w:cs="Arial" w:eastAsia="Arial" w:hAnsi="Arial"/>
          <w:sz w:val="12"/>
          <w:szCs w:val="12"/>
          <w:color w:val="231F20"/>
        </w:rPr>
      </w:pPr>
    </w:p>
    <w:p>
      <w:pPr>
        <w:ind w:left="286" w:hanging="6"/>
        <w:spacing w:after="0" w:line="283" w:lineRule="auto"/>
        <w:tabs>
          <w:tab w:leader="none" w:pos="473"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Return of Restricted Stock to Company</w:t>
      </w:r>
      <w:r>
        <w:rPr>
          <w:rFonts w:ascii="Arial" w:cs="Arial" w:eastAsia="Arial" w:hAnsi="Arial"/>
          <w:sz w:val="12"/>
          <w:szCs w:val="12"/>
          <w:color w:val="231F20"/>
        </w:rPr>
        <w:t>. On the date set forth in the Award Agreement, the Restricted Stock for which restrictions have not lapsed will automatically revert to the Company and</w:t>
      </w:r>
      <w:r>
        <w:rPr>
          <w:rFonts w:ascii="Arial" w:cs="Arial" w:eastAsia="Arial" w:hAnsi="Arial"/>
          <w:sz w:val="12"/>
          <w:szCs w:val="12"/>
          <w:i w:val="1"/>
          <w:iCs w:val="1"/>
          <w:color w:val="231F20"/>
        </w:rPr>
        <w:t xml:space="preserve"> </w:t>
      </w:r>
      <w:r>
        <w:rPr>
          <w:rFonts w:ascii="Arial" w:cs="Arial" w:eastAsia="Arial" w:hAnsi="Arial"/>
          <w:sz w:val="12"/>
          <w:szCs w:val="12"/>
          <w:color w:val="231F20"/>
        </w:rPr>
        <w:t>again will become available for grant under the Plan.</w:t>
      </w:r>
    </w:p>
    <w:p>
      <w:pPr>
        <w:spacing w:after="0" w:line="165" w:lineRule="exact"/>
        <w:rPr>
          <w:rFonts w:ascii="Arial" w:cs="Arial" w:eastAsia="Arial" w:hAnsi="Arial"/>
          <w:sz w:val="12"/>
          <w:szCs w:val="12"/>
          <w:color w:val="231F20"/>
        </w:rPr>
      </w:pPr>
    </w:p>
    <w:p>
      <w:pPr>
        <w:ind w:left="226" w:hanging="133"/>
        <w:spacing w:after="0"/>
        <w:tabs>
          <w:tab w:leader="none" w:pos="226" w:val="left"/>
        </w:tabs>
        <w:numPr>
          <w:ilvl w:val="2"/>
          <w:numId w:val="91"/>
        </w:numPr>
        <w:rPr>
          <w:rFonts w:ascii="Arial" w:cs="Arial" w:eastAsia="Arial" w:hAnsi="Arial"/>
          <w:sz w:val="12"/>
          <w:szCs w:val="12"/>
          <w:color w:val="231F20"/>
        </w:rPr>
      </w:pPr>
      <w:r>
        <w:rPr>
          <w:rFonts w:ascii="Arial" w:cs="Arial" w:eastAsia="Arial" w:hAnsi="Arial"/>
          <w:sz w:val="12"/>
          <w:szCs w:val="12"/>
          <w:i w:val="1"/>
          <w:iCs w:val="1"/>
          <w:color w:val="231F20"/>
        </w:rPr>
        <w:t>Restricted Stock Units</w:t>
      </w:r>
      <w:r>
        <w:rPr>
          <w:rFonts w:ascii="Arial" w:cs="Arial" w:eastAsia="Arial" w:hAnsi="Arial"/>
          <w:sz w:val="12"/>
          <w:szCs w:val="12"/>
          <w:color w:val="231F20"/>
        </w:rPr>
        <w:t>.</w:t>
      </w:r>
    </w:p>
    <w:p>
      <w:pPr>
        <w:spacing w:after="0" w:line="212" w:lineRule="exact"/>
        <w:rPr>
          <w:rFonts w:ascii="Arial" w:cs="Arial" w:eastAsia="Arial" w:hAnsi="Arial"/>
          <w:sz w:val="12"/>
          <w:szCs w:val="12"/>
          <w:color w:val="231F20"/>
        </w:rPr>
      </w:pPr>
    </w:p>
    <w:p>
      <w:pPr>
        <w:jc w:val="both"/>
        <w:ind w:left="286" w:hanging="6"/>
        <w:spacing w:after="0" w:line="257" w:lineRule="auto"/>
        <w:tabs>
          <w:tab w:leader="none" w:pos="473"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Grant</w:t>
      </w:r>
      <w:r>
        <w:rPr>
          <w:rFonts w:ascii="Arial" w:cs="Arial" w:eastAsia="Arial" w:hAnsi="Arial"/>
          <w:sz w:val="12"/>
          <w:szCs w:val="12"/>
          <w:color w:val="231F20"/>
        </w:rPr>
        <w:t>. Restricted Stock Units may be granted at any time and from time to time as determined by the Administrator. Each Restricted Stock Unit grant will be evidenced by an Award Agreement</w:t>
      </w:r>
      <w:r>
        <w:rPr>
          <w:rFonts w:ascii="Arial" w:cs="Arial" w:eastAsia="Arial" w:hAnsi="Arial"/>
          <w:sz w:val="12"/>
          <w:szCs w:val="12"/>
          <w:i w:val="1"/>
          <w:iCs w:val="1"/>
          <w:color w:val="231F20"/>
        </w:rPr>
        <w:t xml:space="preserve"> </w:t>
      </w:r>
      <w:r>
        <w:rPr>
          <w:rFonts w:ascii="Arial" w:cs="Arial" w:eastAsia="Arial" w:hAnsi="Arial"/>
          <w:sz w:val="12"/>
          <w:szCs w:val="12"/>
          <w:color w:val="231F20"/>
        </w:rPr>
        <w:t>that will specify such other terms and conditions as the Administrator, in its sole discretion, will determine, including all terms, conditions, and restrictions related to the grant, the number of Restricted Stock Units and the form of payout, which, subject to Section 8(d), may be left to the discretion of the Administrator. Notwithstanding the anything to the contrary in this subsection (a), during any Fiscal Year, no Grantee will receive more than an aggregate of 1,250,000 Restricted Stock Units.</w:t>
      </w:r>
    </w:p>
    <w:p>
      <w:pPr>
        <w:spacing w:after="0" w:line="180" w:lineRule="exact"/>
        <w:rPr>
          <w:rFonts w:ascii="Arial" w:cs="Arial" w:eastAsia="Arial" w:hAnsi="Arial"/>
          <w:sz w:val="12"/>
          <w:szCs w:val="12"/>
          <w:color w:val="231F20"/>
        </w:rPr>
      </w:pPr>
    </w:p>
    <w:p>
      <w:pPr>
        <w:jc w:val="both"/>
        <w:ind w:left="286" w:hanging="6"/>
        <w:spacing w:after="0" w:line="263" w:lineRule="auto"/>
        <w:tabs>
          <w:tab w:leader="none" w:pos="473"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Vesting Criteria and Other Terms</w:t>
      </w:r>
      <w:r>
        <w:rPr>
          <w:rFonts w:ascii="Arial" w:cs="Arial" w:eastAsia="Arial" w:hAnsi="Arial"/>
          <w:sz w:val="12"/>
          <w:szCs w:val="12"/>
          <w:color w:val="231F20"/>
        </w:rPr>
        <w:t>. The Administrator will set vesting criteria in its discretion, which, depending on the extent to which the criteria are met, will determine the number of Restricted</w:t>
      </w:r>
      <w:r>
        <w:rPr>
          <w:rFonts w:ascii="Arial" w:cs="Arial" w:eastAsia="Arial" w:hAnsi="Arial"/>
          <w:sz w:val="12"/>
          <w:szCs w:val="12"/>
          <w:i w:val="1"/>
          <w:iCs w:val="1"/>
          <w:color w:val="231F20"/>
        </w:rPr>
        <w:t xml:space="preserve"> </w:t>
      </w:r>
      <w:r>
        <w:rPr>
          <w:rFonts w:ascii="Arial" w:cs="Arial" w:eastAsia="Arial" w:hAnsi="Arial"/>
          <w:sz w:val="12"/>
          <w:szCs w:val="12"/>
          <w:color w:val="231F20"/>
        </w:rPr>
        <w:t>Stock Units that will be paid out to the Grantee. The Administrator may set vesting criteria based upon the achievement of Company-wide, business unit, or individual goals (including, but not limited to, continued employment), or any other basis determined by the Administrator in its discretion.</w:t>
      </w:r>
    </w:p>
    <w:p>
      <w:pPr>
        <w:spacing w:after="0" w:line="177" w:lineRule="exact"/>
        <w:rPr>
          <w:rFonts w:ascii="Arial" w:cs="Arial" w:eastAsia="Arial" w:hAnsi="Arial"/>
          <w:sz w:val="12"/>
          <w:szCs w:val="12"/>
          <w:color w:val="231F20"/>
        </w:rPr>
      </w:pPr>
    </w:p>
    <w:p>
      <w:pPr>
        <w:ind w:left="286" w:hanging="6"/>
        <w:spacing w:after="0" w:line="283" w:lineRule="auto"/>
        <w:tabs>
          <w:tab w:leader="none" w:pos="466"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Earning Restricted Stock Units</w:t>
      </w:r>
      <w:r>
        <w:rPr>
          <w:rFonts w:ascii="Arial" w:cs="Arial" w:eastAsia="Arial" w:hAnsi="Arial"/>
          <w:sz w:val="12"/>
          <w:szCs w:val="12"/>
          <w:color w:val="231F20"/>
        </w:rPr>
        <w:t>. Upon meeting the applicable vesting criteria, the Grantee will be entitled to receive a payout as specified in the Award Agreement. Notwithstanding the foregoing,</w:t>
      </w:r>
      <w:r>
        <w:rPr>
          <w:rFonts w:ascii="Arial" w:cs="Arial" w:eastAsia="Arial" w:hAnsi="Arial"/>
          <w:sz w:val="12"/>
          <w:szCs w:val="12"/>
          <w:i w:val="1"/>
          <w:iCs w:val="1"/>
          <w:color w:val="231F20"/>
        </w:rPr>
        <w:t xml:space="preserve"> </w:t>
      </w:r>
      <w:r>
        <w:rPr>
          <w:rFonts w:ascii="Arial" w:cs="Arial" w:eastAsia="Arial" w:hAnsi="Arial"/>
          <w:sz w:val="12"/>
          <w:szCs w:val="12"/>
          <w:color w:val="231F20"/>
        </w:rPr>
        <w:t>at any time after the grant of Restricted Stock Units, the Administrator, in its sole discretion, may reduce or waive any vesting criteria that must be met to receive a payout.</w:t>
      </w:r>
    </w:p>
    <w:p>
      <w:pPr>
        <w:spacing w:after="0" w:line="165" w:lineRule="exact"/>
        <w:rPr>
          <w:rFonts w:ascii="Arial" w:cs="Arial" w:eastAsia="Arial" w:hAnsi="Arial"/>
          <w:sz w:val="12"/>
          <w:szCs w:val="12"/>
          <w:color w:val="231F20"/>
        </w:rPr>
      </w:pPr>
    </w:p>
    <w:p>
      <w:pPr>
        <w:jc w:val="both"/>
        <w:ind w:left="286" w:hanging="6"/>
        <w:spacing w:after="0" w:line="271" w:lineRule="auto"/>
        <w:tabs>
          <w:tab w:leader="none" w:pos="473"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Form and Timing of Payment</w:t>
      </w:r>
      <w:r>
        <w:rPr>
          <w:rFonts w:ascii="Arial" w:cs="Arial" w:eastAsia="Arial" w:hAnsi="Arial"/>
          <w:sz w:val="12"/>
          <w:szCs w:val="12"/>
          <w:color w:val="231F20"/>
        </w:rPr>
        <w:t>. Payment of earned Restricted Stock Units will be made as soon as practicable after the date(s) set forth in the Award Agreement. The Administrator, in its sole</w:t>
      </w:r>
      <w:r>
        <w:rPr>
          <w:rFonts w:ascii="Arial" w:cs="Arial" w:eastAsia="Arial" w:hAnsi="Arial"/>
          <w:sz w:val="12"/>
          <w:szCs w:val="12"/>
          <w:i w:val="1"/>
          <w:iCs w:val="1"/>
          <w:color w:val="231F20"/>
        </w:rPr>
        <w:t xml:space="preserve"> </w:t>
      </w:r>
      <w:r>
        <w:rPr>
          <w:rFonts w:ascii="Arial" w:cs="Arial" w:eastAsia="Arial" w:hAnsi="Arial"/>
          <w:sz w:val="12"/>
          <w:szCs w:val="12"/>
          <w:color w:val="231F20"/>
        </w:rPr>
        <w:t>discretion, may pay earned Restricted Stock Units in cash, Shares, or a combination thereof. Shares represented by Restricted Stock Units that are fully paid in cash again will be available for grant under the Plan.</w:t>
      </w:r>
    </w:p>
    <w:p>
      <w:pPr>
        <w:spacing w:after="0" w:line="319" w:lineRule="exact"/>
        <w:rPr>
          <w:rFonts w:ascii="Arial" w:cs="Arial" w:eastAsia="Arial" w:hAnsi="Arial"/>
          <w:sz w:val="12"/>
          <w:szCs w:val="12"/>
          <w:color w:val="231F20"/>
        </w:rPr>
      </w:pPr>
    </w:p>
    <w:p>
      <w:pPr>
        <w:ind w:left="466" w:hanging="186"/>
        <w:spacing w:after="0"/>
        <w:tabs>
          <w:tab w:leader="none" w:pos="466" w:val="left"/>
        </w:tabs>
        <w:numPr>
          <w:ilvl w:val="3"/>
          <w:numId w:val="91"/>
        </w:numPr>
        <w:rPr>
          <w:rFonts w:ascii="Arial" w:cs="Arial" w:eastAsia="Arial" w:hAnsi="Arial"/>
          <w:sz w:val="12"/>
          <w:szCs w:val="12"/>
          <w:color w:val="231F20"/>
        </w:rPr>
      </w:pPr>
      <w:r>
        <w:rPr>
          <w:rFonts w:ascii="Arial" w:cs="Arial" w:eastAsia="Arial" w:hAnsi="Arial"/>
          <w:sz w:val="12"/>
          <w:szCs w:val="12"/>
          <w:i w:val="1"/>
          <w:iCs w:val="1"/>
          <w:color w:val="231F20"/>
        </w:rPr>
        <w:t>Cancellation</w:t>
      </w:r>
      <w:r>
        <w:rPr>
          <w:rFonts w:ascii="Arial" w:cs="Arial" w:eastAsia="Arial" w:hAnsi="Arial"/>
          <w:sz w:val="12"/>
          <w:szCs w:val="12"/>
          <w:color w:val="231F20"/>
        </w:rPr>
        <w:t>. On the date set forth in the Award Agreement, all unearned Restricted Stock Units will be forfeited to the Company.</w:t>
      </w:r>
    </w:p>
    <w:p>
      <w:pPr>
        <w:spacing w:after="0" w:line="212" w:lineRule="exact"/>
        <w:rPr>
          <w:rFonts w:ascii="Arial" w:cs="Arial" w:eastAsia="Arial" w:hAnsi="Arial"/>
          <w:sz w:val="12"/>
          <w:szCs w:val="12"/>
          <w:color w:val="231F20"/>
        </w:rPr>
      </w:pPr>
    </w:p>
    <w:p>
      <w:pPr>
        <w:ind w:left="86" w:hanging="9"/>
        <w:spacing w:after="0" w:line="283" w:lineRule="auto"/>
        <w:tabs>
          <w:tab w:leader="none" w:pos="237" w:val="left"/>
        </w:tabs>
        <w:numPr>
          <w:ilvl w:val="1"/>
          <w:numId w:val="91"/>
        </w:numPr>
        <w:rPr>
          <w:rFonts w:ascii="Arial" w:cs="Arial" w:eastAsia="Arial" w:hAnsi="Arial"/>
          <w:sz w:val="12"/>
          <w:szCs w:val="12"/>
          <w:color w:val="231F20"/>
        </w:rPr>
      </w:pPr>
      <w:r>
        <w:rPr>
          <w:rFonts w:ascii="Arial" w:cs="Arial" w:eastAsia="Arial" w:hAnsi="Arial"/>
          <w:sz w:val="12"/>
          <w:szCs w:val="12"/>
          <w:i w:val="1"/>
          <w:iCs w:val="1"/>
          <w:color w:val="231F20"/>
        </w:rPr>
        <w:t>Leaves of Absence</w:t>
      </w:r>
      <w:r>
        <w:rPr>
          <w:rFonts w:ascii="Arial" w:cs="Arial" w:eastAsia="Arial" w:hAnsi="Arial"/>
          <w:sz w:val="12"/>
          <w:szCs w:val="12"/>
          <w:color w:val="231F20"/>
        </w:rPr>
        <w:t>. Unless the Administrator provides otherwise, vesting of Awards granted hereunder will be suspended during any unpaid leave of absence. A Grantee will not cease to be an</w:t>
      </w:r>
      <w:r>
        <w:rPr>
          <w:rFonts w:ascii="Arial" w:cs="Arial" w:eastAsia="Arial" w:hAnsi="Arial"/>
          <w:sz w:val="12"/>
          <w:szCs w:val="12"/>
          <w:i w:val="1"/>
          <w:iCs w:val="1"/>
          <w:color w:val="231F20"/>
        </w:rPr>
        <w:t xml:space="preserve"> </w:t>
      </w:r>
      <w:r>
        <w:rPr>
          <w:rFonts w:ascii="Arial" w:cs="Arial" w:eastAsia="Arial" w:hAnsi="Arial"/>
          <w:sz w:val="12"/>
          <w:szCs w:val="12"/>
          <w:color w:val="231F20"/>
        </w:rPr>
        <w:t>Employee in the case of (i) any leave of absence approved by the Company or (ii) transfers between locations of the Company or between the Company, its Parent, or any Subsidiary.</w:t>
      </w:r>
    </w:p>
    <w:p>
      <w:pPr>
        <w:spacing w:after="0" w:line="165" w:lineRule="exact"/>
        <w:rPr>
          <w:rFonts w:ascii="Arial" w:cs="Arial" w:eastAsia="Arial" w:hAnsi="Arial"/>
          <w:sz w:val="12"/>
          <w:szCs w:val="12"/>
          <w:color w:val="231F20"/>
        </w:rPr>
      </w:pPr>
    </w:p>
    <w:p>
      <w:pPr>
        <w:ind w:left="86" w:hanging="9"/>
        <w:spacing w:after="0" w:line="283" w:lineRule="auto"/>
        <w:tabs>
          <w:tab w:leader="none" w:pos="294" w:val="left"/>
        </w:tabs>
        <w:numPr>
          <w:ilvl w:val="1"/>
          <w:numId w:val="91"/>
        </w:numPr>
        <w:rPr>
          <w:rFonts w:ascii="Arial" w:cs="Arial" w:eastAsia="Arial" w:hAnsi="Arial"/>
          <w:sz w:val="12"/>
          <w:szCs w:val="12"/>
          <w:color w:val="231F20"/>
        </w:rPr>
      </w:pPr>
      <w:r>
        <w:rPr>
          <w:rFonts w:ascii="Arial" w:cs="Arial" w:eastAsia="Arial" w:hAnsi="Arial"/>
          <w:sz w:val="12"/>
          <w:szCs w:val="12"/>
          <w:i w:val="1"/>
          <w:iCs w:val="1"/>
          <w:color w:val="231F20"/>
        </w:rPr>
        <w:t>Transferability of Awards</w:t>
      </w:r>
      <w:r>
        <w:rPr>
          <w:rFonts w:ascii="Arial" w:cs="Arial" w:eastAsia="Arial" w:hAnsi="Arial"/>
          <w:sz w:val="12"/>
          <w:szCs w:val="12"/>
          <w:color w:val="231F20"/>
        </w:rPr>
        <w:t>. Unless determined otherwise by the Administrator, an Award may not be sold, pledged, assigned, hypothecated, transferred, or disposed of in any manner other than by will</w:t>
      </w:r>
      <w:r>
        <w:rPr>
          <w:rFonts w:ascii="Arial" w:cs="Arial" w:eastAsia="Arial" w:hAnsi="Arial"/>
          <w:sz w:val="12"/>
          <w:szCs w:val="12"/>
          <w:i w:val="1"/>
          <w:iCs w:val="1"/>
          <w:color w:val="231F20"/>
        </w:rPr>
        <w:t xml:space="preserve"> </w:t>
      </w:r>
      <w:r>
        <w:rPr>
          <w:rFonts w:ascii="Arial" w:cs="Arial" w:eastAsia="Arial" w:hAnsi="Arial"/>
          <w:sz w:val="12"/>
          <w:szCs w:val="12"/>
          <w:color w:val="231F20"/>
        </w:rPr>
        <w:t>or by the laws of descent or distribution and may be exercised,</w:t>
      </w:r>
    </w:p>
    <w:p>
      <w:pPr>
        <w:sectPr>
          <w:pgSz w:w="11900" w:h="16838" w:orient="portrait"/>
          <w:cols w:equalWidth="0" w:num="1">
            <w:col w:w="11206"/>
          </w:cols>
          <w:pgMar w:left="314" w:top="1032" w:right="379" w:bottom="1440" w:gutter="0" w:footer="0" w:header="0"/>
        </w:sectPr>
      </w:pPr>
    </w:p>
    <w:bookmarkStart w:id="109" w:name="page110"/>
    <w:bookmarkEnd w:id="109"/>
    <w:p>
      <w:pPr>
        <w:ind w:left="9"/>
        <w:spacing w:after="0" w:line="251" w:lineRule="auto"/>
        <w:rPr>
          <w:sz w:val="20"/>
          <w:szCs w:val="20"/>
          <w:color w:val="auto"/>
        </w:rPr>
      </w:pPr>
      <w:r>
        <w:rPr>
          <w:rFonts w:ascii="Arial" w:cs="Arial" w:eastAsia="Arial" w:hAnsi="Arial"/>
          <w:sz w:val="12"/>
          <w:szCs w:val="12"/>
          <w:color w:val="231F20"/>
        </w:rPr>
        <w:t>during the lifetime of the Grantee, only by the Grantee. If the Administrator makes an Award transferable, such Award will contain such additional terms and conditions as the Administrator deems appropriate.</w:t>
      </w:r>
    </w:p>
    <w:p>
      <w:pPr>
        <w:spacing w:after="0" w:line="335" w:lineRule="exact"/>
        <w:rPr>
          <w:sz w:val="20"/>
          <w:szCs w:val="20"/>
          <w:color w:val="auto"/>
        </w:rPr>
      </w:pPr>
    </w:p>
    <w:p>
      <w:pPr>
        <w:jc w:val="both"/>
        <w:ind w:left="9" w:hanging="9"/>
        <w:spacing w:after="0" w:line="248" w:lineRule="auto"/>
        <w:tabs>
          <w:tab w:leader="none" w:pos="216" w:val="left"/>
        </w:tabs>
        <w:numPr>
          <w:ilvl w:val="0"/>
          <w:numId w:val="92"/>
        </w:numPr>
        <w:rPr>
          <w:rFonts w:ascii="Arial" w:cs="Arial" w:eastAsia="Arial" w:hAnsi="Arial"/>
          <w:sz w:val="12"/>
          <w:szCs w:val="12"/>
          <w:color w:val="231F20"/>
        </w:rPr>
      </w:pPr>
      <w:r>
        <w:rPr>
          <w:rFonts w:ascii="Arial" w:cs="Arial" w:eastAsia="Arial" w:hAnsi="Arial"/>
          <w:sz w:val="12"/>
          <w:szCs w:val="12"/>
          <w:i w:val="1"/>
          <w:iCs w:val="1"/>
          <w:color w:val="231F20"/>
        </w:rPr>
        <w:t>Performance Goals</w:t>
      </w:r>
      <w:r>
        <w:rPr>
          <w:rFonts w:ascii="Arial" w:cs="Arial" w:eastAsia="Arial" w:hAnsi="Arial"/>
          <w:sz w:val="12"/>
          <w:szCs w:val="12"/>
          <w:color w:val="231F20"/>
        </w:rPr>
        <w:t>. Awards of Restricted Stock and Restricted Stock Units may be made subject to the attainment of performance goals relating to one or more business criteria and may provide for</w:t>
      </w:r>
      <w:r>
        <w:rPr>
          <w:rFonts w:ascii="Arial" w:cs="Arial" w:eastAsia="Arial" w:hAnsi="Arial"/>
          <w:sz w:val="12"/>
          <w:szCs w:val="12"/>
          <w:i w:val="1"/>
          <w:iCs w:val="1"/>
          <w:color w:val="231F20"/>
        </w:rPr>
        <w:t xml:space="preserve"> </w:t>
      </w:r>
      <w:r>
        <w:rPr>
          <w:rFonts w:ascii="Arial" w:cs="Arial" w:eastAsia="Arial" w:hAnsi="Arial"/>
          <w:sz w:val="12"/>
          <w:szCs w:val="12"/>
          <w:color w:val="231F20"/>
        </w:rPr>
        <w:t>a targeted level or levels of achievement (“</w:t>
      </w:r>
      <w:r>
        <w:rPr>
          <w:rFonts w:ascii="Arial" w:cs="Arial" w:eastAsia="Arial" w:hAnsi="Arial"/>
          <w:sz w:val="12"/>
          <w:szCs w:val="12"/>
          <w:i w:val="1"/>
          <w:iCs w:val="1"/>
          <w:color w:val="231F20"/>
        </w:rPr>
        <w:t>Performance Goals</w:t>
      </w:r>
      <w:r>
        <w:rPr>
          <w:rFonts w:ascii="Arial" w:cs="Arial" w:eastAsia="Arial" w:hAnsi="Arial"/>
          <w:sz w:val="12"/>
          <w:szCs w:val="12"/>
          <w:color w:val="231F20"/>
        </w:rPr>
        <w:t>”) including, but not limited to, cash flow; cash position; earnings before interest and taxes; earnings before interest, taxes, depreciation and amortization; earnings per Share; economic profit; economic value added; equity or stockholder’s equity; free cash flow, free cash flow per Share, market share; net income; net profit; net sales; operating earnings; operating income; profit before tax; ratio of debt to debt plus equity; ratio of operating earnings to capital spending; return on net assets; sales growth; Share price; Share price performance relative to one or more peer companies; Share price performance relative to one or more indexes; total return to stockholders; or total return to stock- holders relative to one or more peer companies or indexes. The Performance Goals for a Grantee will be determined by the Administrator based on the Company’s tactical and strategic business objectives, which may differ from Grantee to Grantee and from Award to Award. The Administrator may make adjustments to the calculation of any Performance Goal with respect to any Grantee for any significant events or events that are unusual in nature or infrequent in occurrence and other non-recurring items affecting the Company and both before and after taking into account equity based compensation charges. In all other respects, Performance Goals will be calculated in accordance with the Company’s financial statements, generally accepted accounting principles, or under a methodology established by the Administrator prior to the issuance of an Award.</w:t>
      </w:r>
    </w:p>
    <w:p>
      <w:pPr>
        <w:spacing w:after="0" w:line="330" w:lineRule="exact"/>
        <w:rPr>
          <w:rFonts w:ascii="Arial" w:cs="Arial" w:eastAsia="Arial" w:hAnsi="Arial"/>
          <w:sz w:val="12"/>
          <w:szCs w:val="12"/>
          <w:color w:val="231F20"/>
        </w:rPr>
      </w:pPr>
    </w:p>
    <w:p>
      <w:pPr>
        <w:ind w:left="209" w:hanging="209"/>
        <w:spacing w:after="0"/>
        <w:tabs>
          <w:tab w:leader="none" w:pos="209" w:val="left"/>
        </w:tabs>
        <w:numPr>
          <w:ilvl w:val="0"/>
          <w:numId w:val="92"/>
        </w:numPr>
        <w:rPr>
          <w:rFonts w:ascii="Arial" w:cs="Arial" w:eastAsia="Arial" w:hAnsi="Arial"/>
          <w:sz w:val="12"/>
          <w:szCs w:val="12"/>
          <w:color w:val="231F20"/>
        </w:rPr>
      </w:pPr>
      <w:r>
        <w:rPr>
          <w:rFonts w:ascii="Arial" w:cs="Arial" w:eastAsia="Arial" w:hAnsi="Arial"/>
          <w:sz w:val="12"/>
          <w:szCs w:val="12"/>
          <w:i w:val="1"/>
          <w:iCs w:val="1"/>
          <w:color w:val="231F20"/>
        </w:rPr>
        <w:t>Conditions Upon Issuance of Shares</w:t>
      </w:r>
      <w:r>
        <w:rPr>
          <w:rFonts w:ascii="Arial" w:cs="Arial" w:eastAsia="Arial" w:hAnsi="Arial"/>
          <w:sz w:val="12"/>
          <w:szCs w:val="12"/>
          <w:color w:val="231F20"/>
        </w:rPr>
        <w:t>.</w:t>
      </w:r>
    </w:p>
    <w:p>
      <w:pPr>
        <w:spacing w:after="0" w:line="212" w:lineRule="exact"/>
        <w:rPr>
          <w:rFonts w:ascii="Arial" w:cs="Arial" w:eastAsia="Arial" w:hAnsi="Arial"/>
          <w:sz w:val="12"/>
          <w:szCs w:val="12"/>
          <w:color w:val="231F20"/>
        </w:rPr>
      </w:pPr>
    </w:p>
    <w:p>
      <w:pPr>
        <w:ind w:left="189" w:hanging="2"/>
        <w:spacing w:after="0" w:line="283" w:lineRule="auto"/>
        <w:tabs>
          <w:tab w:leader="none" w:pos="376" w:val="left"/>
        </w:tabs>
        <w:numPr>
          <w:ilvl w:val="1"/>
          <w:numId w:val="92"/>
        </w:numPr>
        <w:rPr>
          <w:rFonts w:ascii="Arial" w:cs="Arial" w:eastAsia="Arial" w:hAnsi="Arial"/>
          <w:sz w:val="12"/>
          <w:szCs w:val="12"/>
          <w:color w:val="231F20"/>
        </w:rPr>
      </w:pPr>
      <w:r>
        <w:rPr>
          <w:rFonts w:ascii="Arial" w:cs="Arial" w:eastAsia="Arial" w:hAnsi="Arial"/>
          <w:sz w:val="12"/>
          <w:szCs w:val="12"/>
          <w:i w:val="1"/>
          <w:iCs w:val="1"/>
          <w:color w:val="231F20"/>
        </w:rPr>
        <w:t>Legal Compliance</w:t>
      </w:r>
      <w:r>
        <w:rPr>
          <w:rFonts w:ascii="Arial" w:cs="Arial" w:eastAsia="Arial" w:hAnsi="Arial"/>
          <w:sz w:val="12"/>
          <w:szCs w:val="12"/>
          <w:color w:val="231F20"/>
        </w:rPr>
        <w:t>. Shares will not be issued pursuant to the exercise of an Award unless the exercise of such Award and the issuance and delivery of such Shares will comply with Applicable</w:t>
      </w:r>
      <w:r>
        <w:rPr>
          <w:rFonts w:ascii="Arial" w:cs="Arial" w:eastAsia="Arial" w:hAnsi="Arial"/>
          <w:sz w:val="12"/>
          <w:szCs w:val="12"/>
          <w:i w:val="1"/>
          <w:iCs w:val="1"/>
          <w:color w:val="231F20"/>
        </w:rPr>
        <w:t xml:space="preserve"> </w:t>
      </w:r>
      <w:r>
        <w:rPr>
          <w:rFonts w:ascii="Arial" w:cs="Arial" w:eastAsia="Arial" w:hAnsi="Arial"/>
          <w:sz w:val="12"/>
          <w:szCs w:val="12"/>
          <w:color w:val="231F20"/>
        </w:rPr>
        <w:t>Laws and will be further subject to the approval of counsel for the Company with respect to such compliance.</w:t>
      </w:r>
    </w:p>
    <w:p>
      <w:pPr>
        <w:spacing w:after="0" w:line="165" w:lineRule="exact"/>
        <w:rPr>
          <w:rFonts w:ascii="Arial" w:cs="Arial" w:eastAsia="Arial" w:hAnsi="Arial"/>
          <w:sz w:val="12"/>
          <w:szCs w:val="12"/>
          <w:color w:val="231F20"/>
        </w:rPr>
      </w:pPr>
    </w:p>
    <w:p>
      <w:pPr>
        <w:jc w:val="both"/>
        <w:ind w:left="189" w:hanging="2"/>
        <w:spacing w:after="0" w:line="263" w:lineRule="auto"/>
        <w:tabs>
          <w:tab w:leader="none" w:pos="376" w:val="left"/>
        </w:tabs>
        <w:numPr>
          <w:ilvl w:val="1"/>
          <w:numId w:val="92"/>
        </w:numPr>
        <w:rPr>
          <w:rFonts w:ascii="Arial" w:cs="Arial" w:eastAsia="Arial" w:hAnsi="Arial"/>
          <w:sz w:val="12"/>
          <w:szCs w:val="12"/>
          <w:color w:val="231F20"/>
        </w:rPr>
      </w:pPr>
      <w:r>
        <w:rPr>
          <w:rFonts w:ascii="Arial" w:cs="Arial" w:eastAsia="Arial" w:hAnsi="Arial"/>
          <w:sz w:val="12"/>
          <w:szCs w:val="12"/>
          <w:i w:val="1"/>
          <w:iCs w:val="1"/>
          <w:color w:val="231F20"/>
        </w:rPr>
        <w:t>Investment Representations</w:t>
      </w:r>
      <w:r>
        <w:rPr>
          <w:rFonts w:ascii="Arial" w:cs="Arial" w:eastAsia="Arial" w:hAnsi="Arial"/>
          <w:sz w:val="12"/>
          <w:szCs w:val="12"/>
          <w:color w:val="231F20"/>
        </w:rPr>
        <w:t>. As a condition to the exercise of an Award, the Company may require the person exercising such Award to represent and warrant at the time of any such exercise</w:t>
      </w:r>
      <w:r>
        <w:rPr>
          <w:rFonts w:ascii="Arial" w:cs="Arial" w:eastAsia="Arial" w:hAnsi="Arial"/>
          <w:sz w:val="12"/>
          <w:szCs w:val="12"/>
          <w:i w:val="1"/>
          <w:iCs w:val="1"/>
          <w:color w:val="231F20"/>
        </w:rPr>
        <w:t xml:space="preserve"> </w:t>
      </w:r>
      <w:r>
        <w:rPr>
          <w:rFonts w:ascii="Arial" w:cs="Arial" w:eastAsia="Arial" w:hAnsi="Arial"/>
          <w:sz w:val="12"/>
          <w:szCs w:val="12"/>
          <w:color w:val="231F20"/>
        </w:rPr>
        <w:t>that the Shares are being purchased only for investment and without any present intention to sell or distribute such Shares if, in the opinion of counsel for the Company, such a representation is required by any Applicable Laws.</w:t>
      </w:r>
    </w:p>
    <w:p>
      <w:pPr>
        <w:spacing w:after="0" w:line="177" w:lineRule="exact"/>
        <w:rPr>
          <w:rFonts w:ascii="Arial" w:cs="Arial" w:eastAsia="Arial" w:hAnsi="Arial"/>
          <w:sz w:val="12"/>
          <w:szCs w:val="12"/>
          <w:color w:val="231F20"/>
        </w:rPr>
      </w:pPr>
    </w:p>
    <w:p>
      <w:pPr>
        <w:jc w:val="both"/>
        <w:ind w:left="9" w:hanging="9"/>
        <w:spacing w:after="0" w:line="251" w:lineRule="auto"/>
        <w:tabs>
          <w:tab w:leader="none" w:pos="216" w:val="left"/>
        </w:tabs>
        <w:numPr>
          <w:ilvl w:val="0"/>
          <w:numId w:val="92"/>
        </w:numPr>
        <w:rPr>
          <w:rFonts w:ascii="Arial" w:cs="Arial" w:eastAsia="Arial" w:hAnsi="Arial"/>
          <w:sz w:val="12"/>
          <w:szCs w:val="12"/>
          <w:color w:val="231F20"/>
        </w:rPr>
      </w:pPr>
      <w:r>
        <w:rPr>
          <w:rFonts w:ascii="Arial" w:cs="Arial" w:eastAsia="Arial" w:hAnsi="Arial"/>
          <w:sz w:val="12"/>
          <w:szCs w:val="12"/>
          <w:i w:val="1"/>
          <w:iCs w:val="1"/>
          <w:color w:val="231F20"/>
        </w:rPr>
        <w:t>Adjustments</w:t>
      </w:r>
      <w:r>
        <w:rPr>
          <w:rFonts w:ascii="Arial" w:cs="Arial" w:eastAsia="Arial" w:hAnsi="Arial"/>
          <w:sz w:val="12"/>
          <w:szCs w:val="12"/>
          <w:color w:val="231F20"/>
        </w:rPr>
        <w:t>. Subject to any required action by the stockholders of the Company, the number of Shares covered by each outstanding Award, and the number of Shares which have been authorized</w:t>
      </w:r>
      <w:r>
        <w:rPr>
          <w:rFonts w:ascii="Arial" w:cs="Arial" w:eastAsia="Arial" w:hAnsi="Arial"/>
          <w:sz w:val="12"/>
          <w:szCs w:val="12"/>
          <w:i w:val="1"/>
          <w:iCs w:val="1"/>
          <w:color w:val="231F20"/>
        </w:rPr>
        <w:t xml:space="preserve"> </w:t>
      </w:r>
      <w:r>
        <w:rPr>
          <w:rFonts w:ascii="Arial" w:cs="Arial" w:eastAsia="Arial" w:hAnsi="Arial"/>
          <w:sz w:val="12"/>
          <w:szCs w:val="12"/>
          <w:color w:val="231F20"/>
        </w:rPr>
        <w:t>for issuance under the Plan but as to which no Awards have yet been granted or which have been returned to the Plan, as well as the price per share of Common Stock covered by each such outstanding Award, shall be proportionately adjusted for any increase or decrease in the number of issued shares of Common Stock resulting from a stock split, reverse stock split, stock dividend, combination or reclassification of the Common Stock, or any other similar event resulting in an increase or decrease in the number of issued shares of Common Stock. Except as expressly provided herein, no issuance by the Company of shares of stock of any class, or securities convertible into shares of stock of any class, shall affect, and no adjustment by reason hereof shall be made with respect to, the number or price of Shares subject to an Award.</w:t>
      </w:r>
    </w:p>
    <w:p>
      <w:pPr>
        <w:spacing w:after="0" w:line="186" w:lineRule="exact"/>
        <w:rPr>
          <w:rFonts w:ascii="Arial" w:cs="Arial" w:eastAsia="Arial" w:hAnsi="Arial"/>
          <w:sz w:val="12"/>
          <w:szCs w:val="12"/>
          <w:color w:val="231F20"/>
        </w:rPr>
      </w:pPr>
    </w:p>
    <w:p>
      <w:pPr>
        <w:ind w:left="209" w:hanging="209"/>
        <w:spacing w:after="0"/>
        <w:tabs>
          <w:tab w:leader="none" w:pos="209" w:val="left"/>
        </w:tabs>
        <w:numPr>
          <w:ilvl w:val="0"/>
          <w:numId w:val="92"/>
        </w:numPr>
        <w:rPr>
          <w:rFonts w:ascii="Arial" w:cs="Arial" w:eastAsia="Arial" w:hAnsi="Arial"/>
          <w:sz w:val="12"/>
          <w:szCs w:val="12"/>
          <w:color w:val="231F20"/>
        </w:rPr>
      </w:pPr>
      <w:r>
        <w:rPr>
          <w:rFonts w:ascii="Arial" w:cs="Arial" w:eastAsia="Arial" w:hAnsi="Arial"/>
          <w:sz w:val="12"/>
          <w:szCs w:val="12"/>
          <w:i w:val="1"/>
          <w:iCs w:val="1"/>
          <w:color w:val="231F20"/>
        </w:rPr>
        <w:t>Reorganization and Change in Control Events</w:t>
      </w:r>
      <w:r>
        <w:rPr>
          <w:rFonts w:ascii="Arial" w:cs="Arial" w:eastAsia="Arial" w:hAnsi="Arial"/>
          <w:sz w:val="12"/>
          <w:szCs w:val="12"/>
          <w:color w:val="231F20"/>
        </w:rPr>
        <w:t>.</w:t>
      </w:r>
    </w:p>
    <w:p>
      <w:pPr>
        <w:spacing w:after="0" w:line="212" w:lineRule="exact"/>
        <w:rPr>
          <w:rFonts w:ascii="Arial" w:cs="Arial" w:eastAsia="Arial" w:hAnsi="Arial"/>
          <w:sz w:val="12"/>
          <w:szCs w:val="12"/>
          <w:color w:val="231F20"/>
        </w:rPr>
      </w:pPr>
    </w:p>
    <w:p>
      <w:pPr>
        <w:ind w:left="369" w:hanging="182"/>
        <w:spacing w:after="0"/>
        <w:tabs>
          <w:tab w:leader="none" w:pos="369" w:val="left"/>
        </w:tabs>
        <w:numPr>
          <w:ilvl w:val="1"/>
          <w:numId w:val="92"/>
        </w:numPr>
        <w:rPr>
          <w:rFonts w:ascii="Arial" w:cs="Arial" w:eastAsia="Arial" w:hAnsi="Arial"/>
          <w:sz w:val="12"/>
          <w:szCs w:val="12"/>
          <w:color w:val="231F20"/>
        </w:rPr>
      </w:pPr>
      <w:r>
        <w:rPr>
          <w:rFonts w:ascii="Arial" w:cs="Arial" w:eastAsia="Arial" w:hAnsi="Arial"/>
          <w:sz w:val="12"/>
          <w:szCs w:val="12"/>
          <w:i w:val="1"/>
          <w:iCs w:val="1"/>
          <w:color w:val="231F20"/>
        </w:rPr>
        <w:t>Effect on Awards Other than Restricted Stock</w:t>
      </w:r>
      <w:r>
        <w:rPr>
          <w:rFonts w:ascii="Arial" w:cs="Arial" w:eastAsia="Arial" w:hAnsi="Arial"/>
          <w:sz w:val="12"/>
          <w:szCs w:val="12"/>
          <w:color w:val="231F20"/>
        </w:rPr>
        <w:t>.</w:t>
      </w:r>
    </w:p>
    <w:p>
      <w:pPr>
        <w:spacing w:after="0" w:line="224" w:lineRule="exact"/>
        <w:rPr>
          <w:rFonts w:ascii="Arial" w:cs="Arial" w:eastAsia="Arial" w:hAnsi="Arial"/>
          <w:sz w:val="12"/>
          <w:szCs w:val="12"/>
          <w:color w:val="231F20"/>
        </w:rPr>
      </w:pPr>
    </w:p>
    <w:p>
      <w:pPr>
        <w:jc w:val="both"/>
        <w:ind w:left="349" w:hanging="5"/>
        <w:spacing w:after="0" w:line="245" w:lineRule="auto"/>
        <w:tabs>
          <w:tab w:leader="none" w:pos="511" w:val="left"/>
        </w:tabs>
        <w:numPr>
          <w:ilvl w:val="2"/>
          <w:numId w:val="92"/>
        </w:numPr>
        <w:rPr>
          <w:rFonts w:ascii="Arial" w:cs="Arial" w:eastAsia="Arial" w:hAnsi="Arial"/>
          <w:sz w:val="12"/>
          <w:szCs w:val="12"/>
          <w:color w:val="auto"/>
        </w:rPr>
      </w:pPr>
      <w:r>
        <w:rPr>
          <w:rFonts w:ascii="Arial" w:cs="Arial" w:eastAsia="Arial" w:hAnsi="Arial"/>
          <w:sz w:val="12"/>
          <w:szCs w:val="12"/>
          <w:color w:val="auto"/>
        </w:rPr>
        <w:t xml:space="preserve">In connection with a Reorganization Event (regardless of whether such event also constitutes a Change in Control Event), the Board shall provide that all outstanding Awards other than Restricted Stock shall be assumed, or equivalent awards shall be substituted, by the acquiring or succeeding corporation (or an affiliate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notwithstanding anything to the contrary in the Plan, if such Reorganization Event also constitutes a Change in Control Event, except to the extent specifically provided to the contrary in the instrument evidencing any Award other than Restricted Stock or any other agreement between a Grantee and the Company (A) one-half of the number of shares subject to the Award other than Restricted Stock which were not already vested shall become vested and/or exercisable upon the occurrence of such Reorganization Event and, subject to (B) below, the remaining one-half of such number of shares shall continue to become vested in accordance with the original vesting schedule set forth in such award, with one-half of the number of shares that would otherwise have become vested on each subsequent vesting date in accordance with the original schedule becoming vested on each subsequent vesting date and (B) such assumed or substituted award other than Restricted Stock shall become immediately vested and/or exercisable in full if, on or prior to the first anniversary of the date of the consummation of the Reorganization Event, the Grantee’s employment with the Company or the acquiring or succeeding corporation is terminated for Good Reason by the Grantee or is terminated without Cause by the Company or the acquiring or succeeding corporation. For purposes hereof, an Award other than Restricted Stock shall be considered to be assumed if, following consummation of the Reorganization Event, the award confers the right to purchase or receive,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and/or vesting of the Awards other than Restricted Stock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342" w:lineRule="exact"/>
        <w:rPr>
          <w:rFonts w:ascii="Arial" w:cs="Arial" w:eastAsia="Arial" w:hAnsi="Arial"/>
          <w:sz w:val="12"/>
          <w:szCs w:val="12"/>
          <w:color w:val="auto"/>
        </w:rPr>
      </w:pPr>
    </w:p>
    <w:p>
      <w:pPr>
        <w:jc w:val="both"/>
        <w:ind w:left="349" w:hanging="5"/>
        <w:spacing w:after="0" w:line="250" w:lineRule="auto"/>
        <w:tabs>
          <w:tab w:leader="none" w:pos="536" w:val="left"/>
        </w:tabs>
        <w:numPr>
          <w:ilvl w:val="2"/>
          <w:numId w:val="92"/>
        </w:numPr>
        <w:rPr>
          <w:rFonts w:ascii="Arial" w:cs="Arial" w:eastAsia="Arial" w:hAnsi="Arial"/>
          <w:sz w:val="12"/>
          <w:szCs w:val="12"/>
          <w:color w:val="auto"/>
        </w:rPr>
      </w:pPr>
      <w:r>
        <w:rPr>
          <w:rFonts w:ascii="Arial" w:cs="Arial" w:eastAsia="Arial" w:hAnsi="Arial"/>
          <w:sz w:val="12"/>
          <w:szCs w:val="12"/>
          <w:color w:val="auto"/>
        </w:rPr>
        <w:t>Notwithstanding the foregoing and anything to the contrary in the Plan, if the acquiring or succeeding corporation (or an affiliate thereof) does not agree to assume, or substitute for, such Awards other than Restricted Stock, or in the event of a liquidation or dissolution of the Company, the Board shall, upon written notice to the Grantees, provide that all then unexercised or unvested Awards other than Restricted Stock will become vested and/or exercisable in full as of a specified time prior to the Reorganization Event and will terminate immediately prior to the consummation of such Reorganization Event, except to the extent, as applicable,</w:t>
      </w:r>
    </w:p>
    <w:p>
      <w:pPr>
        <w:sectPr>
          <w:pgSz w:w="11900" w:h="16838" w:orient="portrait"/>
          <w:cols w:equalWidth="0" w:num="1">
            <w:col w:w="11129"/>
          </w:cols>
          <w:pgMar w:left="391" w:top="834" w:right="379" w:bottom="1440" w:gutter="0" w:footer="0" w:header="0"/>
        </w:sectPr>
      </w:pPr>
    </w:p>
    <w:bookmarkStart w:id="110" w:name="page111"/>
    <w:bookmarkEnd w:id="110"/>
    <w:p>
      <w:pPr>
        <w:jc w:val="both"/>
        <w:ind w:left="333"/>
        <w:spacing w:after="0" w:line="248" w:lineRule="auto"/>
        <w:rPr>
          <w:sz w:val="20"/>
          <w:szCs w:val="20"/>
          <w:color w:val="auto"/>
        </w:rPr>
      </w:pPr>
      <w:r>
        <w:rPr>
          <w:rFonts w:ascii="Arial" w:cs="Arial" w:eastAsia="Arial" w:hAnsi="Arial"/>
          <w:sz w:val="12"/>
          <w:szCs w:val="12"/>
          <w:color w:val="auto"/>
        </w:rPr>
        <w:t xml:space="preserve">exercised by the Grantees before the consummation of such Reorganization Event;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in the event of a Reorganization Event under the terms of which holders of Common Stock will receive upon consummation thereof a cash payment for each share of Common Stock surrendered pursuant to such Reorganization Event (the “</w:t>
      </w:r>
      <w:r>
        <w:rPr>
          <w:rFonts w:ascii="Arial" w:cs="Arial" w:eastAsia="Arial" w:hAnsi="Arial"/>
          <w:sz w:val="12"/>
          <w:szCs w:val="12"/>
          <w:i w:val="1"/>
          <w:iCs w:val="1"/>
          <w:color w:val="auto"/>
        </w:rPr>
        <w:t>Acquisition Price</w:t>
      </w:r>
      <w:r>
        <w:rPr>
          <w:rFonts w:ascii="Arial" w:cs="Arial" w:eastAsia="Arial" w:hAnsi="Arial"/>
          <w:sz w:val="12"/>
          <w:szCs w:val="12"/>
          <w:color w:val="auto"/>
        </w:rPr>
        <w:t>”), then the Board may instead provide that all outstanding Awards other than Restricted Stock shall terminate upon consummation of such Reorganization Event and that each Grantee shall receive, in exchange therefor, a cash payment equal to the amount (if any) by which (A) the Acquisition Price multiplied by the number of shares of Common Stock subject to such outstanding Award other than Restricted Stock (whether or not then vested), exceeds (B) the aggregate exercise price of such Award other than Restricted Stock, if any.</w:t>
      </w:r>
    </w:p>
    <w:p>
      <w:pPr>
        <w:spacing w:after="0" w:line="199" w:lineRule="exact"/>
        <w:rPr>
          <w:sz w:val="20"/>
          <w:szCs w:val="20"/>
          <w:color w:val="auto"/>
        </w:rPr>
      </w:pPr>
    </w:p>
    <w:p>
      <w:pPr>
        <w:jc w:val="both"/>
        <w:ind w:left="333" w:hanging="5"/>
        <w:spacing w:after="0" w:line="247" w:lineRule="auto"/>
        <w:tabs>
          <w:tab w:leader="none" w:pos="538" w:val="left"/>
        </w:tabs>
        <w:numPr>
          <w:ilvl w:val="3"/>
          <w:numId w:val="93"/>
        </w:numPr>
        <w:rPr>
          <w:rFonts w:ascii="Arial" w:cs="Arial" w:eastAsia="Arial" w:hAnsi="Arial"/>
          <w:sz w:val="12"/>
          <w:szCs w:val="12"/>
          <w:color w:val="auto"/>
        </w:rPr>
      </w:pPr>
      <w:r>
        <w:rPr>
          <w:rFonts w:ascii="Arial" w:cs="Arial" w:eastAsia="Arial" w:hAnsi="Arial"/>
          <w:sz w:val="12"/>
          <w:szCs w:val="12"/>
          <w:color w:val="auto"/>
        </w:rPr>
        <w:t>Notwithstanding the terms of Section 14(a)(ii), in the case of outstanding Restricted Stock Units that are subject to Section 409A: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14(a)(ii) and the Restricted Stock Units shall instead be settled in accordance with the terms of the applicable Restricted Stock Unit agreement; and (ii) the Board otherwise may only undertake the actions set forth in Section 10(b)(2) if the Reorganization Event constitutes a “change in control event” as defined under Treasury Regulation Section 1.409A-3(i)(5)(i) or if such action is permitted or required by Section 409A; if the Reorganization Event is not a “change in control event” as so defined or such action is not permitted or required by Section 409A, and the acquiring or succeeding corporation does not assume or substitute the Restricted Stock Units, then the unvested Restricted Stock Units shall terminate immediately prior to the consummation of the Reorganization Event without any payment in exchange therefor.</w:t>
      </w:r>
    </w:p>
    <w:p>
      <w:pPr>
        <w:spacing w:after="0" w:line="198" w:lineRule="exact"/>
        <w:rPr>
          <w:rFonts w:ascii="Arial" w:cs="Arial" w:eastAsia="Arial" w:hAnsi="Arial"/>
          <w:sz w:val="12"/>
          <w:szCs w:val="12"/>
          <w:color w:val="auto"/>
        </w:rPr>
      </w:pPr>
    </w:p>
    <w:p>
      <w:pPr>
        <w:jc w:val="both"/>
        <w:ind w:left="333" w:hanging="5"/>
        <w:spacing w:after="0" w:line="246" w:lineRule="auto"/>
        <w:tabs>
          <w:tab w:leader="none" w:pos="545" w:val="left"/>
        </w:tabs>
        <w:numPr>
          <w:ilvl w:val="3"/>
          <w:numId w:val="93"/>
        </w:numPr>
        <w:rPr>
          <w:rFonts w:ascii="Arial" w:cs="Arial" w:eastAsia="Arial" w:hAnsi="Arial"/>
          <w:sz w:val="12"/>
          <w:szCs w:val="12"/>
          <w:color w:val="auto"/>
        </w:rPr>
      </w:pPr>
      <w:r>
        <w:rPr>
          <w:rFonts w:ascii="Arial" w:cs="Arial" w:eastAsia="Arial" w:hAnsi="Arial"/>
          <w:sz w:val="12"/>
          <w:szCs w:val="12"/>
          <w:color w:val="auto"/>
        </w:rPr>
        <w:t xml:space="preserve">Upon the occurrence of a Change in Control Event that does not also constitute a Reorganization Event, except to the extent specifically provided to the contrary in the instrument evidencing any Award other than Restricted Stock or any other agreement between a Grantee and the Company, and notwithstanding anything to the contrary in the Plan, the vesting schedule of such Award shall be accelerated in part so that one-half of the number of shares that would otherwise have first become vested on any date after the date of the Change in Control Event shall immediately become vested and/or exercisable. The remaining one-half of such number of shares shall continue to become vested in accordance with the original vesting schedule set forth in such Award other than Restricted Stock, with one-half of the number of shares that would otherwise have become vested on each subsequent vesting date in accordance with the original schedule becoming vested on each such subsequent vesting date;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each such Award other than Restricted Stock shall be immediately vested and/or exercisable in full if, on or prior to the first anniversary of the date of the consummation of the Change in Control Event, the Grantee’s employment with the Company or the acquiring or succeeding corporation is terminated for Good Reason by the Grantee or is terminated without Cause by the Company or the acquiring or succeeding corporation.</w:t>
      </w:r>
    </w:p>
    <w:p>
      <w:pPr>
        <w:spacing w:after="0" w:line="189" w:lineRule="exact"/>
        <w:rPr>
          <w:rFonts w:ascii="Arial" w:cs="Arial" w:eastAsia="Arial" w:hAnsi="Arial"/>
          <w:sz w:val="12"/>
          <w:szCs w:val="12"/>
          <w:color w:val="auto"/>
        </w:rPr>
      </w:pPr>
    </w:p>
    <w:p>
      <w:pPr>
        <w:ind w:left="353" w:hanging="182"/>
        <w:spacing w:after="0"/>
        <w:tabs>
          <w:tab w:leader="none" w:pos="353" w:val="left"/>
        </w:tabs>
        <w:numPr>
          <w:ilvl w:val="1"/>
          <w:numId w:val="94"/>
        </w:numPr>
        <w:rPr>
          <w:rFonts w:ascii="Arial" w:cs="Arial" w:eastAsia="Arial" w:hAnsi="Arial"/>
          <w:sz w:val="12"/>
          <w:szCs w:val="12"/>
          <w:color w:val="231F20"/>
        </w:rPr>
      </w:pPr>
      <w:r>
        <w:rPr>
          <w:rFonts w:ascii="Arial" w:cs="Arial" w:eastAsia="Arial" w:hAnsi="Arial"/>
          <w:sz w:val="12"/>
          <w:szCs w:val="12"/>
          <w:i w:val="1"/>
          <w:iCs w:val="1"/>
          <w:color w:val="231F20"/>
        </w:rPr>
        <w:t>Effect on Awards of Restricted Stock.</w:t>
      </w:r>
    </w:p>
    <w:p>
      <w:pPr>
        <w:spacing w:after="0" w:line="224" w:lineRule="exact"/>
        <w:rPr>
          <w:rFonts w:ascii="Arial" w:cs="Arial" w:eastAsia="Arial" w:hAnsi="Arial"/>
          <w:sz w:val="12"/>
          <w:szCs w:val="12"/>
          <w:color w:val="231F20"/>
        </w:rPr>
      </w:pPr>
    </w:p>
    <w:p>
      <w:pPr>
        <w:jc w:val="both"/>
        <w:ind w:left="333" w:hanging="5"/>
        <w:spacing w:after="0" w:line="253" w:lineRule="auto"/>
        <w:tabs>
          <w:tab w:leader="none" w:pos="488" w:val="left"/>
        </w:tabs>
        <w:numPr>
          <w:ilvl w:val="3"/>
          <w:numId w:val="94"/>
        </w:numPr>
        <w:rPr>
          <w:rFonts w:ascii="Arial" w:cs="Arial" w:eastAsia="Arial" w:hAnsi="Arial"/>
          <w:sz w:val="12"/>
          <w:szCs w:val="12"/>
          <w:color w:val="auto"/>
        </w:rPr>
      </w:pPr>
      <w:r>
        <w:rPr>
          <w:rFonts w:ascii="Arial" w:cs="Arial" w:eastAsia="Arial" w:hAnsi="Arial"/>
          <w:sz w:val="12"/>
          <w:szCs w:val="12"/>
          <w:color w:val="auto"/>
        </w:rPr>
        <w:t>Upon the occurrence of a Reorganization Event (regardless of whether such event also constitutes a Change in Control Event), the repurchase and other rights of the Company under each outstanding Award of Restricted Stock shall inure to the benefit of the Company’s successor and shall apply to the cash, securities or other property which the Common Stock was converted into or exchanged for pursuant to such Reorganization Event in the same manner and to the same extent as they applied to such Award of Restricted Stock.</w:t>
      </w:r>
    </w:p>
    <w:p>
      <w:pPr>
        <w:spacing w:after="0" w:line="195" w:lineRule="exact"/>
        <w:rPr>
          <w:rFonts w:ascii="Arial" w:cs="Arial" w:eastAsia="Arial" w:hAnsi="Arial"/>
          <w:sz w:val="12"/>
          <w:szCs w:val="12"/>
          <w:color w:val="auto"/>
        </w:rPr>
      </w:pPr>
    </w:p>
    <w:p>
      <w:pPr>
        <w:jc w:val="both"/>
        <w:ind w:left="333" w:hanging="5"/>
        <w:spacing w:after="0" w:line="246" w:lineRule="auto"/>
        <w:tabs>
          <w:tab w:leader="none" w:pos="511" w:val="left"/>
        </w:tabs>
        <w:numPr>
          <w:ilvl w:val="3"/>
          <w:numId w:val="94"/>
        </w:numPr>
        <w:rPr>
          <w:rFonts w:ascii="Arial" w:cs="Arial" w:eastAsia="Arial" w:hAnsi="Arial"/>
          <w:sz w:val="12"/>
          <w:szCs w:val="12"/>
          <w:color w:val="auto"/>
        </w:rPr>
      </w:pPr>
      <w:r>
        <w:rPr>
          <w:rFonts w:ascii="Arial" w:cs="Arial" w:eastAsia="Arial" w:hAnsi="Arial"/>
          <w:sz w:val="12"/>
          <w:szCs w:val="12"/>
          <w:color w:val="auto"/>
        </w:rPr>
        <w:t>Upon the occurrence of a Change in Control Event (regardless of whether such event also constitutes a Reorganization Event), except to the extent specifically provided to the contrary in the instrument evidencing any Award of Restricted Stock or any other agreement between a Grantee and the Company, and notwithstanding anything to the contrary in the Plan, the vesting schedule of all Awards of Restricted Stock shall be accelerated in part so that one-half of the number of shares that would otherwise have first become free from conditions or restrictions on any date after the date of the Change in Control Event shall immediately become free from conditions or restrictions. Subject to the following sentence, the remaining one-half of such number of shares shall continue to become free from conditions or restrictions in accordance with the original schedule set forth in such Award, with one-half of the number of shares that would otherwise have become free from conditions or restrictions on each subsequent vesting date in accordance with the original schedule becoming free from conditions or restrictions on each subsequent vesting date. In addition, each such Award shall immediately become free from all conditions or restrictions if, on or prior to the first anniversary of the date of the consummation of the Change in Control Event, the Grantee’s employment with the Company or the acquiring or succeeding corporation is terminated for Good Reason by the Grantee or is terminated without Cause by the Company or the acquiring or succeeding corporation.</w:t>
      </w:r>
    </w:p>
    <w:p>
      <w:pPr>
        <w:spacing w:after="0" w:line="329" w:lineRule="exact"/>
        <w:rPr>
          <w:rFonts w:ascii="Arial" w:cs="Arial" w:eastAsia="Arial" w:hAnsi="Arial"/>
          <w:sz w:val="12"/>
          <w:szCs w:val="12"/>
          <w:color w:val="auto"/>
        </w:rPr>
      </w:pPr>
    </w:p>
    <w:p>
      <w:pPr>
        <w:ind w:left="213" w:hanging="213"/>
        <w:spacing w:after="0"/>
        <w:tabs>
          <w:tab w:leader="none" w:pos="213" w:val="left"/>
        </w:tabs>
        <w:numPr>
          <w:ilvl w:val="0"/>
          <w:numId w:val="95"/>
        </w:numPr>
        <w:rPr>
          <w:rFonts w:ascii="Arial" w:cs="Arial" w:eastAsia="Arial" w:hAnsi="Arial"/>
          <w:sz w:val="12"/>
          <w:szCs w:val="12"/>
          <w:color w:val="231F20"/>
        </w:rPr>
      </w:pPr>
      <w:r>
        <w:rPr>
          <w:rFonts w:ascii="Arial" w:cs="Arial" w:eastAsia="Arial" w:hAnsi="Arial"/>
          <w:sz w:val="12"/>
          <w:szCs w:val="12"/>
          <w:i w:val="1"/>
          <w:iCs w:val="1"/>
          <w:color w:val="231F20"/>
        </w:rPr>
        <w:t>Tax Withholding</w:t>
      </w:r>
      <w:r>
        <w:rPr>
          <w:rFonts w:ascii="Arial" w:cs="Arial" w:eastAsia="Arial" w:hAnsi="Arial"/>
          <w:sz w:val="12"/>
          <w:szCs w:val="12"/>
          <w:color w:val="231F20"/>
        </w:rPr>
        <w:t>.</w:t>
      </w:r>
    </w:p>
    <w:p>
      <w:pPr>
        <w:spacing w:after="0" w:line="212" w:lineRule="exact"/>
        <w:rPr>
          <w:rFonts w:ascii="Arial" w:cs="Arial" w:eastAsia="Arial" w:hAnsi="Arial"/>
          <w:sz w:val="12"/>
          <w:szCs w:val="12"/>
          <w:color w:val="231F20"/>
        </w:rPr>
      </w:pPr>
    </w:p>
    <w:p>
      <w:pPr>
        <w:jc w:val="both"/>
        <w:ind w:left="193" w:hanging="6"/>
        <w:spacing w:after="0" w:line="251" w:lineRule="auto"/>
        <w:tabs>
          <w:tab w:leader="none" w:pos="380" w:val="left"/>
        </w:tabs>
        <w:numPr>
          <w:ilvl w:val="2"/>
          <w:numId w:val="95"/>
        </w:numPr>
        <w:rPr>
          <w:rFonts w:ascii="Arial" w:cs="Arial" w:eastAsia="Arial" w:hAnsi="Arial"/>
          <w:sz w:val="12"/>
          <w:szCs w:val="12"/>
          <w:color w:val="231F20"/>
        </w:rPr>
      </w:pPr>
      <w:r>
        <w:rPr>
          <w:rFonts w:ascii="Arial" w:cs="Arial" w:eastAsia="Arial" w:hAnsi="Arial"/>
          <w:sz w:val="12"/>
          <w:szCs w:val="12"/>
          <w:i w:val="1"/>
          <w:iCs w:val="1"/>
          <w:color w:val="231F20"/>
        </w:rPr>
        <w:t>Withholding Requirements</w:t>
      </w:r>
      <w:r>
        <w:rPr>
          <w:rFonts w:ascii="Arial" w:cs="Arial" w:eastAsia="Arial" w:hAnsi="Arial"/>
          <w:sz w:val="12"/>
          <w:szCs w:val="12"/>
          <w:color w:val="231F20"/>
        </w:rPr>
        <w:t>. Prior to the delivery of any Shares or cash pursuant to an Award (or exercise thereof), the Company will have the power and the right to deduct or withhold, or require</w:t>
      </w:r>
      <w:r>
        <w:rPr>
          <w:rFonts w:ascii="Arial" w:cs="Arial" w:eastAsia="Arial" w:hAnsi="Arial"/>
          <w:sz w:val="12"/>
          <w:szCs w:val="12"/>
          <w:i w:val="1"/>
          <w:iCs w:val="1"/>
          <w:color w:val="231F20"/>
        </w:rPr>
        <w:t xml:space="preserve"> </w:t>
      </w:r>
      <w:r>
        <w:rPr>
          <w:rFonts w:ascii="Arial" w:cs="Arial" w:eastAsia="Arial" w:hAnsi="Arial"/>
          <w:sz w:val="12"/>
          <w:szCs w:val="12"/>
          <w:color w:val="231F20"/>
        </w:rPr>
        <w:t>a Grantee to remit to the Company, an amount sufficient to satisfy U.S. or non-U.S. federal, state, or local taxes (including the Grantee’s FICA obligation) required to be withheld with respect to such Award (or exercise thereof). The Company will have no obligation to permit exercise of an Award or to issue any Shares or cash pursuant to an Award, unless and until either the exercise of the Award or the issuance of Shares or cash pursuant thereto is accompanied by sufficient payment, as determined by the Company in its absolute discretion, to meet those withholding obligations on such exercise, issuance, lapse or disposition or other arrangements are made that are satisfactory to the Company in its absolute discretion to provide otherwise for such payment. The Company will have no liability to any Grantee or transferee for exercising the foregoing right not to permit exercise or issue or deliver Shares or cash.</w:t>
      </w:r>
    </w:p>
    <w:p>
      <w:pPr>
        <w:spacing w:after="0" w:line="186" w:lineRule="exact"/>
        <w:rPr>
          <w:rFonts w:ascii="Arial" w:cs="Arial" w:eastAsia="Arial" w:hAnsi="Arial"/>
          <w:sz w:val="12"/>
          <w:szCs w:val="12"/>
          <w:color w:val="231F20"/>
        </w:rPr>
      </w:pPr>
    </w:p>
    <w:p>
      <w:pPr>
        <w:jc w:val="both"/>
        <w:ind w:left="193" w:hanging="6"/>
        <w:spacing w:after="0" w:line="254" w:lineRule="auto"/>
        <w:tabs>
          <w:tab w:leader="none" w:pos="380" w:val="left"/>
        </w:tabs>
        <w:numPr>
          <w:ilvl w:val="2"/>
          <w:numId w:val="95"/>
        </w:numPr>
        <w:rPr>
          <w:rFonts w:ascii="Arial" w:cs="Arial" w:eastAsia="Arial" w:hAnsi="Arial"/>
          <w:sz w:val="12"/>
          <w:szCs w:val="12"/>
          <w:color w:val="231F20"/>
        </w:rPr>
      </w:pPr>
      <w:r>
        <w:rPr>
          <w:rFonts w:ascii="Arial" w:cs="Arial" w:eastAsia="Arial" w:hAnsi="Arial"/>
          <w:sz w:val="12"/>
          <w:szCs w:val="12"/>
          <w:i w:val="1"/>
          <w:iCs w:val="1"/>
          <w:color w:val="231F20"/>
        </w:rPr>
        <w:t>Withholding Arrangements</w:t>
      </w:r>
      <w:r>
        <w:rPr>
          <w:rFonts w:ascii="Arial" w:cs="Arial" w:eastAsia="Arial" w:hAnsi="Arial"/>
          <w:sz w:val="12"/>
          <w:szCs w:val="12"/>
          <w:color w:val="231F20"/>
        </w:rPr>
        <w:t>. The Administrator, in its sole discretion and pursuant to such procedures as it may specify from time to time, may permit a Grantee to satisfy such tax withholding</w:t>
      </w:r>
      <w:r>
        <w:rPr>
          <w:rFonts w:ascii="Arial" w:cs="Arial" w:eastAsia="Arial" w:hAnsi="Arial"/>
          <w:sz w:val="12"/>
          <w:szCs w:val="12"/>
          <w:i w:val="1"/>
          <w:iCs w:val="1"/>
          <w:color w:val="231F20"/>
        </w:rPr>
        <w:t xml:space="preserve"> </w:t>
      </w:r>
      <w:r>
        <w:rPr>
          <w:rFonts w:ascii="Arial" w:cs="Arial" w:eastAsia="Arial" w:hAnsi="Arial"/>
          <w:sz w:val="12"/>
          <w:szCs w:val="12"/>
          <w:color w:val="231F20"/>
        </w:rPr>
        <w:t>obligation, in whole or in part (without limitation) by (i) paying cash, (ii) electing to have the Company withhold otherwise deliverable cash or Shares having a Fair Market Value equal to the amount required to be withheld, (iii) delivering to the Company already-owned Shares having a Fair Market Value equal to the amount required to be withheld, or (iv) selling a sufficient number of Shares otherwise deliverable to the Grantee through such means as the Administrator may determine in its sole discretion (whether through a broker or otherwise) equal to the amount required to be withheld. The amount of the</w:t>
      </w:r>
    </w:p>
    <w:p>
      <w:pPr>
        <w:sectPr>
          <w:pgSz w:w="11900" w:h="16838" w:orient="portrait"/>
          <w:cols w:equalWidth="0" w:num="1">
            <w:col w:w="11113"/>
          </w:cols>
          <w:pgMar w:left="407" w:top="833" w:right="379" w:bottom="1440" w:gutter="0" w:footer="0" w:header="0"/>
        </w:sectPr>
      </w:pPr>
    </w:p>
    <w:bookmarkStart w:id="111" w:name="page112"/>
    <w:bookmarkEnd w:id="111"/>
    <w:p>
      <w:pPr>
        <w:jc w:val="both"/>
        <w:ind w:left="193"/>
        <w:spacing w:after="0" w:line="253" w:lineRule="auto"/>
        <w:rPr>
          <w:sz w:val="20"/>
          <w:szCs w:val="20"/>
          <w:color w:val="auto"/>
        </w:rPr>
      </w:pPr>
      <w:r>
        <w:rPr>
          <w:rFonts w:ascii="Arial" w:cs="Arial" w:eastAsia="Arial" w:hAnsi="Arial"/>
          <w:sz w:val="12"/>
          <w:szCs w:val="12"/>
          <w:color w:val="231F20"/>
        </w:rPr>
        <w:t>withholding requirement will be deemed to include any amount which the Administrator agrees may be withheld at the time the election is made, not to exceed the amount determined by using the maximum U.S. or non-U.S. federal, state or local marginal income tax rates applicable to the Grantee with respect to the Award on the date that the amount of tax to be withheld is to be determined. The fair market value of the Shares to be withheld or delivered will be determined as of the date that the taxes are required to be withheld.</w:t>
      </w:r>
    </w:p>
    <w:p>
      <w:pPr>
        <w:spacing w:after="0" w:line="183" w:lineRule="exact"/>
        <w:rPr>
          <w:sz w:val="20"/>
          <w:szCs w:val="20"/>
          <w:color w:val="auto"/>
        </w:rPr>
      </w:pPr>
    </w:p>
    <w:p>
      <w:pPr>
        <w:ind w:left="-7" w:right="20" w:firstLine="7"/>
        <w:spacing w:after="0" w:line="283" w:lineRule="auto"/>
        <w:tabs>
          <w:tab w:leader="none" w:pos="201" w:val="left"/>
        </w:tabs>
        <w:numPr>
          <w:ilvl w:val="0"/>
          <w:numId w:val="96"/>
        </w:numPr>
        <w:rPr>
          <w:rFonts w:ascii="Arial" w:cs="Arial" w:eastAsia="Arial" w:hAnsi="Arial"/>
          <w:sz w:val="12"/>
          <w:szCs w:val="12"/>
          <w:color w:val="231F20"/>
        </w:rPr>
      </w:pPr>
      <w:r>
        <w:rPr>
          <w:rFonts w:ascii="Arial" w:cs="Arial" w:eastAsia="Arial" w:hAnsi="Arial"/>
          <w:sz w:val="12"/>
          <w:szCs w:val="12"/>
          <w:i w:val="1"/>
          <w:iCs w:val="1"/>
          <w:color w:val="231F20"/>
        </w:rPr>
        <w:t>Date of an Award</w:t>
      </w:r>
      <w:r>
        <w:rPr>
          <w:rFonts w:ascii="Arial" w:cs="Arial" w:eastAsia="Arial" w:hAnsi="Arial"/>
          <w:sz w:val="12"/>
          <w:szCs w:val="12"/>
          <w:color w:val="231F20"/>
        </w:rPr>
        <w:t>. The date of grant of an Award will be, for all purposes, the date on which the Administrator makes the determination to grant such Award, or such other date as is determined by</w:t>
      </w:r>
      <w:r>
        <w:rPr>
          <w:rFonts w:ascii="Arial" w:cs="Arial" w:eastAsia="Arial" w:hAnsi="Arial"/>
          <w:sz w:val="12"/>
          <w:szCs w:val="12"/>
          <w:i w:val="1"/>
          <w:iCs w:val="1"/>
          <w:color w:val="231F20"/>
        </w:rPr>
        <w:t xml:space="preserve"> </w:t>
      </w:r>
      <w:r>
        <w:rPr>
          <w:rFonts w:ascii="Arial" w:cs="Arial" w:eastAsia="Arial" w:hAnsi="Arial"/>
          <w:sz w:val="12"/>
          <w:szCs w:val="12"/>
          <w:color w:val="231F20"/>
        </w:rPr>
        <w:t>the Administrator. Notice of the grant determination will be given to each Grantee to whom an Award is so granted within a reasonable time after the date of such grant.</w:t>
      </w:r>
    </w:p>
    <w:p>
      <w:pPr>
        <w:spacing w:after="0" w:line="165" w:lineRule="exact"/>
        <w:rPr>
          <w:rFonts w:ascii="Arial" w:cs="Arial" w:eastAsia="Arial" w:hAnsi="Arial"/>
          <w:sz w:val="12"/>
          <w:szCs w:val="12"/>
          <w:color w:val="231F20"/>
        </w:rPr>
      </w:pPr>
    </w:p>
    <w:p>
      <w:pPr>
        <w:ind w:left="213" w:hanging="213"/>
        <w:spacing w:after="0"/>
        <w:tabs>
          <w:tab w:leader="none" w:pos="213" w:val="left"/>
        </w:tabs>
        <w:numPr>
          <w:ilvl w:val="0"/>
          <w:numId w:val="96"/>
        </w:numPr>
        <w:rPr>
          <w:rFonts w:ascii="Arial" w:cs="Arial" w:eastAsia="Arial" w:hAnsi="Arial"/>
          <w:sz w:val="12"/>
          <w:szCs w:val="12"/>
          <w:color w:val="231F20"/>
        </w:rPr>
      </w:pPr>
      <w:r>
        <w:rPr>
          <w:rFonts w:ascii="Arial" w:cs="Arial" w:eastAsia="Arial" w:hAnsi="Arial"/>
          <w:sz w:val="12"/>
          <w:szCs w:val="12"/>
          <w:i w:val="1"/>
          <w:iCs w:val="1"/>
          <w:color w:val="231F20"/>
        </w:rPr>
        <w:t>Term of Plan</w:t>
      </w:r>
      <w:r>
        <w:rPr>
          <w:rFonts w:ascii="Arial" w:cs="Arial" w:eastAsia="Arial" w:hAnsi="Arial"/>
          <w:sz w:val="12"/>
          <w:szCs w:val="12"/>
          <w:color w:val="231F20"/>
        </w:rPr>
        <w:t>. Subject to Section 22 of the Plan, the term of the Plan shall remain in effect until August 11, 2024, unless terminated earlier under Section 18 of the Plan.</w:t>
      </w:r>
    </w:p>
    <w:p>
      <w:pPr>
        <w:spacing w:after="0" w:line="212" w:lineRule="exact"/>
        <w:rPr>
          <w:rFonts w:ascii="Arial" w:cs="Arial" w:eastAsia="Arial" w:hAnsi="Arial"/>
          <w:sz w:val="12"/>
          <w:szCs w:val="12"/>
          <w:color w:val="231F20"/>
        </w:rPr>
      </w:pPr>
    </w:p>
    <w:p>
      <w:pPr>
        <w:ind w:left="213" w:hanging="213"/>
        <w:spacing w:after="0"/>
        <w:tabs>
          <w:tab w:leader="none" w:pos="213" w:val="left"/>
        </w:tabs>
        <w:numPr>
          <w:ilvl w:val="0"/>
          <w:numId w:val="96"/>
        </w:numPr>
        <w:rPr>
          <w:rFonts w:ascii="Arial" w:cs="Arial" w:eastAsia="Arial" w:hAnsi="Arial"/>
          <w:sz w:val="12"/>
          <w:szCs w:val="12"/>
          <w:color w:val="231F20"/>
        </w:rPr>
      </w:pPr>
      <w:r>
        <w:rPr>
          <w:rFonts w:ascii="Arial" w:cs="Arial" w:eastAsia="Arial" w:hAnsi="Arial"/>
          <w:sz w:val="12"/>
          <w:szCs w:val="12"/>
          <w:i w:val="1"/>
          <w:iCs w:val="1"/>
          <w:color w:val="231F20"/>
        </w:rPr>
        <w:t>Section 409A</w:t>
      </w:r>
    </w:p>
    <w:p>
      <w:pPr>
        <w:spacing w:after="0" w:line="224" w:lineRule="exact"/>
        <w:rPr>
          <w:rFonts w:ascii="Arial" w:cs="Arial" w:eastAsia="Arial" w:hAnsi="Arial"/>
          <w:sz w:val="12"/>
          <w:szCs w:val="12"/>
          <w:color w:val="231F20"/>
        </w:rPr>
      </w:pPr>
    </w:p>
    <w:p>
      <w:pPr>
        <w:jc w:val="both"/>
        <w:ind w:left="193" w:hanging="6"/>
        <w:spacing w:after="0" w:line="248" w:lineRule="auto"/>
        <w:tabs>
          <w:tab w:leader="none" w:pos="381" w:val="left"/>
        </w:tabs>
        <w:numPr>
          <w:ilvl w:val="1"/>
          <w:numId w:val="96"/>
        </w:numPr>
        <w:rPr>
          <w:rFonts w:ascii="Arial" w:cs="Arial" w:eastAsia="Arial" w:hAnsi="Arial"/>
          <w:sz w:val="12"/>
          <w:szCs w:val="12"/>
          <w:color w:val="231F20"/>
        </w:rPr>
      </w:pPr>
      <w:r>
        <w:rPr>
          <w:rFonts w:ascii="Arial" w:cs="Arial" w:eastAsia="Arial" w:hAnsi="Arial"/>
          <w:sz w:val="12"/>
          <w:szCs w:val="12"/>
          <w:color w:val="231F20"/>
        </w:rPr>
        <w:t>The Company intends that any Awards be structured in compliance with, or to satisfy an exemption from, Section 409A, such that there are no adverse tax consequences, interest, or penalties as a result of the payments. Notwithstanding anything else to the contrary herein, if any Award is subject to Section 409A, the Administrator may, in its sole discretion and without a Grantee’s prior consent, amend the Plan and/or Awards, adopt policies and procedures, or take any other actions (including amendments, policies, procedures and actions with retroactive effect) as are necessary or appropriate to (i) exempt the Plan and/or any Award from the application of Section 409A, (ii) preserve the intended tax treatment of any such Award, or (iii) comply with the requirements of Section 409A, including without limitation any such regulations guidance, compliance programs and other interpretative authority that may be issued after the date of the grant.</w:t>
      </w:r>
    </w:p>
    <w:p>
      <w:pPr>
        <w:spacing w:after="0" w:line="199" w:lineRule="exact"/>
        <w:rPr>
          <w:rFonts w:ascii="Arial" w:cs="Arial" w:eastAsia="Arial" w:hAnsi="Arial"/>
          <w:sz w:val="12"/>
          <w:szCs w:val="12"/>
          <w:color w:val="231F20"/>
        </w:rPr>
      </w:pPr>
    </w:p>
    <w:p>
      <w:pPr>
        <w:jc w:val="both"/>
        <w:ind w:left="193" w:hanging="6"/>
        <w:spacing w:after="0" w:line="250" w:lineRule="auto"/>
        <w:tabs>
          <w:tab w:leader="none" w:pos="384" w:val="left"/>
        </w:tabs>
        <w:numPr>
          <w:ilvl w:val="1"/>
          <w:numId w:val="96"/>
        </w:numPr>
        <w:rPr>
          <w:rFonts w:ascii="Arial" w:cs="Arial" w:eastAsia="Arial" w:hAnsi="Arial"/>
          <w:sz w:val="12"/>
          <w:szCs w:val="12"/>
          <w:color w:val="231F20"/>
        </w:rPr>
      </w:pPr>
      <w:r>
        <w:rPr>
          <w:rFonts w:ascii="Arial" w:cs="Arial" w:eastAsia="Arial" w:hAnsi="Arial"/>
          <w:sz w:val="12"/>
          <w:szCs w:val="12"/>
          <w:color w:val="231F20"/>
        </w:rPr>
        <w:t>Notwithstanding any contrary provision in the Plan or Award Agreement, any payment(s) of nonqualified deferred compensation (within the meaning of Section 409A) that are otherwise required to be made under the Plan to a “specified employee” (as defined under Section 409A) as a result of his or her separation from service (other than a payment that is not subject to Section 409A) shall be delayed for the first six (6) months following such separation from service (or, if earlier, the date of death of the specified employee) and shall instead be paid (in a manner set forth in the Award Agreement) on the payment date that immediately follows the end of such six (6) month period or as soon as administratively practicable thereafter.</w:t>
      </w:r>
    </w:p>
    <w:p>
      <w:pPr>
        <w:spacing w:after="0" w:line="196" w:lineRule="exact"/>
        <w:rPr>
          <w:rFonts w:ascii="Arial" w:cs="Arial" w:eastAsia="Arial" w:hAnsi="Arial"/>
          <w:sz w:val="12"/>
          <w:szCs w:val="12"/>
          <w:color w:val="231F20"/>
        </w:rPr>
      </w:pPr>
    </w:p>
    <w:p>
      <w:pPr>
        <w:jc w:val="both"/>
        <w:ind w:left="193" w:hanging="6"/>
        <w:spacing w:after="0" w:line="250" w:lineRule="auto"/>
        <w:tabs>
          <w:tab w:leader="none" w:pos="378" w:val="left"/>
        </w:tabs>
        <w:numPr>
          <w:ilvl w:val="1"/>
          <w:numId w:val="96"/>
        </w:numPr>
        <w:rPr>
          <w:rFonts w:ascii="Arial" w:cs="Arial" w:eastAsia="Arial" w:hAnsi="Arial"/>
          <w:sz w:val="12"/>
          <w:szCs w:val="12"/>
          <w:color w:val="231F20"/>
        </w:rPr>
      </w:pPr>
      <w:r>
        <w:rPr>
          <w:rFonts w:ascii="Arial" w:cs="Arial" w:eastAsia="Arial" w:hAnsi="Arial"/>
          <w:sz w:val="12"/>
          <w:szCs w:val="12"/>
          <w:color w:val="231F20"/>
        </w:rPr>
        <w:t>A termination of employment shall not be deemed to have occurred for purposes of any provision of the Plan or any Award Agreement providing for the payment of any amounts or benefits that are considered nonqualified deferred compensation under Section 409A upon or following a termination of employment, unless such termination is also a “separation from service” within the meaning of Section 409A and the payment thereof prior to a “separation from service” would violate Section 409A. For purposes of any such provision of the Plan or any Award Agreement relating to any such payments or benefits, references to a “termination,” “termination of employment” or like terms shall mean “separation from service”.</w:t>
      </w:r>
    </w:p>
    <w:p>
      <w:pPr>
        <w:spacing w:after="0" w:line="184" w:lineRule="exact"/>
        <w:rPr>
          <w:rFonts w:ascii="Arial" w:cs="Arial" w:eastAsia="Arial" w:hAnsi="Arial"/>
          <w:sz w:val="12"/>
          <w:szCs w:val="12"/>
          <w:color w:val="231F20"/>
        </w:rPr>
      </w:pPr>
    </w:p>
    <w:p>
      <w:pPr>
        <w:jc w:val="both"/>
        <w:ind w:left="-7" w:firstLine="7"/>
        <w:spacing w:after="0" w:line="257" w:lineRule="auto"/>
        <w:tabs>
          <w:tab w:leader="none" w:pos="201" w:val="left"/>
        </w:tabs>
        <w:numPr>
          <w:ilvl w:val="0"/>
          <w:numId w:val="96"/>
        </w:numPr>
        <w:rPr>
          <w:rFonts w:ascii="Arial" w:cs="Arial" w:eastAsia="Arial" w:hAnsi="Arial"/>
          <w:sz w:val="12"/>
          <w:szCs w:val="12"/>
          <w:color w:val="231F20"/>
        </w:rPr>
      </w:pPr>
      <w:r>
        <w:rPr>
          <w:rFonts w:ascii="Arial" w:cs="Arial" w:eastAsia="Arial" w:hAnsi="Arial"/>
          <w:sz w:val="12"/>
          <w:szCs w:val="12"/>
          <w:i w:val="1"/>
          <w:iCs w:val="1"/>
          <w:color w:val="231F20"/>
        </w:rPr>
        <w:t>No Guarantees Regarding Tax Treatment</w:t>
      </w:r>
      <w:r>
        <w:rPr>
          <w:rFonts w:ascii="Arial" w:cs="Arial" w:eastAsia="Arial" w:hAnsi="Arial"/>
          <w:sz w:val="12"/>
          <w:szCs w:val="12"/>
          <w:color w:val="231F20"/>
        </w:rPr>
        <w:t>. Grantees (and their beneficiaries) shall be responsible for all taxes with respect to any Awards under the Plan. The Administrator and the Company make</w:t>
      </w:r>
      <w:r>
        <w:rPr>
          <w:rFonts w:ascii="Arial" w:cs="Arial" w:eastAsia="Arial" w:hAnsi="Arial"/>
          <w:sz w:val="12"/>
          <w:szCs w:val="12"/>
          <w:i w:val="1"/>
          <w:iCs w:val="1"/>
          <w:color w:val="231F20"/>
        </w:rPr>
        <w:t xml:space="preserve"> </w:t>
      </w:r>
      <w:r>
        <w:rPr>
          <w:rFonts w:ascii="Arial" w:cs="Arial" w:eastAsia="Arial" w:hAnsi="Arial"/>
          <w:sz w:val="12"/>
          <w:szCs w:val="12"/>
          <w:color w:val="231F20"/>
        </w:rPr>
        <w:t>no guarantees to any person regarding the tax treatment of Awards or payments made under the Plan. Neither the Administrator nor the Company has any obligation to take any action to prevent the assessment of any tax on any person with respect to any Award under Section 409A of the Code or otherwise and none of the Company, any of its Subsidiaries or Affiliates, or any of their employees or representatives shall have any liability to a Grantee with respect thereto.</w:t>
      </w:r>
    </w:p>
    <w:p>
      <w:pPr>
        <w:spacing w:after="0" w:line="180" w:lineRule="exact"/>
        <w:rPr>
          <w:rFonts w:ascii="Arial" w:cs="Arial" w:eastAsia="Arial" w:hAnsi="Arial"/>
          <w:sz w:val="12"/>
          <w:szCs w:val="12"/>
          <w:color w:val="231F20"/>
        </w:rPr>
      </w:pPr>
    </w:p>
    <w:p>
      <w:pPr>
        <w:jc w:val="both"/>
        <w:ind w:left="-7" w:firstLine="7"/>
        <w:spacing w:after="0" w:line="263" w:lineRule="auto"/>
        <w:tabs>
          <w:tab w:leader="none" w:pos="201" w:val="left"/>
        </w:tabs>
        <w:numPr>
          <w:ilvl w:val="0"/>
          <w:numId w:val="96"/>
        </w:numPr>
        <w:rPr>
          <w:rFonts w:ascii="Arial" w:cs="Arial" w:eastAsia="Arial" w:hAnsi="Arial"/>
          <w:sz w:val="12"/>
          <w:szCs w:val="12"/>
          <w:color w:val="231F20"/>
        </w:rPr>
      </w:pPr>
      <w:r>
        <w:rPr>
          <w:rFonts w:ascii="Arial" w:cs="Arial" w:eastAsia="Arial" w:hAnsi="Arial"/>
          <w:sz w:val="12"/>
          <w:szCs w:val="12"/>
          <w:i w:val="1"/>
          <w:iCs w:val="1"/>
          <w:color w:val="231F20"/>
        </w:rPr>
        <w:t>Unfunded Plan</w:t>
      </w:r>
      <w:r>
        <w:rPr>
          <w:rFonts w:ascii="Arial" w:cs="Arial" w:eastAsia="Arial" w:hAnsi="Arial"/>
          <w:sz w:val="12"/>
          <w:szCs w:val="12"/>
          <w:color w:val="231F20"/>
        </w:rPr>
        <w:t>. The Plan is intended to constitute an unfunded plan for incentive compensation. Prior to the issuance of Shares, cash or other form of payment in connection with an Award, nothing</w:t>
      </w:r>
      <w:r>
        <w:rPr>
          <w:rFonts w:ascii="Arial" w:cs="Arial" w:eastAsia="Arial" w:hAnsi="Arial"/>
          <w:sz w:val="12"/>
          <w:szCs w:val="12"/>
          <w:i w:val="1"/>
          <w:iCs w:val="1"/>
          <w:color w:val="231F20"/>
        </w:rPr>
        <w:t xml:space="preserve"> </w:t>
      </w:r>
      <w:r>
        <w:rPr>
          <w:rFonts w:ascii="Arial" w:cs="Arial" w:eastAsia="Arial" w:hAnsi="Arial"/>
          <w:sz w:val="12"/>
          <w:szCs w:val="12"/>
          <w:color w:val="231F20"/>
        </w:rPr>
        <w:t>contained herein shall give any Grantee any rights that are greater than those of a general unsecured creditor of the Company. The Administrator may, but is not obligated, to authorize the creation of trusts or other arrangements to meet the obligations created under the Plan to deliver Shares with respect to awards hereunder.</w:t>
      </w:r>
    </w:p>
    <w:p>
      <w:pPr>
        <w:spacing w:after="0" w:line="177" w:lineRule="exact"/>
        <w:rPr>
          <w:rFonts w:ascii="Arial" w:cs="Arial" w:eastAsia="Arial" w:hAnsi="Arial"/>
          <w:sz w:val="12"/>
          <w:szCs w:val="12"/>
          <w:color w:val="231F20"/>
        </w:rPr>
      </w:pPr>
    </w:p>
    <w:p>
      <w:pPr>
        <w:ind w:left="213" w:hanging="213"/>
        <w:spacing w:after="0"/>
        <w:tabs>
          <w:tab w:leader="none" w:pos="213" w:val="left"/>
        </w:tabs>
        <w:numPr>
          <w:ilvl w:val="0"/>
          <w:numId w:val="96"/>
        </w:numPr>
        <w:rPr>
          <w:rFonts w:ascii="Arial" w:cs="Arial" w:eastAsia="Arial" w:hAnsi="Arial"/>
          <w:sz w:val="12"/>
          <w:szCs w:val="12"/>
          <w:color w:val="231F20"/>
        </w:rPr>
      </w:pPr>
      <w:r>
        <w:rPr>
          <w:rFonts w:ascii="Arial" w:cs="Arial" w:eastAsia="Arial" w:hAnsi="Arial"/>
          <w:sz w:val="12"/>
          <w:szCs w:val="12"/>
          <w:i w:val="1"/>
          <w:iCs w:val="1"/>
          <w:color w:val="231F20"/>
        </w:rPr>
        <w:t>Amendment, Suspension or Termination of the Plan</w:t>
      </w:r>
      <w:r>
        <w:rPr>
          <w:rFonts w:ascii="Arial" w:cs="Arial" w:eastAsia="Arial" w:hAnsi="Arial"/>
          <w:sz w:val="12"/>
          <w:szCs w:val="12"/>
          <w:color w:val="231F20"/>
        </w:rPr>
        <w:t>.</w:t>
      </w:r>
    </w:p>
    <w:p>
      <w:pPr>
        <w:spacing w:after="0" w:line="224" w:lineRule="exact"/>
        <w:rPr>
          <w:rFonts w:ascii="Arial" w:cs="Arial" w:eastAsia="Arial" w:hAnsi="Arial"/>
          <w:sz w:val="12"/>
          <w:szCs w:val="12"/>
          <w:color w:val="231F20"/>
        </w:rPr>
      </w:pPr>
    </w:p>
    <w:p>
      <w:pPr>
        <w:jc w:val="both"/>
        <w:ind w:left="193" w:hanging="6"/>
        <w:spacing w:after="0" w:line="248" w:lineRule="auto"/>
        <w:tabs>
          <w:tab w:leader="none" w:pos="391" w:val="left"/>
        </w:tabs>
        <w:numPr>
          <w:ilvl w:val="1"/>
          <w:numId w:val="96"/>
        </w:numPr>
        <w:rPr>
          <w:rFonts w:ascii="Arial" w:cs="Arial" w:eastAsia="Arial" w:hAnsi="Arial"/>
          <w:sz w:val="12"/>
          <w:szCs w:val="12"/>
          <w:color w:val="231F20"/>
        </w:rPr>
      </w:pPr>
      <w:r>
        <w:rPr>
          <w:rFonts w:ascii="Arial" w:cs="Arial" w:eastAsia="Arial" w:hAnsi="Arial"/>
          <w:sz w:val="12"/>
          <w:szCs w:val="12"/>
          <w:color w:val="231F20"/>
        </w:rPr>
        <w:t>The Administrator may at any time amend, suspend or terminate the Plan. To the extent required to comply with Applicable Laws, the Company shall obtain stockholder approval of any Plan amendment in such manner and to such a degree as required. Notwithstanding the foregoing, the Company shall, at all times, obtain stockholder approval prior to implementing any (i) exchange offer in which any outstanding Awards (or any other outstanding equity awards granted under any other plans listed in Section 3(a)) would be cancelled in exchange for new Awards of any kind or (ii) offer to purchase any outstanding Awards (or any other outstanding equity awards granted under any other plans listed in Section 3(a)) for any amount of cash, in each case, based on a new valuation of the Awards (or any other outstanding equity awards granted under any other plans listed in Section 3(a)) subject to such offer after their original grant dates.</w:t>
      </w:r>
    </w:p>
    <w:p>
      <w:pPr>
        <w:spacing w:after="0" w:line="199" w:lineRule="exact"/>
        <w:rPr>
          <w:rFonts w:ascii="Arial" w:cs="Arial" w:eastAsia="Arial" w:hAnsi="Arial"/>
          <w:sz w:val="12"/>
          <w:szCs w:val="12"/>
          <w:color w:val="231F20"/>
        </w:rPr>
      </w:pPr>
    </w:p>
    <w:p>
      <w:pPr>
        <w:ind w:left="373" w:hanging="186"/>
        <w:spacing w:after="0"/>
        <w:tabs>
          <w:tab w:leader="none" w:pos="373" w:val="left"/>
        </w:tabs>
        <w:numPr>
          <w:ilvl w:val="1"/>
          <w:numId w:val="96"/>
        </w:numPr>
        <w:rPr>
          <w:rFonts w:ascii="Arial" w:cs="Arial" w:eastAsia="Arial" w:hAnsi="Arial"/>
          <w:sz w:val="12"/>
          <w:szCs w:val="12"/>
          <w:color w:val="231F20"/>
        </w:rPr>
      </w:pPr>
      <w:r>
        <w:rPr>
          <w:rFonts w:ascii="Arial" w:cs="Arial" w:eastAsia="Arial" w:hAnsi="Arial"/>
          <w:sz w:val="12"/>
          <w:szCs w:val="12"/>
          <w:color w:val="231F20"/>
        </w:rPr>
        <w:t>No Award may be granted during any suspension of the Plan or after termination of the Plan.</w:t>
      </w:r>
    </w:p>
    <w:p>
      <w:pPr>
        <w:spacing w:after="0" w:line="212" w:lineRule="exact"/>
        <w:rPr>
          <w:rFonts w:ascii="Arial" w:cs="Arial" w:eastAsia="Arial" w:hAnsi="Arial"/>
          <w:sz w:val="12"/>
          <w:szCs w:val="12"/>
          <w:color w:val="231F20"/>
        </w:rPr>
      </w:pPr>
    </w:p>
    <w:p>
      <w:pPr>
        <w:ind w:left="193" w:hanging="6"/>
        <w:spacing w:after="0" w:line="262" w:lineRule="auto"/>
        <w:tabs>
          <w:tab w:leader="none" w:pos="388" w:val="left"/>
        </w:tabs>
        <w:numPr>
          <w:ilvl w:val="1"/>
          <w:numId w:val="96"/>
        </w:numPr>
        <w:rPr>
          <w:rFonts w:ascii="Arial" w:cs="Arial" w:eastAsia="Arial" w:hAnsi="Arial"/>
          <w:sz w:val="12"/>
          <w:szCs w:val="12"/>
          <w:color w:val="231F20"/>
        </w:rPr>
      </w:pPr>
      <w:r>
        <w:rPr>
          <w:rFonts w:ascii="Arial" w:cs="Arial" w:eastAsia="Arial" w:hAnsi="Arial"/>
          <w:sz w:val="12"/>
          <w:szCs w:val="12"/>
          <w:color w:val="231F20"/>
        </w:rPr>
        <w:t>Any amendment, suspension or termination of the Plan shall not affect Awards already granted, and such Awards shall remain in full force and effect as if the Plan had not been amended, suspended or terminated, unless mutually agreed otherwise between the Grantee and the Administrator, which agreement must be in writing and signed by the Grantee and the Company.</w:t>
      </w:r>
    </w:p>
    <w:p>
      <w:pPr>
        <w:spacing w:after="0" w:line="177" w:lineRule="exact"/>
        <w:rPr>
          <w:rFonts w:ascii="Arial" w:cs="Arial" w:eastAsia="Arial" w:hAnsi="Arial"/>
          <w:sz w:val="12"/>
          <w:szCs w:val="12"/>
          <w:color w:val="231F20"/>
        </w:rPr>
      </w:pPr>
    </w:p>
    <w:p>
      <w:pPr>
        <w:ind w:left="213" w:hanging="213"/>
        <w:spacing w:after="0"/>
        <w:tabs>
          <w:tab w:leader="none" w:pos="213" w:val="left"/>
        </w:tabs>
        <w:numPr>
          <w:ilvl w:val="0"/>
          <w:numId w:val="96"/>
        </w:numPr>
        <w:rPr>
          <w:rFonts w:ascii="Arial" w:cs="Arial" w:eastAsia="Arial" w:hAnsi="Arial"/>
          <w:sz w:val="12"/>
          <w:szCs w:val="12"/>
          <w:color w:val="231F20"/>
        </w:rPr>
      </w:pPr>
      <w:r>
        <w:rPr>
          <w:rFonts w:ascii="Arial" w:cs="Arial" w:eastAsia="Arial" w:hAnsi="Arial"/>
          <w:sz w:val="12"/>
          <w:szCs w:val="12"/>
          <w:i w:val="1"/>
          <w:iCs w:val="1"/>
          <w:color w:val="231F20"/>
        </w:rPr>
        <w:t>Reservation of Shares</w:t>
      </w:r>
      <w:r>
        <w:rPr>
          <w:rFonts w:ascii="Arial" w:cs="Arial" w:eastAsia="Arial" w:hAnsi="Arial"/>
          <w:sz w:val="12"/>
          <w:szCs w:val="12"/>
          <w:color w:val="231F20"/>
        </w:rPr>
        <w:t>.</w:t>
      </w:r>
    </w:p>
    <w:p>
      <w:pPr>
        <w:spacing w:after="0" w:line="224" w:lineRule="exact"/>
        <w:rPr>
          <w:rFonts w:ascii="Arial" w:cs="Arial" w:eastAsia="Arial" w:hAnsi="Arial"/>
          <w:sz w:val="12"/>
          <w:szCs w:val="12"/>
          <w:color w:val="231F20"/>
        </w:rPr>
      </w:pPr>
    </w:p>
    <w:p>
      <w:pPr>
        <w:ind w:left="373" w:hanging="186"/>
        <w:spacing w:after="0"/>
        <w:tabs>
          <w:tab w:leader="none" w:pos="373" w:val="left"/>
        </w:tabs>
        <w:numPr>
          <w:ilvl w:val="1"/>
          <w:numId w:val="96"/>
        </w:numPr>
        <w:rPr>
          <w:rFonts w:ascii="Arial" w:cs="Arial" w:eastAsia="Arial" w:hAnsi="Arial"/>
          <w:sz w:val="12"/>
          <w:szCs w:val="12"/>
          <w:color w:val="231F20"/>
        </w:rPr>
      </w:pPr>
      <w:r>
        <w:rPr>
          <w:rFonts w:ascii="Arial" w:cs="Arial" w:eastAsia="Arial" w:hAnsi="Arial"/>
          <w:sz w:val="12"/>
          <w:szCs w:val="12"/>
          <w:color w:val="231F20"/>
        </w:rPr>
        <w:t>The Company, during the term of the Plan, will at all times reserve and keep available such number of Shares as shall be sufficient to satisfy the requirements of the Plan.</w:t>
      </w:r>
    </w:p>
    <w:p>
      <w:pPr>
        <w:spacing w:after="0" w:line="212" w:lineRule="exact"/>
        <w:rPr>
          <w:rFonts w:ascii="Arial" w:cs="Arial" w:eastAsia="Arial" w:hAnsi="Arial"/>
          <w:sz w:val="12"/>
          <w:szCs w:val="12"/>
          <w:color w:val="231F20"/>
        </w:rPr>
      </w:pPr>
    </w:p>
    <w:p>
      <w:pPr>
        <w:ind w:left="193" w:right="20" w:hanging="6"/>
        <w:spacing w:after="0" w:line="262" w:lineRule="auto"/>
        <w:tabs>
          <w:tab w:leader="none" w:pos="381" w:val="left"/>
        </w:tabs>
        <w:numPr>
          <w:ilvl w:val="1"/>
          <w:numId w:val="96"/>
        </w:numPr>
        <w:rPr>
          <w:rFonts w:ascii="Arial" w:cs="Arial" w:eastAsia="Arial" w:hAnsi="Arial"/>
          <w:sz w:val="12"/>
          <w:szCs w:val="12"/>
          <w:color w:val="231F20"/>
        </w:rPr>
      </w:pPr>
      <w:r>
        <w:rPr>
          <w:rFonts w:ascii="Arial" w:cs="Arial" w:eastAsia="Arial" w:hAnsi="Arial"/>
          <w:sz w:val="12"/>
          <w:szCs w:val="12"/>
          <w:color w:val="231F20"/>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ectPr>
          <w:pgSz w:w="11900" w:h="16838" w:orient="portrait"/>
          <w:cols w:equalWidth="0" w:num="1">
            <w:col w:w="11113"/>
          </w:cols>
          <w:pgMar w:left="407" w:top="833" w:right="379" w:bottom="1440" w:gutter="0" w:footer="0" w:header="0"/>
        </w:sectPr>
      </w:pPr>
    </w:p>
    <w:bookmarkStart w:id="112" w:name="page113"/>
    <w:bookmarkEnd w:id="112"/>
    <w:p>
      <w:pPr>
        <w:ind w:left="-7" w:right="20" w:firstLine="7"/>
        <w:spacing w:after="0" w:line="283" w:lineRule="auto"/>
        <w:tabs>
          <w:tab w:leader="none" w:pos="201" w:val="left"/>
        </w:tabs>
        <w:numPr>
          <w:ilvl w:val="0"/>
          <w:numId w:val="97"/>
        </w:numPr>
        <w:rPr>
          <w:rFonts w:ascii="Arial" w:cs="Arial" w:eastAsia="Arial" w:hAnsi="Arial"/>
          <w:sz w:val="12"/>
          <w:szCs w:val="12"/>
          <w:color w:val="231F20"/>
        </w:rPr>
      </w:pPr>
      <w:r>
        <w:rPr>
          <w:rFonts w:ascii="Arial" w:cs="Arial" w:eastAsia="Arial" w:hAnsi="Arial"/>
          <w:sz w:val="12"/>
          <w:szCs w:val="12"/>
          <w:i w:val="1"/>
          <w:iCs w:val="1"/>
          <w:color w:val="231F20"/>
        </w:rPr>
        <w:t>No Effect on Terms of Employment</w:t>
      </w:r>
      <w:r>
        <w:rPr>
          <w:rFonts w:ascii="Arial" w:cs="Arial" w:eastAsia="Arial" w:hAnsi="Arial"/>
          <w:sz w:val="12"/>
          <w:szCs w:val="12"/>
          <w:color w:val="231F20"/>
        </w:rPr>
        <w:t>. The Plan shall not confer upon any Grantee any right with respect to continuation of employment or consulting relationship with the Company, nor shall it interfere</w:t>
      </w:r>
      <w:r>
        <w:rPr>
          <w:rFonts w:ascii="Arial" w:cs="Arial" w:eastAsia="Arial" w:hAnsi="Arial"/>
          <w:sz w:val="12"/>
          <w:szCs w:val="12"/>
          <w:i w:val="1"/>
          <w:iCs w:val="1"/>
          <w:color w:val="231F20"/>
        </w:rPr>
        <w:t xml:space="preserve"> </w:t>
      </w:r>
      <w:r>
        <w:rPr>
          <w:rFonts w:ascii="Arial" w:cs="Arial" w:eastAsia="Arial" w:hAnsi="Arial"/>
          <w:sz w:val="12"/>
          <w:szCs w:val="12"/>
          <w:color w:val="231F20"/>
        </w:rPr>
        <w:t>in any way with his or her right or the Company’s right to terminate his or her employment or consulting relationship at any time, with or without Cause.</w:t>
      </w:r>
    </w:p>
    <w:p>
      <w:pPr>
        <w:spacing w:after="0" w:line="165" w:lineRule="exact"/>
        <w:rPr>
          <w:rFonts w:ascii="Arial" w:cs="Arial" w:eastAsia="Arial" w:hAnsi="Arial"/>
          <w:sz w:val="12"/>
          <w:szCs w:val="12"/>
          <w:color w:val="231F20"/>
        </w:rPr>
      </w:pPr>
    </w:p>
    <w:p>
      <w:pPr>
        <w:ind w:left="-7" w:firstLine="7"/>
        <w:spacing w:after="0" w:line="283" w:lineRule="auto"/>
        <w:tabs>
          <w:tab w:leader="none" w:pos="201" w:val="left"/>
        </w:tabs>
        <w:numPr>
          <w:ilvl w:val="0"/>
          <w:numId w:val="97"/>
        </w:numPr>
        <w:rPr>
          <w:rFonts w:ascii="Arial" w:cs="Arial" w:eastAsia="Arial" w:hAnsi="Arial"/>
          <w:sz w:val="12"/>
          <w:szCs w:val="12"/>
          <w:color w:val="231F20"/>
        </w:rPr>
      </w:pPr>
      <w:r>
        <w:rPr>
          <w:rFonts w:ascii="Arial" w:cs="Arial" w:eastAsia="Arial" w:hAnsi="Arial"/>
          <w:sz w:val="12"/>
          <w:szCs w:val="12"/>
          <w:i w:val="1"/>
          <w:iCs w:val="1"/>
          <w:color w:val="231F20"/>
        </w:rPr>
        <w:t>Electronic Delivery</w:t>
      </w:r>
      <w:r>
        <w:rPr>
          <w:rFonts w:ascii="Arial" w:cs="Arial" w:eastAsia="Arial" w:hAnsi="Arial"/>
          <w:sz w:val="12"/>
          <w:szCs w:val="12"/>
          <w:color w:val="231F20"/>
        </w:rPr>
        <w:t>. Any reference herein to a written agreement or document will include any agreement or document delivered electronically, filed publicly at</w:t>
      </w:r>
      <w:r>
        <w:rPr>
          <w:rFonts w:ascii="Arial" w:cs="Arial" w:eastAsia="Arial" w:hAnsi="Arial"/>
          <w:sz w:val="12"/>
          <w:szCs w:val="12"/>
          <w:i w:val="1"/>
          <w:iCs w:val="1"/>
          <w:color w:val="231F20"/>
        </w:rPr>
        <w:t xml:space="preserve"> www.sec.gov </w:t>
      </w:r>
      <w:r>
        <w:rPr>
          <w:rFonts w:ascii="Arial" w:cs="Arial" w:eastAsia="Arial" w:hAnsi="Arial"/>
          <w:sz w:val="12"/>
          <w:szCs w:val="12"/>
          <w:color w:val="231F20"/>
        </w:rPr>
        <w:t>(or any successor website</w:t>
      </w:r>
      <w:r>
        <w:rPr>
          <w:rFonts w:ascii="Arial" w:cs="Arial" w:eastAsia="Arial" w:hAnsi="Arial"/>
          <w:sz w:val="12"/>
          <w:szCs w:val="12"/>
          <w:i w:val="1"/>
          <w:iCs w:val="1"/>
          <w:color w:val="231F20"/>
        </w:rPr>
        <w:t xml:space="preserve"> </w:t>
      </w:r>
      <w:r>
        <w:rPr>
          <w:rFonts w:ascii="Arial" w:cs="Arial" w:eastAsia="Arial" w:hAnsi="Arial"/>
          <w:sz w:val="12"/>
          <w:szCs w:val="12"/>
          <w:color w:val="231F20"/>
        </w:rPr>
        <w:t>thereto) or posted on the Company’s intranet.</w:t>
      </w:r>
    </w:p>
    <w:p>
      <w:pPr>
        <w:spacing w:after="0" w:line="165" w:lineRule="exact"/>
        <w:rPr>
          <w:rFonts w:ascii="Arial" w:cs="Arial" w:eastAsia="Arial" w:hAnsi="Arial"/>
          <w:sz w:val="12"/>
          <w:szCs w:val="12"/>
          <w:color w:val="231F20"/>
        </w:rPr>
      </w:pPr>
    </w:p>
    <w:p>
      <w:pPr>
        <w:ind w:left="-7" w:firstLine="7"/>
        <w:spacing w:after="0" w:line="283" w:lineRule="auto"/>
        <w:tabs>
          <w:tab w:leader="none" w:pos="201" w:val="left"/>
        </w:tabs>
        <w:numPr>
          <w:ilvl w:val="0"/>
          <w:numId w:val="97"/>
        </w:numPr>
        <w:rPr>
          <w:rFonts w:ascii="Arial" w:cs="Arial" w:eastAsia="Arial" w:hAnsi="Arial"/>
          <w:sz w:val="12"/>
          <w:szCs w:val="12"/>
          <w:color w:val="231F20"/>
        </w:rPr>
      </w:pPr>
      <w:r>
        <w:rPr>
          <w:rFonts w:ascii="Arial" w:cs="Arial" w:eastAsia="Arial" w:hAnsi="Arial"/>
          <w:sz w:val="12"/>
          <w:szCs w:val="12"/>
          <w:i w:val="1"/>
          <w:iCs w:val="1"/>
          <w:color w:val="231F20"/>
        </w:rPr>
        <w:t>Governing Law</w:t>
      </w:r>
      <w:r>
        <w:rPr>
          <w:rFonts w:ascii="Arial" w:cs="Arial" w:eastAsia="Arial" w:hAnsi="Arial"/>
          <w:sz w:val="12"/>
          <w:szCs w:val="12"/>
          <w:color w:val="231F20"/>
        </w:rPr>
        <w:t>.</w:t>
      </w:r>
      <w:r>
        <w:rPr>
          <w:rFonts w:ascii="Arial" w:cs="Arial" w:eastAsia="Arial" w:hAnsi="Arial"/>
          <w:sz w:val="12"/>
          <w:szCs w:val="12"/>
          <w:i w:val="1"/>
          <w:iCs w:val="1"/>
          <w:color w:val="231F20"/>
        </w:rPr>
        <w:t xml:space="preserve"> </w:t>
      </w:r>
      <w:r>
        <w:rPr>
          <w:rFonts w:ascii="Arial" w:cs="Arial" w:eastAsia="Arial" w:hAnsi="Arial"/>
          <w:sz w:val="12"/>
          <w:szCs w:val="12"/>
          <w:color w:val="000000"/>
        </w:rPr>
        <w:t>The provisions of the Plan and all Awards made hereunder shall be governed by and interpreted in accordance with the laws of the Commonwealth of Massachusetts, excluding</w:t>
      </w:r>
      <w:r>
        <w:rPr>
          <w:rFonts w:ascii="Arial" w:cs="Arial" w:eastAsia="Arial" w:hAnsi="Arial"/>
          <w:sz w:val="12"/>
          <w:szCs w:val="12"/>
          <w:i w:val="1"/>
          <w:iCs w:val="1"/>
          <w:color w:val="231F20"/>
        </w:rPr>
        <w:t xml:space="preserve"> </w:t>
      </w:r>
      <w:r>
        <w:rPr>
          <w:rFonts w:ascii="Arial" w:cs="Arial" w:eastAsia="Arial" w:hAnsi="Arial"/>
          <w:sz w:val="12"/>
          <w:szCs w:val="12"/>
          <w:color w:val="000000"/>
        </w:rPr>
        <w:t>choice-of-law principles of the law of such state that would require the application of the laws of a jurisdiction other than the Commonwealth of Massachusetts.</w:t>
      </w:r>
    </w:p>
    <w:p>
      <w:pPr>
        <w:sectPr>
          <w:pgSz w:w="11900" w:h="16838" w:orient="portrait"/>
          <w:cols w:equalWidth="0" w:num="1">
            <w:col w:w="11113"/>
          </w:cols>
          <w:pgMar w:left="407" w:top="1032" w:right="37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43635" cy="3562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143635" cy="356235"/>
                    </a:xfrm>
                    <a:prstGeom prst="rect">
                      <a:avLst/>
                    </a:prstGeom>
                    <a:noFill/>
                  </pic:spPr>
                </pic:pic>
              </a:graphicData>
            </a:graphic>
          </wp:anchor>
        </w:drawing>
        <w:t>Exhibit 10.37</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Private &amp; Confidential (Addressee Only)</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color w:val="auto"/>
          <w:highlight w:val="yellow"/>
        </w:rPr>
        <w:t>Participant Name</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highlight w:val="yellow"/>
        </w:rPr>
        <w:t>Employee ID</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Grant ID: </w:t>
      </w:r>
      <w:r>
        <w:rPr>
          <w:rFonts w:ascii="Arial" w:cs="Arial" w:eastAsia="Arial" w:hAnsi="Arial"/>
          <w:sz w:val="14"/>
          <w:szCs w:val="14"/>
          <w:color w:val="auto"/>
          <w:highlight w:val="yellow"/>
        </w:rPr>
        <w:t>Client Grant ID</w:t>
      </w:r>
    </w:p>
    <w:p>
      <w:pPr>
        <w:spacing w:after="0" w:line="213" w:lineRule="exact"/>
        <w:rPr>
          <w:sz w:val="20"/>
          <w:szCs w:val="20"/>
          <w:color w:val="auto"/>
        </w:rPr>
      </w:pPr>
    </w:p>
    <w:p>
      <w:pPr>
        <w:jc w:val="both"/>
        <w:ind w:left="280" w:right="300"/>
        <w:spacing w:after="0" w:line="250" w:lineRule="auto"/>
        <w:rPr>
          <w:sz w:val="20"/>
          <w:szCs w:val="20"/>
          <w:color w:val="auto"/>
        </w:rPr>
      </w:pPr>
      <w:r>
        <w:rPr>
          <w:rFonts w:ascii="Arial" w:cs="Arial" w:eastAsia="Arial" w:hAnsi="Arial"/>
          <w:sz w:val="14"/>
          <w:szCs w:val="14"/>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Amended and Restated 1996 Stock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20" w:lineRule="exact"/>
        <w:rPr>
          <w:sz w:val="20"/>
          <w:szCs w:val="20"/>
          <w:color w:val="auto"/>
        </w:rPr>
      </w:pPr>
    </w:p>
    <w:p>
      <w:pPr>
        <w:ind w:left="560" w:hanging="286"/>
        <w:spacing w:after="0"/>
        <w:tabs>
          <w:tab w:leader="none" w:pos="560"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Grant of Restricted Stock Unit</w:t>
      </w:r>
      <w:r>
        <w:rPr>
          <w:rFonts w:ascii="Arial" w:cs="Arial" w:eastAsia="Arial" w:hAnsi="Arial"/>
          <w:sz w:val="14"/>
          <w:szCs w:val="14"/>
          <w:color w:val="auto"/>
        </w:rPr>
        <w:t>.</w:t>
      </w:r>
    </w:p>
    <w:p>
      <w:pPr>
        <w:spacing w:after="0" w:line="143" w:lineRule="exact"/>
        <w:rPr>
          <w:rFonts w:ascii="Arial" w:cs="Arial" w:eastAsia="Arial" w:hAnsi="Arial"/>
          <w:sz w:val="14"/>
          <w:szCs w:val="14"/>
          <w:color w:val="auto"/>
        </w:rPr>
      </w:pPr>
    </w:p>
    <w:p>
      <w:pPr>
        <w:ind w:left="560" w:right="300"/>
        <w:spacing w:after="0" w:line="270" w:lineRule="auto"/>
        <w:rPr>
          <w:rFonts w:ascii="Arial" w:cs="Arial" w:eastAsia="Arial" w:hAnsi="Arial"/>
          <w:sz w:val="14"/>
          <w:szCs w:val="14"/>
          <w:color w:val="auto"/>
        </w:rPr>
      </w:pPr>
      <w:r>
        <w:rPr>
          <w:rFonts w:ascii="Arial" w:cs="Arial" w:eastAsia="Arial" w:hAnsi="Arial"/>
          <w:sz w:val="14"/>
          <w:szCs w:val="14"/>
          <w:color w:val="auto"/>
        </w:rPr>
        <w:t>Subject to the terms and conditions of the Plan and this Agreement, the Company has granted to the Participant that number of RSUs (the “Award”) effective on the Date of Grant set forth below:</w:t>
      </w:r>
    </w:p>
    <w:p>
      <w:pPr>
        <w:spacing w:after="0" w:line="101"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b w:val="1"/>
          <w:bCs w:val="1"/>
          <w:color w:val="0000CC"/>
        </w:rPr>
        <w:t xml:space="preserve">Date of Grant:   </w:t>
      </w:r>
      <w:r>
        <w:rPr>
          <w:rFonts w:ascii="Arial" w:cs="Arial" w:eastAsia="Arial" w:hAnsi="Arial"/>
          <w:sz w:val="14"/>
          <w:szCs w:val="14"/>
          <w:b w:val="1"/>
          <w:bCs w:val="1"/>
          <w:color w:val="0000CC"/>
          <w:highlight w:val="yellow"/>
        </w:rPr>
        <w:t>Grant Date</w:t>
      </w:r>
    </w:p>
    <w:p>
      <w:pPr>
        <w:spacing w:after="0" w:line="18"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b w:val="1"/>
          <w:bCs w:val="1"/>
          <w:color w:val="0000CC"/>
        </w:rPr>
        <w:t xml:space="preserve">Number of RSUs:   </w:t>
      </w:r>
      <w:r>
        <w:rPr>
          <w:rFonts w:ascii="Arial" w:cs="Arial" w:eastAsia="Arial" w:hAnsi="Arial"/>
          <w:sz w:val="14"/>
          <w:szCs w:val="14"/>
          <w:b w:val="1"/>
          <w:bCs w:val="1"/>
          <w:color w:val="0000CC"/>
          <w:highlight w:val="yellow"/>
        </w:rPr>
        <w:t>Number of Awards Granted</w:t>
      </w:r>
    </w:p>
    <w:p>
      <w:pPr>
        <w:spacing w:after="0" w:line="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b w:val="1"/>
          <w:bCs w:val="1"/>
          <w:color w:val="0000CC"/>
        </w:rPr>
        <w:t xml:space="preserve">Vesting Dates:   </w:t>
      </w:r>
      <w:r>
        <w:rPr>
          <w:rFonts w:ascii="Arial" w:cs="Arial" w:eastAsia="Arial" w:hAnsi="Arial"/>
          <w:sz w:val="14"/>
          <w:szCs w:val="14"/>
          <w:b w:val="1"/>
          <w:bCs w:val="1"/>
          <w:color w:val="0000CC"/>
          <w:highlight w:val="yellow"/>
        </w:rPr>
        <w:t>Vesting Schedule</w:t>
      </w:r>
    </w:p>
    <w:p>
      <w:pPr>
        <w:spacing w:after="0" w:line="177" w:lineRule="exact"/>
        <w:rPr>
          <w:rFonts w:ascii="Arial" w:cs="Arial" w:eastAsia="Arial" w:hAnsi="Arial"/>
          <w:sz w:val="14"/>
          <w:szCs w:val="14"/>
          <w:color w:val="auto"/>
        </w:rPr>
      </w:pPr>
    </w:p>
    <w:p>
      <w:pPr>
        <w:jc w:val="both"/>
        <w:ind w:left="560" w:right="300"/>
        <w:spacing w:after="0" w:line="257" w:lineRule="auto"/>
        <w:rPr>
          <w:rFonts w:ascii="Arial" w:cs="Arial" w:eastAsia="Arial" w:hAnsi="Arial"/>
          <w:sz w:val="14"/>
          <w:szCs w:val="14"/>
          <w:color w:val="auto"/>
        </w:rPr>
      </w:pPr>
      <w:r>
        <w:rPr>
          <w:rFonts w:ascii="Arial" w:cs="Arial" w:eastAsia="Arial" w:hAnsi="Arial"/>
          <w:sz w:val="14"/>
          <w:szCs w:val="14"/>
          <w:color w:val="auto"/>
        </w:rPr>
        <w:t xml:space="preserve">If the Participant resides in Australia, Canada, a European Economic Area or European Union member state, Hong Kong, Israel, Japan, Serbia, Switzerland, Taiwan, Turkey, or the United Kingdom, due to local legal requirements the Participant </w:t>
      </w:r>
      <w:r>
        <w:rPr>
          <w:rFonts w:ascii="Arial" w:cs="Arial" w:eastAsia="Arial" w:hAnsi="Arial"/>
          <w:sz w:val="14"/>
          <w:szCs w:val="14"/>
          <w:b w:val="1"/>
          <w:bCs w:val="1"/>
          <w:i w:val="1"/>
          <w:iCs w:val="1"/>
          <w:color w:val="auto"/>
        </w:rPr>
        <w:t>must accept</w:t>
      </w:r>
      <w:r>
        <w:rPr>
          <w:rFonts w:ascii="Arial" w:cs="Arial" w:eastAsia="Arial" w:hAnsi="Arial"/>
          <w:sz w:val="14"/>
          <w:szCs w:val="14"/>
          <w:color w:val="auto"/>
        </w:rPr>
        <w:t xml:space="preserve"> this Agreement no later than </w:t>
      </w:r>
      <w:r>
        <w:rPr>
          <w:rFonts w:ascii="Arial" w:cs="Arial" w:eastAsia="Arial" w:hAnsi="Arial"/>
          <w:sz w:val="14"/>
          <w:szCs w:val="14"/>
          <w:color w:val="auto"/>
          <w:highlight w:val="yellow"/>
        </w:rPr>
        <w:t>Grant Custom 4</w:t>
      </w:r>
      <w:r>
        <w:rPr>
          <w:rFonts w:ascii="Arial" w:cs="Arial" w:eastAsia="Arial" w:hAnsi="Arial"/>
          <w:sz w:val="14"/>
          <w:szCs w:val="14"/>
          <w:color w:val="auto"/>
        </w:rPr>
        <w:t xml:space="preserve"> or </w:t>
      </w:r>
      <w:r>
        <w:rPr>
          <w:rFonts w:ascii="Arial" w:cs="Arial" w:eastAsia="Arial" w:hAnsi="Arial"/>
          <w:sz w:val="14"/>
          <w:szCs w:val="14"/>
          <w:b w:val="1"/>
          <w:bCs w:val="1"/>
          <w:i w:val="1"/>
          <w:iCs w:val="1"/>
          <w:color w:val="auto"/>
        </w:rPr>
        <w:t>this Award shall terminate and will become null and void</w:t>
      </w:r>
      <w:r>
        <w:rPr>
          <w:rFonts w:ascii="Arial" w:cs="Arial" w:eastAsia="Arial" w:hAnsi="Arial"/>
          <w:sz w:val="14"/>
          <w:szCs w:val="14"/>
          <w:color w:val="auto"/>
        </w:rPr>
        <w:t>. For purposes of this Agreement, the Participant is deemed to reside in the country where his or her Employer is located.</w:t>
      </w:r>
    </w:p>
    <w:p>
      <w:pPr>
        <w:spacing w:after="0" w:line="161" w:lineRule="exact"/>
        <w:rPr>
          <w:rFonts w:ascii="Arial" w:cs="Arial" w:eastAsia="Arial" w:hAnsi="Arial"/>
          <w:sz w:val="14"/>
          <w:szCs w:val="14"/>
          <w:color w:val="auto"/>
        </w:rPr>
      </w:pPr>
    </w:p>
    <w:p>
      <w:pPr>
        <w:jc w:val="both"/>
        <w:ind w:left="560" w:right="280"/>
        <w:spacing w:after="0" w:line="257" w:lineRule="auto"/>
        <w:rPr>
          <w:rFonts w:ascii="Arial" w:cs="Arial" w:eastAsia="Arial" w:hAnsi="Arial"/>
          <w:sz w:val="14"/>
          <w:szCs w:val="14"/>
          <w:color w:val="auto"/>
        </w:rPr>
      </w:pPr>
      <w:r>
        <w:rPr>
          <w:rFonts w:ascii="Arial" w:cs="Arial" w:eastAsia="Arial" w:hAnsi="Arial"/>
          <w:sz w:val="14"/>
          <w:szCs w:val="14"/>
          <w:color w:val="auto"/>
        </w:rPr>
        <w:t xml:space="preserve">If the Participant resides in the United States or any other country listed in Appendix A and does not accept this Agreement by </w:t>
      </w:r>
      <w:r>
        <w:rPr>
          <w:rFonts w:ascii="Arial" w:cs="Arial" w:eastAsia="Arial" w:hAnsi="Arial"/>
          <w:sz w:val="14"/>
          <w:szCs w:val="14"/>
          <w:color w:val="auto"/>
          <w:highlight w:val="yellow"/>
        </w:rPr>
        <w:t>Grant Custom 4</w:t>
      </w:r>
      <w:r>
        <w:rPr>
          <w:rFonts w:ascii="Arial" w:cs="Arial" w:eastAsia="Arial" w:hAnsi="Arial"/>
          <w:sz w:val="14"/>
          <w:szCs w:val="14"/>
          <w:color w:val="auto"/>
        </w:rPr>
        <w:t xml:space="preserve">,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w:t>
      </w:r>
      <w:r>
        <w:rPr>
          <w:rFonts w:ascii="Arial" w:cs="Arial" w:eastAsia="Arial" w:hAnsi="Arial"/>
          <w:sz w:val="14"/>
          <w:szCs w:val="14"/>
          <w:color w:val="auto"/>
          <w:highlight w:val="yellow"/>
        </w:rPr>
        <w:t>Grant Custom 4.</w:t>
      </w:r>
    </w:p>
    <w:p>
      <w:pPr>
        <w:spacing w:after="0" w:line="161" w:lineRule="exact"/>
        <w:rPr>
          <w:rFonts w:ascii="Arial" w:cs="Arial" w:eastAsia="Arial" w:hAnsi="Arial"/>
          <w:sz w:val="14"/>
          <w:szCs w:val="14"/>
          <w:color w:val="auto"/>
        </w:rPr>
      </w:pPr>
    </w:p>
    <w:p>
      <w:pPr>
        <w:jc w:val="both"/>
        <w:ind w:left="560" w:right="280"/>
        <w:spacing w:after="0" w:line="257" w:lineRule="auto"/>
        <w:rPr>
          <w:rFonts w:ascii="Arial" w:cs="Arial" w:eastAsia="Arial" w:hAnsi="Arial"/>
          <w:sz w:val="14"/>
          <w:szCs w:val="14"/>
          <w:color w:val="auto"/>
        </w:rPr>
      </w:pPr>
      <w:r>
        <w:rPr>
          <w:rFonts w:ascii="Arial" w:cs="Arial" w:eastAsia="Arial" w:hAnsi="Arial"/>
          <w:sz w:val="14"/>
          <w:szCs w:val="14"/>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14" w:lineRule="exact"/>
        <w:rPr>
          <w:rFonts w:ascii="Arial" w:cs="Arial" w:eastAsia="Arial" w:hAnsi="Arial"/>
          <w:sz w:val="14"/>
          <w:szCs w:val="14"/>
          <w:color w:val="auto"/>
        </w:rPr>
      </w:pPr>
    </w:p>
    <w:p>
      <w:pPr>
        <w:ind w:left="560" w:hanging="286"/>
        <w:spacing w:after="0"/>
        <w:tabs>
          <w:tab w:leader="none" w:pos="560"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Vesting and Conversion</w:t>
      </w:r>
      <w:r>
        <w:rPr>
          <w:rFonts w:ascii="Arial" w:cs="Arial" w:eastAsia="Arial" w:hAnsi="Arial"/>
          <w:sz w:val="14"/>
          <w:szCs w:val="14"/>
          <w:color w:val="auto"/>
        </w:rPr>
        <w:t>.</w:t>
      </w:r>
    </w:p>
    <w:p>
      <w:pPr>
        <w:spacing w:after="0" w:line="143" w:lineRule="exact"/>
        <w:rPr>
          <w:rFonts w:ascii="Arial" w:cs="Arial" w:eastAsia="Arial" w:hAnsi="Arial"/>
          <w:sz w:val="14"/>
          <w:szCs w:val="14"/>
          <w:color w:val="auto"/>
        </w:rPr>
      </w:pPr>
    </w:p>
    <w:p>
      <w:pPr>
        <w:jc w:val="both"/>
        <w:ind w:left="840" w:right="280" w:hanging="285"/>
        <w:spacing w:after="0" w:line="269" w:lineRule="auto"/>
        <w:tabs>
          <w:tab w:leader="none" w:pos="832" w:val="left"/>
        </w:tabs>
        <w:numPr>
          <w:ilvl w:val="1"/>
          <w:numId w:val="98"/>
        </w:numPr>
        <w:rPr>
          <w:rFonts w:ascii="Arial" w:cs="Arial" w:eastAsia="Arial" w:hAnsi="Arial"/>
          <w:sz w:val="13"/>
          <w:szCs w:val="13"/>
          <w:color w:val="auto"/>
        </w:rPr>
      </w:pPr>
      <w:r>
        <w:rPr>
          <w:rFonts w:ascii="Arial" w:cs="Arial" w:eastAsia="Arial" w:hAnsi="Arial"/>
          <w:sz w:val="13"/>
          <w:szCs w:val="13"/>
          <w:color w:val="auto"/>
        </w:rPr>
        <w:t>Subject to the terms of the Plan and this Agreement, the RSUs shall vest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09" w:lineRule="exact"/>
        <w:rPr>
          <w:rFonts w:ascii="Arial" w:cs="Arial" w:eastAsia="Arial" w:hAnsi="Arial"/>
          <w:sz w:val="13"/>
          <w:szCs w:val="13"/>
          <w:color w:val="auto"/>
        </w:rPr>
      </w:pPr>
    </w:p>
    <w:p>
      <w:pPr>
        <w:jc w:val="both"/>
        <w:ind w:left="840" w:right="280" w:hanging="285"/>
        <w:spacing w:after="0" w:line="286" w:lineRule="auto"/>
        <w:tabs>
          <w:tab w:leader="none" w:pos="840" w:val="left"/>
        </w:tabs>
        <w:numPr>
          <w:ilvl w:val="1"/>
          <w:numId w:val="98"/>
        </w:numPr>
        <w:rPr>
          <w:rFonts w:ascii="Arial" w:cs="Arial" w:eastAsia="Arial" w:hAnsi="Arial"/>
          <w:sz w:val="13"/>
          <w:szCs w:val="13"/>
          <w:color w:val="auto"/>
        </w:rPr>
      </w:pPr>
      <w:r>
        <w:rPr>
          <w:rFonts w:ascii="Arial" w:cs="Arial" w:eastAsia="Arial" w:hAnsi="Arial"/>
          <w:sz w:val="13"/>
          <w:szCs w:val="13"/>
          <w:color w:val="auto"/>
        </w:rPr>
        <w:t>In the event the Participant’s employment with the Company or the Employer (as defined in Section 6(a))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0"/>
          </w:cols>
          <w:pgMar w:left="320" w:top="774" w:right="319" w:bottom="1440" w:gutter="0" w:footer="0" w:header="0"/>
        </w:sectPr>
      </w:pPr>
    </w:p>
    <w:bookmarkStart w:id="114" w:name="page115"/>
    <w:bookmarkEnd w:id="114"/>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r>
    </w:p>
    <w:p>
      <w:pPr>
        <w:ind w:left="840" w:right="20" w:hanging="285"/>
        <w:spacing w:after="0" w:line="270" w:lineRule="auto"/>
        <w:tabs>
          <w:tab w:leader="none" w:pos="832" w:val="left"/>
        </w:tabs>
        <w:numPr>
          <w:ilvl w:val="1"/>
          <w:numId w:val="99"/>
        </w:numPr>
        <w:rPr>
          <w:rFonts w:ascii="Arial" w:cs="Arial" w:eastAsia="Arial" w:hAnsi="Arial"/>
          <w:sz w:val="14"/>
          <w:szCs w:val="14"/>
          <w:color w:val="auto"/>
        </w:rPr>
      </w:pPr>
      <w:r>
        <w:rPr>
          <w:rFonts w:ascii="Arial" w:cs="Arial" w:eastAsia="Arial" w:hAnsi="Arial"/>
          <w:sz w:val="14"/>
          <w:szCs w:val="14"/>
          <w:color w:val="auto"/>
        </w:rPr>
        <w:t xml:space="preserve">In the event the Participant’s employment with the Company or the Employer is terminated by reason of the Participant’s </w:t>
      </w:r>
      <w:r>
        <w:rPr>
          <w:rFonts w:ascii="Arial" w:cs="Arial" w:eastAsia="Arial" w:hAnsi="Arial"/>
          <w:sz w:val="14"/>
          <w:szCs w:val="14"/>
          <w:u w:val="single" w:color="auto"/>
          <w:color w:val="auto"/>
        </w:rPr>
        <w:t>death</w:t>
      </w:r>
      <w:r>
        <w:rPr>
          <w:rFonts w:ascii="Arial" w:cs="Arial" w:eastAsia="Arial" w:hAnsi="Arial"/>
          <w:sz w:val="14"/>
          <w:szCs w:val="14"/>
          <w:color w:val="auto"/>
        </w:rPr>
        <w:t>, all Unvested RSUs shall vest in full as of the date of the Participant’s death.</w:t>
      </w:r>
    </w:p>
    <w:p>
      <w:pPr>
        <w:spacing w:after="0" w:line="105" w:lineRule="exact"/>
        <w:rPr>
          <w:rFonts w:ascii="Arial" w:cs="Arial" w:eastAsia="Arial" w:hAnsi="Arial"/>
          <w:sz w:val="14"/>
          <w:szCs w:val="14"/>
          <w:color w:val="auto"/>
        </w:rPr>
      </w:pPr>
    </w:p>
    <w:p>
      <w:pPr>
        <w:jc w:val="both"/>
        <w:ind w:left="840" w:right="20" w:hanging="285"/>
        <w:spacing w:after="0" w:line="253" w:lineRule="auto"/>
        <w:tabs>
          <w:tab w:leader="none" w:pos="840" w:val="left"/>
        </w:tabs>
        <w:numPr>
          <w:ilvl w:val="1"/>
          <w:numId w:val="99"/>
        </w:numPr>
        <w:rPr>
          <w:rFonts w:ascii="Arial" w:cs="Arial" w:eastAsia="Arial" w:hAnsi="Arial"/>
          <w:sz w:val="14"/>
          <w:szCs w:val="14"/>
          <w:color w:val="auto"/>
        </w:rPr>
      </w:pPr>
      <w:r>
        <w:rPr>
          <w:rFonts w:ascii="Arial" w:cs="Arial" w:eastAsia="Arial" w:hAnsi="Arial"/>
          <w:sz w:val="14"/>
          <w:szCs w:val="14"/>
          <w:color w:val="auto"/>
        </w:rPr>
        <w:t xml:space="preserve">In the event the Participant becomes </w:t>
      </w:r>
      <w:r>
        <w:rPr>
          <w:rFonts w:ascii="Arial" w:cs="Arial" w:eastAsia="Arial" w:hAnsi="Arial"/>
          <w:sz w:val="14"/>
          <w:szCs w:val="14"/>
          <w:u w:val="single" w:color="auto"/>
          <w:color w:val="auto"/>
        </w:rPr>
        <w:t>Disabled</w:t>
      </w:r>
      <w:r>
        <w:rPr>
          <w:rFonts w:ascii="Arial" w:cs="Arial" w:eastAsia="Arial" w:hAnsi="Arial"/>
          <w:sz w:val="14"/>
          <w:szCs w:val="14"/>
          <w:color w:val="auto"/>
        </w:rPr>
        <w:t>, regardless of whether the Participant terminates employment with the Company or the Employer, all Unvested RSUs shall vest in full as of the date the Participant is determined to be Disabled. “Disabled” with respect to the Participant means, when and if, as a result of disease, injury or mental disorder, the Participant is incapable of engaging in regular service or occupation with the Company or the Employer (as defined in Section 6(a)) which has lasted or can be expected to last for a continuous period of not less than 12 months, as determined by the Company.</w:t>
      </w:r>
    </w:p>
    <w:p>
      <w:pPr>
        <w:spacing w:after="0" w:line="116" w:lineRule="exact"/>
        <w:rPr>
          <w:rFonts w:ascii="Arial" w:cs="Arial" w:eastAsia="Arial" w:hAnsi="Arial"/>
          <w:sz w:val="14"/>
          <w:szCs w:val="14"/>
          <w:color w:val="auto"/>
        </w:rPr>
      </w:pPr>
    </w:p>
    <w:p>
      <w:pPr>
        <w:jc w:val="both"/>
        <w:ind w:left="840" w:hanging="285"/>
        <w:spacing w:after="0" w:line="286" w:lineRule="auto"/>
        <w:tabs>
          <w:tab w:leader="none" w:pos="832" w:val="left"/>
        </w:tabs>
        <w:numPr>
          <w:ilvl w:val="1"/>
          <w:numId w:val="99"/>
        </w:numPr>
        <w:rPr>
          <w:rFonts w:ascii="Arial" w:cs="Arial" w:eastAsia="Arial" w:hAnsi="Arial"/>
          <w:sz w:val="13"/>
          <w:szCs w:val="13"/>
          <w:color w:val="auto"/>
        </w:rPr>
      </w:pPr>
      <w:r>
        <w:rPr>
          <w:rFonts w:ascii="Arial" w:cs="Arial" w:eastAsia="Arial" w:hAnsi="Arial"/>
          <w:sz w:val="13"/>
          <w:szCs w:val="13"/>
          <w:color w:val="auto"/>
        </w:rPr>
        <w:t>To be eligible for grants of RSUs under the Plan and this Agreement, the Participant must be an Employee, Director, or Consultant. Should a Participant transfer employment to become a Director or Consultant following the Date of Grant, he or she will still be considered employed for vesting purposes until he or she ceases to provide services to the Company or any direct or indirect Parent or Subsidiary of the Company, or any successor to the Company or any such Parent or Subsidiary .</w:t>
      </w:r>
    </w:p>
    <w:p>
      <w:pPr>
        <w:spacing w:after="0" w:line="97" w:lineRule="exact"/>
        <w:rPr>
          <w:rFonts w:ascii="Arial" w:cs="Arial" w:eastAsia="Arial" w:hAnsi="Arial"/>
          <w:sz w:val="13"/>
          <w:szCs w:val="13"/>
          <w:color w:val="auto"/>
        </w:rPr>
      </w:pPr>
    </w:p>
    <w:p>
      <w:pPr>
        <w:ind w:left="560" w:hanging="286"/>
        <w:spacing w:after="0"/>
        <w:tabs>
          <w:tab w:leader="none" w:pos="560"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Restrictions on Transfer</w:t>
      </w:r>
      <w:r>
        <w:rPr>
          <w:rFonts w:ascii="Arial" w:cs="Arial" w:eastAsia="Arial" w:hAnsi="Arial"/>
          <w:sz w:val="14"/>
          <w:szCs w:val="14"/>
          <w:color w:val="auto"/>
        </w:rPr>
        <w:t>.</w:t>
      </w:r>
    </w:p>
    <w:p>
      <w:pPr>
        <w:spacing w:after="0" w:line="143" w:lineRule="exact"/>
        <w:rPr>
          <w:rFonts w:ascii="Arial" w:cs="Arial" w:eastAsia="Arial" w:hAnsi="Arial"/>
          <w:sz w:val="14"/>
          <w:szCs w:val="14"/>
          <w:color w:val="auto"/>
        </w:rPr>
      </w:pPr>
    </w:p>
    <w:p>
      <w:pPr>
        <w:ind w:left="820" w:hanging="265"/>
        <w:spacing w:after="0"/>
        <w:tabs>
          <w:tab w:leader="none" w:pos="82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Participant shall not sell, assign, transfer, pledge or otherwise encumber any RSUs, either voluntarily or by operation of law.</w:t>
      </w:r>
    </w:p>
    <w:p>
      <w:pPr>
        <w:spacing w:after="0" w:line="143" w:lineRule="exact"/>
        <w:rPr>
          <w:rFonts w:ascii="Arial" w:cs="Arial" w:eastAsia="Arial" w:hAnsi="Arial"/>
          <w:sz w:val="14"/>
          <w:szCs w:val="14"/>
          <w:color w:val="auto"/>
        </w:rPr>
      </w:pPr>
    </w:p>
    <w:p>
      <w:pPr>
        <w:ind w:left="840" w:right="20" w:hanging="285"/>
        <w:spacing w:after="0" w:line="270" w:lineRule="auto"/>
        <w:tabs>
          <w:tab w:leader="none" w:pos="84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05" w:lineRule="exact"/>
        <w:rPr>
          <w:rFonts w:ascii="Arial" w:cs="Arial" w:eastAsia="Arial" w:hAnsi="Arial"/>
          <w:sz w:val="14"/>
          <w:szCs w:val="14"/>
          <w:color w:val="auto"/>
        </w:rPr>
      </w:pPr>
    </w:p>
    <w:p>
      <w:pPr>
        <w:jc w:val="both"/>
        <w:ind w:left="560" w:hanging="286"/>
        <w:spacing w:after="0" w:line="253" w:lineRule="auto"/>
        <w:tabs>
          <w:tab w:leader="none" w:pos="560"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Not a Shareholder</w:t>
      </w:r>
      <w:r>
        <w:rPr>
          <w:rFonts w:ascii="Arial" w:cs="Arial" w:eastAsia="Arial" w:hAnsi="Arial"/>
          <w:sz w:val="14"/>
          <w:szCs w:val="14"/>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6" w:lineRule="exact"/>
        <w:rPr>
          <w:rFonts w:ascii="Arial" w:cs="Arial" w:eastAsia="Arial" w:hAnsi="Arial"/>
          <w:sz w:val="14"/>
          <w:szCs w:val="14"/>
          <w:color w:val="auto"/>
        </w:rPr>
      </w:pPr>
    </w:p>
    <w:p>
      <w:pPr>
        <w:jc w:val="both"/>
        <w:ind w:left="560" w:hanging="286"/>
        <w:spacing w:after="0" w:line="253" w:lineRule="auto"/>
        <w:tabs>
          <w:tab w:leader="none" w:pos="560"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Provisions of the Plan</w:t>
      </w:r>
      <w:r>
        <w:rPr>
          <w:rFonts w:ascii="Arial" w:cs="Arial" w:eastAsia="Arial" w:hAnsi="Arial"/>
          <w:sz w:val="14"/>
          <w:szCs w:val="14"/>
          <w:color w:val="auto"/>
        </w:rPr>
        <w:t>. The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16" w:lineRule="exact"/>
        <w:rPr>
          <w:rFonts w:ascii="Arial" w:cs="Arial" w:eastAsia="Arial" w:hAnsi="Arial"/>
          <w:sz w:val="14"/>
          <w:szCs w:val="14"/>
          <w:color w:val="auto"/>
        </w:rPr>
      </w:pPr>
    </w:p>
    <w:p>
      <w:pPr>
        <w:ind w:left="560" w:hanging="286"/>
        <w:spacing w:after="0"/>
        <w:tabs>
          <w:tab w:leader="none" w:pos="560"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Withholding Taxes</w:t>
      </w:r>
      <w:r>
        <w:rPr>
          <w:rFonts w:ascii="Arial" w:cs="Arial" w:eastAsia="Arial" w:hAnsi="Arial"/>
          <w:sz w:val="14"/>
          <w:szCs w:val="14"/>
          <w:color w:val="auto"/>
        </w:rPr>
        <w:t>.</w:t>
      </w:r>
    </w:p>
    <w:p>
      <w:pPr>
        <w:spacing w:after="0" w:line="143" w:lineRule="exact"/>
        <w:rPr>
          <w:rFonts w:ascii="Arial" w:cs="Arial" w:eastAsia="Arial" w:hAnsi="Arial"/>
          <w:sz w:val="14"/>
          <w:szCs w:val="14"/>
          <w:color w:val="auto"/>
        </w:rPr>
      </w:pPr>
    </w:p>
    <w:p>
      <w:pPr>
        <w:jc w:val="both"/>
        <w:ind w:left="840" w:hanging="285"/>
        <w:spacing w:after="0" w:line="268" w:lineRule="auto"/>
        <w:tabs>
          <w:tab w:leader="none" w:pos="832" w:val="left"/>
        </w:tabs>
        <w:numPr>
          <w:ilvl w:val="1"/>
          <w:numId w:val="100"/>
        </w:numPr>
        <w:rPr>
          <w:rFonts w:ascii="Arial" w:cs="Arial" w:eastAsia="Arial" w:hAnsi="Arial"/>
          <w:sz w:val="13"/>
          <w:szCs w:val="13"/>
          <w:color w:val="auto"/>
        </w:rPr>
      </w:pPr>
      <w:r>
        <w:rPr>
          <w:rFonts w:ascii="Arial" w:cs="Arial" w:eastAsia="Arial" w:hAnsi="Arial"/>
          <w:sz w:val="13"/>
          <w:szCs w:val="13"/>
          <w:color w:val="auto"/>
        </w:rPr>
        <w:t>Regardless of any action the Company and/or, if different, the Participant’s employer (the “Employer”)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1" w:lineRule="exact"/>
        <w:rPr>
          <w:rFonts w:ascii="Arial" w:cs="Arial" w:eastAsia="Arial" w:hAnsi="Arial"/>
          <w:sz w:val="13"/>
          <w:szCs w:val="13"/>
          <w:color w:val="auto"/>
        </w:rPr>
      </w:pPr>
    </w:p>
    <w:p>
      <w:pPr>
        <w:jc w:val="both"/>
        <w:ind w:left="840" w:hanging="285"/>
        <w:spacing w:after="0" w:line="257" w:lineRule="auto"/>
        <w:tabs>
          <w:tab w:leader="none" w:pos="84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Arial" w:cs="Arial" w:eastAsia="Arial" w:hAnsi="Arial"/>
          <w:sz w:val="14"/>
          <w:szCs w:val="14"/>
          <w:color w:val="auto"/>
        </w:rPr>
      </w:pPr>
    </w:p>
    <w:p>
      <w:pPr>
        <w:jc w:val="both"/>
        <w:ind w:left="1120" w:hanging="285"/>
        <w:spacing w:after="0" w:line="286" w:lineRule="auto"/>
        <w:tabs>
          <w:tab w:leader="none" w:pos="1112" w:val="left"/>
        </w:tabs>
        <w:numPr>
          <w:ilvl w:val="2"/>
          <w:numId w:val="100"/>
        </w:numPr>
        <w:rPr>
          <w:rFonts w:ascii="Arial" w:cs="Arial" w:eastAsia="Arial" w:hAnsi="Arial"/>
          <w:sz w:val="13"/>
          <w:szCs w:val="13"/>
          <w:color w:val="auto"/>
        </w:rPr>
      </w:pPr>
      <w:r>
        <w:rPr>
          <w:rFonts w:ascii="Arial" w:cs="Arial" w:eastAsia="Arial" w:hAnsi="Arial"/>
          <w:sz w:val="13"/>
          <w:szCs w:val="13"/>
          <w:color w:val="auto"/>
        </w:rPr>
        <w:t>the Company may withhold a sufficient number of whole Shares otherwise issuable upon the vesting of the RSUs that have an aggregate Fair Market Value equal to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1440" w:right="599" w:bottom="1440" w:gutter="0" w:footer="0" w:header="0"/>
        </w:sectPr>
      </w:pPr>
    </w:p>
    <w:bookmarkStart w:id="115" w:name="page116"/>
    <w:bookmarkEnd w:id="115"/>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r>
    </w:p>
    <w:p>
      <w:pPr>
        <w:ind w:left="1120" w:hanging="285"/>
        <w:spacing w:after="0"/>
        <w:tabs>
          <w:tab w:leader="none" w:pos="1120" w:val="left"/>
        </w:tabs>
        <w:numPr>
          <w:ilvl w:val="2"/>
          <w:numId w:val="101"/>
        </w:numPr>
        <w:rPr>
          <w:rFonts w:ascii="Arial" w:cs="Arial" w:eastAsia="Arial" w:hAnsi="Arial"/>
          <w:sz w:val="12"/>
          <w:szCs w:val="12"/>
          <w:color w:val="auto"/>
        </w:rPr>
      </w:pPr>
      <w:r>
        <w:rPr>
          <w:rFonts w:ascii="Arial" w:cs="Arial" w:eastAsia="Arial" w:hAnsi="Arial"/>
          <w:sz w:val="12"/>
          <w:szCs w:val="12"/>
          <w:color w:val="auto"/>
        </w:rPr>
        <w:t>the Company may, in its discretion, withhold any amount necessary to pay the Tax-Related Items from the Participant’s salary or other amounts payable to the Participant; or</w:t>
      </w:r>
    </w:p>
    <w:p>
      <w:pPr>
        <w:spacing w:after="0" w:line="166" w:lineRule="exact"/>
        <w:rPr>
          <w:rFonts w:ascii="Arial" w:cs="Arial" w:eastAsia="Arial" w:hAnsi="Arial"/>
          <w:sz w:val="12"/>
          <w:szCs w:val="12"/>
          <w:color w:val="auto"/>
        </w:rPr>
      </w:pPr>
    </w:p>
    <w:p>
      <w:pPr>
        <w:ind w:left="1120" w:right="20" w:hanging="285"/>
        <w:spacing w:after="0" w:line="270" w:lineRule="auto"/>
        <w:tabs>
          <w:tab w:leader="none" w:pos="1120" w:val="left"/>
        </w:tabs>
        <w:numPr>
          <w:ilvl w:val="2"/>
          <w:numId w:val="101"/>
        </w:numPr>
        <w:rPr>
          <w:rFonts w:ascii="Arial" w:cs="Arial" w:eastAsia="Arial" w:hAnsi="Arial"/>
          <w:sz w:val="14"/>
          <w:szCs w:val="14"/>
          <w:color w:val="auto"/>
        </w:rPr>
      </w:pPr>
      <w:r>
        <w:rPr>
          <w:rFonts w:ascii="Arial" w:cs="Arial" w:eastAsia="Arial" w:hAnsi="Arial"/>
          <w:sz w:val="14"/>
          <w:szCs w:val="14"/>
          <w:color w:val="auto"/>
        </w:rPr>
        <w:t>the Company may withhold from proceeds of the sale of Shares either through a voluntary sale or through a mandatory sale arranged by the Company (on the Participant’s behalf pursuant to this authorization);</w:t>
      </w:r>
    </w:p>
    <w:p>
      <w:pPr>
        <w:spacing w:after="0" w:line="105" w:lineRule="exact"/>
        <w:rPr>
          <w:rFonts w:ascii="Arial" w:cs="Arial" w:eastAsia="Arial" w:hAnsi="Arial"/>
          <w:sz w:val="14"/>
          <w:szCs w:val="14"/>
          <w:color w:val="auto"/>
        </w:rPr>
      </w:pPr>
    </w:p>
    <w:p>
      <w:pPr>
        <w:jc w:val="both"/>
        <w:ind w:left="1120" w:right="20"/>
        <w:spacing w:after="0" w:line="257" w:lineRule="auto"/>
        <w:rPr>
          <w:rFonts w:ascii="Arial" w:cs="Arial" w:eastAsia="Arial" w:hAnsi="Arial"/>
          <w:sz w:val="14"/>
          <w:szCs w:val="14"/>
          <w:color w:val="auto"/>
        </w:rPr>
      </w:pPr>
      <w:r>
        <w:rPr>
          <w:rFonts w:ascii="Arial" w:cs="Arial" w:eastAsia="Arial" w:hAnsi="Arial"/>
          <w:sz w:val="14"/>
          <w:szCs w:val="14"/>
          <w:color w:val="auto"/>
        </w:rPr>
        <w:t>provided, however, that if the Participant is a Section 16 officer of the Company under the Exchange Act, then the Company will withhold a sufficient number of whole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114" w:lineRule="exact"/>
        <w:rPr>
          <w:rFonts w:ascii="Arial" w:cs="Arial" w:eastAsia="Arial" w:hAnsi="Arial"/>
          <w:sz w:val="14"/>
          <w:szCs w:val="14"/>
          <w:color w:val="auto"/>
        </w:rPr>
      </w:pPr>
    </w:p>
    <w:p>
      <w:pPr>
        <w:jc w:val="both"/>
        <w:ind w:left="1120"/>
        <w:spacing w:after="0" w:line="274" w:lineRule="auto"/>
        <w:rPr>
          <w:rFonts w:ascii="Arial" w:cs="Arial" w:eastAsia="Arial" w:hAnsi="Arial"/>
          <w:sz w:val="14"/>
          <w:szCs w:val="14"/>
          <w:color w:val="auto"/>
        </w:rPr>
      </w:pPr>
      <w:r>
        <w:rPr>
          <w:rFonts w:ascii="Arial" w:cs="Arial" w:eastAsia="Arial" w:hAnsi="Arial"/>
          <w:sz w:val="13"/>
          <w:szCs w:val="13"/>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will have no entitlement to the equivalent in Shares. If the obligation for Tax-Related Items is satisfied by withholding in Shares, for tax purposes, the Participant is deemed to have been issued the full number of Shares subject to the vested RSU, notwithstanding that a number of the Shares are held back solely for the purpose of paying the Tax-Related Items.</w:t>
      </w:r>
    </w:p>
    <w:p>
      <w:pPr>
        <w:spacing w:after="0" w:line="105" w:lineRule="exact"/>
        <w:rPr>
          <w:rFonts w:ascii="Arial" w:cs="Arial" w:eastAsia="Arial" w:hAnsi="Arial"/>
          <w:sz w:val="14"/>
          <w:szCs w:val="14"/>
          <w:color w:val="auto"/>
        </w:rPr>
      </w:pPr>
    </w:p>
    <w:p>
      <w:pPr>
        <w:jc w:val="both"/>
        <w:ind w:left="1120"/>
        <w:spacing w:after="0" w:line="249" w:lineRule="auto"/>
        <w:rPr>
          <w:rFonts w:ascii="Arial" w:cs="Arial" w:eastAsia="Arial" w:hAnsi="Arial"/>
          <w:sz w:val="14"/>
          <w:szCs w:val="14"/>
          <w:color w:val="auto"/>
        </w:rPr>
      </w:pPr>
      <w:r>
        <w:rPr>
          <w:rFonts w:ascii="Arial" w:cs="Arial" w:eastAsia="Arial" w:hAnsi="Arial"/>
          <w:sz w:val="14"/>
          <w:szCs w:val="14"/>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20" w:lineRule="exact"/>
        <w:rPr>
          <w:rFonts w:ascii="Arial" w:cs="Arial" w:eastAsia="Arial" w:hAnsi="Arial"/>
          <w:sz w:val="14"/>
          <w:szCs w:val="14"/>
          <w:color w:val="auto"/>
        </w:rPr>
      </w:pPr>
    </w:p>
    <w:p>
      <w:pPr>
        <w:jc w:val="both"/>
        <w:ind w:left="560" w:hanging="286"/>
        <w:spacing w:after="0" w:line="302" w:lineRule="auto"/>
        <w:tabs>
          <w:tab w:leader="none" w:pos="560"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Option of Company to Deliver Cash</w:t>
      </w:r>
      <w:r>
        <w:rPr>
          <w:rFonts w:ascii="Arial" w:cs="Arial" w:eastAsia="Arial" w:hAnsi="Arial"/>
          <w:sz w:val="12"/>
          <w:szCs w:val="12"/>
          <w:color w:val="auto"/>
        </w:rPr>
        <w:t>. Notwithstanding any of the other provisions of this Agreement, and except as set forth in Appendix A, where share settlement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90" w:lineRule="exact"/>
        <w:rPr>
          <w:rFonts w:ascii="Arial" w:cs="Arial" w:eastAsia="Arial" w:hAnsi="Arial"/>
          <w:sz w:val="12"/>
          <w:szCs w:val="12"/>
          <w:color w:val="auto"/>
        </w:rPr>
      </w:pPr>
    </w:p>
    <w:p>
      <w:pPr>
        <w:jc w:val="both"/>
        <w:ind w:left="560" w:hanging="286"/>
        <w:spacing w:after="0" w:line="302" w:lineRule="auto"/>
        <w:tabs>
          <w:tab w:leader="none" w:pos="560"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Repatriation and Other Legal Requirements</w:t>
      </w:r>
      <w:r>
        <w:rPr>
          <w:rFonts w:ascii="Arial" w:cs="Arial" w:eastAsia="Arial" w:hAnsi="Arial"/>
          <w:sz w:val="12"/>
          <w:szCs w:val="12"/>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90" w:lineRule="exact"/>
        <w:rPr>
          <w:rFonts w:ascii="Arial" w:cs="Arial" w:eastAsia="Arial" w:hAnsi="Arial"/>
          <w:sz w:val="12"/>
          <w:szCs w:val="12"/>
          <w:color w:val="auto"/>
        </w:rPr>
      </w:pPr>
    </w:p>
    <w:p>
      <w:pPr>
        <w:ind w:left="560" w:hanging="286"/>
        <w:spacing w:after="0"/>
        <w:tabs>
          <w:tab w:leader="none" w:pos="560" w:val="left"/>
        </w:tabs>
        <w:numPr>
          <w:ilvl w:val="0"/>
          <w:numId w:val="102"/>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43" w:lineRule="exact"/>
        <w:rPr>
          <w:rFonts w:ascii="Arial" w:cs="Arial" w:eastAsia="Arial" w:hAnsi="Arial"/>
          <w:sz w:val="14"/>
          <w:szCs w:val="14"/>
          <w:color w:val="auto"/>
        </w:rPr>
      </w:pPr>
    </w:p>
    <w:p>
      <w:pPr>
        <w:jc w:val="both"/>
        <w:ind w:left="840" w:hanging="285"/>
        <w:spacing w:after="0" w:line="253" w:lineRule="auto"/>
        <w:tabs>
          <w:tab w:leader="none" w:pos="832" w:val="left"/>
        </w:tabs>
        <w:numPr>
          <w:ilvl w:val="1"/>
          <w:numId w:val="102"/>
        </w:numPr>
        <w:rPr>
          <w:rFonts w:ascii="Arial" w:cs="Arial" w:eastAsia="Arial" w:hAnsi="Arial"/>
          <w:sz w:val="14"/>
          <w:szCs w:val="14"/>
          <w:color w:val="auto"/>
        </w:rPr>
      </w:pPr>
      <w:r>
        <w:rPr>
          <w:rFonts w:ascii="Arial" w:cs="Arial" w:eastAsia="Arial" w:hAnsi="Arial"/>
          <w:sz w:val="14"/>
          <w:szCs w:val="14"/>
          <w:u w:val="single" w:color="auto"/>
          <w:color w:val="auto"/>
        </w:rPr>
        <w:t>No Rights to Employment</w:t>
      </w:r>
      <w:r>
        <w:rPr>
          <w:rFonts w:ascii="Arial" w:cs="Arial" w:eastAsia="Arial" w:hAnsi="Arial"/>
          <w:sz w:val="14"/>
          <w:szCs w:val="14"/>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16" w:lineRule="exact"/>
        <w:rPr>
          <w:rFonts w:ascii="Arial" w:cs="Arial" w:eastAsia="Arial" w:hAnsi="Arial"/>
          <w:sz w:val="14"/>
          <w:szCs w:val="14"/>
          <w:color w:val="auto"/>
        </w:rPr>
      </w:pPr>
    </w:p>
    <w:p>
      <w:pPr>
        <w:jc w:val="both"/>
        <w:ind w:left="840" w:hanging="285"/>
        <w:spacing w:after="0" w:line="250" w:lineRule="auto"/>
        <w:tabs>
          <w:tab w:leader="none" w:pos="840" w:val="left"/>
        </w:tabs>
        <w:numPr>
          <w:ilvl w:val="1"/>
          <w:numId w:val="102"/>
        </w:numPr>
        <w:rPr>
          <w:rFonts w:ascii="Arial" w:cs="Arial" w:eastAsia="Arial" w:hAnsi="Arial"/>
          <w:sz w:val="14"/>
          <w:szCs w:val="14"/>
          <w:color w:val="auto"/>
        </w:rPr>
      </w:pPr>
      <w:r>
        <w:rPr>
          <w:rFonts w:ascii="Arial" w:cs="Arial" w:eastAsia="Arial" w:hAnsi="Arial"/>
          <w:sz w:val="14"/>
          <w:szCs w:val="14"/>
          <w:u w:val="single" w:color="auto"/>
          <w:color w:val="auto"/>
        </w:rPr>
        <w:t>Discretionary Nature</w:t>
      </w:r>
      <w:r>
        <w:rPr>
          <w:rFonts w:ascii="Arial" w:cs="Arial" w:eastAsia="Arial" w:hAnsi="Arial"/>
          <w:sz w:val="14"/>
          <w:szCs w:val="14"/>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1440" w:right="599" w:bottom="1440" w:gutter="0" w:footer="0" w:header="0"/>
        </w:sectPr>
      </w:pPr>
    </w:p>
    <w:bookmarkStart w:id="116" w:name="page117"/>
    <w:bookmarkEnd w:id="116"/>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r>
    </w:p>
    <w:p>
      <w:pPr>
        <w:jc w:val="both"/>
        <w:ind w:left="840" w:right="20"/>
        <w:spacing w:after="0" w:line="286" w:lineRule="auto"/>
        <w:rPr>
          <w:sz w:val="20"/>
          <w:szCs w:val="20"/>
          <w:color w:val="auto"/>
        </w:rPr>
      </w:pPr>
      <w:r>
        <w:rPr>
          <w:rFonts w:ascii="Arial" w:cs="Arial" w:eastAsia="Arial" w:hAnsi="Arial"/>
          <w:sz w:val="13"/>
          <w:szCs w:val="13"/>
          <w:color w:val="auto"/>
        </w:rPr>
        <w:t>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97" w:lineRule="exact"/>
        <w:rPr>
          <w:sz w:val="20"/>
          <w:szCs w:val="20"/>
          <w:color w:val="auto"/>
        </w:rPr>
      </w:pPr>
    </w:p>
    <w:p>
      <w:pPr>
        <w:jc w:val="both"/>
        <w:ind w:left="840" w:hanging="285"/>
        <w:spacing w:after="0" w:line="278" w:lineRule="auto"/>
        <w:tabs>
          <w:tab w:leader="none" w:pos="832" w:val="left"/>
        </w:tabs>
        <w:numPr>
          <w:ilvl w:val="0"/>
          <w:numId w:val="103"/>
        </w:numPr>
        <w:rPr>
          <w:rFonts w:ascii="Arial" w:cs="Arial" w:eastAsia="Arial" w:hAnsi="Arial"/>
          <w:sz w:val="13"/>
          <w:szCs w:val="13"/>
          <w:color w:val="auto"/>
        </w:rPr>
      </w:pPr>
      <w:r>
        <w:rPr>
          <w:rFonts w:ascii="Arial" w:cs="Arial" w:eastAsia="Arial" w:hAnsi="Arial"/>
          <w:sz w:val="13"/>
          <w:szCs w:val="13"/>
          <w:u w:val="single" w:color="auto"/>
          <w:color w:val="auto"/>
        </w:rPr>
        <w:t>Exclusion from Termination Indemnities and Other Benefits</w:t>
      </w:r>
      <w:r>
        <w:rPr>
          <w:rFonts w:ascii="Arial" w:cs="Arial" w:eastAsia="Arial" w:hAnsi="Arial"/>
          <w:sz w:val="13"/>
          <w:szCs w:val="13"/>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02" w:lineRule="exact"/>
        <w:rPr>
          <w:rFonts w:ascii="Arial" w:cs="Arial" w:eastAsia="Arial" w:hAnsi="Arial"/>
          <w:sz w:val="13"/>
          <w:szCs w:val="13"/>
          <w:color w:val="auto"/>
        </w:rPr>
      </w:pPr>
    </w:p>
    <w:p>
      <w:pPr>
        <w:jc w:val="both"/>
        <w:ind w:left="840" w:hanging="285"/>
        <w:spacing w:after="0" w:line="249" w:lineRule="auto"/>
        <w:tabs>
          <w:tab w:leader="none" w:pos="840"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No Entitlement</w:t>
      </w:r>
      <w:r>
        <w:rPr>
          <w:rFonts w:ascii="Arial" w:cs="Arial" w:eastAsia="Arial" w:hAnsi="Arial"/>
          <w:sz w:val="14"/>
          <w:szCs w:val="14"/>
          <w:color w:val="auto"/>
        </w:rPr>
        <w:t>. This Section 9(d) applies if the Participant resides outside the U.S. and/or the Company is not the Participant's employer: In consideration of the grant of RSUs, no 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20" w:lineRule="exact"/>
        <w:rPr>
          <w:rFonts w:ascii="Arial" w:cs="Arial" w:eastAsia="Arial" w:hAnsi="Arial"/>
          <w:sz w:val="14"/>
          <w:szCs w:val="14"/>
          <w:color w:val="auto"/>
        </w:rPr>
      </w:pPr>
    </w:p>
    <w:p>
      <w:pPr>
        <w:jc w:val="both"/>
        <w:ind w:left="840" w:right="20" w:hanging="285"/>
        <w:spacing w:after="0" w:line="257" w:lineRule="auto"/>
        <w:tabs>
          <w:tab w:leader="none" w:pos="832"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Exchange Rates</w:t>
      </w:r>
      <w:r>
        <w:rPr>
          <w:rFonts w:ascii="Arial" w:cs="Arial" w:eastAsia="Arial" w:hAnsi="Arial"/>
          <w:sz w:val="14"/>
          <w:szCs w:val="14"/>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14" w:lineRule="exact"/>
        <w:rPr>
          <w:rFonts w:ascii="Arial" w:cs="Arial" w:eastAsia="Arial" w:hAnsi="Arial"/>
          <w:sz w:val="14"/>
          <w:szCs w:val="14"/>
          <w:color w:val="auto"/>
        </w:rPr>
      </w:pPr>
    </w:p>
    <w:p>
      <w:pPr>
        <w:ind w:left="840" w:hanging="285"/>
        <w:spacing w:after="0"/>
        <w:tabs>
          <w:tab w:leader="none" w:pos="840"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Future Value of Shares</w:t>
      </w:r>
      <w:r>
        <w:rPr>
          <w:rFonts w:ascii="Arial" w:cs="Arial" w:eastAsia="Arial" w:hAnsi="Arial"/>
          <w:sz w:val="14"/>
          <w:szCs w:val="14"/>
          <w:color w:val="auto"/>
        </w:rPr>
        <w:t>. The future value of the underlying Shares is unknown, indeterminable, and cannot be predicted with certainty.</w:t>
      </w:r>
    </w:p>
    <w:p>
      <w:pPr>
        <w:spacing w:after="0" w:line="143" w:lineRule="exact"/>
        <w:rPr>
          <w:rFonts w:ascii="Arial" w:cs="Arial" w:eastAsia="Arial" w:hAnsi="Arial"/>
          <w:sz w:val="14"/>
          <w:szCs w:val="14"/>
          <w:color w:val="auto"/>
        </w:rPr>
      </w:pPr>
    </w:p>
    <w:p>
      <w:pPr>
        <w:ind w:left="840" w:hanging="285"/>
        <w:spacing w:after="0" w:line="270" w:lineRule="auto"/>
        <w:tabs>
          <w:tab w:leader="none" w:pos="840"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05" w:lineRule="exact"/>
        <w:rPr>
          <w:rFonts w:ascii="Arial" w:cs="Arial" w:eastAsia="Arial" w:hAnsi="Arial"/>
          <w:sz w:val="14"/>
          <w:szCs w:val="14"/>
          <w:color w:val="auto"/>
        </w:rPr>
      </w:pPr>
    </w:p>
    <w:p>
      <w:pPr>
        <w:ind w:left="840" w:right="20" w:hanging="285"/>
        <w:spacing w:after="0" w:line="270" w:lineRule="auto"/>
        <w:tabs>
          <w:tab w:leader="none" w:pos="840"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05" w:lineRule="exact"/>
        <w:rPr>
          <w:rFonts w:ascii="Arial" w:cs="Arial" w:eastAsia="Arial" w:hAnsi="Arial"/>
          <w:sz w:val="14"/>
          <w:szCs w:val="14"/>
          <w:color w:val="auto"/>
        </w:rPr>
      </w:pPr>
    </w:p>
    <w:p>
      <w:pPr>
        <w:jc w:val="both"/>
        <w:ind w:left="840" w:hanging="285"/>
        <w:spacing w:after="0" w:line="253" w:lineRule="auto"/>
        <w:tabs>
          <w:tab w:leader="none" w:pos="832"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16" w:lineRule="exact"/>
        <w:rPr>
          <w:rFonts w:ascii="Arial" w:cs="Arial" w:eastAsia="Arial" w:hAnsi="Arial"/>
          <w:sz w:val="14"/>
          <w:szCs w:val="14"/>
          <w:color w:val="auto"/>
        </w:rPr>
      </w:pPr>
    </w:p>
    <w:p>
      <w:pPr>
        <w:ind w:left="840" w:right="20" w:hanging="285"/>
        <w:spacing w:after="0" w:line="270" w:lineRule="auto"/>
        <w:tabs>
          <w:tab w:leader="none" w:pos="832"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Pronouns</w:t>
      </w:r>
      <w:r>
        <w:rPr>
          <w:rFonts w:ascii="Arial" w:cs="Arial" w:eastAsia="Arial" w:hAnsi="Arial"/>
          <w:sz w:val="14"/>
          <w:szCs w:val="14"/>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05" w:lineRule="exact"/>
        <w:rPr>
          <w:rFonts w:ascii="Arial" w:cs="Arial" w:eastAsia="Arial" w:hAnsi="Arial"/>
          <w:sz w:val="14"/>
          <w:szCs w:val="14"/>
          <w:color w:val="auto"/>
        </w:rPr>
      </w:pPr>
    </w:p>
    <w:p>
      <w:pPr>
        <w:ind w:left="840" w:right="20" w:hanging="285"/>
        <w:spacing w:after="0" w:line="270" w:lineRule="auto"/>
        <w:tabs>
          <w:tab w:leader="none" w:pos="840"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and the Plan constitute the entire understanding between the parties, and supersede all prior agreements and understandings, relating to the subject matter of these documents.</w:t>
      </w:r>
    </w:p>
    <w:p>
      <w:pPr>
        <w:spacing w:after="0" w:line="105" w:lineRule="exact"/>
        <w:rPr>
          <w:rFonts w:ascii="Arial" w:cs="Arial" w:eastAsia="Arial" w:hAnsi="Arial"/>
          <w:sz w:val="14"/>
          <w:szCs w:val="14"/>
          <w:color w:val="auto"/>
        </w:rPr>
      </w:pPr>
    </w:p>
    <w:p>
      <w:pPr>
        <w:ind w:left="840" w:right="20" w:hanging="285"/>
        <w:spacing w:after="0" w:line="270" w:lineRule="auto"/>
        <w:tabs>
          <w:tab w:leader="none" w:pos="832"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interpreted and enforced in accordance with the internal laws of the Commonwealth of Massachusetts without regard to any applicable conflicts of laws.</w:t>
      </w:r>
    </w:p>
    <w:p>
      <w:pPr>
        <w:spacing w:after="0" w:line="105" w:lineRule="exact"/>
        <w:rPr>
          <w:rFonts w:ascii="Arial" w:cs="Arial" w:eastAsia="Arial" w:hAnsi="Arial"/>
          <w:sz w:val="14"/>
          <w:szCs w:val="14"/>
          <w:color w:val="auto"/>
        </w:rPr>
      </w:pPr>
    </w:p>
    <w:p>
      <w:pPr>
        <w:jc w:val="both"/>
        <w:ind w:left="840" w:hanging="285"/>
        <w:spacing w:after="0" w:line="253" w:lineRule="auto"/>
        <w:tabs>
          <w:tab w:leader="none" w:pos="832"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Compliance with Laws</w:t>
      </w:r>
      <w:r>
        <w:rPr>
          <w:rFonts w:ascii="Arial" w:cs="Arial" w:eastAsia="Arial" w:hAnsi="Arial"/>
          <w:sz w:val="14"/>
          <w:szCs w:val="14"/>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1440" w:right="599" w:bottom="1440" w:gutter="0" w:footer="0" w:header="0"/>
        </w:sectPr>
      </w:pPr>
    </w:p>
    <w:bookmarkStart w:id="117" w:name="page118"/>
    <w:bookmarkEnd w:id="117"/>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r>
    </w:p>
    <w:p>
      <w:pPr>
        <w:jc w:val="both"/>
        <w:ind w:left="840"/>
        <w:spacing w:after="0" w:line="248" w:lineRule="auto"/>
        <w:rPr>
          <w:sz w:val="20"/>
          <w:szCs w:val="20"/>
          <w:color w:val="auto"/>
        </w:rPr>
      </w:pPr>
      <w:r>
        <w:rPr>
          <w:rFonts w:ascii="Arial" w:cs="Arial" w:eastAsia="Arial" w:hAnsi="Arial"/>
          <w:sz w:val="14"/>
          <w:szCs w:val="14"/>
          <w:color w:val="auto"/>
        </w:rPr>
        <w:t>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2" w:lineRule="exact"/>
        <w:rPr>
          <w:sz w:val="20"/>
          <w:szCs w:val="20"/>
          <w:color w:val="auto"/>
        </w:rPr>
      </w:pPr>
    </w:p>
    <w:p>
      <w:pPr>
        <w:ind w:left="840" w:right="20" w:hanging="285"/>
        <w:spacing w:after="0" w:line="270" w:lineRule="auto"/>
        <w:tabs>
          <w:tab w:leader="none" w:pos="840"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Interpretation</w:t>
      </w:r>
      <w:r>
        <w:rPr>
          <w:rFonts w:ascii="Arial" w:cs="Arial" w:eastAsia="Arial" w:hAnsi="Arial"/>
          <w:sz w:val="14"/>
          <w:szCs w:val="14"/>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05" w:lineRule="exact"/>
        <w:rPr>
          <w:rFonts w:ascii="Arial" w:cs="Arial" w:eastAsia="Arial" w:hAnsi="Arial"/>
          <w:sz w:val="14"/>
          <w:szCs w:val="14"/>
          <w:color w:val="auto"/>
        </w:rPr>
      </w:pPr>
    </w:p>
    <w:p>
      <w:pPr>
        <w:jc w:val="both"/>
        <w:ind w:left="840" w:right="20" w:hanging="285"/>
        <w:spacing w:after="0" w:line="257" w:lineRule="auto"/>
        <w:tabs>
          <w:tab w:leader="none" w:pos="840"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Participant’s Acceptance</w:t>
      </w:r>
      <w:r>
        <w:rPr>
          <w:rFonts w:ascii="Arial" w:cs="Arial" w:eastAsia="Arial" w:hAnsi="Arial"/>
          <w:sz w:val="14"/>
          <w:szCs w:val="14"/>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Arial" w:cs="Arial" w:eastAsia="Arial" w:hAnsi="Arial"/>
          <w:sz w:val="14"/>
          <w:szCs w:val="14"/>
          <w:color w:val="auto"/>
        </w:rPr>
      </w:pPr>
    </w:p>
    <w:p>
      <w:pPr>
        <w:jc w:val="both"/>
        <w:ind w:left="840" w:hanging="285"/>
        <w:spacing w:after="0" w:line="257" w:lineRule="auto"/>
        <w:tabs>
          <w:tab w:leader="none" w:pos="840"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Arial" w:cs="Arial" w:eastAsia="Arial" w:hAnsi="Arial"/>
          <w:sz w:val="14"/>
          <w:szCs w:val="14"/>
          <w:color w:val="auto"/>
        </w:rPr>
      </w:pPr>
    </w:p>
    <w:p>
      <w:pPr>
        <w:jc w:val="both"/>
        <w:ind w:left="840" w:right="20" w:hanging="285"/>
        <w:spacing w:after="0" w:line="320" w:lineRule="auto"/>
        <w:tabs>
          <w:tab w:leader="none" w:pos="840" w:val="left"/>
        </w:tabs>
        <w:numPr>
          <w:ilvl w:val="0"/>
          <w:numId w:val="104"/>
        </w:numPr>
        <w:rPr>
          <w:rFonts w:ascii="Arial" w:cs="Arial" w:eastAsia="Arial" w:hAnsi="Arial"/>
          <w:sz w:val="12"/>
          <w:szCs w:val="12"/>
          <w:color w:val="auto"/>
        </w:rPr>
      </w:pPr>
      <w:r>
        <w:rPr>
          <w:rFonts w:ascii="Arial" w:cs="Arial" w:eastAsia="Arial" w:hAnsi="Arial"/>
          <w:sz w:val="12"/>
          <w:szCs w:val="12"/>
          <w:u w:val="single" w:color="auto"/>
          <w:color w:val="auto"/>
        </w:rPr>
        <w:t>English Language</w:t>
      </w:r>
      <w:r>
        <w:rPr>
          <w:rFonts w:ascii="Arial" w:cs="Arial" w:eastAsia="Arial" w:hAnsi="Arial"/>
          <w:sz w:val="12"/>
          <w:szCs w:val="12"/>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79" w:lineRule="exact"/>
        <w:rPr>
          <w:rFonts w:ascii="Arial" w:cs="Arial" w:eastAsia="Arial" w:hAnsi="Arial"/>
          <w:sz w:val="12"/>
          <w:szCs w:val="12"/>
          <w:color w:val="auto"/>
        </w:rPr>
      </w:pPr>
    </w:p>
    <w:p>
      <w:pPr>
        <w:jc w:val="both"/>
        <w:ind w:left="840" w:hanging="285"/>
        <w:spacing w:after="0" w:line="250" w:lineRule="auto"/>
        <w:tabs>
          <w:tab w:leader="none" w:pos="840"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Appendix A</w:t>
      </w:r>
      <w:r>
        <w:rPr>
          <w:rFonts w:ascii="Arial" w:cs="Arial" w:eastAsia="Arial" w:hAnsi="Arial"/>
          <w:sz w:val="14"/>
          <w:szCs w:val="14"/>
          <w:color w:val="auto"/>
        </w:rPr>
        <w:t>. Notwithstanding any provisions herein to the contrary, if the Participant transfers the Participant’s residence and/or employment to a country other than the United States, the RSUs shall be subject to any additional terms and conditions for such country as may be set forth in Appendix A to this Agreement.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20" w:lineRule="exact"/>
        <w:rPr>
          <w:rFonts w:ascii="Arial" w:cs="Arial" w:eastAsia="Arial" w:hAnsi="Arial"/>
          <w:sz w:val="14"/>
          <w:szCs w:val="14"/>
          <w:color w:val="auto"/>
        </w:rPr>
      </w:pPr>
    </w:p>
    <w:p>
      <w:pPr>
        <w:jc w:val="both"/>
        <w:ind w:left="840" w:hanging="285"/>
        <w:spacing w:after="0" w:line="320" w:lineRule="auto"/>
        <w:tabs>
          <w:tab w:leader="none" w:pos="836" w:val="left"/>
        </w:tabs>
        <w:numPr>
          <w:ilvl w:val="0"/>
          <w:numId w:val="104"/>
        </w:numPr>
        <w:rPr>
          <w:rFonts w:ascii="Arial" w:cs="Arial" w:eastAsia="Arial" w:hAnsi="Arial"/>
          <w:sz w:val="12"/>
          <w:szCs w:val="12"/>
          <w:color w:val="auto"/>
        </w:rPr>
      </w:pPr>
      <w:r>
        <w:rPr>
          <w:rFonts w:ascii="Arial" w:cs="Arial" w:eastAsia="Arial" w:hAnsi="Arial"/>
          <w:sz w:val="12"/>
          <w:szCs w:val="12"/>
          <w:u w:val="single" w:color="auto"/>
          <w:color w:val="auto"/>
        </w:rPr>
        <w:t>Additional Requirements</w:t>
      </w:r>
      <w:r>
        <w:rPr>
          <w:rFonts w:ascii="Arial" w:cs="Arial" w:eastAsia="Arial" w:hAnsi="Arial"/>
          <w:sz w:val="12"/>
          <w:szCs w:val="12"/>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79" w:lineRule="exact"/>
        <w:rPr>
          <w:rFonts w:ascii="Arial" w:cs="Arial" w:eastAsia="Arial" w:hAnsi="Arial"/>
          <w:sz w:val="12"/>
          <w:szCs w:val="12"/>
          <w:color w:val="auto"/>
        </w:rPr>
      </w:pPr>
    </w:p>
    <w:p>
      <w:pPr>
        <w:jc w:val="both"/>
        <w:ind w:left="840" w:right="20" w:hanging="285"/>
        <w:spacing w:after="0" w:line="286" w:lineRule="auto"/>
        <w:tabs>
          <w:tab w:leader="none" w:pos="832"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Private Placement</w:t>
      </w:r>
      <w:r>
        <w:rPr>
          <w:rFonts w:ascii="Arial" w:cs="Arial" w:eastAsia="Arial" w:hAnsi="Arial"/>
          <w:sz w:val="13"/>
          <w:szCs w:val="13"/>
          <w:color w:val="auto"/>
        </w:rPr>
        <w:t>. The Company has submitted filings in the United States in connection with the equity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97" w:lineRule="exact"/>
        <w:rPr>
          <w:rFonts w:ascii="Arial" w:cs="Arial" w:eastAsia="Arial" w:hAnsi="Arial"/>
          <w:sz w:val="13"/>
          <w:szCs w:val="13"/>
          <w:color w:val="auto"/>
        </w:rPr>
      </w:pPr>
    </w:p>
    <w:p>
      <w:pPr>
        <w:jc w:val="both"/>
        <w:ind w:left="840" w:hanging="285"/>
        <w:spacing w:after="0" w:line="286" w:lineRule="auto"/>
        <w:tabs>
          <w:tab w:leader="none" w:pos="840" w:val="left"/>
        </w:tabs>
        <w:numPr>
          <w:ilvl w:val="0"/>
          <w:numId w:val="104"/>
        </w:numPr>
        <w:rPr>
          <w:rFonts w:ascii="Arial" w:cs="Arial" w:eastAsia="Arial" w:hAnsi="Arial"/>
          <w:sz w:val="13"/>
          <w:szCs w:val="13"/>
          <w:color w:val="auto"/>
        </w:rPr>
      </w:pPr>
      <w:r>
        <w:rPr>
          <w:rFonts w:ascii="Arial" w:cs="Arial" w:eastAsia="Arial" w:hAnsi="Arial"/>
          <w:sz w:val="13"/>
          <w:szCs w:val="13"/>
          <w:u w:val="single" w:color="auto"/>
          <w:color w:val="auto"/>
        </w:rPr>
        <w:t>Changes in Capitalization</w:t>
      </w:r>
      <w:r>
        <w:rPr>
          <w:rFonts w:ascii="Arial" w:cs="Arial" w:eastAsia="Arial" w:hAnsi="Arial"/>
          <w:sz w:val="13"/>
          <w:szCs w:val="13"/>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97" w:lineRule="exact"/>
        <w:rPr>
          <w:rFonts w:ascii="Arial" w:cs="Arial" w:eastAsia="Arial" w:hAnsi="Arial"/>
          <w:sz w:val="13"/>
          <w:szCs w:val="13"/>
          <w:color w:val="auto"/>
        </w:rPr>
      </w:pPr>
    </w:p>
    <w:p>
      <w:pPr>
        <w:jc w:val="both"/>
        <w:ind w:left="840" w:right="20" w:hanging="285"/>
        <w:spacing w:after="0" w:line="257" w:lineRule="auto"/>
        <w:tabs>
          <w:tab w:leader="none" w:pos="840"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No Advice Regarding Grant</w:t>
      </w:r>
      <w:r>
        <w:rPr>
          <w:rFonts w:ascii="Arial" w:cs="Arial" w:eastAsia="Arial" w:hAnsi="Arial"/>
          <w:sz w:val="14"/>
          <w:szCs w:val="14"/>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Arial" w:cs="Arial" w:eastAsia="Arial" w:hAnsi="Arial"/>
          <w:sz w:val="14"/>
          <w:szCs w:val="14"/>
          <w:color w:val="auto"/>
        </w:rPr>
      </w:pPr>
    </w:p>
    <w:p>
      <w:pPr>
        <w:ind w:left="840" w:right="20" w:hanging="285"/>
        <w:spacing w:after="0" w:line="270" w:lineRule="auto"/>
        <w:tabs>
          <w:tab w:leader="none" w:pos="836"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Insider Trading Restrictions/Market Abuse Laws</w:t>
      </w:r>
      <w:r>
        <w:rPr>
          <w:rFonts w:ascii="Arial" w:cs="Arial" w:eastAsia="Arial" w:hAnsi="Arial"/>
          <w:sz w:val="14"/>
          <w:szCs w:val="14"/>
          <w:color w:val="auto"/>
        </w:rPr>
        <w:t>. The Participant acknowledges that, depending on the Participant’s or the Participant’s broker’s country of residence or where the Common Stock is listed, the Participant may be subject to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1440" w:right="599" w:bottom="1440" w:gutter="0" w:footer="0" w:header="0"/>
        </w:sectPr>
      </w:pPr>
    </w:p>
    <w:bookmarkStart w:id="118" w:name="page119"/>
    <w:bookmarkEnd w:id="118"/>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r>
    </w:p>
    <w:p>
      <w:pPr>
        <w:jc w:val="both"/>
        <w:ind w:left="840"/>
        <w:spacing w:after="0" w:line="296" w:lineRule="auto"/>
        <w:rPr>
          <w:sz w:val="20"/>
          <w:szCs w:val="20"/>
          <w:color w:val="auto"/>
        </w:rPr>
      </w:pPr>
      <w:r>
        <w:rPr>
          <w:rFonts w:ascii="Arial" w:cs="Arial" w:eastAsia="Arial" w:hAnsi="Arial"/>
          <w:sz w:val="12"/>
          <w:szCs w:val="12"/>
          <w:color w:val="auto"/>
        </w:rPr>
        <w:t>restrictions and/or market abuse laws, which may affect the Participant’s ability to accept, acquire, sell, or otherwise dispose of Common Stock, rights to Common Stock (</w:t>
      </w:r>
      <w:r>
        <w:rPr>
          <w:rFonts w:ascii="Arial" w:cs="Arial" w:eastAsia="Arial" w:hAnsi="Arial"/>
          <w:sz w:val="12"/>
          <w:szCs w:val="12"/>
          <w:i w:val="1"/>
          <w:iCs w:val="1"/>
          <w:color w:val="auto"/>
        </w:rPr>
        <w:t>e.g.</w:t>
      </w:r>
      <w:r>
        <w:rPr>
          <w:rFonts w:ascii="Arial" w:cs="Arial" w:eastAsia="Arial" w:hAnsi="Arial"/>
          <w:sz w:val="12"/>
          <w:szCs w:val="12"/>
          <w:color w:val="auto"/>
        </w:rPr>
        <w:t>, RSUs) or rights linked to the value of Common Stock (</w:t>
      </w:r>
      <w:r>
        <w:rPr>
          <w:rFonts w:ascii="Arial" w:cs="Arial" w:eastAsia="Arial" w:hAnsi="Arial"/>
          <w:sz w:val="12"/>
          <w:szCs w:val="12"/>
          <w:i w:val="1"/>
          <w:iCs w:val="1"/>
          <w:color w:val="auto"/>
        </w:rPr>
        <w:t>e.g.</w:t>
      </w:r>
      <w:r>
        <w:rPr>
          <w:rFonts w:ascii="Arial" w:cs="Arial" w:eastAsia="Arial" w:hAnsi="Arial"/>
          <w:sz w:val="12"/>
          <w:szCs w:val="12"/>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95" w:lineRule="exact"/>
        <w:rPr>
          <w:sz w:val="20"/>
          <w:szCs w:val="20"/>
          <w:color w:val="auto"/>
        </w:rPr>
      </w:pPr>
    </w:p>
    <w:p>
      <w:pPr>
        <w:jc w:val="both"/>
        <w:ind w:left="840" w:hanging="285"/>
        <w:spacing w:after="0" w:line="248" w:lineRule="auto"/>
        <w:tabs>
          <w:tab w:leader="none" w:pos="840"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Foreign Asset/Account, Exchange Control, and Tax Reporting</w:t>
      </w:r>
      <w:r>
        <w:rPr>
          <w:rFonts w:ascii="Arial" w:cs="Arial" w:eastAsia="Arial" w:hAnsi="Arial"/>
          <w:sz w:val="14"/>
          <w:szCs w:val="14"/>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21" w:lineRule="exact"/>
        <w:rPr>
          <w:rFonts w:ascii="Arial" w:cs="Arial" w:eastAsia="Arial" w:hAnsi="Arial"/>
          <w:sz w:val="14"/>
          <w:szCs w:val="14"/>
          <w:color w:val="auto"/>
        </w:rPr>
      </w:pPr>
    </w:p>
    <w:p>
      <w:pPr>
        <w:ind w:left="840" w:hanging="285"/>
        <w:spacing w:after="0" w:line="270" w:lineRule="auto"/>
        <w:tabs>
          <w:tab w:leader="none" w:pos="840"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Waiver</w:t>
      </w:r>
      <w:r>
        <w:rPr>
          <w:rFonts w:ascii="Arial" w:cs="Arial" w:eastAsia="Arial" w:hAnsi="Arial"/>
          <w:sz w:val="14"/>
          <w:szCs w:val="14"/>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303"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420" w:type="dxa"/>
            <w:vAlign w:val="bottom"/>
          </w:tcPr>
          <w:p>
            <w:pPr>
              <w:spacing w:after="0"/>
              <w:rPr>
                <w:sz w:val="20"/>
                <w:szCs w:val="20"/>
                <w:color w:val="auto"/>
              </w:rPr>
            </w:pPr>
            <w:r>
              <w:rPr>
                <w:rFonts w:ascii="Arial" w:cs="Arial" w:eastAsia="Arial" w:hAnsi="Arial"/>
                <w:sz w:val="14"/>
                <w:szCs w:val="14"/>
                <w:color w:val="auto"/>
              </w:rPr>
              <w:t>By:</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Ray Stata</w:t>
            </w:r>
          </w:p>
        </w:tc>
        <w:tc>
          <w:tcPr>
            <w:tcW w:w="1600" w:type="dxa"/>
            <w:vAlign w:val="bottom"/>
          </w:tcPr>
          <w:p>
            <w:pPr>
              <w:ind w:left="1160"/>
              <w:spacing w:after="0"/>
              <w:rPr>
                <w:sz w:val="20"/>
                <w:szCs w:val="20"/>
                <w:color w:val="auto"/>
              </w:rPr>
            </w:pPr>
            <w:r>
              <w:rPr>
                <w:rFonts w:ascii="Arial" w:cs="Arial" w:eastAsia="Arial" w:hAnsi="Arial"/>
                <w:sz w:val="14"/>
                <w:szCs w:val="14"/>
                <w:color w:val="auto"/>
              </w:rPr>
              <w:t>By:</w:t>
            </w: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Vincent Roche</w:t>
            </w:r>
          </w:p>
        </w:tc>
      </w:tr>
      <w:tr>
        <w:trPr>
          <w:trHeight w:val="194"/>
        </w:trPr>
        <w:tc>
          <w:tcPr>
            <w:tcW w:w="420" w:type="dxa"/>
            <w:vAlign w:val="bottom"/>
          </w:tcPr>
          <w:p>
            <w:pPr>
              <w:spacing w:after="0"/>
              <w:rPr>
                <w:sz w:val="16"/>
                <w:szCs w:val="16"/>
                <w:color w:val="auto"/>
              </w:rPr>
            </w:pPr>
          </w:p>
        </w:tc>
        <w:tc>
          <w:tcPr>
            <w:tcW w:w="3360" w:type="dxa"/>
            <w:vAlign w:val="bottom"/>
          </w:tcPr>
          <w:p>
            <w:pPr>
              <w:ind w:left="20"/>
              <w:spacing w:after="0"/>
              <w:rPr>
                <w:sz w:val="20"/>
                <w:szCs w:val="20"/>
                <w:color w:val="auto"/>
              </w:rPr>
            </w:pPr>
            <w:r>
              <w:rPr>
                <w:rFonts w:ascii="Arial" w:cs="Arial" w:eastAsia="Arial" w:hAnsi="Arial"/>
                <w:sz w:val="14"/>
                <w:szCs w:val="14"/>
                <w:color w:val="auto"/>
              </w:rPr>
              <w:t>Ray Stata, Chairman of the Board of Directors</w:t>
            </w:r>
          </w:p>
        </w:tc>
        <w:tc>
          <w:tcPr>
            <w:tcW w:w="1600" w:type="dxa"/>
            <w:vAlign w:val="bottom"/>
          </w:tcPr>
          <w:p>
            <w:pPr>
              <w:spacing w:after="0"/>
              <w:rPr>
                <w:sz w:val="16"/>
                <w:szCs w:val="16"/>
                <w:color w:val="auto"/>
              </w:rPr>
            </w:pPr>
          </w:p>
        </w:tc>
        <w:tc>
          <w:tcPr>
            <w:tcW w:w="3380" w:type="dxa"/>
            <w:vAlign w:val="bottom"/>
          </w:tcPr>
          <w:p>
            <w:pPr>
              <w:ind w:left="20"/>
              <w:spacing w:after="0"/>
              <w:rPr>
                <w:sz w:val="20"/>
                <w:szCs w:val="20"/>
                <w:color w:val="auto"/>
              </w:rPr>
            </w:pPr>
            <w:r>
              <w:rPr>
                <w:rFonts w:ascii="Arial" w:cs="Arial" w:eastAsia="Arial" w:hAnsi="Arial"/>
                <w:sz w:val="14"/>
                <w:szCs w:val="14"/>
                <w:color w:val="auto"/>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1440" w:right="599" w:bottom="1440" w:gutter="0" w:footer="0" w:header="0"/>
        </w:sectPr>
      </w:pPr>
    </w:p>
    <w:bookmarkStart w:id="119" w:name="page120"/>
    <w:bookmarkEnd w:id="119"/>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80" w:right="300"/>
        <w:spacing w:after="0" w:line="257" w:lineRule="auto"/>
        <w:rPr>
          <w:sz w:val="20"/>
          <w:szCs w:val="20"/>
          <w:color w:val="auto"/>
        </w:rPr>
      </w:pPr>
      <w:r>
        <w:rPr>
          <w:rFonts w:ascii="Arial" w:cs="Arial" w:eastAsia="Arial" w:hAnsi="Arial"/>
          <w:sz w:val="14"/>
          <w:szCs w:val="14"/>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196" w:lineRule="exact"/>
        <w:rPr>
          <w:sz w:val="20"/>
          <w:szCs w:val="20"/>
          <w:color w:val="auto"/>
        </w:rPr>
      </w:pPr>
    </w:p>
    <w:p>
      <w:pPr>
        <w:jc w:val="both"/>
        <w:ind w:left="280" w:right="280"/>
        <w:spacing w:after="0" w:line="253" w:lineRule="auto"/>
        <w:rPr>
          <w:sz w:val="20"/>
          <w:szCs w:val="20"/>
          <w:color w:val="auto"/>
        </w:rPr>
      </w:pPr>
      <w:r>
        <w:rPr>
          <w:rFonts w:ascii="Arial" w:cs="Arial" w:eastAsia="Arial" w:hAnsi="Arial"/>
          <w:sz w:val="14"/>
          <w:szCs w:val="14"/>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June 2021.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186" w:lineRule="exact"/>
        <w:rPr>
          <w:sz w:val="20"/>
          <w:szCs w:val="20"/>
          <w:color w:val="auto"/>
        </w:rPr>
      </w:pPr>
    </w:p>
    <w:p>
      <w:pPr>
        <w:jc w:val="both"/>
        <w:ind w:left="280" w:right="300"/>
        <w:spacing w:after="0" w:line="310" w:lineRule="auto"/>
        <w:rPr>
          <w:sz w:val="20"/>
          <w:szCs w:val="20"/>
          <w:color w:val="auto"/>
        </w:rPr>
      </w:pPr>
      <w:r>
        <w:rPr>
          <w:rFonts w:ascii="Arial" w:cs="Arial" w:eastAsia="Arial" w:hAnsi="Arial"/>
          <w:sz w:val="13"/>
          <w:szCs w:val="13"/>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63" w:lineRule="exact"/>
        <w:rPr>
          <w:sz w:val="20"/>
          <w:szCs w:val="20"/>
          <w:color w:val="auto"/>
        </w:rPr>
      </w:pPr>
    </w:p>
    <w:p>
      <w:pPr>
        <w:jc w:val="both"/>
        <w:ind w:left="280" w:right="300"/>
        <w:spacing w:after="0" w:line="257" w:lineRule="auto"/>
        <w:rPr>
          <w:sz w:val="20"/>
          <w:szCs w:val="20"/>
          <w:color w:val="auto"/>
        </w:rPr>
      </w:pPr>
      <w:r>
        <w:rPr>
          <w:rFonts w:ascii="Arial" w:cs="Arial" w:eastAsia="Arial" w:hAnsi="Arial"/>
          <w:sz w:val="14"/>
          <w:szCs w:val="14"/>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TERMS AND CONDITIONS APPLICABLE TO PARTICIPANTS OUTSIDE THE U.S.</w:t>
      </w:r>
    </w:p>
    <w:p>
      <w:pPr>
        <w:spacing w:after="0" w:line="229"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b w:val="1"/>
          <w:bCs w:val="1"/>
          <w:i w:val="1"/>
          <w:iCs w:val="1"/>
          <w:u w:val="single" w:color="auto"/>
          <w:color w:val="auto"/>
        </w:rPr>
        <w:t>Data Privacy Information and Consent</w:t>
      </w:r>
      <w:r>
        <w:rPr>
          <w:rFonts w:ascii="Arial" w:cs="Arial" w:eastAsia="Arial" w:hAnsi="Arial"/>
          <w:sz w:val="14"/>
          <w:szCs w:val="14"/>
          <w:b w:val="1"/>
          <w:bCs w:val="1"/>
          <w:i w:val="1"/>
          <w:iCs w:val="1"/>
          <w:color w:val="auto"/>
        </w:rPr>
        <w:t>. The Company is located at One Analog Way, Wilmington, Massachusetts, 01887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114" w:lineRule="exact"/>
        <w:rPr>
          <w:sz w:val="20"/>
          <w:szCs w:val="20"/>
          <w:color w:val="auto"/>
        </w:rPr>
      </w:pPr>
    </w:p>
    <w:p>
      <w:pPr>
        <w:jc w:val="both"/>
        <w:ind w:left="560" w:hanging="286"/>
        <w:spacing w:after="0" w:line="274" w:lineRule="auto"/>
        <w:tabs>
          <w:tab w:leader="none" w:pos="552" w:val="left"/>
        </w:tabs>
        <w:numPr>
          <w:ilvl w:val="0"/>
          <w:numId w:val="106"/>
        </w:numPr>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Data Collection and Usage</w:t>
      </w:r>
      <w:r>
        <w:rPr>
          <w:rFonts w:ascii="Arial" w:cs="Arial" w:eastAsia="Arial" w:hAnsi="Arial"/>
          <w:sz w:val="13"/>
          <w:szCs w:val="13"/>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05" w:lineRule="exact"/>
        <w:rPr>
          <w:rFonts w:ascii="Arial" w:cs="Arial" w:eastAsia="Arial" w:hAnsi="Arial"/>
          <w:sz w:val="13"/>
          <w:szCs w:val="13"/>
          <w:color w:val="auto"/>
        </w:rPr>
      </w:pPr>
    </w:p>
    <w:p>
      <w:pPr>
        <w:jc w:val="both"/>
        <w:ind w:left="560" w:hanging="286"/>
        <w:spacing w:after="0" w:line="250" w:lineRule="auto"/>
        <w:tabs>
          <w:tab w:leader="none" w:pos="560" w:val="left"/>
        </w:tabs>
        <w:numPr>
          <w:ilvl w:val="0"/>
          <w:numId w:val="106"/>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20" w:lineRule="exact"/>
        <w:rPr>
          <w:rFonts w:ascii="Arial" w:cs="Arial" w:eastAsia="Arial" w:hAnsi="Arial"/>
          <w:sz w:val="14"/>
          <w:szCs w:val="14"/>
          <w:color w:val="auto"/>
        </w:rPr>
      </w:pPr>
    </w:p>
    <w:p>
      <w:pPr>
        <w:jc w:val="both"/>
        <w:ind w:left="560" w:hanging="286"/>
        <w:spacing w:after="0" w:line="270" w:lineRule="auto"/>
        <w:tabs>
          <w:tab w:leader="none" w:pos="552" w:val="left"/>
        </w:tabs>
        <w:numPr>
          <w:ilvl w:val="0"/>
          <w:numId w:val="106"/>
        </w:numPr>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International Data Transfers</w:t>
      </w:r>
      <w:r>
        <w:rPr>
          <w:rFonts w:ascii="Arial" w:cs="Arial" w:eastAsia="Arial" w:hAnsi="Arial"/>
          <w:sz w:val="13"/>
          <w:szCs w:val="13"/>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09" w:lineRule="exact"/>
        <w:rPr>
          <w:rFonts w:ascii="Arial" w:cs="Arial" w:eastAsia="Arial" w:hAnsi="Arial"/>
          <w:sz w:val="13"/>
          <w:szCs w:val="13"/>
          <w:color w:val="auto"/>
        </w:rPr>
      </w:pPr>
    </w:p>
    <w:p>
      <w:pPr>
        <w:jc w:val="both"/>
        <w:ind w:left="560" w:right="20" w:hanging="286"/>
        <w:spacing w:after="0" w:line="257" w:lineRule="auto"/>
        <w:tabs>
          <w:tab w:leader="none" w:pos="560" w:val="left"/>
        </w:tabs>
        <w:numPr>
          <w:ilvl w:val="0"/>
          <w:numId w:val="106"/>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Retention</w:t>
      </w:r>
      <w:r>
        <w:rPr>
          <w:rFonts w:ascii="Arial" w:cs="Arial" w:eastAsia="Arial" w:hAnsi="Arial"/>
          <w:sz w:val="14"/>
          <w:szCs w:val="14"/>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employment with the Employer. If the</w:t>
      </w: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- 1</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0"/>
          </w:cols>
          <w:pgMar w:left="320" w:top="910" w:right="319" w:bottom="1440" w:gutter="0" w:footer="0" w:header="0"/>
        </w:sectPr>
      </w:pPr>
    </w:p>
    <w:bookmarkStart w:id="120" w:name="page121"/>
    <w:bookmarkEnd w:id="120"/>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0"/>
        <w:spacing w:after="0"/>
        <w:rPr>
          <w:sz w:val="20"/>
          <w:szCs w:val="20"/>
          <w:color w:val="auto"/>
        </w:rPr>
      </w:pPr>
      <w:r>
        <w:rPr>
          <w:rFonts w:ascii="Arial" w:cs="Arial" w:eastAsia="Arial" w:hAnsi="Arial"/>
          <w:sz w:val="14"/>
          <w:szCs w:val="14"/>
          <w:b w:val="1"/>
          <w:bCs w:val="1"/>
          <w:i w:val="1"/>
          <w:iCs w:val="1"/>
          <w:color w:val="auto"/>
        </w:rPr>
        <w:t>Company keeps data longer, it would be to satisfy legal or regulatory obligations and the Company’s legal basis would be relevant laws or regulations.</w:t>
      </w:r>
    </w:p>
    <w:p>
      <w:pPr>
        <w:spacing w:after="0" w:line="143" w:lineRule="exact"/>
        <w:rPr>
          <w:sz w:val="20"/>
          <w:szCs w:val="20"/>
          <w:color w:val="auto"/>
        </w:rPr>
      </w:pPr>
    </w:p>
    <w:p>
      <w:pPr>
        <w:jc w:val="both"/>
        <w:ind w:left="560" w:hanging="286"/>
        <w:spacing w:after="0" w:line="320" w:lineRule="auto"/>
        <w:tabs>
          <w:tab w:leader="none" w:pos="552" w:val="left"/>
        </w:tabs>
        <w:numPr>
          <w:ilvl w:val="0"/>
          <w:numId w:val="107"/>
        </w:numPr>
        <w:rPr>
          <w:rFonts w:ascii="Arial" w:cs="Arial" w:eastAsia="Arial" w:hAnsi="Arial"/>
          <w:sz w:val="12"/>
          <w:szCs w:val="12"/>
          <w:color w:val="auto"/>
        </w:rPr>
      </w:pPr>
      <w:r>
        <w:rPr>
          <w:rFonts w:ascii="Arial" w:cs="Arial" w:eastAsia="Arial" w:hAnsi="Arial"/>
          <w:sz w:val="12"/>
          <w:szCs w:val="12"/>
          <w:b w:val="1"/>
          <w:bCs w:val="1"/>
          <w:i w:val="1"/>
          <w:iCs w:val="1"/>
          <w:u w:val="single" w:color="auto"/>
          <w:color w:val="auto"/>
        </w:rPr>
        <w:t>Voluntariness and Consequences of Consent Denial or Withdrawal</w:t>
      </w:r>
      <w:r>
        <w:rPr>
          <w:rFonts w:ascii="Arial" w:cs="Arial" w:eastAsia="Arial" w:hAnsi="Arial"/>
          <w:sz w:val="12"/>
          <w:szCs w:val="12"/>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79" w:lineRule="exact"/>
        <w:rPr>
          <w:rFonts w:ascii="Arial" w:cs="Arial" w:eastAsia="Arial" w:hAnsi="Arial"/>
          <w:sz w:val="12"/>
          <w:szCs w:val="12"/>
          <w:color w:val="auto"/>
        </w:rPr>
      </w:pPr>
    </w:p>
    <w:p>
      <w:pPr>
        <w:jc w:val="both"/>
        <w:ind w:left="560" w:hanging="286"/>
        <w:spacing w:after="0" w:line="274" w:lineRule="auto"/>
        <w:tabs>
          <w:tab w:leader="none" w:pos="560" w:val="left"/>
        </w:tabs>
        <w:numPr>
          <w:ilvl w:val="0"/>
          <w:numId w:val="107"/>
        </w:numPr>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Data Subject Rights</w:t>
      </w:r>
      <w:r>
        <w:rPr>
          <w:rFonts w:ascii="Arial" w:cs="Arial" w:eastAsia="Arial" w:hAnsi="Arial"/>
          <w:sz w:val="13"/>
          <w:szCs w:val="13"/>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06" w:lineRule="exact"/>
        <w:rPr>
          <w:sz w:val="20"/>
          <w:szCs w:val="20"/>
          <w:color w:val="auto"/>
        </w:rPr>
      </w:pPr>
    </w:p>
    <w:p>
      <w:pPr>
        <w:jc w:val="both"/>
        <w:ind w:left="280" w:right="280"/>
        <w:spacing w:after="0" w:line="310" w:lineRule="auto"/>
        <w:rPr>
          <w:sz w:val="20"/>
          <w:szCs w:val="20"/>
          <w:color w:val="auto"/>
        </w:rPr>
      </w:pPr>
      <w:r>
        <w:rPr>
          <w:rFonts w:ascii="Arial" w:cs="Arial" w:eastAsia="Arial" w:hAnsi="Arial"/>
          <w:sz w:val="13"/>
          <w:szCs w:val="13"/>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163" w:lineRule="exact"/>
        <w:rPr>
          <w:sz w:val="20"/>
          <w:szCs w:val="20"/>
          <w:color w:val="auto"/>
        </w:rPr>
      </w:pPr>
    </w:p>
    <w:p>
      <w:pPr>
        <w:jc w:val="both"/>
        <w:ind w:left="280" w:right="300"/>
        <w:spacing w:after="0" w:line="270" w:lineRule="auto"/>
        <w:rPr>
          <w:sz w:val="20"/>
          <w:szCs w:val="20"/>
          <w:color w:val="auto"/>
        </w:rPr>
      </w:pPr>
      <w:r>
        <w:rPr>
          <w:rFonts w:ascii="Arial" w:cs="Arial" w:eastAsia="Arial" w:hAnsi="Arial"/>
          <w:sz w:val="14"/>
          <w:szCs w:val="14"/>
          <w:u w:val="single" w:color="auto"/>
          <w:color w:val="auto"/>
        </w:rPr>
        <w:t>Language</w:t>
      </w:r>
      <w:r>
        <w:rPr>
          <w:rFonts w:ascii="Arial" w:cs="Arial" w:eastAsia="Arial" w:hAnsi="Arial"/>
          <w:sz w:val="14"/>
          <w:szCs w:val="14"/>
          <w:color w:val="auto"/>
        </w:rPr>
        <w:t>. The Participant acknowledges that he or she is sufficiently proficient in English, or has consulted with an advisor who is sufficiently proficient in English, to understand the terms and conditions of this Agreement.</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AUSTRALIA</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3"/>
          <w:szCs w:val="13"/>
          <w:u w:val="single" w:color="auto"/>
          <w:color w:val="auto"/>
        </w:rPr>
        <w:t>Australian Offer Documen</w:t>
      </w:r>
      <w:r>
        <w:rPr>
          <w:rFonts w:ascii="Arial" w:cs="Arial" w:eastAsia="Arial" w:hAnsi="Arial"/>
          <w:sz w:val="13"/>
          <w:szCs w:val="13"/>
          <w:color w:val="auto"/>
        </w:rPr>
        <w:t>t. This offer of RSUs is intended to comply with the provisions of the Corporations Act 2001, ASIC Regulatory Guide 49 and ASIC Class Order CO 14/1000.</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Additional details are set forth in the Offer Document for the offer of Restricted Stock Units to Australian resident employees, which is attached hereto as Appendix B.</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AUSTRIA</w:t>
      </w:r>
    </w:p>
    <w:p>
      <w:pPr>
        <w:spacing w:after="0" w:line="229" w:lineRule="exact"/>
        <w:rPr>
          <w:sz w:val="20"/>
          <w:szCs w:val="20"/>
          <w:color w:val="auto"/>
        </w:rPr>
      </w:pPr>
    </w:p>
    <w:p>
      <w:pPr>
        <w:jc w:val="both"/>
        <w:ind w:left="280" w:right="300"/>
        <w:spacing w:after="0" w:line="286"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Arial" w:cs="Arial" w:eastAsia="Arial" w:hAnsi="Arial"/>
          <w:sz w:val="13"/>
          <w:szCs w:val="13"/>
          <w:i w:val="1"/>
          <w:iCs w:val="1"/>
          <w:color w:val="auto"/>
        </w:rPr>
        <w:t>Standmeldung/Wertpapiere</w:t>
      </w:r>
      <w:r>
        <w:rPr>
          <w:rFonts w:ascii="Arial" w:cs="Arial" w:eastAsia="Arial" w:hAnsi="Arial"/>
          <w:sz w:val="13"/>
          <w:szCs w:val="13"/>
          <w:color w:val="auto"/>
        </w:rPr>
        <w:t>.” An exemption applies if the value of the securities held outside Austria as of December 31 does not exceed certain thresholds. If applicable, the deadline for filing the annual report is January 31 of the following year.</w:t>
      </w:r>
    </w:p>
    <w:p>
      <w:pPr>
        <w:spacing w:after="0" w:line="167" w:lineRule="exact"/>
        <w:rPr>
          <w:sz w:val="20"/>
          <w:szCs w:val="20"/>
          <w:color w:val="auto"/>
        </w:rPr>
      </w:pPr>
    </w:p>
    <w:p>
      <w:pPr>
        <w:jc w:val="both"/>
        <w:ind w:left="280" w:right="280"/>
        <w:spacing w:after="0" w:line="253" w:lineRule="auto"/>
        <w:rPr>
          <w:sz w:val="20"/>
          <w:szCs w:val="20"/>
          <w:color w:val="auto"/>
        </w:rPr>
      </w:pPr>
      <w:r>
        <w:rPr>
          <w:rFonts w:ascii="Arial" w:cs="Arial" w:eastAsia="Arial" w:hAnsi="Arial"/>
          <w:sz w:val="14"/>
          <w:szCs w:val="14"/>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4"/>
          <w:szCs w:val="14"/>
          <w:i w:val="1"/>
          <w:iCs w:val="1"/>
          <w:color w:val="auto"/>
        </w:rPr>
        <w:t>Meldungen SI-Forderungen und/oder SI-Verpflichtungen</w:t>
      </w:r>
      <w:r>
        <w:rPr>
          <w:rFonts w:ascii="Arial" w:cs="Arial" w:eastAsia="Arial" w:hAnsi="Arial"/>
          <w:sz w:val="14"/>
          <w:szCs w:val="14"/>
          <w:color w:val="auto"/>
        </w:rPr>
        <w:t>.”</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BELGIUM</w:t>
      </w:r>
    </w:p>
    <w:p>
      <w:pPr>
        <w:spacing w:after="0" w:line="229" w:lineRule="exact"/>
        <w:rPr>
          <w:sz w:val="20"/>
          <w:szCs w:val="20"/>
          <w:color w:val="auto"/>
        </w:rPr>
      </w:pPr>
    </w:p>
    <w:p>
      <w:pPr>
        <w:jc w:val="both"/>
        <w:ind w:left="280" w:right="280"/>
        <w:spacing w:after="0" w:line="286" w:lineRule="auto"/>
        <w:rPr>
          <w:sz w:val="20"/>
          <w:szCs w:val="20"/>
          <w:color w:val="auto"/>
        </w:rPr>
      </w:pPr>
      <w:r>
        <w:rPr>
          <w:rFonts w:ascii="Arial" w:cs="Arial" w:eastAsia="Arial" w:hAnsi="Arial"/>
          <w:sz w:val="13"/>
          <w:szCs w:val="13"/>
          <w:u w:val="single" w:color="auto"/>
          <w:color w:val="auto"/>
        </w:rPr>
        <w:t>Foreign Asset / Account Reporting Information</w:t>
      </w:r>
      <w:r>
        <w:rPr>
          <w:rFonts w:ascii="Arial" w:cs="Arial" w:eastAsia="Arial" w:hAnsi="Arial"/>
          <w:sz w:val="13"/>
          <w:szCs w:val="13"/>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179" w:lineRule="exact"/>
        <w:rPr>
          <w:sz w:val="20"/>
          <w:szCs w:val="20"/>
          <w:color w:val="auto"/>
        </w:rPr>
      </w:pPr>
    </w:p>
    <w:p>
      <w:pPr>
        <w:jc w:val="both"/>
        <w:ind w:left="280" w:right="280"/>
        <w:spacing w:after="0" w:line="257" w:lineRule="auto"/>
        <w:rPr>
          <w:sz w:val="20"/>
          <w:szCs w:val="20"/>
          <w:color w:val="auto"/>
        </w:rPr>
      </w:pPr>
      <w:r>
        <w:rPr>
          <w:rFonts w:ascii="Arial" w:cs="Arial" w:eastAsia="Arial" w:hAnsi="Arial"/>
          <w:sz w:val="14"/>
          <w:szCs w:val="14"/>
          <w:u w:val="single" w:color="auto"/>
          <w:color w:val="auto"/>
        </w:rPr>
        <w:t>Stock Exchange Tax</w:t>
      </w:r>
      <w:r>
        <w:rPr>
          <w:rFonts w:ascii="Arial" w:cs="Arial" w:eastAsia="Arial" w:hAnsi="Arial"/>
          <w:sz w:val="14"/>
          <w:szCs w:val="14"/>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- 2</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0"/>
          </w:cols>
          <w:pgMar w:left="320" w:top="911" w:right="319" w:bottom="1440" w:gutter="0" w:footer="0" w:header="0"/>
        </w:sectPr>
      </w:pPr>
    </w:p>
    <w:bookmarkStart w:id="121" w:name="page122"/>
    <w:bookmarkEnd w:id="121"/>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CANADA</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Issuance of Shares</w:t>
      </w:r>
      <w:r>
        <w:rPr>
          <w:rFonts w:ascii="Arial" w:cs="Arial" w:eastAsia="Arial" w:hAnsi="Arial"/>
          <w:sz w:val="14"/>
          <w:szCs w:val="14"/>
          <w:color w:val="auto"/>
        </w:rPr>
        <w:t>: This provision supplements Section 2 of the Agreement:</w:t>
      </w:r>
    </w:p>
    <w:p>
      <w:pPr>
        <w:spacing w:after="0" w:line="225"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187"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2"/>
          <w:szCs w:val="12"/>
          <w:u w:val="single" w:color="auto"/>
          <w:color w:val="auto"/>
        </w:rPr>
        <w:t>Termination of Employment</w:t>
      </w:r>
      <w:r>
        <w:rPr>
          <w:rFonts w:ascii="Arial" w:cs="Arial" w:eastAsia="Arial" w:hAnsi="Arial"/>
          <w:sz w:val="12"/>
          <w:szCs w:val="12"/>
          <w:color w:val="auto"/>
        </w:rPr>
        <w:t>. The following supplements Section 2 of the Agreement (except Section 2(d) regarding disability) as well as any other section required to give effect to the same:</w:t>
      </w:r>
    </w:p>
    <w:p>
      <w:pPr>
        <w:spacing w:after="0" w:line="236" w:lineRule="exact"/>
        <w:rPr>
          <w:sz w:val="20"/>
          <w:szCs w:val="20"/>
          <w:color w:val="auto"/>
        </w:rPr>
      </w:pPr>
    </w:p>
    <w:p>
      <w:pPr>
        <w:jc w:val="both"/>
        <w:ind w:left="280"/>
        <w:spacing w:after="0" w:line="250" w:lineRule="auto"/>
        <w:rPr>
          <w:sz w:val="20"/>
          <w:szCs w:val="20"/>
          <w:color w:val="auto"/>
        </w:rPr>
      </w:pPr>
      <w:r>
        <w:rPr>
          <w:rFonts w:ascii="Arial" w:cs="Arial" w:eastAsia="Arial" w:hAnsi="Arial"/>
          <w:sz w:val="14"/>
          <w:szCs w:val="14"/>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202" w:lineRule="exact"/>
        <w:rPr>
          <w:sz w:val="20"/>
          <w:szCs w:val="20"/>
          <w:color w:val="auto"/>
        </w:rPr>
      </w:pPr>
    </w:p>
    <w:p>
      <w:pPr>
        <w:jc w:val="both"/>
        <w:ind w:left="280"/>
        <w:spacing w:after="0" w:line="286" w:lineRule="auto"/>
        <w:rPr>
          <w:sz w:val="20"/>
          <w:szCs w:val="20"/>
          <w:color w:val="auto"/>
        </w:rPr>
      </w:pPr>
      <w:r>
        <w:rPr>
          <w:rFonts w:ascii="Arial" w:cs="Arial" w:eastAsia="Arial" w:hAnsi="Arial"/>
          <w:sz w:val="13"/>
          <w:szCs w:val="13"/>
          <w:color w:val="auto"/>
        </w:rPr>
        <w:t>Notwithstanding 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179" w:lineRule="exact"/>
        <w:rPr>
          <w:sz w:val="20"/>
          <w:szCs w:val="20"/>
          <w:color w:val="auto"/>
        </w:rPr>
      </w:pPr>
    </w:p>
    <w:p>
      <w:pPr>
        <w:jc w:val="both"/>
        <w:ind w:left="280" w:right="20"/>
        <w:spacing w:after="0" w:line="272" w:lineRule="auto"/>
        <w:rPr>
          <w:sz w:val="20"/>
          <w:szCs w:val="20"/>
          <w:color w:val="auto"/>
        </w:rPr>
      </w:pPr>
      <w:r>
        <w:rPr>
          <w:rFonts w:ascii="Arial" w:cs="Arial" w:eastAsia="Arial" w:hAnsi="Arial"/>
          <w:sz w:val="13"/>
          <w:szCs w:val="13"/>
          <w:u w:val="single" w:color="auto"/>
          <w:color w:val="auto"/>
        </w:rPr>
        <w:t>Foreign Asset / Account Reporting Information</w:t>
      </w:r>
      <w:r>
        <w:rPr>
          <w:rFonts w:ascii="Arial" w:cs="Arial" w:eastAsia="Arial" w:hAnsi="Arial"/>
          <w:sz w:val="13"/>
          <w:szCs w:val="13"/>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RSUs. The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The following terms and conditions apply if the Participant is in Quebec:</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Data Privacy</w:t>
      </w:r>
      <w:r>
        <w:rPr>
          <w:rFonts w:ascii="Arial" w:cs="Arial" w:eastAsia="Arial" w:hAnsi="Arial"/>
          <w:sz w:val="14"/>
          <w:szCs w:val="14"/>
          <w:color w:val="auto"/>
        </w:rPr>
        <w:t>. This provision supplements the Data Privacy Information and Consent provision in the Terms and Conditions for Participants Outside the U.S. set forth above:</w:t>
      </w:r>
    </w:p>
    <w:p>
      <w:pPr>
        <w:spacing w:after="0" w:line="213" w:lineRule="exact"/>
        <w:rPr>
          <w:sz w:val="20"/>
          <w:szCs w:val="20"/>
          <w:color w:val="auto"/>
        </w:rPr>
      </w:pPr>
    </w:p>
    <w:p>
      <w:pPr>
        <w:jc w:val="both"/>
        <w:ind w:left="280"/>
        <w:spacing w:after="0" w:line="286" w:lineRule="auto"/>
        <w:rPr>
          <w:sz w:val="20"/>
          <w:szCs w:val="20"/>
          <w:color w:val="auto"/>
        </w:rPr>
      </w:pPr>
      <w:r>
        <w:rPr>
          <w:rFonts w:ascii="Arial" w:cs="Arial" w:eastAsia="Arial" w:hAnsi="Arial"/>
          <w:sz w:val="13"/>
          <w:szCs w:val="13"/>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or Subsidiary of the Company to record such information and to keep such information in the Participant’s employee file.</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French Language Acknowledgment</w:t>
      </w:r>
      <w:r>
        <w:rPr>
          <w:rFonts w:ascii="Arial" w:cs="Arial" w:eastAsia="Arial" w:hAnsi="Arial"/>
          <w:sz w:val="14"/>
          <w:szCs w:val="14"/>
          <w:color w:val="auto"/>
        </w:rPr>
        <w:t>. This provision supplements Section 9(q) of the Agreement:</w:t>
      </w:r>
    </w:p>
    <w:p>
      <w:pPr>
        <w:spacing w:after="0" w:line="225"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- 3</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0" w:right="599" w:bottom="1440" w:gutter="0" w:footer="0" w:header="0"/>
        </w:sectPr>
      </w:pPr>
    </w:p>
    <w:bookmarkStart w:id="122" w:name="page123"/>
    <w:bookmarkEnd w:id="122"/>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CHINA</w:t>
      </w:r>
    </w:p>
    <w:p>
      <w:pPr>
        <w:spacing w:after="0" w:line="217"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87" w:lineRule="exact"/>
        <w:rPr>
          <w:sz w:val="20"/>
          <w:szCs w:val="20"/>
          <w:color w:val="auto"/>
        </w:rPr>
      </w:pPr>
    </w:p>
    <w:p>
      <w:pPr>
        <w:jc w:val="both"/>
        <w:ind w:left="280"/>
        <w:spacing w:after="0" w:line="249" w:lineRule="auto"/>
        <w:rPr>
          <w:sz w:val="20"/>
          <w:szCs w:val="20"/>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other Parent or Subsidiary of the Company.</w:t>
      </w:r>
    </w:p>
    <w:p>
      <w:pPr>
        <w:spacing w:after="0" w:line="202" w:lineRule="exact"/>
        <w:rPr>
          <w:sz w:val="20"/>
          <w:szCs w:val="20"/>
          <w:color w:val="auto"/>
        </w:rPr>
      </w:pPr>
    </w:p>
    <w:p>
      <w:pPr>
        <w:jc w:val="both"/>
        <w:ind w:left="280"/>
        <w:spacing w:after="0" w:line="270" w:lineRule="auto"/>
        <w:rPr>
          <w:sz w:val="20"/>
          <w:szCs w:val="20"/>
          <w:color w:val="auto"/>
        </w:rPr>
      </w:pPr>
      <w:r>
        <w:rPr>
          <w:rFonts w:ascii="Arial" w:cs="Arial" w:eastAsia="Arial" w:hAnsi="Arial"/>
          <w:sz w:val="13"/>
          <w:szCs w:val="13"/>
          <w:u w:val="single" w:color="auto"/>
          <w:color w:val="auto"/>
        </w:rPr>
        <w:t>Exchange Control Requirements</w:t>
      </w:r>
      <w:r>
        <w:rPr>
          <w:rFonts w:ascii="Arial" w:cs="Arial" w:eastAsia="Arial" w:hAnsi="Arial"/>
          <w:sz w:val="13"/>
          <w:szCs w:val="13"/>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191"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color w:val="auto"/>
        </w:rPr>
        <w:t>The Participant further is required to repatriate to the PRC any dividends or dividend equivalents paid to the Participant in relation to RSUs through a special exchange control account established by the Company, the Employer, or a Subsidiary in the PRC. The Participant hereby agrees that any cash proceeds from the Participant’s participation in the Plan may be transferred to such special account prior to being delivered to the Participant.</w:t>
      </w:r>
    </w:p>
    <w:p>
      <w:pPr>
        <w:spacing w:after="0" w:line="184" w:lineRule="exact"/>
        <w:rPr>
          <w:sz w:val="20"/>
          <w:szCs w:val="20"/>
          <w:color w:val="auto"/>
        </w:rPr>
      </w:pPr>
    </w:p>
    <w:p>
      <w:pPr>
        <w:jc w:val="both"/>
        <w:ind w:left="280"/>
        <w:spacing w:after="0" w:line="253" w:lineRule="auto"/>
        <w:rPr>
          <w:sz w:val="20"/>
          <w:szCs w:val="20"/>
          <w:color w:val="auto"/>
        </w:rPr>
      </w:pPr>
      <w:r>
        <w:rPr>
          <w:rFonts w:ascii="Arial" w:cs="Arial" w:eastAsia="Arial" w:hAnsi="Arial"/>
          <w:sz w:val="14"/>
          <w:szCs w:val="14"/>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98"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Tax Liability</w:t>
      </w:r>
      <w:r>
        <w:rPr>
          <w:rFonts w:ascii="Arial" w:cs="Arial" w:eastAsia="Arial" w:hAnsi="Arial"/>
          <w:sz w:val="14"/>
          <w:szCs w:val="14"/>
          <w:color w:val="auto"/>
        </w:rPr>
        <w:t>. Taxes are due at the time of vesting of the RSUs. The Participant understands and agrees that Tax-Related Items may be taken by the Employer from the Participant’s salary or other cash compensation.</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DENMARK</w:t>
      </w:r>
    </w:p>
    <w:p>
      <w:pPr>
        <w:spacing w:after="0" w:line="229"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Danish Stock Option Act</w:t>
      </w:r>
      <w:r>
        <w:rPr>
          <w:rFonts w:ascii="Arial" w:cs="Arial" w:eastAsia="Arial" w:hAnsi="Arial"/>
          <w:sz w:val="14"/>
          <w:szCs w:val="14"/>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Exclusion from Termination Indemnities and Other Benefits</w:t>
      </w:r>
      <w:r>
        <w:rPr>
          <w:rFonts w:ascii="Arial" w:cs="Arial" w:eastAsia="Arial" w:hAnsi="Arial"/>
          <w:sz w:val="14"/>
          <w:szCs w:val="14"/>
          <w:color w:val="auto"/>
        </w:rPr>
        <w:t>. This provision supplements Section 9(c) in the Agreement:</w:t>
      </w:r>
    </w:p>
    <w:p>
      <w:pPr>
        <w:spacing w:after="0" w:line="213"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color w:val="auto"/>
        </w:rPr>
        <w:t>By accepting the RSUs, the Participant acknowledges that he or she understands and agrees that this grant relates to future services to be performed and is not a bonus or compensation for past services.</w:t>
      </w: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1" w:right="599" w:bottom="1440" w:gutter="0" w:footer="0" w:header="0"/>
        </w:sectPr>
      </w:pPr>
    </w:p>
    <w:bookmarkStart w:id="123" w:name="page124"/>
    <w:bookmarkEnd w:id="123"/>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Foreign Asset / Account Reporting Information</w:t>
      </w:r>
      <w:r>
        <w:rPr>
          <w:rFonts w:ascii="Arial" w:cs="Arial" w:eastAsia="Arial" w:hAnsi="Arial"/>
          <w:sz w:val="14"/>
          <w:szCs w:val="14"/>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EGYPT</w:t>
      </w:r>
    </w:p>
    <w:p>
      <w:pPr>
        <w:spacing w:after="0" w:line="229"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xml:space="preserve"> If the Participant transfers funds into Egypt in connection with the sale of Shares, the Participant is required to transfer the funds through a registered bank in Egypt.</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FINLAND</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There are no country-specific provisions.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FRANCE</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2"/>
          <w:szCs w:val="12"/>
          <w:u w:val="single" w:color="auto"/>
          <w:color w:val="auto"/>
        </w:rPr>
        <w:t>RSUs Not Tax-Qualified</w:t>
      </w:r>
      <w:r>
        <w:rPr>
          <w:rFonts w:ascii="Arial" w:cs="Arial" w:eastAsia="Arial" w:hAnsi="Arial"/>
          <w:sz w:val="12"/>
          <w:szCs w:val="12"/>
          <w:color w:val="auto"/>
        </w:rPr>
        <w:t>. The Participant understands that the RSUs are not intended to qualify for the favorable tax and social security regime in France under Sections L. 225-197-1 to L.</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225-197-5 and Sections L. 22-10-59 to L. 22-10-60 of the French Commercial Code, as amended.</w:t>
      </w:r>
    </w:p>
    <w:p>
      <w:pPr>
        <w:spacing w:after="0" w:line="213"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Language Consent</w:t>
      </w:r>
      <w:r>
        <w:rPr>
          <w:rFonts w:ascii="Arial" w:cs="Arial" w:eastAsia="Arial" w:hAnsi="Arial"/>
          <w:sz w:val="14"/>
          <w:szCs w:val="14"/>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87"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176"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i w:val="1"/>
          <w:iCs w:val="1"/>
          <w:u w:val="single" w:color="auto"/>
          <w:color w:val="auto"/>
        </w:rPr>
        <w:t>Consentement a la Langue</w:t>
      </w:r>
      <w:r>
        <w:rPr>
          <w:rFonts w:ascii="Arial" w:cs="Arial" w:eastAsia="Arial" w:hAnsi="Arial"/>
          <w:sz w:val="14"/>
          <w:szCs w:val="14"/>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87"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GERMANY</w:t>
      </w:r>
    </w:p>
    <w:p>
      <w:pPr>
        <w:spacing w:after="0" w:line="229" w:lineRule="exact"/>
        <w:rPr>
          <w:sz w:val="20"/>
          <w:szCs w:val="20"/>
          <w:color w:val="auto"/>
        </w:rPr>
      </w:pPr>
    </w:p>
    <w:p>
      <w:pPr>
        <w:jc w:val="both"/>
        <w:ind w:left="280"/>
        <w:spacing w:after="0" w:line="253"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Arial" w:cs="Arial" w:eastAsia="Arial" w:hAnsi="Arial"/>
          <w:sz w:val="14"/>
          <w:szCs w:val="14"/>
          <w:i w:val="1"/>
          <w:iCs w:val="1"/>
          <w:color w:val="auto"/>
        </w:rPr>
        <w:t>Allgemeine</w:t>
      </w:r>
      <w:r>
        <w:rPr>
          <w:rFonts w:ascii="Arial" w:cs="Arial" w:eastAsia="Arial" w:hAnsi="Arial"/>
          <w:sz w:val="14"/>
          <w:szCs w:val="14"/>
          <w:color w:val="auto"/>
        </w:rPr>
        <w:t xml:space="preserve"> </w:t>
      </w:r>
      <w:r>
        <w:rPr>
          <w:rFonts w:ascii="Arial" w:cs="Arial" w:eastAsia="Arial" w:hAnsi="Arial"/>
          <w:sz w:val="14"/>
          <w:szCs w:val="14"/>
          <w:i w:val="1"/>
          <w:iCs w:val="1"/>
          <w:color w:val="auto"/>
        </w:rPr>
        <w:t>Meldeportal Statistik</w:t>
      </w:r>
      <w:r>
        <w:rPr>
          <w:rFonts w:ascii="Arial" w:cs="Arial" w:eastAsia="Arial" w:hAnsi="Arial"/>
          <w:sz w:val="14"/>
          <w:szCs w:val="14"/>
          <w:color w:val="auto"/>
        </w:rPr>
        <w:t>”) can be accessed via the Bundesbank’s website (www.bundesbank.de) and is available in both German and English. It is Participant’s responsibility to comply with this</w:t>
      </w:r>
      <w:r>
        <w:rPr>
          <w:rFonts w:ascii="Arial" w:cs="Arial" w:eastAsia="Arial" w:hAnsi="Arial"/>
          <w:sz w:val="14"/>
          <w:szCs w:val="14"/>
          <w:i w:val="1"/>
          <w:iCs w:val="1"/>
          <w:color w:val="auto"/>
        </w:rPr>
        <w:t xml:space="preserve"> </w:t>
      </w:r>
      <w:r>
        <w:rPr>
          <w:rFonts w:ascii="Arial" w:cs="Arial" w:eastAsia="Arial" w:hAnsi="Arial"/>
          <w:sz w:val="14"/>
          <w:szCs w:val="14"/>
          <w:color w:val="auto"/>
        </w:rPr>
        <w:t>reporting obligation and the Participant should consult with his or her personal tax advisor in this regard.</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HONG KONG</w:t>
      </w:r>
    </w:p>
    <w:p>
      <w:pPr>
        <w:spacing w:after="0" w:line="229"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Sale of Shares</w:t>
      </w:r>
      <w:r>
        <w:rPr>
          <w:rFonts w:ascii="Arial" w:cs="Arial" w:eastAsia="Arial" w:hAnsi="Arial"/>
          <w:sz w:val="14"/>
          <w:szCs w:val="14"/>
          <w:color w:val="auto"/>
        </w:rPr>
        <w:t>. In the event the RSUs vest within six months of the Date of Grant, the Participant agrees not to sell any Shares acquired upon vesting of the RSUs prior to the six-month anniversary of the Date of Grant.</w:t>
      </w:r>
    </w:p>
    <w:p>
      <w:pPr>
        <w:spacing w:after="0" w:line="141" w:lineRule="exact"/>
        <w:rPr>
          <w:sz w:val="20"/>
          <w:szCs w:val="20"/>
          <w:color w:val="auto"/>
        </w:rPr>
      </w:pPr>
    </w:p>
    <w:p>
      <w:pPr>
        <w:jc w:val="both"/>
        <w:ind w:left="280" w:right="20"/>
        <w:spacing w:after="0" w:line="249" w:lineRule="auto"/>
        <w:rPr>
          <w:sz w:val="20"/>
          <w:szCs w:val="20"/>
          <w:color w:val="auto"/>
        </w:rPr>
      </w:pPr>
      <w:r>
        <w:rPr>
          <w:rFonts w:ascii="Arial" w:cs="Arial" w:eastAsia="Arial" w:hAnsi="Arial"/>
          <w:sz w:val="14"/>
          <w:szCs w:val="14"/>
          <w:u w:val="single" w:color="auto"/>
          <w:color w:val="auto"/>
        </w:rPr>
        <w:t>Securities Law Notice</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WARNING</w:t>
      </w:r>
      <w:r>
        <w:rPr>
          <w:rFonts w:ascii="Arial" w:cs="Arial" w:eastAsia="Arial" w:hAnsi="Arial"/>
          <w:sz w:val="14"/>
          <w:szCs w:val="14"/>
          <w:i w:val="1"/>
          <w:iCs w:val="1"/>
          <w:color w:val="auto"/>
        </w:rPr>
        <w:t>: The contents of this document have not been reviewed by any regulatory authority in Hong Kong. The Participant should exercise caution in relation to</w:t>
      </w:r>
      <w:r>
        <w:rPr>
          <w:rFonts w:ascii="Arial" w:cs="Arial" w:eastAsia="Arial" w:hAnsi="Arial"/>
          <w:sz w:val="14"/>
          <w:szCs w:val="14"/>
          <w:color w:val="auto"/>
        </w:rPr>
        <w:t xml:space="preserve"> </w:t>
      </w:r>
      <w:r>
        <w:rPr>
          <w:rFonts w:ascii="Arial" w:cs="Arial" w:eastAsia="Arial" w:hAnsi="Arial"/>
          <w:sz w:val="14"/>
          <w:szCs w:val="14"/>
          <w:i w:val="1"/>
          <w:iCs w:val="1"/>
          <w:color w:val="auto"/>
        </w:rPr>
        <w:t>the offer. If the Participant is in doubt about any of the contents of this Agreement or the Plan, the Participant should obtain independent professional advice. Neither the grant of the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- 5</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1" w:right="599" w:bottom="1440" w:gutter="0" w:footer="0" w:header="0"/>
        </w:sectPr>
      </w:pPr>
    </w:p>
    <w:bookmarkStart w:id="124" w:name="page125"/>
    <w:bookmarkEnd w:id="124"/>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HUNGARY</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There are no country-specific provisions.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INDIA</w:t>
      </w:r>
    </w:p>
    <w:p>
      <w:pPr>
        <w:spacing w:after="0" w:line="229" w:lineRule="exact"/>
        <w:rPr>
          <w:sz w:val="20"/>
          <w:szCs w:val="20"/>
          <w:color w:val="auto"/>
        </w:rPr>
      </w:pPr>
    </w:p>
    <w:p>
      <w:pPr>
        <w:jc w:val="both"/>
        <w:ind w:left="280" w:right="20"/>
        <w:spacing w:after="0" w:line="253" w:lineRule="auto"/>
        <w:rPr>
          <w:sz w:val="20"/>
          <w:szCs w:val="20"/>
          <w:color w:val="auto"/>
        </w:rPr>
      </w:pPr>
      <w:r>
        <w:rPr>
          <w:rFonts w:ascii="Arial" w:cs="Arial" w:eastAsia="Arial" w:hAnsi="Arial"/>
          <w:sz w:val="14"/>
          <w:szCs w:val="14"/>
          <w:u w:val="single" w:color="auto"/>
          <w:color w:val="auto"/>
        </w:rPr>
        <w:t>Exchange Control Notification</w:t>
      </w:r>
      <w:r>
        <w:rPr>
          <w:rFonts w:ascii="Arial" w:cs="Arial" w:eastAsia="Arial" w:hAnsi="Arial"/>
          <w:sz w:val="14"/>
          <w:szCs w:val="14"/>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98"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u w:val="single" w:color="auto"/>
          <w:color w:val="auto"/>
        </w:rPr>
        <w:t>Foreign Asset / Account Reporting Information</w:t>
      </w:r>
      <w:r>
        <w:rPr>
          <w:rFonts w:ascii="Arial" w:cs="Arial" w:eastAsia="Arial" w:hAnsi="Arial"/>
          <w:sz w:val="14"/>
          <w:szCs w:val="14"/>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IRELAND</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Manner of Payment</w:t>
      </w:r>
      <w:r>
        <w:rPr>
          <w:rFonts w:ascii="Arial" w:cs="Arial" w:eastAsia="Arial" w:hAnsi="Arial"/>
          <w:sz w:val="14"/>
          <w:szCs w:val="14"/>
          <w:color w:val="auto"/>
        </w:rPr>
        <w:t>. This provision replaces Section 7 of the Agreement:</w:t>
      </w:r>
    </w:p>
    <w:p>
      <w:pPr>
        <w:spacing w:after="0" w:line="225"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Notwithstanding any discretion in the Plan or the Agreement to the contrary, upon vesting of the RSUs, Shares will be issued to the Participant. In no event will the Award be paid to the Participant in the form of cash.</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Exclusion from Termination Indemnities and Other Benefits</w:t>
      </w:r>
      <w:r>
        <w:rPr>
          <w:rFonts w:ascii="Arial" w:cs="Arial" w:eastAsia="Arial" w:hAnsi="Arial"/>
          <w:sz w:val="14"/>
          <w:szCs w:val="14"/>
          <w:color w:val="auto"/>
        </w:rPr>
        <w:t>. This provision supplements Section 9(c) of the Agreement:</w:t>
      </w:r>
    </w:p>
    <w:p>
      <w:pPr>
        <w:spacing w:after="0" w:line="143"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By accepting the RSUs, the Participant acknowledges, understands, and agrees that the benefits received under the Plan will not be taken into account for any redundancy or unfair dismissal claim.</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ISRAEL</w:t>
      </w:r>
    </w:p>
    <w:p>
      <w:pPr>
        <w:spacing w:after="0" w:line="229" w:lineRule="exact"/>
        <w:rPr>
          <w:sz w:val="20"/>
          <w:szCs w:val="20"/>
          <w:color w:val="auto"/>
        </w:rPr>
      </w:pPr>
    </w:p>
    <w:p>
      <w:pPr>
        <w:jc w:val="both"/>
        <w:ind w:left="280"/>
        <w:spacing w:after="0" w:line="270" w:lineRule="auto"/>
        <w:rPr>
          <w:sz w:val="20"/>
          <w:szCs w:val="20"/>
          <w:color w:val="auto"/>
        </w:rPr>
      </w:pPr>
      <w:r>
        <w:rPr>
          <w:rFonts w:ascii="Arial" w:cs="Arial" w:eastAsia="Arial" w:hAnsi="Arial"/>
          <w:sz w:val="13"/>
          <w:szCs w:val="13"/>
          <w:u w:val="single" w:color="auto"/>
          <w:color w:val="auto"/>
        </w:rPr>
        <w:t>Sale Requirement</w:t>
      </w:r>
      <w:r>
        <w:rPr>
          <w:rFonts w:ascii="Arial" w:cs="Arial" w:eastAsia="Arial" w:hAnsi="Arial"/>
          <w:sz w:val="13"/>
          <w:szCs w:val="13"/>
          <w:color w:val="auto"/>
        </w:rPr>
        <w:t>. Notwithstanding anything to the contrary in the Agreement, the Participant may be required to immediately sell all Shares issued upon vesting of the RSUs. By accepting this Award of RSUs, the Participant authorizes the Company to instruct its designated broker to assist with the mandatory sale of such Shares (on the Participant’s behalf pursuant to this authorization) and the Participant expressly authorizes the Company’s designated broker to complete the sale of such Shares. The Participant agrees to sign any forms and/or consents required by the Company’s broker to effectuate the sale of the Shares. The Participant acknowledges that the Company’s designated broker is under no obligation to arrange for the sale of the Shares at any particular price. Upon the sale of the Shares, the Company will pay to the Participant the cash proceeds from the sale of the Shares, less any brokerage fees or commissions and subject to any obligation to satisfy any Tax-Related Items. Participant acknowledges that he or she is not aware of any material, non-public information with respect to the Company or any securities of the Company as of the date of this Agreement.</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This offer of RSUs does not constitute a public offering under the Securities Law, 1968.</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ITALY</w:t>
      </w:r>
    </w:p>
    <w:p>
      <w:pPr>
        <w:spacing w:after="0" w:line="217"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Plan Document Acknowledgment</w:t>
      </w:r>
      <w:r>
        <w:rPr>
          <w:rFonts w:ascii="Arial" w:cs="Arial" w:eastAsia="Arial" w:hAnsi="Arial"/>
          <w:sz w:val="14"/>
          <w:szCs w:val="14"/>
          <w:color w:val="auto"/>
        </w:rPr>
        <w:t>. In accepting the RSU, the Participant acknowledges that a copy of the Plan was made available to the Participant, and that the Participant has reviewed the Plan and the Agreement, including Appendix A, in their entirety and fully understand and accept all provisions of the Plan, the Agreement and Appendix A.</w:t>
      </w:r>
    </w:p>
    <w:p>
      <w:pPr>
        <w:spacing w:after="0" w:line="152"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color w:val="auto"/>
        </w:rPr>
        <w:t>The Participant further acknowledges that he or she has read and specifically and expressly approves the following provision in the Agreement: Vesting and Conversion, Withholding Taxes, and Miscellaneous.</w:t>
      </w:r>
    </w:p>
    <w:p>
      <w:pPr>
        <w:spacing w:after="0" w:line="187"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Foreign Asset Tax</w:t>
      </w:r>
      <w:r>
        <w:rPr>
          <w:rFonts w:ascii="Arial" w:cs="Arial" w:eastAsia="Arial" w:hAnsi="Arial"/>
          <w:sz w:val="14"/>
          <w:szCs w:val="14"/>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1" w:right="599" w:bottom="1440" w:gutter="0" w:footer="0" w:header="0"/>
        </w:sectPr>
      </w:pPr>
    </w:p>
    <w:bookmarkStart w:id="125" w:name="page126"/>
    <w:bookmarkEnd w:id="125"/>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color w:val="auto"/>
        </w:rPr>
        <w:t>year. The value of financial assets held abroad must be reported in Form RM of the annual return. The Participant should consult his or her personal tax advisor for additional information on the foreign asset tax.</w:t>
      </w:r>
    </w:p>
    <w:p>
      <w:pPr>
        <w:spacing w:after="0" w:line="187" w:lineRule="exact"/>
        <w:rPr>
          <w:sz w:val="20"/>
          <w:szCs w:val="20"/>
          <w:color w:val="auto"/>
        </w:rPr>
      </w:pPr>
    </w:p>
    <w:p>
      <w:pPr>
        <w:jc w:val="both"/>
        <w:ind w:left="280"/>
        <w:spacing w:after="0" w:line="286" w:lineRule="auto"/>
        <w:rPr>
          <w:sz w:val="20"/>
          <w:szCs w:val="20"/>
          <w:color w:val="auto"/>
        </w:rPr>
      </w:pPr>
      <w:r>
        <w:rPr>
          <w:rFonts w:ascii="Arial" w:cs="Arial" w:eastAsia="Arial" w:hAnsi="Arial"/>
          <w:sz w:val="13"/>
          <w:szCs w:val="13"/>
          <w:u w:val="single" w:color="auto"/>
          <w:color w:val="auto"/>
        </w:rPr>
        <w:t>Foreign Asset / Account Reporting Information</w:t>
      </w:r>
      <w:r>
        <w:rPr>
          <w:rFonts w:ascii="Arial" w:cs="Arial" w:eastAsia="Arial" w:hAnsi="Arial"/>
          <w:sz w:val="13"/>
          <w:szCs w:val="13"/>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JAPAN</w:t>
      </w:r>
    </w:p>
    <w:p>
      <w:pPr>
        <w:spacing w:after="0" w:line="229"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4"/>
          <w:szCs w:val="14"/>
          <w:u w:val="single" w:color="auto"/>
          <w:color w:val="auto"/>
        </w:rPr>
        <w:t>Foreign Asset / Account Reporting Information</w:t>
      </w:r>
      <w:r>
        <w:rPr>
          <w:rFonts w:ascii="Arial" w:cs="Arial" w:eastAsia="Arial" w:hAnsi="Arial"/>
          <w:sz w:val="14"/>
          <w:szCs w:val="14"/>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KOREA</w:t>
      </w:r>
    </w:p>
    <w:p>
      <w:pPr>
        <w:spacing w:after="0" w:line="229"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u w:val="single" w:color="auto"/>
          <w:color w:val="auto"/>
        </w:rPr>
        <w:t>Foreign Asset / Account Reporting Information</w:t>
      </w:r>
      <w:r>
        <w:rPr>
          <w:rFonts w:ascii="Arial" w:cs="Arial" w:eastAsia="Arial" w:hAnsi="Arial"/>
          <w:sz w:val="14"/>
          <w:szCs w:val="14"/>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MALAYSIA</w:t>
      </w:r>
    </w:p>
    <w:p>
      <w:pPr>
        <w:spacing w:after="0" w:line="217" w:lineRule="exact"/>
        <w:rPr>
          <w:sz w:val="20"/>
          <w:szCs w:val="20"/>
          <w:color w:val="auto"/>
        </w:rPr>
      </w:pPr>
    </w:p>
    <w:p>
      <w:pPr>
        <w:jc w:val="both"/>
        <w:ind w:left="280"/>
        <w:spacing w:after="0" w:line="250" w:lineRule="auto"/>
        <w:rPr>
          <w:sz w:val="20"/>
          <w:szCs w:val="20"/>
          <w:color w:val="auto"/>
        </w:rPr>
      </w:pPr>
      <w:r>
        <w:rPr>
          <w:rFonts w:ascii="Arial" w:cs="Arial" w:eastAsia="Arial" w:hAnsi="Arial"/>
          <w:sz w:val="14"/>
          <w:szCs w:val="14"/>
          <w:u w:val="single" w:color="auto"/>
          <w:color w:val="auto"/>
        </w:rPr>
        <w:t>Director Notification</w:t>
      </w:r>
      <w:r>
        <w:rPr>
          <w:rFonts w:ascii="Arial" w:cs="Arial" w:eastAsia="Arial" w:hAnsi="Arial"/>
          <w:sz w:val="14"/>
          <w:szCs w:val="14"/>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- 7</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0" w:right="599" w:bottom="1440" w:gutter="0" w:footer="0" w:header="0"/>
        </w:sectPr>
      </w:pPr>
    </w:p>
    <w:bookmarkStart w:id="126" w:name="page127"/>
    <w:bookmarkEnd w:id="126"/>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ind w:left="3920"/>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80"/>
        <w:spacing w:after="0"/>
        <w:rPr>
          <w:sz w:val="20"/>
          <w:szCs w:val="20"/>
          <w:color w:val="auto"/>
        </w:rPr>
      </w:pPr>
      <w:r>
        <w:rPr>
          <w:rFonts w:ascii="Arial" w:cs="Arial" w:eastAsia="Arial" w:hAnsi="Arial"/>
          <w:sz w:val="12"/>
          <w:szCs w:val="12"/>
          <w:u w:val="single" w:color="auto"/>
          <w:color w:val="auto"/>
        </w:rPr>
        <w:t>Data Privacy</w:t>
      </w:r>
      <w:r>
        <w:rPr>
          <w:rFonts w:ascii="Arial" w:cs="Arial" w:eastAsia="Arial" w:hAnsi="Arial"/>
          <w:sz w:val="12"/>
          <w:szCs w:val="12"/>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95885</wp:posOffset>
            </wp:positionV>
            <wp:extent cx="6616065"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6616065" cy="14605"/>
                    </a:xfrm>
                    <a:prstGeom prst="rect">
                      <a:avLst/>
                    </a:prstGeom>
                    <a:noFill/>
                  </pic:spPr>
                </pic:pic>
              </a:graphicData>
            </a:graphic>
          </wp:anchor>
        </w:drawing>
      </w:r>
    </w:p>
    <w:p>
      <w:pPr>
        <w:sectPr>
          <w:pgSz w:w="11900" w:h="16838" w:orient="portrait"/>
          <w:cols w:equalWidth="0" w:num="1">
            <w:col w:w="10680"/>
          </w:cols>
          <w:pgMar w:left="320" w:top="911" w:right="899" w:bottom="1440" w:gutter="0" w:footer="0" w:header="0"/>
        </w:sectPr>
      </w:pPr>
    </w:p>
    <w:p>
      <w:pPr>
        <w:spacing w:after="0" w:line="178" w:lineRule="exact"/>
        <w:rPr>
          <w:sz w:val="20"/>
          <w:szCs w:val="20"/>
          <w:color w:val="auto"/>
        </w:rPr>
      </w:pPr>
    </w:p>
    <w:p>
      <w:pPr>
        <w:jc w:val="both"/>
        <w:ind w:left="360"/>
        <w:spacing w:after="0" w:line="302" w:lineRule="auto"/>
        <w:rPr>
          <w:sz w:val="20"/>
          <w:szCs w:val="20"/>
          <w:color w:val="auto"/>
        </w:rPr>
      </w:pPr>
      <w:r>
        <w:rPr>
          <w:rFonts w:ascii="Arial" w:cs="Arial" w:eastAsia="Arial" w:hAnsi="Arial"/>
          <w:sz w:val="12"/>
          <w:szCs w:val="12"/>
          <w:b w:val="1"/>
          <w:bCs w:val="1"/>
          <w:i w:val="1"/>
          <w:iCs w:val="1"/>
          <w:color w:val="auto"/>
        </w:rPr>
        <w:t>The Participant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Participant’s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-545465</wp:posOffset>
            </wp:positionV>
            <wp:extent cx="762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-530225</wp:posOffset>
            </wp:positionV>
            <wp:extent cx="762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-515620</wp:posOffset>
            </wp:positionV>
            <wp:extent cx="762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-501015</wp:posOffset>
            </wp:positionV>
            <wp:extent cx="762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-485775</wp:posOffset>
            </wp:positionV>
            <wp:extent cx="762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-471170</wp:posOffset>
            </wp:positionV>
            <wp:extent cx="762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-455930</wp:posOffset>
            </wp:positionV>
            <wp:extent cx="762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-441325</wp:posOffset>
            </wp:positionV>
            <wp:extent cx="762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-426720</wp:posOffset>
            </wp:positionV>
            <wp:extent cx="762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-411480</wp:posOffset>
            </wp:positionV>
            <wp:extent cx="762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-396875</wp:posOffset>
            </wp:positionV>
            <wp:extent cx="762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-382270</wp:posOffset>
            </wp:positionV>
            <wp:extent cx="762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-367030</wp:posOffset>
            </wp:positionV>
            <wp:extent cx="762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-352425</wp:posOffset>
            </wp:positionV>
            <wp:extent cx="762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-337185</wp:posOffset>
            </wp:positionV>
            <wp:extent cx="762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-322580</wp:posOffset>
            </wp:positionV>
            <wp:extent cx="762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-307975</wp:posOffset>
            </wp:positionV>
            <wp:extent cx="762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-292735</wp:posOffset>
            </wp:positionV>
            <wp:extent cx="762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-278130</wp:posOffset>
            </wp:positionV>
            <wp:extent cx="762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-262890</wp:posOffset>
            </wp:positionV>
            <wp:extent cx="762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-248285</wp:posOffset>
            </wp:positionV>
            <wp:extent cx="762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-233680</wp:posOffset>
            </wp:positionV>
            <wp:extent cx="762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-218440</wp:posOffset>
            </wp:positionV>
            <wp:extent cx="762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-203835</wp:posOffset>
            </wp:positionV>
            <wp:extent cx="762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-189230</wp:posOffset>
            </wp:positionV>
            <wp:extent cx="762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-173990</wp:posOffset>
            </wp:positionV>
            <wp:extent cx="762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-159385</wp:posOffset>
            </wp:positionV>
            <wp:extent cx="762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-144145</wp:posOffset>
            </wp:positionV>
            <wp:extent cx="762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-129540</wp:posOffset>
            </wp:positionV>
            <wp:extent cx="762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-114935</wp:posOffset>
            </wp:positionV>
            <wp:extent cx="762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-99695</wp:posOffset>
            </wp:positionV>
            <wp:extent cx="762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-85090</wp:posOffset>
            </wp:positionV>
            <wp:extent cx="762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-69850</wp:posOffset>
            </wp:positionV>
            <wp:extent cx="762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-55245</wp:posOffset>
            </wp:positionV>
            <wp:extent cx="762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-40640</wp:posOffset>
            </wp:positionV>
            <wp:extent cx="762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-25400</wp:posOffset>
            </wp:positionV>
            <wp:extent cx="762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-10795</wp:posOffset>
            </wp:positionV>
            <wp:extent cx="762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3810</wp:posOffset>
            </wp:positionV>
            <wp:extent cx="762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18415</wp:posOffset>
            </wp:positionV>
            <wp:extent cx="762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33020</wp:posOffset>
            </wp:positionV>
            <wp:extent cx="762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48260</wp:posOffset>
            </wp:positionV>
            <wp:extent cx="762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62865</wp:posOffset>
            </wp:positionV>
            <wp:extent cx="762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77470</wp:posOffset>
            </wp:positionV>
            <wp:extent cx="762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92710</wp:posOffset>
            </wp:positionV>
            <wp:extent cx="762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-545465</wp:posOffset>
            </wp:positionV>
            <wp:extent cx="762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-530225</wp:posOffset>
            </wp:positionV>
            <wp:extent cx="762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-515620</wp:posOffset>
            </wp:positionV>
            <wp:extent cx="762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-501015</wp:posOffset>
            </wp:positionV>
            <wp:extent cx="762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-485775</wp:posOffset>
            </wp:positionV>
            <wp:extent cx="762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-471170</wp:posOffset>
            </wp:positionV>
            <wp:extent cx="762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-455930</wp:posOffset>
            </wp:positionV>
            <wp:extent cx="762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-441325</wp:posOffset>
            </wp:positionV>
            <wp:extent cx="762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-426720</wp:posOffset>
            </wp:positionV>
            <wp:extent cx="762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-411480</wp:posOffset>
            </wp:positionV>
            <wp:extent cx="762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-396875</wp:posOffset>
            </wp:positionV>
            <wp:extent cx="762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-382270</wp:posOffset>
            </wp:positionV>
            <wp:extent cx="762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-367030</wp:posOffset>
            </wp:positionV>
            <wp:extent cx="762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-352425</wp:posOffset>
            </wp:positionV>
            <wp:extent cx="762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-337185</wp:posOffset>
            </wp:positionV>
            <wp:extent cx="762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-322580</wp:posOffset>
            </wp:positionV>
            <wp:extent cx="762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-307975</wp:posOffset>
            </wp:positionV>
            <wp:extent cx="762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-292735</wp:posOffset>
            </wp:positionV>
            <wp:extent cx="762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-278130</wp:posOffset>
            </wp:positionV>
            <wp:extent cx="762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-262890</wp:posOffset>
            </wp:positionV>
            <wp:extent cx="762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-248285</wp:posOffset>
            </wp:positionV>
            <wp:extent cx="762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-233680</wp:posOffset>
            </wp:positionV>
            <wp:extent cx="762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-218440</wp:posOffset>
            </wp:positionV>
            <wp:extent cx="762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-203835</wp:posOffset>
            </wp:positionV>
            <wp:extent cx="762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-189230</wp:posOffset>
            </wp:positionV>
            <wp:extent cx="762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-173990</wp:posOffset>
            </wp:positionV>
            <wp:extent cx="762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-159385</wp:posOffset>
            </wp:positionV>
            <wp:extent cx="762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-144145</wp:posOffset>
            </wp:positionV>
            <wp:extent cx="762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-129540</wp:posOffset>
            </wp:positionV>
            <wp:extent cx="762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-114935</wp:posOffset>
            </wp:positionV>
            <wp:extent cx="762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-99695</wp:posOffset>
            </wp:positionV>
            <wp:extent cx="762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-85090</wp:posOffset>
            </wp:positionV>
            <wp:extent cx="762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-69850</wp:posOffset>
            </wp:positionV>
            <wp:extent cx="762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-55245</wp:posOffset>
            </wp:positionV>
            <wp:extent cx="762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-40640</wp:posOffset>
            </wp:positionV>
            <wp:extent cx="762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-25400</wp:posOffset>
            </wp:positionV>
            <wp:extent cx="762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-10795</wp:posOffset>
            </wp:positionV>
            <wp:extent cx="762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3810</wp:posOffset>
            </wp:positionV>
            <wp:extent cx="762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18415</wp:posOffset>
            </wp:positionV>
            <wp:extent cx="762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33020</wp:posOffset>
            </wp:positionV>
            <wp:extent cx="762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48260</wp:posOffset>
            </wp:positionV>
            <wp:extent cx="762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62865</wp:posOffset>
            </wp:positionV>
            <wp:extent cx="762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77470</wp:posOffset>
            </wp:positionV>
            <wp:extent cx="762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92710</wp:posOffset>
            </wp:positionV>
            <wp:extent cx="762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8">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right="40"/>
        <w:spacing w:after="0" w:line="249" w:lineRule="auto"/>
        <w:rPr>
          <w:sz w:val="20"/>
          <w:szCs w:val="20"/>
          <w:color w:val="auto"/>
        </w:rPr>
      </w:pPr>
      <w:r>
        <w:rPr>
          <w:rFonts w:ascii="Arial" w:cs="Arial" w:eastAsia="Arial" w:hAnsi="Arial"/>
          <w:sz w:val="14"/>
          <w:szCs w:val="14"/>
          <w:b w:val="1"/>
          <w:bCs w:val="1"/>
          <w:i w:val="1"/>
          <w:iCs w:val="1"/>
          <w:color w:val="auto"/>
        </w:rPr>
        <w:t>Peserta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Peserta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-630555</wp:posOffset>
            </wp:positionV>
            <wp:extent cx="762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-615315</wp:posOffset>
            </wp:positionV>
            <wp:extent cx="762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-600710</wp:posOffset>
            </wp:positionV>
            <wp:extent cx="762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-586105</wp:posOffset>
            </wp:positionV>
            <wp:extent cx="762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-570865</wp:posOffset>
            </wp:positionV>
            <wp:extent cx="762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-556260</wp:posOffset>
            </wp:positionV>
            <wp:extent cx="762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-541020</wp:posOffset>
            </wp:positionV>
            <wp:extent cx="762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-526415</wp:posOffset>
            </wp:positionV>
            <wp:extent cx="762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-511810</wp:posOffset>
            </wp:positionV>
            <wp:extent cx="762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-496570</wp:posOffset>
            </wp:positionV>
            <wp:extent cx="762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-481965</wp:posOffset>
            </wp:positionV>
            <wp:extent cx="762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-467360</wp:posOffset>
            </wp:positionV>
            <wp:extent cx="762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-452120</wp:posOffset>
            </wp:positionV>
            <wp:extent cx="762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-437515</wp:posOffset>
            </wp:positionV>
            <wp:extent cx="762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-422275</wp:posOffset>
            </wp:positionV>
            <wp:extent cx="762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-407670</wp:posOffset>
            </wp:positionV>
            <wp:extent cx="762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-393065</wp:posOffset>
            </wp:positionV>
            <wp:extent cx="762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-377825</wp:posOffset>
            </wp:positionV>
            <wp:extent cx="762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-363220</wp:posOffset>
            </wp:positionV>
            <wp:extent cx="762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-347980</wp:posOffset>
            </wp:positionV>
            <wp:extent cx="762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-333375</wp:posOffset>
            </wp:positionV>
            <wp:extent cx="762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-318770</wp:posOffset>
            </wp:positionV>
            <wp:extent cx="762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-303530</wp:posOffset>
            </wp:positionV>
            <wp:extent cx="762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-288925</wp:posOffset>
            </wp:positionV>
            <wp:extent cx="762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-273685</wp:posOffset>
            </wp:positionV>
            <wp:extent cx="762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-259080</wp:posOffset>
            </wp:positionV>
            <wp:extent cx="762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-244475</wp:posOffset>
            </wp:positionV>
            <wp:extent cx="762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-229235</wp:posOffset>
            </wp:positionV>
            <wp:extent cx="762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-214630</wp:posOffset>
            </wp:positionV>
            <wp:extent cx="762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-200025</wp:posOffset>
            </wp:positionV>
            <wp:extent cx="762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-184785</wp:posOffset>
            </wp:positionV>
            <wp:extent cx="762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-170180</wp:posOffset>
            </wp:positionV>
            <wp:extent cx="762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-154940</wp:posOffset>
            </wp:positionV>
            <wp:extent cx="762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-140335</wp:posOffset>
            </wp:positionV>
            <wp:extent cx="762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-125730</wp:posOffset>
            </wp:positionV>
            <wp:extent cx="762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-110490</wp:posOffset>
            </wp:positionV>
            <wp:extent cx="762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-95885</wp:posOffset>
            </wp:positionV>
            <wp:extent cx="762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-80645</wp:posOffset>
            </wp:positionV>
            <wp:extent cx="762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-66040</wp:posOffset>
            </wp:positionV>
            <wp:extent cx="762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-51435</wp:posOffset>
            </wp:positionV>
            <wp:extent cx="762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-36195</wp:posOffset>
            </wp:positionV>
            <wp:extent cx="762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-21590</wp:posOffset>
            </wp:positionV>
            <wp:extent cx="762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-6985</wp:posOffset>
            </wp:positionV>
            <wp:extent cx="762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7620</wp:posOffset>
            </wp:positionV>
            <wp:extent cx="762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2">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4980" w:space="120"/>
            <w:col w:w="5580"/>
          </w:cols>
          <w:pgMar w:left="320" w:top="911" w:right="899" w:bottom="1440" w:gutter="0" w:footer="0" w:header="0"/>
          <w:type w:val="continuous"/>
        </w:sectPr>
      </w:pPr>
    </w:p>
    <w:p>
      <w:pPr>
        <w:ind w:left="320"/>
        <w:spacing w:after="0"/>
        <w:rPr>
          <w:sz w:val="20"/>
          <w:szCs w:val="20"/>
          <w:color w:val="auto"/>
        </w:rPr>
      </w:pPr>
      <w:r>
        <w:rPr>
          <w:rFonts w:ascii="Arial" w:cs="Arial" w:eastAsia="Arial" w:hAnsi="Arial"/>
          <w:sz w:val="14"/>
          <w:szCs w:val="14"/>
          <w:b w:val="1"/>
          <w:bCs w:val="1"/>
          <w:i w:val="1"/>
          <w:iCs w:val="1"/>
          <w:color w:val="auto"/>
        </w:rPr>
        <w:t>The Participant understands that the Company and the Employer may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-90805</wp:posOffset>
            </wp:positionV>
            <wp:extent cx="762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-76200</wp:posOffset>
            </wp:positionV>
            <wp:extent cx="762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-60960</wp:posOffset>
            </wp:positionV>
            <wp:extent cx="762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-46355</wp:posOffset>
            </wp:positionV>
            <wp:extent cx="762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-31115</wp:posOffset>
            </wp:positionV>
            <wp:extent cx="762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-16510</wp:posOffset>
            </wp:positionV>
            <wp:extent cx="762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-1905</wp:posOffset>
            </wp:positionV>
            <wp:extent cx="762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-90805</wp:posOffset>
            </wp:positionV>
            <wp:extent cx="762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-76200</wp:posOffset>
            </wp:positionV>
            <wp:extent cx="762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-60960</wp:posOffset>
            </wp:positionV>
            <wp:extent cx="762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-46355</wp:posOffset>
            </wp:positionV>
            <wp:extent cx="762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-31115</wp:posOffset>
            </wp:positionV>
            <wp:extent cx="762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-16510</wp:posOffset>
            </wp:positionV>
            <wp:extent cx="762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-1905</wp:posOffset>
            </wp:positionV>
            <wp:extent cx="762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-90805</wp:posOffset>
            </wp:positionV>
            <wp:extent cx="762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-76200</wp:posOffset>
            </wp:positionV>
            <wp:extent cx="762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-60960</wp:posOffset>
            </wp:positionV>
            <wp:extent cx="762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-46355</wp:posOffset>
            </wp:positionV>
            <wp:extent cx="762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-31115</wp:posOffset>
            </wp:positionV>
            <wp:extent cx="762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-16510</wp:posOffset>
            </wp:positionV>
            <wp:extent cx="762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-1905</wp:posOffset>
            </wp:positionV>
            <wp:extent cx="762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3">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jc w:val="both"/>
        <w:ind w:left="320"/>
        <w:spacing w:after="0" w:line="284" w:lineRule="auto"/>
        <w:rPr>
          <w:sz w:val="20"/>
          <w:szCs w:val="20"/>
          <w:color w:val="auto"/>
        </w:rPr>
      </w:pPr>
      <w:r>
        <w:rPr>
          <w:rFonts w:ascii="Arial" w:cs="Arial" w:eastAsia="Arial" w:hAnsi="Arial"/>
          <w:sz w:val="12"/>
          <w:szCs w:val="12"/>
          <w:b w:val="1"/>
          <w:bCs w:val="1"/>
          <w:i w:val="1"/>
          <w:iCs w:val="1"/>
          <w:color w:val="auto"/>
        </w:rPr>
        <w:t>certain personal information about the Participant, including, but not limited to, Peserta memahami bahawa Syarikat dan Majikan mungkin memegang maklumat peribadi his or her name, home address and telephone number, date of birth, social tertentu tentang Peserta, termasuk, tetapi tidak terhad kepada, namanya, alamat rumah dan insurance number or other identification number, salary, nationality, job title, nombor telefon, tarikh lahir, nombor insurans sosial atau nombor pengenalan lain, gaji, any shares of stock or directorships held in the Company, details of all RSUs or kewarganegaraan, jawatan, apa-apa syer dalam saham atau jawatan pengarah yang dipegang any other entitlement to shares of stock awarded, canceled, exercised, vested, dalam Syarikat, butir-butir semua RSUs atau apa-apa hak lain untuk syer dalam saham yang unvested or outstanding in the Participant’s favor, for the purpose of dianugerahkan, dibatalkan, dilaksanakan, terletak hak, tidak diletak hak ataupun yang belum implementing, administering and managing the Plan (“Data”). The source of the dijelaskan bagi faedah Peserta, untuk tujuan eksklusif bagi melaksanakan, mentadbir dan Data is the Employer as well as information the Participant is providing to the menguruskan Pelan (“Data”). Sumber Data adalah daripada Majikan dan juga daripada Company and the Employer in connection with the RSUs. The Participant maklumat yang dibekalkan oleh Peserta kepada Syarikat dan Majikan berkenaan dengan RSUs. understands that Data may be transferred to Fidelity or any other third parties as Penerima Anugerah juga memahami bahawa Data mungkin dipindahkan kepada Fidelity atau may be selected by the Company in the future, which are assisting in the mana-mana pihak ketiga yang mungkin dipilih oleh Syarikat pada masa depan, yang membantu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-1127125</wp:posOffset>
            </wp:positionV>
            <wp:extent cx="762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-1112520</wp:posOffset>
            </wp:positionV>
            <wp:extent cx="762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-1097915</wp:posOffset>
            </wp:positionV>
            <wp:extent cx="762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-1082675</wp:posOffset>
            </wp:positionV>
            <wp:extent cx="762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-1068070</wp:posOffset>
            </wp:positionV>
            <wp:extent cx="762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-1052830</wp:posOffset>
            </wp:positionV>
            <wp:extent cx="762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-1038225</wp:posOffset>
            </wp:positionV>
            <wp:extent cx="762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-1023620</wp:posOffset>
            </wp:positionV>
            <wp:extent cx="762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-1008380</wp:posOffset>
            </wp:positionV>
            <wp:extent cx="762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-993775</wp:posOffset>
            </wp:positionV>
            <wp:extent cx="762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-979170</wp:posOffset>
            </wp:positionV>
            <wp:extent cx="762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-963930</wp:posOffset>
            </wp:positionV>
            <wp:extent cx="762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-949325</wp:posOffset>
            </wp:positionV>
            <wp:extent cx="762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-934085</wp:posOffset>
            </wp:positionV>
            <wp:extent cx="762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-919480</wp:posOffset>
            </wp:positionV>
            <wp:extent cx="762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-904875</wp:posOffset>
            </wp:positionV>
            <wp:extent cx="762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-889635</wp:posOffset>
            </wp:positionV>
            <wp:extent cx="762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-875030</wp:posOffset>
            </wp:positionV>
            <wp:extent cx="762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-859790</wp:posOffset>
            </wp:positionV>
            <wp:extent cx="762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-845185</wp:posOffset>
            </wp:positionV>
            <wp:extent cx="762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-830580</wp:posOffset>
            </wp:positionV>
            <wp:extent cx="762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-815340</wp:posOffset>
            </wp:positionV>
            <wp:extent cx="762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-800735</wp:posOffset>
            </wp:positionV>
            <wp:extent cx="762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-785495</wp:posOffset>
            </wp:positionV>
            <wp:extent cx="762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-770890</wp:posOffset>
            </wp:positionV>
            <wp:extent cx="762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-756285</wp:posOffset>
            </wp:positionV>
            <wp:extent cx="762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-741045</wp:posOffset>
            </wp:positionV>
            <wp:extent cx="762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-726440</wp:posOffset>
            </wp:positionV>
            <wp:extent cx="762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-711835</wp:posOffset>
            </wp:positionV>
            <wp:extent cx="762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-696595</wp:posOffset>
            </wp:positionV>
            <wp:extent cx="762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-681990</wp:posOffset>
            </wp:positionV>
            <wp:extent cx="762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-666750</wp:posOffset>
            </wp:positionV>
            <wp:extent cx="762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-652145</wp:posOffset>
            </wp:positionV>
            <wp:extent cx="762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-637540</wp:posOffset>
            </wp:positionV>
            <wp:extent cx="762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-622300</wp:posOffset>
            </wp:positionV>
            <wp:extent cx="762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-607695</wp:posOffset>
            </wp:positionV>
            <wp:extent cx="762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-592455</wp:posOffset>
            </wp:positionV>
            <wp:extent cx="762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-577850</wp:posOffset>
            </wp:positionV>
            <wp:extent cx="762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-563245</wp:posOffset>
            </wp:positionV>
            <wp:extent cx="762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-548005</wp:posOffset>
            </wp:positionV>
            <wp:extent cx="762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-533400</wp:posOffset>
            </wp:positionV>
            <wp:extent cx="762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-518795</wp:posOffset>
            </wp:positionV>
            <wp:extent cx="762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-503555</wp:posOffset>
            </wp:positionV>
            <wp:extent cx="762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-488950</wp:posOffset>
            </wp:positionV>
            <wp:extent cx="762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-473710</wp:posOffset>
            </wp:positionV>
            <wp:extent cx="762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-459105</wp:posOffset>
            </wp:positionV>
            <wp:extent cx="762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-444500</wp:posOffset>
            </wp:positionV>
            <wp:extent cx="762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-429260</wp:posOffset>
            </wp:positionV>
            <wp:extent cx="762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-414655</wp:posOffset>
            </wp:positionV>
            <wp:extent cx="762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-399415</wp:posOffset>
            </wp:positionV>
            <wp:extent cx="762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-384810</wp:posOffset>
            </wp:positionV>
            <wp:extent cx="762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-370205</wp:posOffset>
            </wp:positionV>
            <wp:extent cx="762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-354965</wp:posOffset>
            </wp:positionV>
            <wp:extent cx="762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-340360</wp:posOffset>
            </wp:positionV>
            <wp:extent cx="762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-325120</wp:posOffset>
            </wp:positionV>
            <wp:extent cx="762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-310515</wp:posOffset>
            </wp:positionV>
            <wp:extent cx="762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-295910</wp:posOffset>
            </wp:positionV>
            <wp:extent cx="762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-280670</wp:posOffset>
            </wp:positionV>
            <wp:extent cx="762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-266065</wp:posOffset>
            </wp:positionV>
            <wp:extent cx="762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-251460</wp:posOffset>
            </wp:positionV>
            <wp:extent cx="762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-236220</wp:posOffset>
            </wp:positionV>
            <wp:extent cx="762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-221615</wp:posOffset>
            </wp:positionV>
            <wp:extent cx="762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-206375</wp:posOffset>
            </wp:positionV>
            <wp:extent cx="762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-191770</wp:posOffset>
            </wp:positionV>
            <wp:extent cx="762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-177165</wp:posOffset>
            </wp:positionV>
            <wp:extent cx="762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-161925</wp:posOffset>
            </wp:positionV>
            <wp:extent cx="762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-147320</wp:posOffset>
            </wp:positionV>
            <wp:extent cx="762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-132080</wp:posOffset>
            </wp:positionV>
            <wp:extent cx="762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-117475</wp:posOffset>
            </wp:positionV>
            <wp:extent cx="762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-102870</wp:posOffset>
            </wp:positionV>
            <wp:extent cx="762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-87630</wp:posOffset>
            </wp:positionV>
            <wp:extent cx="762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-73025</wp:posOffset>
            </wp:positionV>
            <wp:extent cx="762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-58420</wp:posOffset>
            </wp:positionV>
            <wp:extent cx="762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-43180</wp:posOffset>
            </wp:positionV>
            <wp:extent cx="762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-28575</wp:posOffset>
            </wp:positionV>
            <wp:extent cx="762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-13335</wp:posOffset>
            </wp:positionV>
            <wp:extent cx="762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635</wp:posOffset>
            </wp:positionV>
            <wp:extent cx="762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-1127125</wp:posOffset>
            </wp:positionV>
            <wp:extent cx="762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-1112520</wp:posOffset>
            </wp:positionV>
            <wp:extent cx="762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-1097915</wp:posOffset>
            </wp:positionV>
            <wp:extent cx="762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-1082675</wp:posOffset>
            </wp:positionV>
            <wp:extent cx="762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-1068070</wp:posOffset>
            </wp:positionV>
            <wp:extent cx="762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-1052830</wp:posOffset>
            </wp:positionV>
            <wp:extent cx="762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-1038225</wp:posOffset>
            </wp:positionV>
            <wp:extent cx="762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-1023620</wp:posOffset>
            </wp:positionV>
            <wp:extent cx="762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-1008380</wp:posOffset>
            </wp:positionV>
            <wp:extent cx="762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-993775</wp:posOffset>
            </wp:positionV>
            <wp:extent cx="762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-979170</wp:posOffset>
            </wp:positionV>
            <wp:extent cx="762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-963930</wp:posOffset>
            </wp:positionV>
            <wp:extent cx="762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-949325</wp:posOffset>
            </wp:positionV>
            <wp:extent cx="762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-934085</wp:posOffset>
            </wp:positionV>
            <wp:extent cx="762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-919480</wp:posOffset>
            </wp:positionV>
            <wp:extent cx="762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-904875</wp:posOffset>
            </wp:positionV>
            <wp:extent cx="762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-889635</wp:posOffset>
            </wp:positionV>
            <wp:extent cx="762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-875030</wp:posOffset>
            </wp:positionV>
            <wp:extent cx="762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-859790</wp:posOffset>
            </wp:positionV>
            <wp:extent cx="762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-845185</wp:posOffset>
            </wp:positionV>
            <wp:extent cx="762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-830580</wp:posOffset>
            </wp:positionV>
            <wp:extent cx="762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-815340</wp:posOffset>
            </wp:positionV>
            <wp:extent cx="762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-800735</wp:posOffset>
            </wp:positionV>
            <wp:extent cx="762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-785495</wp:posOffset>
            </wp:positionV>
            <wp:extent cx="762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-770890</wp:posOffset>
            </wp:positionV>
            <wp:extent cx="762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-756285</wp:posOffset>
            </wp:positionV>
            <wp:extent cx="762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-741045</wp:posOffset>
            </wp:positionV>
            <wp:extent cx="762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-726440</wp:posOffset>
            </wp:positionV>
            <wp:extent cx="762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-711835</wp:posOffset>
            </wp:positionV>
            <wp:extent cx="762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-696595</wp:posOffset>
            </wp:positionV>
            <wp:extent cx="762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-681990</wp:posOffset>
            </wp:positionV>
            <wp:extent cx="762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-666750</wp:posOffset>
            </wp:positionV>
            <wp:extent cx="762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-652145</wp:posOffset>
            </wp:positionV>
            <wp:extent cx="762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-637540</wp:posOffset>
            </wp:positionV>
            <wp:extent cx="762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-622300</wp:posOffset>
            </wp:positionV>
            <wp:extent cx="762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-607695</wp:posOffset>
            </wp:positionV>
            <wp:extent cx="762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-592455</wp:posOffset>
            </wp:positionV>
            <wp:extent cx="762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-577850</wp:posOffset>
            </wp:positionV>
            <wp:extent cx="762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-563245</wp:posOffset>
            </wp:positionV>
            <wp:extent cx="762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-548005</wp:posOffset>
            </wp:positionV>
            <wp:extent cx="762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-533400</wp:posOffset>
            </wp:positionV>
            <wp:extent cx="762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-518795</wp:posOffset>
            </wp:positionV>
            <wp:extent cx="762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-503555</wp:posOffset>
            </wp:positionV>
            <wp:extent cx="762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-488950</wp:posOffset>
            </wp:positionV>
            <wp:extent cx="762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-473710</wp:posOffset>
            </wp:positionV>
            <wp:extent cx="762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-459105</wp:posOffset>
            </wp:positionV>
            <wp:extent cx="762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-444500</wp:posOffset>
            </wp:positionV>
            <wp:extent cx="762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-429260</wp:posOffset>
            </wp:positionV>
            <wp:extent cx="762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-414655</wp:posOffset>
            </wp:positionV>
            <wp:extent cx="762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-399415</wp:posOffset>
            </wp:positionV>
            <wp:extent cx="762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-384810</wp:posOffset>
            </wp:positionV>
            <wp:extent cx="762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-370205</wp:posOffset>
            </wp:positionV>
            <wp:extent cx="762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-354965</wp:posOffset>
            </wp:positionV>
            <wp:extent cx="762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-340360</wp:posOffset>
            </wp:positionV>
            <wp:extent cx="762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-325120</wp:posOffset>
            </wp:positionV>
            <wp:extent cx="762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-310515</wp:posOffset>
            </wp:positionV>
            <wp:extent cx="762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-295910</wp:posOffset>
            </wp:positionV>
            <wp:extent cx="762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-280670</wp:posOffset>
            </wp:positionV>
            <wp:extent cx="762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-266065</wp:posOffset>
            </wp:positionV>
            <wp:extent cx="762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-251460</wp:posOffset>
            </wp:positionV>
            <wp:extent cx="762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-236220</wp:posOffset>
            </wp:positionV>
            <wp:extent cx="762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-221615</wp:posOffset>
            </wp:positionV>
            <wp:extent cx="762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-206375</wp:posOffset>
            </wp:positionV>
            <wp:extent cx="762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-191770</wp:posOffset>
            </wp:positionV>
            <wp:extent cx="762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-177165</wp:posOffset>
            </wp:positionV>
            <wp:extent cx="762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-161925</wp:posOffset>
            </wp:positionV>
            <wp:extent cx="762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-147320</wp:posOffset>
            </wp:positionV>
            <wp:extent cx="762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-132080</wp:posOffset>
            </wp:positionV>
            <wp:extent cx="762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-117475</wp:posOffset>
            </wp:positionV>
            <wp:extent cx="762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-102870</wp:posOffset>
            </wp:positionV>
            <wp:extent cx="762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-87630</wp:posOffset>
            </wp:positionV>
            <wp:extent cx="762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-73025</wp:posOffset>
            </wp:positionV>
            <wp:extent cx="762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-58420</wp:posOffset>
            </wp:positionV>
            <wp:extent cx="762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-43180</wp:posOffset>
            </wp:positionV>
            <wp:extent cx="762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-28575</wp:posOffset>
            </wp:positionV>
            <wp:extent cx="762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-13335</wp:posOffset>
            </wp:positionV>
            <wp:extent cx="762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635</wp:posOffset>
            </wp:positionV>
            <wp:extent cx="762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-1127125</wp:posOffset>
            </wp:positionV>
            <wp:extent cx="762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-1112520</wp:posOffset>
            </wp:positionV>
            <wp:extent cx="762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-1097915</wp:posOffset>
            </wp:positionV>
            <wp:extent cx="762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-1082675</wp:posOffset>
            </wp:positionV>
            <wp:extent cx="762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-1068070</wp:posOffset>
            </wp:positionV>
            <wp:extent cx="762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-1052830</wp:posOffset>
            </wp:positionV>
            <wp:extent cx="762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-1038225</wp:posOffset>
            </wp:positionV>
            <wp:extent cx="762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-1023620</wp:posOffset>
            </wp:positionV>
            <wp:extent cx="762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-1008380</wp:posOffset>
            </wp:positionV>
            <wp:extent cx="762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-993775</wp:posOffset>
            </wp:positionV>
            <wp:extent cx="762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-979170</wp:posOffset>
            </wp:positionV>
            <wp:extent cx="762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-963930</wp:posOffset>
            </wp:positionV>
            <wp:extent cx="762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-949325</wp:posOffset>
            </wp:positionV>
            <wp:extent cx="762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-934085</wp:posOffset>
            </wp:positionV>
            <wp:extent cx="762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-919480</wp:posOffset>
            </wp:positionV>
            <wp:extent cx="762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-904875</wp:posOffset>
            </wp:positionV>
            <wp:extent cx="762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-889635</wp:posOffset>
            </wp:positionV>
            <wp:extent cx="762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-875030</wp:posOffset>
            </wp:positionV>
            <wp:extent cx="762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-859790</wp:posOffset>
            </wp:positionV>
            <wp:extent cx="762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-845185</wp:posOffset>
            </wp:positionV>
            <wp:extent cx="762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-830580</wp:posOffset>
            </wp:positionV>
            <wp:extent cx="762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-815340</wp:posOffset>
            </wp:positionV>
            <wp:extent cx="762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-800735</wp:posOffset>
            </wp:positionV>
            <wp:extent cx="762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-785495</wp:posOffset>
            </wp:positionV>
            <wp:extent cx="762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-770890</wp:posOffset>
            </wp:positionV>
            <wp:extent cx="762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-756285</wp:posOffset>
            </wp:positionV>
            <wp:extent cx="762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-741045</wp:posOffset>
            </wp:positionV>
            <wp:extent cx="762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-726440</wp:posOffset>
            </wp:positionV>
            <wp:extent cx="7620"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-711835</wp:posOffset>
            </wp:positionV>
            <wp:extent cx="762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-696595</wp:posOffset>
            </wp:positionV>
            <wp:extent cx="762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-681990</wp:posOffset>
            </wp:positionV>
            <wp:extent cx="762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-666750</wp:posOffset>
            </wp:positionV>
            <wp:extent cx="7620"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-652145</wp:posOffset>
            </wp:positionV>
            <wp:extent cx="762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-637540</wp:posOffset>
            </wp:positionV>
            <wp:extent cx="762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-622300</wp:posOffset>
            </wp:positionV>
            <wp:extent cx="762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-607695</wp:posOffset>
            </wp:positionV>
            <wp:extent cx="762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-592455</wp:posOffset>
            </wp:positionV>
            <wp:extent cx="762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-577850</wp:posOffset>
            </wp:positionV>
            <wp:extent cx="762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-563245</wp:posOffset>
            </wp:positionV>
            <wp:extent cx="762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-548005</wp:posOffset>
            </wp:positionV>
            <wp:extent cx="762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-533400</wp:posOffset>
            </wp:positionV>
            <wp:extent cx="762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-518795</wp:posOffset>
            </wp:positionV>
            <wp:extent cx="762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-503555</wp:posOffset>
            </wp:positionV>
            <wp:extent cx="762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-488950</wp:posOffset>
            </wp:positionV>
            <wp:extent cx="762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-473710</wp:posOffset>
            </wp:positionV>
            <wp:extent cx="762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-459105</wp:posOffset>
            </wp:positionV>
            <wp:extent cx="7620"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-444500</wp:posOffset>
            </wp:positionV>
            <wp:extent cx="762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-429260</wp:posOffset>
            </wp:positionV>
            <wp:extent cx="7620"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-414655</wp:posOffset>
            </wp:positionV>
            <wp:extent cx="762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-399415</wp:posOffset>
            </wp:positionV>
            <wp:extent cx="762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-384810</wp:posOffset>
            </wp:positionV>
            <wp:extent cx="762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-370205</wp:posOffset>
            </wp:positionV>
            <wp:extent cx="762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-354965</wp:posOffset>
            </wp:positionV>
            <wp:extent cx="762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-340360</wp:posOffset>
            </wp:positionV>
            <wp:extent cx="7620" cy="76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-325120</wp:posOffset>
            </wp:positionV>
            <wp:extent cx="762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-310515</wp:posOffset>
            </wp:positionV>
            <wp:extent cx="7620"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-295910</wp:posOffset>
            </wp:positionV>
            <wp:extent cx="762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-280670</wp:posOffset>
            </wp:positionV>
            <wp:extent cx="7620"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-266065</wp:posOffset>
            </wp:positionV>
            <wp:extent cx="762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-251460</wp:posOffset>
            </wp:positionV>
            <wp:extent cx="7620"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-236220</wp:posOffset>
            </wp:positionV>
            <wp:extent cx="762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-221615</wp:posOffset>
            </wp:positionV>
            <wp:extent cx="7620"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-206375</wp:posOffset>
            </wp:positionV>
            <wp:extent cx="762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-191770</wp:posOffset>
            </wp:positionV>
            <wp:extent cx="7620"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-177165</wp:posOffset>
            </wp:positionV>
            <wp:extent cx="762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-161925</wp:posOffset>
            </wp:positionV>
            <wp:extent cx="762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-147320</wp:posOffset>
            </wp:positionV>
            <wp:extent cx="762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-132080</wp:posOffset>
            </wp:positionV>
            <wp:extent cx="762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-117475</wp:posOffset>
            </wp:positionV>
            <wp:extent cx="762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-102870</wp:posOffset>
            </wp:positionV>
            <wp:extent cx="762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-87630</wp:posOffset>
            </wp:positionV>
            <wp:extent cx="762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-73025</wp:posOffset>
            </wp:positionV>
            <wp:extent cx="7620" cy="762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-58420</wp:posOffset>
            </wp:positionV>
            <wp:extent cx="762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-43180</wp:posOffset>
            </wp:positionV>
            <wp:extent cx="7620" cy="76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-28575</wp:posOffset>
            </wp:positionV>
            <wp:extent cx="7620" cy="762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-13335</wp:posOffset>
            </wp:positionV>
            <wp:extent cx="762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635</wp:posOffset>
            </wp:positionV>
            <wp:extent cx="762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4">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56"/>
        </w:trPr>
        <w:tc>
          <w:tcPr>
            <w:tcW w:w="6040" w:type="dxa"/>
            <w:vAlign w:val="bottom"/>
          </w:tcPr>
          <w:p>
            <w:pPr>
              <w:spacing w:after="0" w:line="157" w:lineRule="exact"/>
              <w:rPr>
                <w:sz w:val="20"/>
                <w:szCs w:val="20"/>
                <w:color w:val="auto"/>
              </w:rPr>
            </w:pPr>
            <w:r>
              <w:rPr>
                <w:rFonts w:ascii="Arial" w:cs="Arial" w:eastAsia="Arial" w:hAnsi="Arial"/>
                <w:sz w:val="14"/>
                <w:szCs w:val="14"/>
                <w:b w:val="1"/>
                <w:bCs w:val="1"/>
                <w:i w:val="1"/>
                <w:iCs w:val="1"/>
                <w:color w:val="auto"/>
                <w:w w:val="92"/>
              </w:rPr>
              <w:t>implementation,  administration  and  management  of  the  Plan,  that  these dalam  pelaksanaan,</w:t>
            </w:r>
          </w:p>
        </w:tc>
        <w:tc>
          <w:tcPr>
            <w:tcW w:w="4320" w:type="dxa"/>
            <w:vAlign w:val="bottom"/>
          </w:tcPr>
          <w:p>
            <w:pPr>
              <w:jc w:val="right"/>
              <w:spacing w:after="0" w:line="157" w:lineRule="exact"/>
              <w:rPr>
                <w:sz w:val="20"/>
                <w:szCs w:val="20"/>
                <w:color w:val="auto"/>
              </w:rPr>
            </w:pPr>
            <w:r>
              <w:rPr>
                <w:rFonts w:ascii="Arial" w:cs="Arial" w:eastAsia="Arial" w:hAnsi="Arial"/>
                <w:sz w:val="14"/>
                <w:szCs w:val="14"/>
                <w:b w:val="1"/>
                <w:bCs w:val="1"/>
                <w:i w:val="1"/>
                <w:iCs w:val="1"/>
                <w:color w:val="auto"/>
                <w:w w:val="91"/>
              </w:rPr>
              <w:t>pentadbiran  dan  pengurusan  Pelan,  bahawa  penerima-penerima  ini</w:t>
            </w:r>
          </w:p>
        </w:tc>
      </w:tr>
      <w:tr>
        <w:trPr>
          <w:trHeight w:val="164"/>
        </w:trPr>
        <w:tc>
          <w:tcPr>
            <w:tcW w:w="6040" w:type="dxa"/>
            <w:vAlign w:val="bottom"/>
          </w:tcPr>
          <w:p>
            <w:pPr>
              <w:spacing w:after="0"/>
              <w:rPr>
                <w:sz w:val="20"/>
                <w:szCs w:val="20"/>
                <w:color w:val="auto"/>
              </w:rPr>
            </w:pPr>
            <w:r>
              <w:rPr>
                <w:rFonts w:ascii="Arial" w:cs="Arial" w:eastAsia="Arial" w:hAnsi="Arial"/>
                <w:sz w:val="14"/>
                <w:szCs w:val="14"/>
                <w:b w:val="1"/>
                <w:bCs w:val="1"/>
                <w:i w:val="1"/>
                <w:iCs w:val="1"/>
                <w:color w:val="auto"/>
                <w:w w:val="90"/>
              </w:rPr>
              <w:t>recipients may be located in the Participant’s country or elsewhere and that the mungkin  berada  di</w:t>
            </w:r>
          </w:p>
        </w:tc>
        <w:tc>
          <w:tcPr>
            <w:tcW w:w="432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92"/>
              </w:rPr>
              <w:t>negara  Peserta  atau  di  tempat  lain,  dan  bahawa  negara  penerima</w:t>
            </w:r>
          </w:p>
        </w:tc>
      </w:tr>
      <w:tr>
        <w:trPr>
          <w:trHeight w:val="176"/>
        </w:trPr>
        <w:tc>
          <w:tcPr>
            <w:tcW w:w="6040" w:type="dxa"/>
            <w:vAlign w:val="bottom"/>
          </w:tcPr>
          <w:p>
            <w:pPr>
              <w:spacing w:after="0"/>
              <w:rPr>
                <w:sz w:val="20"/>
                <w:szCs w:val="20"/>
                <w:color w:val="auto"/>
              </w:rPr>
            </w:pPr>
            <w:r>
              <w:rPr>
                <w:rFonts w:ascii="Arial" w:cs="Arial" w:eastAsia="Arial" w:hAnsi="Arial"/>
                <w:sz w:val="14"/>
                <w:szCs w:val="14"/>
                <w:b w:val="1"/>
                <w:bCs w:val="1"/>
                <w:i w:val="1"/>
                <w:iCs w:val="1"/>
                <w:color w:val="auto"/>
                <w:w w:val="88"/>
              </w:rPr>
              <w:t>recipients’ country (e.g., the United States) may have different data privacy laws (contohnya,  Amerika</w:t>
            </w:r>
          </w:p>
        </w:tc>
        <w:tc>
          <w:tcPr>
            <w:tcW w:w="432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96"/>
              </w:rPr>
              <w:t>Syarikat)  mungkin  mempunyai  undang-undang  privasi  data  dan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-298450</wp:posOffset>
            </wp:positionV>
            <wp:extent cx="7620" cy="762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-283845</wp:posOffset>
            </wp:positionV>
            <wp:extent cx="762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-269240</wp:posOffset>
            </wp:positionV>
            <wp:extent cx="762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-254000</wp:posOffset>
            </wp:positionV>
            <wp:extent cx="7620" cy="762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-239395</wp:posOffset>
            </wp:positionV>
            <wp:extent cx="7620" cy="762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-224155</wp:posOffset>
            </wp:positionV>
            <wp:extent cx="7620" cy="762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-209550</wp:posOffset>
            </wp:positionV>
            <wp:extent cx="7620" cy="762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-194945</wp:posOffset>
            </wp:positionV>
            <wp:extent cx="7620" cy="762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-179705</wp:posOffset>
            </wp:positionV>
            <wp:extent cx="7620"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-165100</wp:posOffset>
            </wp:positionV>
            <wp:extent cx="7620" cy="762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-149860</wp:posOffset>
            </wp:positionV>
            <wp:extent cx="7620" cy="762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-135255</wp:posOffset>
            </wp:positionV>
            <wp:extent cx="7620" cy="762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-120650</wp:posOffset>
            </wp:positionV>
            <wp:extent cx="7620"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-105410</wp:posOffset>
            </wp:positionV>
            <wp:extent cx="7620" cy="762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-90805</wp:posOffset>
            </wp:positionV>
            <wp:extent cx="7620" cy="762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-76200</wp:posOffset>
            </wp:positionV>
            <wp:extent cx="7620" cy="762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-60960</wp:posOffset>
            </wp:positionV>
            <wp:extent cx="7620"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-46355</wp:posOffset>
            </wp:positionV>
            <wp:extent cx="7620"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-31115</wp:posOffset>
            </wp:positionV>
            <wp:extent cx="7620" cy="762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-16510</wp:posOffset>
            </wp:positionV>
            <wp:extent cx="7620"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-1905</wp:posOffset>
            </wp:positionV>
            <wp:extent cx="7620"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-298450</wp:posOffset>
            </wp:positionV>
            <wp:extent cx="7620"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-283845</wp:posOffset>
            </wp:positionV>
            <wp:extent cx="7620" cy="76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-269240</wp:posOffset>
            </wp:positionV>
            <wp:extent cx="7620"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-254000</wp:posOffset>
            </wp:positionV>
            <wp:extent cx="7620"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-239395</wp:posOffset>
            </wp:positionV>
            <wp:extent cx="7620"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-224155</wp:posOffset>
            </wp:positionV>
            <wp:extent cx="7620" cy="762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-209550</wp:posOffset>
            </wp:positionV>
            <wp:extent cx="7620"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-194945</wp:posOffset>
            </wp:positionV>
            <wp:extent cx="7620"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-179705</wp:posOffset>
            </wp:positionV>
            <wp:extent cx="7620" cy="76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-165100</wp:posOffset>
            </wp:positionV>
            <wp:extent cx="7620" cy="76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-149860</wp:posOffset>
            </wp:positionV>
            <wp:extent cx="7620" cy="76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-135255</wp:posOffset>
            </wp:positionV>
            <wp:extent cx="7620"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-120650</wp:posOffset>
            </wp:positionV>
            <wp:extent cx="7620" cy="762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-105410</wp:posOffset>
            </wp:positionV>
            <wp:extent cx="7620" cy="76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-90805</wp:posOffset>
            </wp:positionV>
            <wp:extent cx="7620" cy="762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-76200</wp:posOffset>
            </wp:positionV>
            <wp:extent cx="7620"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-60960</wp:posOffset>
            </wp:positionV>
            <wp:extent cx="7620" cy="762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-46355</wp:posOffset>
            </wp:positionV>
            <wp:extent cx="7620" cy="76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-31115</wp:posOffset>
            </wp:positionV>
            <wp:extent cx="7620" cy="762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-16510</wp:posOffset>
            </wp:positionV>
            <wp:extent cx="7620"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-1905</wp:posOffset>
            </wp:positionV>
            <wp:extent cx="7620" cy="76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-298450</wp:posOffset>
            </wp:positionV>
            <wp:extent cx="7620" cy="762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-283845</wp:posOffset>
            </wp:positionV>
            <wp:extent cx="7620" cy="76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-269240</wp:posOffset>
            </wp:positionV>
            <wp:extent cx="7620"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-254000</wp:posOffset>
            </wp:positionV>
            <wp:extent cx="7620" cy="76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-239395</wp:posOffset>
            </wp:positionV>
            <wp:extent cx="7620" cy="762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-224155</wp:posOffset>
            </wp:positionV>
            <wp:extent cx="7620" cy="76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-209550</wp:posOffset>
            </wp:positionV>
            <wp:extent cx="762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-194945</wp:posOffset>
            </wp:positionV>
            <wp:extent cx="7620" cy="76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-179705</wp:posOffset>
            </wp:positionV>
            <wp:extent cx="762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-165100</wp:posOffset>
            </wp:positionV>
            <wp:extent cx="7620"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-149860</wp:posOffset>
            </wp:positionV>
            <wp:extent cx="7620"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-135255</wp:posOffset>
            </wp:positionV>
            <wp:extent cx="7620"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-120650</wp:posOffset>
            </wp:positionV>
            <wp:extent cx="762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-105410</wp:posOffset>
            </wp:positionV>
            <wp:extent cx="762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-90805</wp:posOffset>
            </wp:positionV>
            <wp:extent cx="7620"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-76200</wp:posOffset>
            </wp:positionV>
            <wp:extent cx="762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-60960</wp:posOffset>
            </wp:positionV>
            <wp:extent cx="762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-46355</wp:posOffset>
            </wp:positionV>
            <wp:extent cx="7620"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-31115</wp:posOffset>
            </wp:positionV>
            <wp:extent cx="7620"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-16510</wp:posOffset>
            </wp:positionV>
            <wp:extent cx="7620"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-1905</wp:posOffset>
            </wp:positionV>
            <wp:extent cx="762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67">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jc w:val="both"/>
        <w:ind w:left="320"/>
        <w:spacing w:after="0" w:line="288" w:lineRule="auto"/>
        <w:rPr>
          <w:sz w:val="20"/>
          <w:szCs w:val="20"/>
          <w:color w:val="auto"/>
        </w:rPr>
      </w:pPr>
      <w:r>
        <w:rPr>
          <w:rFonts w:ascii="Arial" w:cs="Arial" w:eastAsia="Arial" w:hAnsi="Arial"/>
          <w:sz w:val="12"/>
          <w:szCs w:val="12"/>
          <w:b w:val="1"/>
          <w:bCs w:val="1"/>
          <w:i w:val="1"/>
          <w:iCs w:val="1"/>
          <w:color w:val="auto"/>
        </w:rPr>
        <w:t>and protections than the Participant’s country. The Participant understands that perlindungan yang berbeza daripada negara Peserta. Peserta memahami bahawa dia boleh he or she may request a list with the names and addresses of any potential meminta senarai nama dan alamat mana-mana penerima Data dengan menghubungi wakil recipients of the Data by contacting his or her local human resources sumber manusia tempatannya. Peserta memberi kuasa kepada Syarikat, Fidelity, dan mana-representative. The Participant authorizes the Company, Fidelity and any other mana penerima lain yang mungkin membantu Syarikat (masa sekarang atau pada masa depan) possible recipients which may assist the Company (presently or in the future) untuk melaksanakan, mentadbir dan menguruskan penyertaan Peserta dalam Pelan untuk with implementing, administering and managing the Plan to receive, possess, menerima, memiliki, menggunakan, mengekalkan dan memindahkan Data, dalam bentuk use, retain and transfer the Data, in electronic or other form, for the sole purpose elektronik atau lain-lain, semata-mata dengan tujuan untuk melaksanakan, mentadbir dan of implementing, administering and managing his or her participation in the menguruskan penyertaan Peserta dalam Pelan, termasuk apa-apa pemindahan Data yang Plan, including any requisite transfer of such Data as may be required to a diperlukan kepada broker atau pihak ketiga dengan siapa Peserta mungkin pilih untuk broker or other third party with whom the Participant may elect to deposit any mendepositkan apa-apa Saham yang diperolehi di atas penyelesaian Anugerah.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6790055</wp:posOffset>
            </wp:positionH>
            <wp:positionV relativeFrom="paragraph">
              <wp:posOffset>-1038225</wp:posOffset>
            </wp:positionV>
            <wp:extent cx="7620"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-1023620</wp:posOffset>
            </wp:positionV>
            <wp:extent cx="7620"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-1008380</wp:posOffset>
            </wp:positionV>
            <wp:extent cx="762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-993775</wp:posOffset>
            </wp:positionV>
            <wp:extent cx="7620" cy="762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-979170</wp:posOffset>
            </wp:positionV>
            <wp:extent cx="762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-963930</wp:posOffset>
            </wp:positionV>
            <wp:extent cx="7620"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-949325</wp:posOffset>
            </wp:positionV>
            <wp:extent cx="7620"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-934085</wp:posOffset>
            </wp:positionV>
            <wp:extent cx="7620"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-919480</wp:posOffset>
            </wp:positionV>
            <wp:extent cx="7620"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-904875</wp:posOffset>
            </wp:positionV>
            <wp:extent cx="7620"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-889635</wp:posOffset>
            </wp:positionV>
            <wp:extent cx="7620"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-875030</wp:posOffset>
            </wp:positionV>
            <wp:extent cx="7620"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-859790</wp:posOffset>
            </wp:positionV>
            <wp:extent cx="7620"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-845185</wp:posOffset>
            </wp:positionV>
            <wp:extent cx="762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-830580</wp:posOffset>
            </wp:positionV>
            <wp:extent cx="7620"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-815340</wp:posOffset>
            </wp:positionV>
            <wp:extent cx="7620" cy="762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-800735</wp:posOffset>
            </wp:positionV>
            <wp:extent cx="762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-786130</wp:posOffset>
            </wp:positionV>
            <wp:extent cx="762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-770890</wp:posOffset>
            </wp:positionV>
            <wp:extent cx="762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-756285</wp:posOffset>
            </wp:positionV>
            <wp:extent cx="762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-741045</wp:posOffset>
            </wp:positionV>
            <wp:extent cx="7620"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-726440</wp:posOffset>
            </wp:positionV>
            <wp:extent cx="7620"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-711835</wp:posOffset>
            </wp:positionV>
            <wp:extent cx="7620"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-696595</wp:posOffset>
            </wp:positionV>
            <wp:extent cx="7620"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-681990</wp:posOffset>
            </wp:positionV>
            <wp:extent cx="7620" cy="762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-666750</wp:posOffset>
            </wp:positionV>
            <wp:extent cx="7620"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-652145</wp:posOffset>
            </wp:positionV>
            <wp:extent cx="762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-637540</wp:posOffset>
            </wp:positionV>
            <wp:extent cx="762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-622300</wp:posOffset>
            </wp:positionV>
            <wp:extent cx="7620" cy="76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-607695</wp:posOffset>
            </wp:positionV>
            <wp:extent cx="7620" cy="762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-592455</wp:posOffset>
            </wp:positionV>
            <wp:extent cx="7620"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-577850</wp:posOffset>
            </wp:positionV>
            <wp:extent cx="762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-563245</wp:posOffset>
            </wp:positionV>
            <wp:extent cx="7620"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-548005</wp:posOffset>
            </wp:positionV>
            <wp:extent cx="762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-533400</wp:posOffset>
            </wp:positionV>
            <wp:extent cx="7620" cy="762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-518795</wp:posOffset>
            </wp:positionV>
            <wp:extent cx="762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-503555</wp:posOffset>
            </wp:positionV>
            <wp:extent cx="762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-488950</wp:posOffset>
            </wp:positionV>
            <wp:extent cx="7620" cy="76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-473710</wp:posOffset>
            </wp:positionV>
            <wp:extent cx="762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-459105</wp:posOffset>
            </wp:positionV>
            <wp:extent cx="762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-444500</wp:posOffset>
            </wp:positionV>
            <wp:extent cx="762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-429260</wp:posOffset>
            </wp:positionV>
            <wp:extent cx="762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-414655</wp:posOffset>
            </wp:positionV>
            <wp:extent cx="762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-399415</wp:posOffset>
            </wp:positionV>
            <wp:extent cx="7620"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-384810</wp:posOffset>
            </wp:positionV>
            <wp:extent cx="762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-370205</wp:posOffset>
            </wp:positionV>
            <wp:extent cx="762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-354965</wp:posOffset>
            </wp:positionV>
            <wp:extent cx="7620"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-340360</wp:posOffset>
            </wp:positionV>
            <wp:extent cx="7620"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-325755</wp:posOffset>
            </wp:positionV>
            <wp:extent cx="762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-310515</wp:posOffset>
            </wp:positionV>
            <wp:extent cx="762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-295910</wp:posOffset>
            </wp:positionV>
            <wp:extent cx="7620"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-280670</wp:posOffset>
            </wp:positionV>
            <wp:extent cx="7620"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-266065</wp:posOffset>
            </wp:positionV>
            <wp:extent cx="7620"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-251460</wp:posOffset>
            </wp:positionV>
            <wp:extent cx="7620" cy="762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-236220</wp:posOffset>
            </wp:positionV>
            <wp:extent cx="7620"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-221615</wp:posOffset>
            </wp:positionV>
            <wp:extent cx="7620"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-206375</wp:posOffset>
            </wp:positionV>
            <wp:extent cx="7620"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-191770</wp:posOffset>
            </wp:positionV>
            <wp:extent cx="7620" cy="762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-177165</wp:posOffset>
            </wp:positionV>
            <wp:extent cx="7620" cy="762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-161925</wp:posOffset>
            </wp:positionV>
            <wp:extent cx="7620"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-147320</wp:posOffset>
            </wp:positionV>
            <wp:extent cx="762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-132080</wp:posOffset>
            </wp:positionV>
            <wp:extent cx="762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-117475</wp:posOffset>
            </wp:positionV>
            <wp:extent cx="762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-102870</wp:posOffset>
            </wp:positionV>
            <wp:extent cx="7620"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-87630</wp:posOffset>
            </wp:positionV>
            <wp:extent cx="762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-73025</wp:posOffset>
            </wp:positionV>
            <wp:extent cx="762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-58420</wp:posOffset>
            </wp:positionV>
            <wp:extent cx="762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-43180</wp:posOffset>
            </wp:positionV>
            <wp:extent cx="762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-28575</wp:posOffset>
            </wp:positionV>
            <wp:extent cx="762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-13335</wp:posOffset>
            </wp:positionV>
            <wp:extent cx="7620"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635</wp:posOffset>
            </wp:positionV>
            <wp:extent cx="7620"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-1038225</wp:posOffset>
            </wp:positionV>
            <wp:extent cx="762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-1023620</wp:posOffset>
            </wp:positionV>
            <wp:extent cx="762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-1008380</wp:posOffset>
            </wp:positionV>
            <wp:extent cx="7620" cy="762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-993775</wp:posOffset>
            </wp:positionV>
            <wp:extent cx="7620" cy="762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-979170</wp:posOffset>
            </wp:positionV>
            <wp:extent cx="762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-963930</wp:posOffset>
            </wp:positionV>
            <wp:extent cx="7620" cy="762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-949325</wp:posOffset>
            </wp:positionV>
            <wp:extent cx="7620" cy="762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-934085</wp:posOffset>
            </wp:positionV>
            <wp:extent cx="7620"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-919480</wp:posOffset>
            </wp:positionV>
            <wp:extent cx="762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-904875</wp:posOffset>
            </wp:positionV>
            <wp:extent cx="7620" cy="762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-889635</wp:posOffset>
            </wp:positionV>
            <wp:extent cx="7620" cy="762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-875030</wp:posOffset>
            </wp:positionV>
            <wp:extent cx="7620" cy="762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-859790</wp:posOffset>
            </wp:positionV>
            <wp:extent cx="7620"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-845185</wp:posOffset>
            </wp:positionV>
            <wp:extent cx="7620" cy="762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-830580</wp:posOffset>
            </wp:positionV>
            <wp:extent cx="7620" cy="76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-815340</wp:posOffset>
            </wp:positionV>
            <wp:extent cx="7620" cy="762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-800735</wp:posOffset>
            </wp:positionV>
            <wp:extent cx="7620"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-786130</wp:posOffset>
            </wp:positionV>
            <wp:extent cx="7620" cy="762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-770890</wp:posOffset>
            </wp:positionV>
            <wp:extent cx="7620" cy="762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-756285</wp:posOffset>
            </wp:positionV>
            <wp:extent cx="7620" cy="762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-741045</wp:posOffset>
            </wp:positionV>
            <wp:extent cx="7620"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-726440</wp:posOffset>
            </wp:positionV>
            <wp:extent cx="7620" cy="762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-711835</wp:posOffset>
            </wp:positionV>
            <wp:extent cx="7620" cy="762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-696595</wp:posOffset>
            </wp:positionV>
            <wp:extent cx="7620" cy="762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-681990</wp:posOffset>
            </wp:positionV>
            <wp:extent cx="7620"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-666750</wp:posOffset>
            </wp:positionV>
            <wp:extent cx="7620"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-652145</wp:posOffset>
            </wp:positionV>
            <wp:extent cx="762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-637540</wp:posOffset>
            </wp:positionV>
            <wp:extent cx="762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-622300</wp:posOffset>
            </wp:positionV>
            <wp:extent cx="7620" cy="762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-607695</wp:posOffset>
            </wp:positionV>
            <wp:extent cx="7620" cy="762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-592455</wp:posOffset>
            </wp:positionV>
            <wp:extent cx="7620" cy="762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-577850</wp:posOffset>
            </wp:positionV>
            <wp:extent cx="7620"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-563245</wp:posOffset>
            </wp:positionV>
            <wp:extent cx="7620"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-548005</wp:posOffset>
            </wp:positionV>
            <wp:extent cx="7620" cy="762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-533400</wp:posOffset>
            </wp:positionV>
            <wp:extent cx="7620" cy="762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-518795</wp:posOffset>
            </wp:positionV>
            <wp:extent cx="7620"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-503555</wp:posOffset>
            </wp:positionV>
            <wp:extent cx="7620" cy="762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-488950</wp:posOffset>
            </wp:positionV>
            <wp:extent cx="7620" cy="762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-473710</wp:posOffset>
            </wp:positionV>
            <wp:extent cx="7620" cy="762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-459105</wp:posOffset>
            </wp:positionV>
            <wp:extent cx="7620"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-444500</wp:posOffset>
            </wp:positionV>
            <wp:extent cx="7620" cy="762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-429260</wp:posOffset>
            </wp:positionV>
            <wp:extent cx="7620" cy="76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-414655</wp:posOffset>
            </wp:positionV>
            <wp:extent cx="7620" cy="762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-399415</wp:posOffset>
            </wp:positionV>
            <wp:extent cx="7620"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-384810</wp:posOffset>
            </wp:positionV>
            <wp:extent cx="7620" cy="762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-370205</wp:posOffset>
            </wp:positionV>
            <wp:extent cx="7620" cy="762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-354965</wp:posOffset>
            </wp:positionV>
            <wp:extent cx="7620" cy="762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-340360</wp:posOffset>
            </wp:positionV>
            <wp:extent cx="7620"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-325755</wp:posOffset>
            </wp:positionV>
            <wp:extent cx="7620" cy="762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-310515</wp:posOffset>
            </wp:positionV>
            <wp:extent cx="7620" cy="762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-295910</wp:posOffset>
            </wp:positionV>
            <wp:extent cx="7620" cy="762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-280670</wp:posOffset>
            </wp:positionV>
            <wp:extent cx="7620"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-266065</wp:posOffset>
            </wp:positionV>
            <wp:extent cx="7620"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-251460</wp:posOffset>
            </wp:positionV>
            <wp:extent cx="762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-236220</wp:posOffset>
            </wp:positionV>
            <wp:extent cx="762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-221615</wp:posOffset>
            </wp:positionV>
            <wp:extent cx="762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-206375</wp:posOffset>
            </wp:positionV>
            <wp:extent cx="7620" cy="762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-191770</wp:posOffset>
            </wp:positionV>
            <wp:extent cx="7620" cy="762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-177165</wp:posOffset>
            </wp:positionV>
            <wp:extent cx="7620" cy="762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-161925</wp:posOffset>
            </wp:positionV>
            <wp:extent cx="7620"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-147320</wp:posOffset>
            </wp:positionV>
            <wp:extent cx="7620" cy="762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-132080</wp:posOffset>
            </wp:positionV>
            <wp:extent cx="7620" cy="762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8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-117475</wp:posOffset>
            </wp:positionV>
            <wp:extent cx="7620" cy="762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8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-102870</wp:posOffset>
            </wp:positionV>
            <wp:extent cx="7620"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8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-87630</wp:posOffset>
            </wp:positionV>
            <wp:extent cx="7620" cy="762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8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-73025</wp:posOffset>
            </wp:positionV>
            <wp:extent cx="7620" cy="762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8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-58420</wp:posOffset>
            </wp:positionV>
            <wp:extent cx="7620" cy="762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8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-43180</wp:posOffset>
            </wp:positionV>
            <wp:extent cx="7620"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8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-28575</wp:posOffset>
            </wp:positionV>
            <wp:extent cx="7620" cy="762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8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-13335</wp:posOffset>
            </wp:positionV>
            <wp:extent cx="7620" cy="762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8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635</wp:posOffset>
            </wp:positionV>
            <wp:extent cx="7620" cy="762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-1038225</wp:posOffset>
            </wp:positionV>
            <wp:extent cx="7620"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-1023620</wp:posOffset>
            </wp:positionV>
            <wp:extent cx="7620" cy="76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-1008380</wp:posOffset>
            </wp:positionV>
            <wp:extent cx="7620" cy="762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-993775</wp:posOffset>
            </wp:positionV>
            <wp:extent cx="7620" cy="762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-979170</wp:posOffset>
            </wp:positionV>
            <wp:extent cx="7620"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-963930</wp:posOffset>
            </wp:positionV>
            <wp:extent cx="7620" cy="76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-949325</wp:posOffset>
            </wp:positionV>
            <wp:extent cx="7620" cy="762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-934085</wp:posOffset>
            </wp:positionV>
            <wp:extent cx="7620" cy="762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-919480</wp:posOffset>
            </wp:positionV>
            <wp:extent cx="7620"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-904875</wp:posOffset>
            </wp:positionV>
            <wp:extent cx="7620" cy="762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-889635</wp:posOffset>
            </wp:positionV>
            <wp:extent cx="7620" cy="762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-875030</wp:posOffset>
            </wp:positionV>
            <wp:extent cx="7620" cy="762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-859790</wp:posOffset>
            </wp:positionV>
            <wp:extent cx="7620"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-845185</wp:posOffset>
            </wp:positionV>
            <wp:extent cx="7620" cy="762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-830580</wp:posOffset>
            </wp:positionV>
            <wp:extent cx="7620" cy="762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-815340</wp:posOffset>
            </wp:positionV>
            <wp:extent cx="7620" cy="762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-800735</wp:posOffset>
            </wp:positionV>
            <wp:extent cx="7620"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-786130</wp:posOffset>
            </wp:positionV>
            <wp:extent cx="7620" cy="762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-770890</wp:posOffset>
            </wp:positionV>
            <wp:extent cx="7620" cy="762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-756285</wp:posOffset>
            </wp:positionV>
            <wp:extent cx="7620" cy="762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-741045</wp:posOffset>
            </wp:positionV>
            <wp:extent cx="7620"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-726440</wp:posOffset>
            </wp:positionV>
            <wp:extent cx="7620" cy="762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-711835</wp:posOffset>
            </wp:positionV>
            <wp:extent cx="7620" cy="762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-696595</wp:posOffset>
            </wp:positionV>
            <wp:extent cx="7620" cy="762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-681990</wp:posOffset>
            </wp:positionV>
            <wp:extent cx="7620"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-666750</wp:posOffset>
            </wp:positionV>
            <wp:extent cx="7620" cy="762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-652145</wp:posOffset>
            </wp:positionV>
            <wp:extent cx="7620" cy="762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-637540</wp:posOffset>
            </wp:positionV>
            <wp:extent cx="7620" cy="762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-622300</wp:posOffset>
            </wp:positionV>
            <wp:extent cx="7620"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-607695</wp:posOffset>
            </wp:positionV>
            <wp:extent cx="7620" cy="762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-592455</wp:posOffset>
            </wp:positionV>
            <wp:extent cx="7620" cy="762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-577850</wp:posOffset>
            </wp:positionV>
            <wp:extent cx="7620" cy="762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-563245</wp:posOffset>
            </wp:positionV>
            <wp:extent cx="7620"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-548005</wp:posOffset>
            </wp:positionV>
            <wp:extent cx="7620" cy="762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-533400</wp:posOffset>
            </wp:positionV>
            <wp:extent cx="7620" cy="762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-518795</wp:posOffset>
            </wp:positionV>
            <wp:extent cx="7620" cy="762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-503555</wp:posOffset>
            </wp:positionV>
            <wp:extent cx="7620"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-488950</wp:posOffset>
            </wp:positionV>
            <wp:extent cx="7620" cy="762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-473710</wp:posOffset>
            </wp:positionV>
            <wp:extent cx="7620" cy="762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-459105</wp:posOffset>
            </wp:positionV>
            <wp:extent cx="7620" cy="762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-444500</wp:posOffset>
            </wp:positionV>
            <wp:extent cx="7620"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-429260</wp:posOffset>
            </wp:positionV>
            <wp:extent cx="7620" cy="762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-414655</wp:posOffset>
            </wp:positionV>
            <wp:extent cx="7620" cy="762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-399415</wp:posOffset>
            </wp:positionV>
            <wp:extent cx="7620" cy="762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-384810</wp:posOffset>
            </wp:positionV>
            <wp:extent cx="7620"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-370205</wp:posOffset>
            </wp:positionV>
            <wp:extent cx="7620" cy="762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-354965</wp:posOffset>
            </wp:positionV>
            <wp:extent cx="7620" cy="762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-340360</wp:posOffset>
            </wp:positionV>
            <wp:extent cx="7620" cy="762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-325755</wp:posOffset>
            </wp:positionV>
            <wp:extent cx="7620"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-310515</wp:posOffset>
            </wp:positionV>
            <wp:extent cx="7620" cy="762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-295910</wp:posOffset>
            </wp:positionV>
            <wp:extent cx="7620" cy="762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-280670</wp:posOffset>
            </wp:positionV>
            <wp:extent cx="7620" cy="762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-266065</wp:posOffset>
            </wp:positionV>
            <wp:extent cx="7620"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-251460</wp:posOffset>
            </wp:positionV>
            <wp:extent cx="762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-236220</wp:posOffset>
            </wp:positionV>
            <wp:extent cx="7620" cy="762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-221615</wp:posOffset>
            </wp:positionV>
            <wp:extent cx="7620" cy="762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-206375</wp:posOffset>
            </wp:positionV>
            <wp:extent cx="7620" cy="762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-191770</wp:posOffset>
            </wp:positionV>
            <wp:extent cx="7620"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-177165</wp:posOffset>
            </wp:positionV>
            <wp:extent cx="7620" cy="762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-161925</wp:posOffset>
            </wp:positionV>
            <wp:extent cx="7620" cy="762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-147320</wp:posOffset>
            </wp:positionV>
            <wp:extent cx="7620" cy="762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-132080</wp:posOffset>
            </wp:positionV>
            <wp:extent cx="7620"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-117475</wp:posOffset>
            </wp:positionV>
            <wp:extent cx="7620" cy="762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-102870</wp:posOffset>
            </wp:positionV>
            <wp:extent cx="7620" cy="762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-87630</wp:posOffset>
            </wp:positionV>
            <wp:extent cx="7620" cy="762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-73025</wp:posOffset>
            </wp:positionV>
            <wp:extent cx="7620"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-58420</wp:posOffset>
            </wp:positionV>
            <wp:extent cx="7620" cy="762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-43180</wp:posOffset>
            </wp:positionV>
            <wp:extent cx="7620" cy="76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-28575</wp:posOffset>
            </wp:positionV>
            <wp:extent cx="7620" cy="762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-13335</wp:posOffset>
            </wp:positionV>
            <wp:extent cx="7620"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635</wp:posOffset>
            </wp:positionV>
            <wp:extent cx="7620" cy="76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80">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4"/>
          <w:szCs w:val="14"/>
          <w:b w:val="1"/>
          <w:bCs w:val="1"/>
          <w:i w:val="1"/>
          <w:iCs w:val="1"/>
          <w:color w:val="auto"/>
        </w:rPr>
        <w:t>Shares acquired upon settlement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7620" cy="76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14605</wp:posOffset>
            </wp:positionV>
            <wp:extent cx="7620" cy="762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14605</wp:posOffset>
            </wp:positionV>
            <wp:extent cx="7620"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14605</wp:posOffset>
            </wp:positionV>
            <wp:extent cx="7620" cy="762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14605</wp:posOffset>
            </wp:positionV>
            <wp:extent cx="7620" cy="762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14605</wp:posOffset>
            </wp:positionV>
            <wp:extent cx="7620" cy="76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14605</wp:posOffset>
            </wp:positionV>
            <wp:extent cx="7620"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14605</wp:posOffset>
            </wp:positionV>
            <wp:extent cx="7620" cy="762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14605</wp:posOffset>
            </wp:positionV>
            <wp:extent cx="7620" cy="762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14605</wp:posOffset>
            </wp:positionV>
            <wp:extent cx="7620" cy="762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14605</wp:posOffset>
            </wp:positionV>
            <wp:extent cx="7620"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14605</wp:posOffset>
            </wp:positionV>
            <wp:extent cx="7620" cy="762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14605</wp:posOffset>
            </wp:positionV>
            <wp:extent cx="7620" cy="76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14605</wp:posOffset>
            </wp:positionV>
            <wp:extent cx="7620" cy="762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14605</wp:posOffset>
            </wp:positionV>
            <wp:extent cx="7620"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14605</wp:posOffset>
            </wp:positionV>
            <wp:extent cx="7620" cy="762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14605</wp:posOffset>
            </wp:positionV>
            <wp:extent cx="7620" cy="762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14605</wp:posOffset>
            </wp:positionV>
            <wp:extent cx="7620" cy="762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14605</wp:posOffset>
            </wp:positionV>
            <wp:extent cx="7620"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14605</wp:posOffset>
            </wp:positionV>
            <wp:extent cx="7620" cy="762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9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14605</wp:posOffset>
            </wp:positionV>
            <wp:extent cx="7620" cy="762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9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14605</wp:posOffset>
            </wp:positionV>
            <wp:extent cx="7620" cy="762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9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14605</wp:posOffset>
            </wp:positionV>
            <wp:extent cx="7620"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9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14605</wp:posOffset>
            </wp:positionV>
            <wp:extent cx="7620" cy="762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9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14605</wp:posOffset>
            </wp:positionV>
            <wp:extent cx="7620" cy="762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9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14605</wp:posOffset>
            </wp:positionV>
            <wp:extent cx="7620" cy="762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9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14605</wp:posOffset>
            </wp:positionV>
            <wp:extent cx="7620"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9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14605</wp:posOffset>
            </wp:positionV>
            <wp:extent cx="7620" cy="762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9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14605</wp:posOffset>
            </wp:positionV>
            <wp:extent cx="7620" cy="76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9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14605</wp:posOffset>
            </wp:positionV>
            <wp:extent cx="7620" cy="762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9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14605</wp:posOffset>
            </wp:positionV>
            <wp:extent cx="7620"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9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14605</wp:posOffset>
            </wp:positionV>
            <wp:extent cx="7620" cy="762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14605</wp:posOffset>
            </wp:positionV>
            <wp:extent cx="7620" cy="762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14605</wp:posOffset>
            </wp:positionV>
            <wp:extent cx="7620" cy="762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14605</wp:posOffset>
            </wp:positionV>
            <wp:extent cx="7620"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14605</wp:posOffset>
            </wp:positionV>
            <wp:extent cx="7620" cy="762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14605</wp:posOffset>
            </wp:positionV>
            <wp:extent cx="7620" cy="762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14605</wp:posOffset>
            </wp:positionV>
            <wp:extent cx="7620" cy="762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14605</wp:posOffset>
            </wp:positionV>
            <wp:extent cx="7620"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14605</wp:posOffset>
            </wp:positionV>
            <wp:extent cx="7620" cy="762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3804920</wp:posOffset>
            </wp:positionH>
            <wp:positionV relativeFrom="paragraph">
              <wp:posOffset>14605</wp:posOffset>
            </wp:positionV>
            <wp:extent cx="7620" cy="762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14605</wp:posOffset>
            </wp:positionV>
            <wp:extent cx="7620" cy="762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14605</wp:posOffset>
            </wp:positionV>
            <wp:extent cx="7620"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14605</wp:posOffset>
            </wp:positionV>
            <wp:extent cx="7620" cy="762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14605</wp:posOffset>
            </wp:positionV>
            <wp:extent cx="7620" cy="762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7620" cy="762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14605</wp:posOffset>
            </wp:positionV>
            <wp:extent cx="7620"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14605</wp:posOffset>
            </wp:positionV>
            <wp:extent cx="7620" cy="76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14605</wp:posOffset>
            </wp:positionV>
            <wp:extent cx="7620" cy="762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14605</wp:posOffset>
            </wp:positionV>
            <wp:extent cx="7620" cy="762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14605</wp:posOffset>
            </wp:positionV>
            <wp:extent cx="7620" cy="762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14605</wp:posOffset>
            </wp:positionV>
            <wp:extent cx="7620" cy="762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14605</wp:posOffset>
            </wp:positionV>
            <wp:extent cx="7620" cy="762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3997960</wp:posOffset>
            </wp:positionH>
            <wp:positionV relativeFrom="paragraph">
              <wp:posOffset>14605</wp:posOffset>
            </wp:positionV>
            <wp:extent cx="7620" cy="76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4013200</wp:posOffset>
            </wp:positionH>
            <wp:positionV relativeFrom="paragraph">
              <wp:posOffset>14605</wp:posOffset>
            </wp:positionV>
            <wp:extent cx="7620" cy="762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14605</wp:posOffset>
            </wp:positionV>
            <wp:extent cx="7620" cy="762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14605</wp:posOffset>
            </wp:positionV>
            <wp:extent cx="7620" cy="762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14605</wp:posOffset>
            </wp:positionV>
            <wp:extent cx="7620" cy="762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14605</wp:posOffset>
            </wp:positionV>
            <wp:extent cx="7620" cy="762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14605</wp:posOffset>
            </wp:positionV>
            <wp:extent cx="7620" cy="762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14605</wp:posOffset>
            </wp:positionV>
            <wp:extent cx="7620" cy="762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4116705</wp:posOffset>
            </wp:positionH>
            <wp:positionV relativeFrom="paragraph">
              <wp:posOffset>14605</wp:posOffset>
            </wp:positionV>
            <wp:extent cx="7620" cy="762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14605</wp:posOffset>
            </wp:positionV>
            <wp:extent cx="7620" cy="762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14605</wp:posOffset>
            </wp:positionV>
            <wp:extent cx="7620" cy="762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4161790</wp:posOffset>
            </wp:positionH>
            <wp:positionV relativeFrom="paragraph">
              <wp:posOffset>14605</wp:posOffset>
            </wp:positionV>
            <wp:extent cx="7620" cy="762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14605</wp:posOffset>
            </wp:positionV>
            <wp:extent cx="7620" cy="762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14605</wp:posOffset>
            </wp:positionV>
            <wp:extent cx="7620" cy="76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14605</wp:posOffset>
            </wp:positionV>
            <wp:extent cx="7620" cy="762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14605</wp:posOffset>
            </wp:positionV>
            <wp:extent cx="7620" cy="762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14605</wp:posOffset>
            </wp:positionV>
            <wp:extent cx="7620" cy="762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14605</wp:posOffset>
            </wp:positionV>
            <wp:extent cx="7620" cy="762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14605</wp:posOffset>
            </wp:positionV>
            <wp:extent cx="7620" cy="762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14605</wp:posOffset>
            </wp:positionV>
            <wp:extent cx="7620" cy="762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14605</wp:posOffset>
            </wp:positionV>
            <wp:extent cx="7620" cy="762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14605</wp:posOffset>
            </wp:positionV>
            <wp:extent cx="7620" cy="762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14605</wp:posOffset>
            </wp:positionV>
            <wp:extent cx="7620" cy="762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14605</wp:posOffset>
            </wp:positionV>
            <wp:extent cx="7620" cy="762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14605</wp:posOffset>
            </wp:positionV>
            <wp:extent cx="7620" cy="762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14605</wp:posOffset>
            </wp:positionV>
            <wp:extent cx="7620" cy="762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14605</wp:posOffset>
            </wp:positionV>
            <wp:extent cx="7620" cy="762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14605</wp:posOffset>
            </wp:positionV>
            <wp:extent cx="7620" cy="762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14605</wp:posOffset>
            </wp:positionV>
            <wp:extent cx="7620" cy="762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14605</wp:posOffset>
            </wp:positionV>
            <wp:extent cx="7620" cy="762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14605</wp:posOffset>
            </wp:positionV>
            <wp:extent cx="7620" cy="762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14605</wp:posOffset>
            </wp:positionV>
            <wp:extent cx="762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4473575</wp:posOffset>
            </wp:positionH>
            <wp:positionV relativeFrom="paragraph">
              <wp:posOffset>14605</wp:posOffset>
            </wp:positionV>
            <wp:extent cx="7620"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762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14605</wp:posOffset>
            </wp:positionV>
            <wp:extent cx="7620"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14605</wp:posOffset>
            </wp:positionV>
            <wp:extent cx="7620" cy="762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14605</wp:posOffset>
            </wp:positionV>
            <wp:extent cx="7620" cy="762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14605</wp:posOffset>
            </wp:positionV>
            <wp:extent cx="7620" cy="762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14605</wp:posOffset>
            </wp:positionV>
            <wp:extent cx="7620" cy="762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14605</wp:posOffset>
            </wp:positionV>
            <wp:extent cx="7620" cy="762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14605</wp:posOffset>
            </wp:positionV>
            <wp:extent cx="7620" cy="762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14605</wp:posOffset>
            </wp:positionV>
            <wp:extent cx="7620" cy="762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14605</wp:posOffset>
            </wp:positionV>
            <wp:extent cx="7620" cy="762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14605</wp:posOffset>
            </wp:positionV>
            <wp:extent cx="7620" cy="762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7620" cy="762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14605</wp:posOffset>
            </wp:positionV>
            <wp:extent cx="7620" cy="762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14605</wp:posOffset>
            </wp:positionV>
            <wp:extent cx="7620" cy="762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4696460</wp:posOffset>
            </wp:positionH>
            <wp:positionV relativeFrom="paragraph">
              <wp:posOffset>14605</wp:posOffset>
            </wp:positionV>
            <wp:extent cx="7620" cy="762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7620" cy="762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14605</wp:posOffset>
            </wp:positionV>
            <wp:extent cx="7620" cy="762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14605</wp:posOffset>
            </wp:positionV>
            <wp:extent cx="7620" cy="762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14605</wp:posOffset>
            </wp:positionV>
            <wp:extent cx="7620"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14605</wp:posOffset>
            </wp:positionV>
            <wp:extent cx="7620" cy="762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14605</wp:posOffset>
            </wp:positionV>
            <wp:extent cx="7620" cy="762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14605</wp:posOffset>
            </wp:positionV>
            <wp:extent cx="7620" cy="762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14605</wp:posOffset>
            </wp:positionV>
            <wp:extent cx="7620"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14605</wp:posOffset>
            </wp:positionV>
            <wp:extent cx="7620" cy="762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14605</wp:posOffset>
            </wp:positionV>
            <wp:extent cx="7620" cy="762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14605</wp:posOffset>
            </wp:positionV>
            <wp:extent cx="7620" cy="762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14605</wp:posOffset>
            </wp:positionV>
            <wp:extent cx="7620" cy="76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14605</wp:posOffset>
            </wp:positionV>
            <wp:extent cx="7620" cy="76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14605</wp:posOffset>
            </wp:positionV>
            <wp:extent cx="7620" cy="762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14605</wp:posOffset>
            </wp:positionV>
            <wp:extent cx="7620"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7620" cy="762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14605</wp:posOffset>
            </wp:positionV>
            <wp:extent cx="7620" cy="762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14605</wp:posOffset>
            </wp:positionV>
            <wp:extent cx="7620" cy="762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14605</wp:posOffset>
            </wp:positionV>
            <wp:extent cx="7620" cy="762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10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14605</wp:posOffset>
            </wp:positionV>
            <wp:extent cx="7620" cy="762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10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14605</wp:posOffset>
            </wp:positionV>
            <wp:extent cx="7620" cy="762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10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14605</wp:posOffset>
            </wp:positionV>
            <wp:extent cx="7620" cy="762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10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14605</wp:posOffset>
            </wp:positionV>
            <wp:extent cx="7620" cy="762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10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14605</wp:posOffset>
            </wp:positionV>
            <wp:extent cx="7620" cy="762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10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14605</wp:posOffset>
            </wp:positionV>
            <wp:extent cx="7620" cy="762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10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14605</wp:posOffset>
            </wp:positionV>
            <wp:extent cx="7620" cy="762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10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14605</wp:posOffset>
            </wp:positionV>
            <wp:extent cx="7620" cy="762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10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14605</wp:posOffset>
            </wp:positionV>
            <wp:extent cx="7620" cy="762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10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14605</wp:posOffset>
            </wp:positionV>
            <wp:extent cx="7620" cy="762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10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5141595</wp:posOffset>
            </wp:positionH>
            <wp:positionV relativeFrom="paragraph">
              <wp:posOffset>14605</wp:posOffset>
            </wp:positionV>
            <wp:extent cx="7620" cy="762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10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7620" cy="762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10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5171440</wp:posOffset>
            </wp:positionH>
            <wp:positionV relativeFrom="paragraph">
              <wp:posOffset>14605</wp:posOffset>
            </wp:positionV>
            <wp:extent cx="7620" cy="762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10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14605</wp:posOffset>
            </wp:positionV>
            <wp:extent cx="7620" cy="762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10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14605</wp:posOffset>
            </wp:positionV>
            <wp:extent cx="7620" cy="762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10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14605</wp:posOffset>
            </wp:positionV>
            <wp:extent cx="7620" cy="762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10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5231130</wp:posOffset>
            </wp:positionH>
            <wp:positionV relativeFrom="paragraph">
              <wp:posOffset>14605</wp:posOffset>
            </wp:positionV>
            <wp:extent cx="7620" cy="762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10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14605</wp:posOffset>
            </wp:positionV>
            <wp:extent cx="7620" cy="762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10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14605</wp:posOffset>
            </wp:positionV>
            <wp:extent cx="7620" cy="762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10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14605</wp:posOffset>
            </wp:positionV>
            <wp:extent cx="7620" cy="762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10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14605</wp:posOffset>
            </wp:positionV>
            <wp:extent cx="7620" cy="762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10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14605</wp:posOffset>
            </wp:positionV>
            <wp:extent cx="7620" cy="762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10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14605</wp:posOffset>
            </wp:positionV>
            <wp:extent cx="7620" cy="762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10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14605</wp:posOffset>
            </wp:positionV>
            <wp:extent cx="7620" cy="762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10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14605</wp:posOffset>
            </wp:positionV>
            <wp:extent cx="7620" cy="762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0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5364480</wp:posOffset>
            </wp:positionH>
            <wp:positionV relativeFrom="paragraph">
              <wp:posOffset>14605</wp:posOffset>
            </wp:positionV>
            <wp:extent cx="7620" cy="762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10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14605</wp:posOffset>
            </wp:positionV>
            <wp:extent cx="7620" cy="762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10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14605</wp:posOffset>
            </wp:positionV>
            <wp:extent cx="7620" cy="762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10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14605</wp:posOffset>
            </wp:positionV>
            <wp:extent cx="7620" cy="762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10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14605</wp:posOffset>
            </wp:positionV>
            <wp:extent cx="7620" cy="762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10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14605</wp:posOffset>
            </wp:positionV>
            <wp:extent cx="7620" cy="762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14605</wp:posOffset>
            </wp:positionV>
            <wp:extent cx="7620" cy="762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0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5468620</wp:posOffset>
            </wp:positionH>
            <wp:positionV relativeFrom="paragraph">
              <wp:posOffset>14605</wp:posOffset>
            </wp:positionV>
            <wp:extent cx="7620" cy="762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14605</wp:posOffset>
            </wp:positionV>
            <wp:extent cx="7620" cy="762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14605</wp:posOffset>
            </wp:positionV>
            <wp:extent cx="7620" cy="762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14605</wp:posOffset>
            </wp:positionV>
            <wp:extent cx="7620" cy="762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14605</wp:posOffset>
            </wp:positionV>
            <wp:extent cx="7620" cy="762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14605</wp:posOffset>
            </wp:positionV>
            <wp:extent cx="7620" cy="762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14605</wp:posOffset>
            </wp:positionV>
            <wp:extent cx="7620" cy="762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14605</wp:posOffset>
            </wp:positionV>
            <wp:extent cx="7620" cy="762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14605</wp:posOffset>
            </wp:positionV>
            <wp:extent cx="7620" cy="762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14605</wp:posOffset>
            </wp:positionV>
            <wp:extent cx="7620" cy="762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5617210</wp:posOffset>
            </wp:positionH>
            <wp:positionV relativeFrom="paragraph">
              <wp:posOffset>14605</wp:posOffset>
            </wp:positionV>
            <wp:extent cx="7620" cy="762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14605</wp:posOffset>
            </wp:positionV>
            <wp:extent cx="7620" cy="762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14605</wp:posOffset>
            </wp:positionV>
            <wp:extent cx="7620" cy="762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5661660</wp:posOffset>
            </wp:positionH>
            <wp:positionV relativeFrom="paragraph">
              <wp:posOffset>14605</wp:posOffset>
            </wp:positionV>
            <wp:extent cx="7620" cy="762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14605</wp:posOffset>
            </wp:positionV>
            <wp:extent cx="7620" cy="762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5691505</wp:posOffset>
            </wp:positionH>
            <wp:positionV relativeFrom="paragraph">
              <wp:posOffset>14605</wp:posOffset>
            </wp:positionV>
            <wp:extent cx="7620" cy="762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7620" cy="762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5720715</wp:posOffset>
            </wp:positionH>
            <wp:positionV relativeFrom="paragraph">
              <wp:posOffset>14605</wp:posOffset>
            </wp:positionV>
            <wp:extent cx="7620" cy="762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14605</wp:posOffset>
            </wp:positionV>
            <wp:extent cx="7620" cy="762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14605</wp:posOffset>
            </wp:positionV>
            <wp:extent cx="7620" cy="762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14605</wp:posOffset>
            </wp:positionV>
            <wp:extent cx="7620" cy="762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14605</wp:posOffset>
            </wp:positionV>
            <wp:extent cx="7620" cy="762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14605</wp:posOffset>
            </wp:positionV>
            <wp:extent cx="7620" cy="762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14605</wp:posOffset>
            </wp:positionV>
            <wp:extent cx="7620" cy="762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14605</wp:posOffset>
            </wp:positionV>
            <wp:extent cx="7620" cy="762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14605</wp:posOffset>
            </wp:positionV>
            <wp:extent cx="7620" cy="762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14605</wp:posOffset>
            </wp:positionV>
            <wp:extent cx="7620" cy="762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14605</wp:posOffset>
            </wp:positionV>
            <wp:extent cx="7620" cy="762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14605</wp:posOffset>
            </wp:positionV>
            <wp:extent cx="7620" cy="762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14605</wp:posOffset>
            </wp:positionV>
            <wp:extent cx="7620" cy="762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14605</wp:posOffset>
            </wp:positionV>
            <wp:extent cx="7620" cy="762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14605</wp:posOffset>
            </wp:positionV>
            <wp:extent cx="7620" cy="762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14605</wp:posOffset>
            </wp:positionV>
            <wp:extent cx="7620" cy="762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14605</wp:posOffset>
            </wp:positionV>
            <wp:extent cx="7620" cy="762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5973445</wp:posOffset>
            </wp:positionH>
            <wp:positionV relativeFrom="paragraph">
              <wp:posOffset>14605</wp:posOffset>
            </wp:positionV>
            <wp:extent cx="7620" cy="76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14605</wp:posOffset>
            </wp:positionV>
            <wp:extent cx="7620" cy="762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14605</wp:posOffset>
            </wp:positionV>
            <wp:extent cx="7620" cy="762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14605</wp:posOffset>
            </wp:positionV>
            <wp:extent cx="7620" cy="762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14605</wp:posOffset>
            </wp:positionV>
            <wp:extent cx="7620" cy="762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6047740</wp:posOffset>
            </wp:positionH>
            <wp:positionV relativeFrom="paragraph">
              <wp:posOffset>14605</wp:posOffset>
            </wp:positionV>
            <wp:extent cx="7620" cy="762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6062345</wp:posOffset>
            </wp:positionH>
            <wp:positionV relativeFrom="paragraph">
              <wp:posOffset>14605</wp:posOffset>
            </wp:positionV>
            <wp:extent cx="7620" cy="762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14605</wp:posOffset>
            </wp:positionV>
            <wp:extent cx="7620" cy="762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7620" cy="762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14605</wp:posOffset>
            </wp:positionV>
            <wp:extent cx="7620" cy="762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6122035</wp:posOffset>
            </wp:positionH>
            <wp:positionV relativeFrom="paragraph">
              <wp:posOffset>14605</wp:posOffset>
            </wp:positionV>
            <wp:extent cx="7620" cy="762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14605</wp:posOffset>
            </wp:positionV>
            <wp:extent cx="7620" cy="762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7620" cy="762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14605</wp:posOffset>
            </wp:positionV>
            <wp:extent cx="7620" cy="762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14605</wp:posOffset>
            </wp:positionV>
            <wp:extent cx="7620" cy="762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6196330</wp:posOffset>
            </wp:positionH>
            <wp:positionV relativeFrom="paragraph">
              <wp:posOffset>14605</wp:posOffset>
            </wp:positionV>
            <wp:extent cx="7620" cy="762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6210935</wp:posOffset>
            </wp:positionH>
            <wp:positionV relativeFrom="paragraph">
              <wp:posOffset>14605</wp:posOffset>
            </wp:positionV>
            <wp:extent cx="7620" cy="762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6225540</wp:posOffset>
            </wp:positionH>
            <wp:positionV relativeFrom="paragraph">
              <wp:posOffset>14605</wp:posOffset>
            </wp:positionV>
            <wp:extent cx="7620" cy="762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14605</wp:posOffset>
            </wp:positionV>
            <wp:extent cx="7620" cy="762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14605</wp:posOffset>
            </wp:positionV>
            <wp:extent cx="7620" cy="762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6270625</wp:posOffset>
            </wp:positionH>
            <wp:positionV relativeFrom="paragraph">
              <wp:posOffset>14605</wp:posOffset>
            </wp:positionV>
            <wp:extent cx="7620" cy="762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14605</wp:posOffset>
            </wp:positionV>
            <wp:extent cx="7620" cy="762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14605</wp:posOffset>
            </wp:positionV>
            <wp:extent cx="7620" cy="762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14605</wp:posOffset>
            </wp:positionV>
            <wp:extent cx="7620" cy="762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6329680</wp:posOffset>
            </wp:positionH>
            <wp:positionV relativeFrom="paragraph">
              <wp:posOffset>14605</wp:posOffset>
            </wp:positionV>
            <wp:extent cx="7620" cy="76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6344920</wp:posOffset>
            </wp:positionH>
            <wp:positionV relativeFrom="paragraph">
              <wp:posOffset>14605</wp:posOffset>
            </wp:positionV>
            <wp:extent cx="7620" cy="762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14605</wp:posOffset>
            </wp:positionV>
            <wp:extent cx="7620" cy="762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14605</wp:posOffset>
            </wp:positionV>
            <wp:extent cx="7620" cy="762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14605</wp:posOffset>
            </wp:positionV>
            <wp:extent cx="7620" cy="762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14605</wp:posOffset>
            </wp:positionV>
            <wp:extent cx="7620" cy="762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6418580</wp:posOffset>
            </wp:positionH>
            <wp:positionV relativeFrom="paragraph">
              <wp:posOffset>14605</wp:posOffset>
            </wp:positionV>
            <wp:extent cx="7620" cy="762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14605</wp:posOffset>
            </wp:positionV>
            <wp:extent cx="7620" cy="762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14605</wp:posOffset>
            </wp:positionV>
            <wp:extent cx="7620" cy="762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6463665</wp:posOffset>
            </wp:positionH>
            <wp:positionV relativeFrom="paragraph">
              <wp:posOffset>14605</wp:posOffset>
            </wp:positionV>
            <wp:extent cx="7620" cy="762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1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14605</wp:posOffset>
            </wp:positionV>
            <wp:extent cx="7620" cy="762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1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14605</wp:posOffset>
            </wp:positionV>
            <wp:extent cx="7620" cy="762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1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6508115</wp:posOffset>
            </wp:positionH>
            <wp:positionV relativeFrom="paragraph">
              <wp:posOffset>14605</wp:posOffset>
            </wp:positionV>
            <wp:extent cx="7620" cy="762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1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14605</wp:posOffset>
            </wp:positionV>
            <wp:extent cx="7620" cy="762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1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7620" cy="762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1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6552565</wp:posOffset>
            </wp:positionH>
            <wp:positionV relativeFrom="paragraph">
              <wp:posOffset>14605</wp:posOffset>
            </wp:positionV>
            <wp:extent cx="7620" cy="762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1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6567170</wp:posOffset>
            </wp:positionH>
            <wp:positionV relativeFrom="paragraph">
              <wp:posOffset>14605</wp:posOffset>
            </wp:positionV>
            <wp:extent cx="7620" cy="762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1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6582410</wp:posOffset>
            </wp:positionH>
            <wp:positionV relativeFrom="paragraph">
              <wp:posOffset>14605</wp:posOffset>
            </wp:positionV>
            <wp:extent cx="7620" cy="762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1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14605</wp:posOffset>
            </wp:positionV>
            <wp:extent cx="7620" cy="762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1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6612255</wp:posOffset>
            </wp:positionH>
            <wp:positionV relativeFrom="paragraph">
              <wp:posOffset>14605</wp:posOffset>
            </wp:positionV>
            <wp:extent cx="7620" cy="762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1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6626860</wp:posOffset>
            </wp:positionH>
            <wp:positionV relativeFrom="paragraph">
              <wp:posOffset>14605</wp:posOffset>
            </wp:positionV>
            <wp:extent cx="7620" cy="762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1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6641465</wp:posOffset>
            </wp:positionH>
            <wp:positionV relativeFrom="paragraph">
              <wp:posOffset>14605</wp:posOffset>
            </wp:positionV>
            <wp:extent cx="7620" cy="762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1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14605</wp:posOffset>
            </wp:positionV>
            <wp:extent cx="7620" cy="762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1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14605</wp:posOffset>
            </wp:positionV>
            <wp:extent cx="7620" cy="762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1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14605</wp:posOffset>
            </wp:positionV>
            <wp:extent cx="7620" cy="762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1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6701155</wp:posOffset>
            </wp:positionH>
            <wp:positionV relativeFrom="paragraph">
              <wp:posOffset>14605</wp:posOffset>
            </wp:positionV>
            <wp:extent cx="7620" cy="762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1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14605</wp:posOffset>
            </wp:positionV>
            <wp:extent cx="7620" cy="762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1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14605</wp:posOffset>
            </wp:positionV>
            <wp:extent cx="7620" cy="762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1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14605</wp:posOffset>
            </wp:positionV>
            <wp:extent cx="7620" cy="762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1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14605</wp:posOffset>
            </wp:positionV>
            <wp:extent cx="7620" cy="762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1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6775450</wp:posOffset>
            </wp:positionH>
            <wp:positionV relativeFrom="paragraph">
              <wp:posOffset>14605</wp:posOffset>
            </wp:positionV>
            <wp:extent cx="7620" cy="762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1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-88900</wp:posOffset>
            </wp:positionV>
            <wp:extent cx="7620" cy="762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1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-74295</wp:posOffset>
            </wp:positionV>
            <wp:extent cx="7620" cy="762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1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-59055</wp:posOffset>
            </wp:positionV>
            <wp:extent cx="7620" cy="762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1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-44450</wp:posOffset>
            </wp:positionV>
            <wp:extent cx="7620" cy="762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1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-29845</wp:posOffset>
            </wp:positionV>
            <wp:extent cx="7620" cy="762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1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-14605</wp:posOffset>
            </wp:positionV>
            <wp:extent cx="7620" cy="762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1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0</wp:posOffset>
            </wp:positionV>
            <wp:extent cx="7620" cy="762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1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14605</wp:posOffset>
            </wp:positionV>
            <wp:extent cx="7620" cy="762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1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14605</wp:posOffset>
            </wp:positionV>
            <wp:extent cx="7620" cy="762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1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14605</wp:posOffset>
            </wp:positionV>
            <wp:extent cx="7620" cy="762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1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14605</wp:posOffset>
            </wp:positionV>
            <wp:extent cx="7620" cy="762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1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14605</wp:posOffset>
            </wp:positionV>
            <wp:extent cx="7620" cy="762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1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255905</wp:posOffset>
            </wp:positionH>
            <wp:positionV relativeFrom="paragraph">
              <wp:posOffset>14605</wp:posOffset>
            </wp:positionV>
            <wp:extent cx="7620" cy="762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1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14605</wp:posOffset>
            </wp:positionV>
            <wp:extent cx="7620" cy="762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1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14605</wp:posOffset>
            </wp:positionV>
            <wp:extent cx="7620" cy="762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1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14605</wp:posOffset>
            </wp:positionV>
            <wp:extent cx="7620" cy="762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1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14605</wp:posOffset>
            </wp:positionV>
            <wp:extent cx="7620" cy="762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1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14605</wp:posOffset>
            </wp:positionV>
            <wp:extent cx="7620" cy="762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1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14605</wp:posOffset>
            </wp:positionV>
            <wp:extent cx="7620" cy="762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1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14605</wp:posOffset>
            </wp:positionV>
            <wp:extent cx="7620" cy="762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1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14605</wp:posOffset>
            </wp:positionV>
            <wp:extent cx="7620" cy="762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1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14605</wp:posOffset>
            </wp:positionV>
            <wp:extent cx="7620" cy="762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1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14605</wp:posOffset>
            </wp:positionV>
            <wp:extent cx="7620" cy="762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1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14605</wp:posOffset>
            </wp:positionV>
            <wp:extent cx="7620" cy="762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1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14605</wp:posOffset>
            </wp:positionV>
            <wp:extent cx="7620" cy="762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1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14605</wp:posOffset>
            </wp:positionV>
            <wp:extent cx="7620" cy="762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14605</wp:posOffset>
            </wp:positionV>
            <wp:extent cx="7620" cy="762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14605</wp:posOffset>
            </wp:positionV>
            <wp:extent cx="7620" cy="762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14605</wp:posOffset>
            </wp:positionV>
            <wp:extent cx="7620" cy="762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14605</wp:posOffset>
            </wp:positionV>
            <wp:extent cx="7620" cy="762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14605</wp:posOffset>
            </wp:positionV>
            <wp:extent cx="7620" cy="762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14605</wp:posOffset>
            </wp:positionV>
            <wp:extent cx="7620" cy="762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14605</wp:posOffset>
            </wp:positionV>
            <wp:extent cx="7620" cy="762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14605</wp:posOffset>
            </wp:positionV>
            <wp:extent cx="7620" cy="762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14605</wp:posOffset>
            </wp:positionV>
            <wp:extent cx="7620" cy="762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14605</wp:posOffset>
            </wp:positionV>
            <wp:extent cx="7620" cy="762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14605</wp:posOffset>
            </wp:positionV>
            <wp:extent cx="7620" cy="762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14605</wp:posOffset>
            </wp:positionV>
            <wp:extent cx="7620" cy="762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14605</wp:posOffset>
            </wp:positionV>
            <wp:extent cx="7620" cy="762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14605</wp:posOffset>
            </wp:positionV>
            <wp:extent cx="7620" cy="762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14605</wp:posOffset>
            </wp:positionV>
            <wp:extent cx="7620" cy="762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14605</wp:posOffset>
            </wp:positionV>
            <wp:extent cx="7620" cy="762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14605</wp:posOffset>
            </wp:positionV>
            <wp:extent cx="7620" cy="762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14605</wp:posOffset>
            </wp:positionV>
            <wp:extent cx="7620" cy="762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14605</wp:posOffset>
            </wp:positionV>
            <wp:extent cx="7620" cy="762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14605</wp:posOffset>
            </wp:positionV>
            <wp:extent cx="7620" cy="762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14605</wp:posOffset>
            </wp:positionV>
            <wp:extent cx="7620" cy="762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14605</wp:posOffset>
            </wp:positionV>
            <wp:extent cx="7620" cy="762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14605</wp:posOffset>
            </wp:positionV>
            <wp:extent cx="7620" cy="762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805180</wp:posOffset>
            </wp:positionH>
            <wp:positionV relativeFrom="paragraph">
              <wp:posOffset>14605</wp:posOffset>
            </wp:positionV>
            <wp:extent cx="7620" cy="762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14605</wp:posOffset>
            </wp:positionV>
            <wp:extent cx="7620" cy="762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14605</wp:posOffset>
            </wp:positionV>
            <wp:extent cx="7620" cy="762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14605</wp:posOffset>
            </wp:positionV>
            <wp:extent cx="7620" cy="762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864870</wp:posOffset>
            </wp:positionH>
            <wp:positionV relativeFrom="paragraph">
              <wp:posOffset>14605</wp:posOffset>
            </wp:positionV>
            <wp:extent cx="7620" cy="762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14605</wp:posOffset>
            </wp:positionV>
            <wp:extent cx="7620" cy="762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14605</wp:posOffset>
            </wp:positionV>
            <wp:extent cx="7620" cy="762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909320</wp:posOffset>
            </wp:positionH>
            <wp:positionV relativeFrom="paragraph">
              <wp:posOffset>14605</wp:posOffset>
            </wp:positionV>
            <wp:extent cx="7620" cy="762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923925</wp:posOffset>
            </wp:positionH>
            <wp:positionV relativeFrom="paragraph">
              <wp:posOffset>14605</wp:posOffset>
            </wp:positionV>
            <wp:extent cx="7620" cy="762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14605</wp:posOffset>
            </wp:positionV>
            <wp:extent cx="7620" cy="762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14605</wp:posOffset>
            </wp:positionV>
            <wp:extent cx="7620" cy="762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14605</wp:posOffset>
            </wp:positionV>
            <wp:extent cx="7620" cy="762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983615</wp:posOffset>
            </wp:positionH>
            <wp:positionV relativeFrom="paragraph">
              <wp:posOffset>14605</wp:posOffset>
            </wp:positionV>
            <wp:extent cx="7620" cy="762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14605</wp:posOffset>
            </wp:positionV>
            <wp:extent cx="7620" cy="762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14605</wp:posOffset>
            </wp:positionV>
            <wp:extent cx="7620" cy="762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14605</wp:posOffset>
            </wp:positionV>
            <wp:extent cx="7620" cy="762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14605</wp:posOffset>
            </wp:positionV>
            <wp:extent cx="7620" cy="762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14605</wp:posOffset>
            </wp:positionV>
            <wp:extent cx="7620" cy="762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14605</wp:posOffset>
            </wp:positionV>
            <wp:extent cx="7620" cy="762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1087755</wp:posOffset>
            </wp:positionH>
            <wp:positionV relativeFrom="paragraph">
              <wp:posOffset>14605</wp:posOffset>
            </wp:positionV>
            <wp:extent cx="7620" cy="762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14605</wp:posOffset>
            </wp:positionV>
            <wp:extent cx="7620" cy="762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14605</wp:posOffset>
            </wp:positionV>
            <wp:extent cx="7620" cy="762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14605</wp:posOffset>
            </wp:positionV>
            <wp:extent cx="7620" cy="762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14605</wp:posOffset>
            </wp:positionV>
            <wp:extent cx="7620" cy="762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14605</wp:posOffset>
            </wp:positionV>
            <wp:extent cx="7620" cy="762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14605</wp:posOffset>
            </wp:positionV>
            <wp:extent cx="7620" cy="762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1191260</wp:posOffset>
            </wp:positionH>
            <wp:positionV relativeFrom="paragraph">
              <wp:posOffset>14605</wp:posOffset>
            </wp:positionV>
            <wp:extent cx="7620" cy="762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14605</wp:posOffset>
            </wp:positionV>
            <wp:extent cx="7620" cy="762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14605</wp:posOffset>
            </wp:positionV>
            <wp:extent cx="7620" cy="762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1235710</wp:posOffset>
            </wp:positionH>
            <wp:positionV relativeFrom="paragraph">
              <wp:posOffset>14605</wp:posOffset>
            </wp:positionV>
            <wp:extent cx="7620" cy="762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2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14605</wp:posOffset>
            </wp:positionV>
            <wp:extent cx="7620" cy="762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2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14605</wp:posOffset>
            </wp:positionV>
            <wp:extent cx="7620" cy="762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2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14605</wp:posOffset>
            </wp:positionV>
            <wp:extent cx="7620" cy="762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2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14605</wp:posOffset>
            </wp:positionV>
            <wp:extent cx="7620" cy="762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2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14605</wp:posOffset>
            </wp:positionV>
            <wp:extent cx="7620" cy="762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2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14605</wp:posOffset>
            </wp:positionV>
            <wp:extent cx="7620" cy="762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2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14605</wp:posOffset>
            </wp:positionV>
            <wp:extent cx="7620" cy="762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2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1354455</wp:posOffset>
            </wp:positionH>
            <wp:positionV relativeFrom="paragraph">
              <wp:posOffset>14605</wp:posOffset>
            </wp:positionV>
            <wp:extent cx="7620" cy="762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2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1369695</wp:posOffset>
            </wp:positionH>
            <wp:positionV relativeFrom="paragraph">
              <wp:posOffset>14605</wp:posOffset>
            </wp:positionV>
            <wp:extent cx="7620" cy="762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2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14605</wp:posOffset>
            </wp:positionV>
            <wp:extent cx="7620" cy="762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2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14605</wp:posOffset>
            </wp:positionV>
            <wp:extent cx="7620" cy="762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2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14605</wp:posOffset>
            </wp:positionV>
            <wp:extent cx="7620" cy="762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2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14605</wp:posOffset>
            </wp:positionV>
            <wp:extent cx="7620" cy="762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2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14605</wp:posOffset>
            </wp:positionV>
            <wp:extent cx="7620" cy="762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2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14605</wp:posOffset>
            </wp:positionV>
            <wp:extent cx="7620" cy="762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2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1473835</wp:posOffset>
            </wp:positionH>
            <wp:positionV relativeFrom="paragraph">
              <wp:posOffset>14605</wp:posOffset>
            </wp:positionV>
            <wp:extent cx="7620" cy="762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2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14605</wp:posOffset>
            </wp:positionV>
            <wp:extent cx="7620" cy="762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2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14605</wp:posOffset>
            </wp:positionV>
            <wp:extent cx="7620" cy="762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2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14605</wp:posOffset>
            </wp:positionV>
            <wp:extent cx="7620" cy="762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2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14605</wp:posOffset>
            </wp:positionV>
            <wp:extent cx="7620" cy="762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2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14605</wp:posOffset>
            </wp:positionV>
            <wp:extent cx="7620" cy="762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2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14605</wp:posOffset>
            </wp:positionV>
            <wp:extent cx="7620" cy="762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2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1577340</wp:posOffset>
            </wp:positionH>
            <wp:positionV relativeFrom="paragraph">
              <wp:posOffset>14605</wp:posOffset>
            </wp:positionV>
            <wp:extent cx="7620" cy="762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2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1592580</wp:posOffset>
            </wp:positionH>
            <wp:positionV relativeFrom="paragraph">
              <wp:posOffset>14605</wp:posOffset>
            </wp:positionV>
            <wp:extent cx="7620" cy="762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2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14605</wp:posOffset>
            </wp:positionV>
            <wp:extent cx="7620" cy="762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2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14605</wp:posOffset>
            </wp:positionV>
            <wp:extent cx="7620" cy="762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2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14605</wp:posOffset>
            </wp:positionV>
            <wp:extent cx="7620" cy="762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2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14605</wp:posOffset>
            </wp:positionV>
            <wp:extent cx="7620" cy="762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2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14605</wp:posOffset>
            </wp:positionV>
            <wp:extent cx="7620" cy="762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2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1681480</wp:posOffset>
            </wp:positionH>
            <wp:positionV relativeFrom="paragraph">
              <wp:posOffset>14605</wp:posOffset>
            </wp:positionV>
            <wp:extent cx="7620" cy="762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2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14605</wp:posOffset>
            </wp:positionV>
            <wp:extent cx="7620" cy="762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2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14605</wp:posOffset>
            </wp:positionV>
            <wp:extent cx="7620" cy="762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2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14605</wp:posOffset>
            </wp:positionV>
            <wp:extent cx="7620" cy="762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2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14605</wp:posOffset>
            </wp:positionV>
            <wp:extent cx="7620" cy="762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2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1755775</wp:posOffset>
            </wp:positionH>
            <wp:positionV relativeFrom="paragraph">
              <wp:posOffset>14605</wp:posOffset>
            </wp:positionV>
            <wp:extent cx="7620" cy="762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2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14605</wp:posOffset>
            </wp:positionV>
            <wp:extent cx="7620" cy="762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2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14605</wp:posOffset>
            </wp:positionV>
            <wp:extent cx="7620" cy="762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2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14605</wp:posOffset>
            </wp:positionV>
            <wp:extent cx="7620" cy="762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2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14605</wp:posOffset>
            </wp:positionV>
            <wp:extent cx="7620" cy="762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2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14605</wp:posOffset>
            </wp:positionV>
            <wp:extent cx="7620" cy="762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2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1844675</wp:posOffset>
            </wp:positionH>
            <wp:positionV relativeFrom="paragraph">
              <wp:posOffset>14605</wp:posOffset>
            </wp:positionV>
            <wp:extent cx="7620" cy="762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2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1859915</wp:posOffset>
            </wp:positionH>
            <wp:positionV relativeFrom="paragraph">
              <wp:posOffset>14605</wp:posOffset>
            </wp:positionV>
            <wp:extent cx="7620" cy="762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2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14605</wp:posOffset>
            </wp:positionV>
            <wp:extent cx="7620" cy="762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14605</wp:posOffset>
            </wp:positionV>
            <wp:extent cx="7620" cy="762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2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14605</wp:posOffset>
            </wp:positionV>
            <wp:extent cx="7620" cy="762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2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14605</wp:posOffset>
            </wp:positionV>
            <wp:extent cx="7620" cy="762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2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14605</wp:posOffset>
            </wp:positionV>
            <wp:extent cx="7620" cy="762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2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14605</wp:posOffset>
            </wp:positionV>
            <wp:extent cx="7620" cy="762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2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14605</wp:posOffset>
            </wp:positionV>
            <wp:extent cx="7620" cy="762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2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14605</wp:posOffset>
            </wp:positionV>
            <wp:extent cx="7620" cy="762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2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14605</wp:posOffset>
            </wp:positionV>
            <wp:extent cx="7620" cy="762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2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14605</wp:posOffset>
            </wp:positionV>
            <wp:extent cx="7620" cy="762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2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14605</wp:posOffset>
            </wp:positionV>
            <wp:extent cx="7620" cy="762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2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14605</wp:posOffset>
            </wp:positionV>
            <wp:extent cx="7620" cy="762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2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14605</wp:posOffset>
            </wp:positionV>
            <wp:extent cx="7620" cy="762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2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14605</wp:posOffset>
            </wp:positionV>
            <wp:extent cx="7620" cy="762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14605</wp:posOffset>
            </wp:positionV>
            <wp:extent cx="7620" cy="762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14605</wp:posOffset>
            </wp:positionV>
            <wp:extent cx="7620" cy="762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2112010</wp:posOffset>
            </wp:positionH>
            <wp:positionV relativeFrom="paragraph">
              <wp:posOffset>14605</wp:posOffset>
            </wp:positionV>
            <wp:extent cx="7620" cy="762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14605</wp:posOffset>
            </wp:positionV>
            <wp:extent cx="7620" cy="762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14605</wp:posOffset>
            </wp:positionV>
            <wp:extent cx="7620" cy="762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14605</wp:posOffset>
            </wp:positionV>
            <wp:extent cx="7620" cy="762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14605</wp:posOffset>
            </wp:positionV>
            <wp:extent cx="7620" cy="762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14605</wp:posOffset>
            </wp:positionV>
            <wp:extent cx="7620" cy="762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14605</wp:posOffset>
            </wp:positionV>
            <wp:extent cx="7620" cy="762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14605</wp:posOffset>
            </wp:positionV>
            <wp:extent cx="7620" cy="762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2230755</wp:posOffset>
            </wp:positionH>
            <wp:positionV relativeFrom="paragraph">
              <wp:posOffset>14605</wp:posOffset>
            </wp:positionV>
            <wp:extent cx="7620" cy="762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14605</wp:posOffset>
            </wp:positionV>
            <wp:extent cx="7620" cy="762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14605</wp:posOffset>
            </wp:positionV>
            <wp:extent cx="7620" cy="762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14605</wp:posOffset>
            </wp:positionV>
            <wp:extent cx="7620" cy="762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14605</wp:posOffset>
            </wp:positionV>
            <wp:extent cx="7620" cy="762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14605</wp:posOffset>
            </wp:positionV>
            <wp:extent cx="7620" cy="762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14605</wp:posOffset>
            </wp:positionV>
            <wp:extent cx="7620" cy="762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14605</wp:posOffset>
            </wp:positionV>
            <wp:extent cx="7620" cy="762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14605</wp:posOffset>
            </wp:positionV>
            <wp:extent cx="7620" cy="762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14605</wp:posOffset>
            </wp:positionV>
            <wp:extent cx="7620" cy="762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14605</wp:posOffset>
            </wp:positionV>
            <wp:extent cx="7620" cy="762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14605</wp:posOffset>
            </wp:positionV>
            <wp:extent cx="7620" cy="762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14605</wp:posOffset>
            </wp:positionV>
            <wp:extent cx="7620" cy="762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14605</wp:posOffset>
            </wp:positionV>
            <wp:extent cx="7620" cy="762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14605</wp:posOffset>
            </wp:positionV>
            <wp:extent cx="7620" cy="762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14605</wp:posOffset>
            </wp:positionV>
            <wp:extent cx="7620" cy="762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2468880</wp:posOffset>
            </wp:positionH>
            <wp:positionV relativeFrom="paragraph">
              <wp:posOffset>14605</wp:posOffset>
            </wp:positionV>
            <wp:extent cx="7620" cy="762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14605</wp:posOffset>
            </wp:positionV>
            <wp:extent cx="7620" cy="762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14605</wp:posOffset>
            </wp:positionV>
            <wp:extent cx="7620" cy="762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14605</wp:posOffset>
            </wp:positionV>
            <wp:extent cx="7620" cy="762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14605</wp:posOffset>
            </wp:positionV>
            <wp:extent cx="7620" cy="762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14605</wp:posOffset>
            </wp:positionV>
            <wp:extent cx="7620" cy="762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14605</wp:posOffset>
            </wp:positionV>
            <wp:extent cx="7620" cy="762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14605</wp:posOffset>
            </wp:positionV>
            <wp:extent cx="7620" cy="762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14605</wp:posOffset>
            </wp:positionV>
            <wp:extent cx="7620" cy="762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14605</wp:posOffset>
            </wp:positionV>
            <wp:extent cx="7620" cy="762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14605</wp:posOffset>
            </wp:positionV>
            <wp:extent cx="7620" cy="762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14605</wp:posOffset>
            </wp:positionV>
            <wp:extent cx="7620" cy="762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14605</wp:posOffset>
            </wp:positionV>
            <wp:extent cx="7620" cy="762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14605</wp:posOffset>
            </wp:positionV>
            <wp:extent cx="7620" cy="762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14605</wp:posOffset>
            </wp:positionV>
            <wp:extent cx="7620" cy="762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14605</wp:posOffset>
            </wp:positionV>
            <wp:extent cx="7620" cy="762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14605</wp:posOffset>
            </wp:positionV>
            <wp:extent cx="7620" cy="762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14605</wp:posOffset>
            </wp:positionV>
            <wp:extent cx="7620" cy="762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3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14605</wp:posOffset>
            </wp:positionV>
            <wp:extent cx="7620" cy="762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3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14605</wp:posOffset>
            </wp:positionV>
            <wp:extent cx="7620" cy="762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3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14605</wp:posOffset>
            </wp:positionV>
            <wp:extent cx="7620" cy="762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3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14605</wp:posOffset>
            </wp:positionV>
            <wp:extent cx="7620" cy="762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3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14605</wp:posOffset>
            </wp:positionV>
            <wp:extent cx="7620" cy="762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3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14605</wp:posOffset>
            </wp:positionV>
            <wp:extent cx="7620" cy="762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3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14605</wp:posOffset>
            </wp:positionV>
            <wp:extent cx="7620" cy="762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3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14605</wp:posOffset>
            </wp:positionV>
            <wp:extent cx="7620" cy="762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3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14605</wp:posOffset>
            </wp:positionV>
            <wp:extent cx="7620" cy="762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3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14605</wp:posOffset>
            </wp:positionV>
            <wp:extent cx="7620" cy="762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3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14605</wp:posOffset>
            </wp:positionV>
            <wp:extent cx="7620" cy="762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3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2899410</wp:posOffset>
            </wp:positionH>
            <wp:positionV relativeFrom="paragraph">
              <wp:posOffset>14605</wp:posOffset>
            </wp:positionV>
            <wp:extent cx="7620" cy="762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3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14605</wp:posOffset>
            </wp:positionV>
            <wp:extent cx="7620" cy="762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3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14605</wp:posOffset>
            </wp:positionV>
            <wp:extent cx="7620" cy="762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3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14605</wp:posOffset>
            </wp:positionV>
            <wp:extent cx="7620" cy="762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3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14605</wp:posOffset>
            </wp:positionV>
            <wp:extent cx="7620" cy="762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3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14605</wp:posOffset>
            </wp:positionV>
            <wp:extent cx="7620" cy="762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3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14605</wp:posOffset>
            </wp:positionV>
            <wp:extent cx="7620" cy="762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3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14605</wp:posOffset>
            </wp:positionV>
            <wp:extent cx="7620" cy="762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3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14605</wp:posOffset>
            </wp:positionV>
            <wp:extent cx="7620" cy="762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3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14605</wp:posOffset>
            </wp:positionV>
            <wp:extent cx="7620" cy="762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3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14605</wp:posOffset>
            </wp:positionV>
            <wp:extent cx="7620" cy="762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3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14605</wp:posOffset>
            </wp:positionV>
            <wp:extent cx="7620" cy="762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3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14605</wp:posOffset>
            </wp:positionV>
            <wp:extent cx="7620" cy="762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3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14605</wp:posOffset>
            </wp:positionV>
            <wp:extent cx="7620" cy="762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3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3107055</wp:posOffset>
            </wp:positionH>
            <wp:positionV relativeFrom="paragraph">
              <wp:posOffset>14605</wp:posOffset>
            </wp:positionV>
            <wp:extent cx="7620" cy="762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3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14605</wp:posOffset>
            </wp:positionV>
            <wp:extent cx="7620" cy="762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3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3136900</wp:posOffset>
            </wp:positionH>
            <wp:positionV relativeFrom="paragraph">
              <wp:posOffset>14605</wp:posOffset>
            </wp:positionV>
            <wp:extent cx="7620" cy="762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3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14605</wp:posOffset>
            </wp:positionV>
            <wp:extent cx="7620" cy="762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3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14605</wp:posOffset>
            </wp:positionV>
            <wp:extent cx="7620" cy="762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3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14605</wp:posOffset>
            </wp:positionV>
            <wp:extent cx="7620" cy="762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3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-88900</wp:posOffset>
            </wp:positionV>
            <wp:extent cx="7620" cy="762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3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-74295</wp:posOffset>
            </wp:positionV>
            <wp:extent cx="7620" cy="762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3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-59055</wp:posOffset>
            </wp:positionV>
            <wp:extent cx="7620" cy="762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3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-44450</wp:posOffset>
            </wp:positionV>
            <wp:extent cx="7620" cy="762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3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-29845</wp:posOffset>
            </wp:positionV>
            <wp:extent cx="7620" cy="762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3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-14605</wp:posOffset>
            </wp:positionV>
            <wp:extent cx="7620" cy="762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3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0</wp:posOffset>
            </wp:positionV>
            <wp:extent cx="7620" cy="762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3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14605</wp:posOffset>
            </wp:positionV>
            <wp:extent cx="7620" cy="762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3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-88900</wp:posOffset>
            </wp:positionV>
            <wp:extent cx="7620" cy="762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3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-74295</wp:posOffset>
            </wp:positionV>
            <wp:extent cx="7620" cy="762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3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-59055</wp:posOffset>
            </wp:positionV>
            <wp:extent cx="7620" cy="762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3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-44450</wp:posOffset>
            </wp:positionV>
            <wp:extent cx="7620" cy="762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3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-29845</wp:posOffset>
            </wp:positionV>
            <wp:extent cx="7620" cy="762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3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-14605</wp:posOffset>
            </wp:positionV>
            <wp:extent cx="7620" cy="762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3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0</wp:posOffset>
            </wp:positionV>
            <wp:extent cx="7620" cy="762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3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14605</wp:posOffset>
            </wp:positionV>
            <wp:extent cx="7620" cy="762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347">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- 8</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680"/>
          </w:cols>
          <w:pgMar w:left="320" w:top="911" w:right="899" w:bottom="1440" w:gutter="0" w:footer="0" w:header="0"/>
          <w:type w:val="continuous"/>
        </w:sectPr>
      </w:pPr>
    </w:p>
    <w:bookmarkStart w:id="127" w:name="page128"/>
    <w:bookmarkEnd w:id="127"/>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348">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605790</wp:posOffset>
            </wp:positionV>
            <wp:extent cx="6616065" cy="1270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349">
                      <a:extLst>
                        <a:ext uri="{28A0092B-C50C-407E-A947-70E740481C1C}"/>
                      </a:extLst>
                    </a:blip>
                    <a:srcRect/>
                    <a:stretch>
                      <a:fillRect/>
                    </a:stretch>
                  </pic:blipFill>
                  <pic:spPr bwMode="auto">
                    <a:xfrm>
                      <a:off x="0" y="0"/>
                      <a:ext cx="6616065"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00" w:right="300"/>
        <w:spacing w:after="0" w:line="267" w:lineRule="auto"/>
        <w:rPr>
          <w:sz w:val="20"/>
          <w:szCs w:val="20"/>
          <w:color w:val="auto"/>
        </w:rPr>
      </w:pPr>
      <w:r>
        <w:rPr>
          <w:rFonts w:ascii="Arial" w:cs="Arial" w:eastAsia="Arial" w:hAnsi="Arial"/>
          <w:sz w:val="13"/>
          <w:szCs w:val="13"/>
          <w:b w:val="1"/>
          <w:bCs w:val="1"/>
          <w:i w:val="1"/>
          <w:iCs w:val="1"/>
          <w:color w:val="auto"/>
        </w:rPr>
        <w:t>The Participant understands that Data will be held only as long as is necessary to Peserta memahami bahawa Data akan dipegang hanya untuk tempoh yang diperlukan untuk implement, administer and manage the Participant’s participation in the Plan. melaksanakan, mentadbir dan menguruskan penyertaannya dalam Pelan tersebut. Peserta The Participant understands that he or she may, at any time, view Data, request memahami bahawa dia boleh, pada bila-bila masa, melihat data, meminta maklumat tambahan additional information about the storage and processing of Data, require any mengenai penyimpanan dan pemprosesan Data, meminta bahawa pindaan-pindaan necessary amendments to Data or refuse or withdraw the consents herein, in any dilaksanakan ke atas Data atau menolak atau menarik balik persetujuan dalam ini, dalam case without cost, by contacting in writing his or her local human resources mana-mana kes, tanpa kos, dengan menghubungi secara bertulis wakil sumber manusia representative. The Participant understands, however, that refusing or tempatannya. Peserta memahami bahawa keengganan atau penarikan balik persetujuannya withdrawing his or her consent may affect the Participant’s ability to participate boleh menjejaskan keupayaannya untuk mengambil bahagian dalam Pelan. Untuk maklumat in the Plan. For more information on the consequences of a refusal to consent or lanjut mengenai akibat keengganannya untuk memberikan keizinan atau penarikan balik withdrawal of consent, the Participant understands that he or she may contact keizinan, Peserta fahami bahawa dia boleh menghubungi pentadbir pelan saham serantau di his or her regional stock plan administrator at Stock_Plan_Admin@Analog.com. Stock_Plan_Admin@Analog.com.</w:t>
      </w:r>
    </w:p>
    <w:p>
      <w:pPr>
        <w:spacing w:after="0" w:line="377"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MEXICO</w:t>
      </w:r>
    </w:p>
    <w:p>
      <w:pPr>
        <w:spacing w:after="0" w:line="217" w:lineRule="exact"/>
        <w:rPr>
          <w:sz w:val="20"/>
          <w:szCs w:val="20"/>
          <w:color w:val="auto"/>
        </w:rPr>
      </w:pPr>
    </w:p>
    <w:p>
      <w:pPr>
        <w:jc w:val="both"/>
        <w:ind w:left="280" w:right="20"/>
        <w:spacing w:after="0" w:line="291" w:lineRule="auto"/>
        <w:rPr>
          <w:sz w:val="20"/>
          <w:szCs w:val="20"/>
          <w:color w:val="auto"/>
        </w:rPr>
      </w:pPr>
      <w:r>
        <w:rPr>
          <w:rFonts w:ascii="Arial" w:cs="Arial" w:eastAsia="Arial" w:hAnsi="Arial"/>
          <w:sz w:val="12"/>
          <w:szCs w:val="12"/>
          <w:u w:val="single" w:color="auto"/>
          <w:color w:val="auto"/>
        </w:rPr>
        <w:t>Acknowledgment of the Agreement</w:t>
      </w:r>
      <w:r>
        <w:rPr>
          <w:rFonts w:ascii="Arial" w:cs="Arial" w:eastAsia="Arial" w:hAnsi="Arial"/>
          <w:sz w:val="12"/>
          <w:szCs w:val="12"/>
          <w:color w:val="auto"/>
        </w:rPr>
        <w:t>. By participating in the Plan, the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w:t>
      </w:r>
    </w:p>
    <w:p>
      <w:pPr>
        <w:spacing w:after="0" w:line="1" w:lineRule="exact"/>
        <w:rPr>
          <w:sz w:val="20"/>
          <w:szCs w:val="20"/>
          <w:color w:val="auto"/>
        </w:rPr>
      </w:pPr>
    </w:p>
    <w:p>
      <w:pPr>
        <w:ind w:left="280" w:hanging="6"/>
        <w:spacing w:after="0" w:line="253" w:lineRule="auto"/>
        <w:tabs>
          <w:tab w:leader="none" w:pos="48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51" w:lineRule="exact"/>
        <w:rPr>
          <w:sz w:val="20"/>
          <w:szCs w:val="20"/>
          <w:color w:val="auto"/>
        </w:rPr>
      </w:pPr>
    </w:p>
    <w:p>
      <w:pPr>
        <w:jc w:val="both"/>
        <w:ind w:left="280"/>
        <w:spacing w:after="0" w:line="249" w:lineRule="auto"/>
        <w:rPr>
          <w:sz w:val="20"/>
          <w:szCs w:val="20"/>
          <w:color w:val="auto"/>
        </w:rPr>
      </w:pPr>
      <w:r>
        <w:rPr>
          <w:rFonts w:ascii="Arial" w:cs="Arial" w:eastAsia="Arial" w:hAnsi="Arial"/>
          <w:sz w:val="14"/>
          <w:szCs w:val="14"/>
          <w:u w:val="single" w:color="auto"/>
          <w:color w:val="auto"/>
        </w:rPr>
        <w:t>Labor Law Policy and Acknowledgment</w:t>
      </w:r>
      <w:r>
        <w:rPr>
          <w:rFonts w:ascii="Arial" w:cs="Arial" w:eastAsia="Arial" w:hAnsi="Arial"/>
          <w:sz w:val="14"/>
          <w:szCs w:val="14"/>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44"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41"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49" w:lineRule="exact"/>
        <w:rPr>
          <w:sz w:val="20"/>
          <w:szCs w:val="20"/>
          <w:color w:val="auto"/>
        </w:rPr>
      </w:pPr>
    </w:p>
    <w:p>
      <w:pPr>
        <w:jc w:val="both"/>
        <w:ind w:left="280"/>
        <w:spacing w:after="0" w:line="250" w:lineRule="auto"/>
        <w:rPr>
          <w:sz w:val="20"/>
          <w:szCs w:val="20"/>
          <w:color w:val="auto"/>
        </w:rPr>
      </w:pPr>
      <w:r>
        <w:rPr>
          <w:rFonts w:ascii="Arial" w:cs="Arial" w:eastAsia="Arial" w:hAnsi="Arial"/>
          <w:sz w:val="14"/>
          <w:szCs w:val="14"/>
          <w:i w:val="1"/>
          <w:iCs w:val="1"/>
          <w:u w:val="single" w:color="auto"/>
          <w:color w:val="auto"/>
        </w:rPr>
        <w:t>Reconocimiento del Contrato</w:t>
      </w:r>
      <w:r>
        <w:rPr>
          <w:rFonts w:ascii="Arial" w:cs="Arial" w:eastAsia="Arial" w:hAnsi="Arial"/>
          <w:sz w:val="14"/>
          <w:szCs w:val="14"/>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44"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i w:val="1"/>
          <w:iCs w:val="1"/>
          <w:u w:val="single" w:color="auto"/>
          <w:color w:val="auto"/>
        </w:rPr>
        <w:t>Política de Legislación Laboral y Reconocimiento</w:t>
      </w:r>
      <w:r>
        <w:rPr>
          <w:rFonts w:ascii="Arial" w:cs="Arial" w:eastAsia="Arial" w:hAnsi="Arial"/>
          <w:sz w:val="14"/>
          <w:szCs w:val="14"/>
          <w:i w:val="1"/>
          <w:iCs w:val="1"/>
          <w:color w:val="auto"/>
        </w:rPr>
        <w:t>. Al participar en el Plan, usted reconoce expresamente que Analog Devices, Inc., con oficinas registradas en One Analog Way, Wilmington, Massachusetts, 01887 EE.UU, es la única responsable por la administración del</w:t>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- 9</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1" w:right="599" w:bottom="1440" w:gutter="0" w:footer="0" w:header="0"/>
        </w:sectPr>
      </w:pPr>
    </w:p>
    <w:bookmarkStart w:id="128" w:name="page129"/>
    <w:bookmarkEnd w:id="128"/>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350">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80"/>
        <w:spacing w:after="0" w:line="253" w:lineRule="auto"/>
        <w:rPr>
          <w:sz w:val="20"/>
          <w:szCs w:val="20"/>
          <w:color w:val="auto"/>
        </w:rPr>
      </w:pPr>
      <w:r>
        <w:rPr>
          <w:rFonts w:ascii="Arial" w:cs="Arial" w:eastAsia="Arial" w:hAnsi="Arial"/>
          <w:sz w:val="14"/>
          <w:szCs w:val="14"/>
          <w:i w:val="1"/>
          <w:iCs w:val="1"/>
          <w:color w:val="auto"/>
        </w:rPr>
        <w:t>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40"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1" w:lineRule="exact"/>
        <w:rPr>
          <w:sz w:val="20"/>
          <w:szCs w:val="20"/>
          <w:color w:val="auto"/>
        </w:rPr>
      </w:pPr>
    </w:p>
    <w:p>
      <w:pPr>
        <w:jc w:val="both"/>
        <w:ind w:left="280" w:right="20"/>
        <w:spacing w:after="0" w:line="286" w:lineRule="auto"/>
        <w:rPr>
          <w:sz w:val="20"/>
          <w:szCs w:val="20"/>
          <w:color w:val="auto"/>
        </w:rPr>
      </w:pPr>
      <w:r>
        <w:rPr>
          <w:rFonts w:ascii="Arial" w:cs="Arial" w:eastAsia="Arial" w:hAnsi="Arial"/>
          <w:sz w:val="13"/>
          <w:szCs w:val="13"/>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NETHERLANDS</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No Entitlement</w:t>
      </w:r>
      <w:r>
        <w:rPr>
          <w:rFonts w:ascii="Arial" w:cs="Arial" w:eastAsia="Arial" w:hAnsi="Arial"/>
          <w:sz w:val="14"/>
          <w:szCs w:val="14"/>
          <w:color w:val="auto"/>
        </w:rPr>
        <w:t>. This provision supplements Section 9(d) of the Agreement:</w:t>
      </w:r>
    </w:p>
    <w:p>
      <w:pPr>
        <w:spacing w:after="0" w:line="143"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By accepting the RSU, the Participant acknowledges that the RSU is intended as an incentive for the Participant to remain employed with the Employer and is not intended as remuneration for labor performed.</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NORWAY</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There are no country-specific provisions.</w:t>
      </w:r>
    </w:p>
    <w:p>
      <w:pPr>
        <w:spacing w:after="0" w:line="209"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POLAND</w:t>
      </w:r>
    </w:p>
    <w:p>
      <w:pPr>
        <w:spacing w:after="0" w:line="229"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280"/>
        <w:spacing w:after="0" w:line="278"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ROMANIA</w:t>
      </w:r>
    </w:p>
    <w:p>
      <w:pPr>
        <w:spacing w:after="0" w:line="217"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SERBIA</w:t>
      </w:r>
    </w:p>
    <w:p>
      <w:pPr>
        <w:spacing w:after="0" w:line="229"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grant of RSUs and the issuance of any Shares are not subject to the regulations concerning public offers and private placements under the Law on Capital Markets.</w:t>
      </w:r>
    </w:p>
    <w:p>
      <w:pPr>
        <w:spacing w:after="0" w:line="129"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Pursuant to the Law on Foreign Exchange Transactions, the Participant is permitted to acquire Shares under the Plan, but a report may need to be made of the acquisition of such Shares, the value of the Shares at vesting, and, on a quarterly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- 10</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0" w:right="599" w:bottom="1440" w:gutter="0" w:footer="0" w:header="0"/>
        </w:sectPr>
      </w:pPr>
    </w:p>
    <w:bookmarkStart w:id="129" w:name="page130"/>
    <w:bookmarkEnd w:id="129"/>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351">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basis, any changes in the value of the Shares. As the exchange control regulations in Serbia may change without notice, the Participant should consult with his or her personal advisor with respect to all applicable reporting obligations.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SINGAPORE</w:t>
      </w:r>
    </w:p>
    <w:p>
      <w:pPr>
        <w:spacing w:after="0" w:line="217" w:lineRule="exact"/>
        <w:rPr>
          <w:sz w:val="20"/>
          <w:szCs w:val="20"/>
          <w:color w:val="auto"/>
        </w:rPr>
      </w:pPr>
    </w:p>
    <w:p>
      <w:pPr>
        <w:jc w:val="both"/>
        <w:ind w:left="280"/>
        <w:spacing w:after="0" w:line="278" w:lineRule="auto"/>
        <w:rPr>
          <w:sz w:val="20"/>
          <w:szCs w:val="20"/>
          <w:color w:val="auto"/>
        </w:rPr>
      </w:pPr>
      <w:r>
        <w:rPr>
          <w:rFonts w:ascii="Arial" w:cs="Arial" w:eastAsia="Arial" w:hAnsi="Arial"/>
          <w:sz w:val="13"/>
          <w:szCs w:val="13"/>
          <w:u w:val="single" w:color="auto"/>
          <w:color w:val="auto"/>
        </w:rPr>
        <w:t>Securities Law Information</w:t>
      </w:r>
      <w:r>
        <w:rPr>
          <w:rFonts w:ascii="Arial" w:cs="Arial" w:eastAsia="Arial" w:hAnsi="Arial"/>
          <w:sz w:val="13"/>
          <w:szCs w:val="13"/>
          <w:color w:val="auto"/>
        </w:rPr>
        <w:t>. The RSUs were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w:t>
      </w:r>
    </w:p>
    <w:p>
      <w:pPr>
        <w:spacing w:after="0" w:line="184" w:lineRule="exact"/>
        <w:rPr>
          <w:sz w:val="20"/>
          <w:szCs w:val="20"/>
          <w:color w:val="auto"/>
        </w:rPr>
      </w:pPr>
    </w:p>
    <w:p>
      <w:pPr>
        <w:jc w:val="both"/>
        <w:ind w:left="280"/>
        <w:spacing w:after="0" w:line="269" w:lineRule="auto"/>
        <w:rPr>
          <w:sz w:val="20"/>
          <w:szCs w:val="20"/>
          <w:color w:val="auto"/>
        </w:rPr>
      </w:pPr>
      <w:r>
        <w:rPr>
          <w:rFonts w:ascii="Arial" w:cs="Arial" w:eastAsia="Arial" w:hAnsi="Arial"/>
          <w:sz w:val="13"/>
          <w:szCs w:val="13"/>
          <w:u w:val="single" w:color="auto"/>
          <w:color w:val="auto"/>
        </w:rPr>
        <w:t>Director Notification</w:t>
      </w:r>
      <w:r>
        <w:rPr>
          <w:rFonts w:ascii="Arial" w:cs="Arial" w:eastAsia="Arial" w:hAnsi="Arial"/>
          <w:sz w:val="13"/>
          <w:szCs w:val="13"/>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Arial" w:cs="Arial" w:eastAsia="Arial" w:hAnsi="Arial"/>
          <w:sz w:val="13"/>
          <w:szCs w:val="13"/>
          <w:i w:val="1"/>
          <w:iCs w:val="1"/>
          <w:color w:val="auto"/>
        </w:rPr>
        <w:t>e.g.</w:t>
      </w:r>
      <w:r>
        <w:rPr>
          <w:rFonts w:ascii="Arial" w:cs="Arial" w:eastAsia="Arial" w:hAnsi="Arial"/>
          <w:sz w:val="13"/>
          <w:szCs w:val="13"/>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 the above notification requirements also may apply to the Participant.</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SPAIN</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No Entitlement</w:t>
      </w:r>
      <w:r>
        <w:rPr>
          <w:rFonts w:ascii="Arial" w:cs="Arial" w:eastAsia="Arial" w:hAnsi="Arial"/>
          <w:sz w:val="14"/>
          <w:szCs w:val="14"/>
          <w:color w:val="auto"/>
        </w:rPr>
        <w:t>. This provision supplements Section 9(d) of the Agreement:</w:t>
      </w:r>
    </w:p>
    <w:p>
      <w:pPr>
        <w:spacing w:after="0" w:line="143" w:lineRule="exact"/>
        <w:rPr>
          <w:sz w:val="20"/>
          <w:szCs w:val="20"/>
          <w:color w:val="auto"/>
        </w:rPr>
      </w:pPr>
    </w:p>
    <w:p>
      <w:pPr>
        <w:jc w:val="both"/>
        <w:ind w:left="280"/>
        <w:spacing w:after="0" w:line="247" w:lineRule="auto"/>
        <w:rPr>
          <w:sz w:val="20"/>
          <w:szCs w:val="20"/>
          <w:color w:val="auto"/>
        </w:rPr>
      </w:pPr>
      <w:r>
        <w:rPr>
          <w:rFonts w:ascii="Arial" w:cs="Arial" w:eastAsia="Arial" w:hAnsi="Arial"/>
          <w:sz w:val="14"/>
          <w:szCs w:val="14"/>
          <w:color w:val="auto"/>
        </w:rPr>
        <w:t>In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206" w:lineRule="exact"/>
        <w:rPr>
          <w:sz w:val="20"/>
          <w:szCs w:val="20"/>
          <w:color w:val="auto"/>
        </w:rPr>
      </w:pPr>
    </w:p>
    <w:p>
      <w:pPr>
        <w:jc w:val="both"/>
        <w:ind w:left="280"/>
        <w:spacing w:after="0" w:line="288" w:lineRule="auto"/>
        <w:rPr>
          <w:sz w:val="20"/>
          <w:szCs w:val="20"/>
          <w:color w:val="auto"/>
        </w:rPr>
      </w:pPr>
      <w:r>
        <w:rPr>
          <w:rFonts w:ascii="Arial" w:cs="Arial" w:eastAsia="Arial" w:hAnsi="Arial"/>
          <w:sz w:val="12"/>
          <w:szCs w:val="12"/>
          <w:color w:val="auto"/>
        </w:rPr>
        <w:t>Further, and except as provided in Sections 2(c) and 2(d) of the Agreement in the event the Participant dies or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This will be the case, for example, even if (1) the Participant is considered to be unfairly dismissed without good cause (i.e., subject to a “</w:t>
      </w:r>
      <w:r>
        <w:rPr>
          <w:rFonts w:ascii="Arial" w:cs="Arial" w:eastAsia="Arial" w:hAnsi="Arial"/>
          <w:sz w:val="12"/>
          <w:szCs w:val="12"/>
          <w:i w:val="1"/>
          <w:iCs w:val="1"/>
          <w:color w:val="auto"/>
        </w:rPr>
        <w:t>despido improcedente</w:t>
      </w:r>
      <w:r>
        <w:rPr>
          <w:rFonts w:ascii="Arial" w:cs="Arial" w:eastAsia="Arial" w:hAnsi="Arial"/>
          <w:sz w:val="12"/>
          <w:szCs w:val="12"/>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w:t>
      </w:r>
    </w:p>
    <w:p>
      <w:pPr>
        <w:spacing w:after="0" w:line="3" w:lineRule="exact"/>
        <w:rPr>
          <w:sz w:val="20"/>
          <w:szCs w:val="20"/>
          <w:color w:val="auto"/>
        </w:rPr>
      </w:pPr>
    </w:p>
    <w:p>
      <w:pPr>
        <w:jc w:val="both"/>
        <w:ind w:left="280" w:right="20" w:hanging="6"/>
        <w:spacing w:after="0" w:line="272" w:lineRule="auto"/>
        <w:tabs>
          <w:tab w:leader="none" w:pos="378" w:val="left"/>
        </w:tabs>
        <w:numPr>
          <w:ilvl w:val="0"/>
          <w:numId w:val="109"/>
        </w:numPr>
        <w:rPr>
          <w:rFonts w:ascii="Arial" w:cs="Arial" w:eastAsia="Arial" w:hAnsi="Arial"/>
          <w:sz w:val="13"/>
          <w:szCs w:val="13"/>
          <w:color w:val="auto"/>
        </w:rPr>
      </w:pPr>
      <w:r>
        <w:rPr>
          <w:rFonts w:ascii="Arial" w:cs="Arial" w:eastAsia="Arial" w:hAnsi="Arial"/>
          <w:sz w:val="13"/>
          <w:szCs w:val="13"/>
          <w:color w:val="auto"/>
        </w:rPr>
        <w:t>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Participant acknowledges that he or she has read and specifically accepts the conditions referred to in Section 2 of the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- 11</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1" w:right="599" w:bottom="1440" w:gutter="0" w:footer="0" w:header="0"/>
        </w:sectPr>
      </w:pPr>
    </w:p>
    <w:bookmarkStart w:id="130" w:name="page131"/>
    <w:bookmarkEnd w:id="130"/>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352">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u w:val="single" w:color="auto"/>
          <w:color w:val="auto"/>
        </w:rPr>
        <w:t>Securities Law Notification</w:t>
      </w:r>
      <w:r>
        <w:rPr>
          <w:rFonts w:ascii="Arial" w:cs="Arial" w:eastAsia="Arial" w:hAnsi="Arial"/>
          <w:sz w:val="14"/>
          <w:szCs w:val="14"/>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Arial" w:cs="Arial" w:eastAsia="Arial" w:hAnsi="Arial"/>
          <w:sz w:val="14"/>
          <w:szCs w:val="14"/>
          <w:i w:val="1"/>
          <w:iCs w:val="1"/>
          <w:color w:val="auto"/>
        </w:rPr>
        <w:t>Comisión Nacional del Mercado de Valores</w:t>
      </w:r>
      <w:r>
        <w:rPr>
          <w:rFonts w:ascii="Arial" w:cs="Arial" w:eastAsia="Arial" w:hAnsi="Arial"/>
          <w:sz w:val="14"/>
          <w:szCs w:val="14"/>
          <w:color w:val="auto"/>
        </w:rPr>
        <w:t>, and does not constitute a public offering prospectus.</w:t>
      </w:r>
    </w:p>
    <w:p>
      <w:pPr>
        <w:spacing w:after="0" w:line="196" w:lineRule="exact"/>
        <w:rPr>
          <w:sz w:val="20"/>
          <w:szCs w:val="20"/>
          <w:color w:val="auto"/>
        </w:rPr>
      </w:pPr>
    </w:p>
    <w:p>
      <w:pPr>
        <w:jc w:val="both"/>
        <w:ind w:left="280"/>
        <w:spacing w:after="0" w:line="320" w:lineRule="auto"/>
        <w:rPr>
          <w:sz w:val="20"/>
          <w:szCs w:val="20"/>
          <w:color w:val="auto"/>
        </w:rPr>
      </w:pPr>
      <w:r>
        <w:rPr>
          <w:rFonts w:ascii="Arial" w:cs="Arial" w:eastAsia="Arial" w:hAnsi="Arial"/>
          <w:sz w:val="12"/>
          <w:szCs w:val="12"/>
          <w:u w:val="single" w:color="auto"/>
          <w:color w:val="auto"/>
        </w:rPr>
        <w:t>Exchange Control Notification</w:t>
      </w:r>
      <w:r>
        <w:rPr>
          <w:rFonts w:ascii="Arial" w:cs="Arial" w:eastAsia="Arial" w:hAnsi="Arial"/>
          <w:sz w:val="12"/>
          <w:szCs w:val="12"/>
          <w:color w:val="auto"/>
        </w:rPr>
        <w:t xml:space="preserve">. The Participant acknowledges that he or she must declare any Shares that are acquired under the Plan to the </w:t>
      </w:r>
      <w:r>
        <w:rPr>
          <w:rFonts w:ascii="Arial" w:cs="Arial" w:eastAsia="Arial" w:hAnsi="Arial"/>
          <w:sz w:val="12"/>
          <w:szCs w:val="12"/>
          <w:i w:val="1"/>
          <w:iCs w:val="1"/>
          <w:color w:val="auto"/>
        </w:rPr>
        <w:t>Dirección General de Comercio e Inversiones</w:t>
      </w:r>
      <w:r>
        <w:rPr>
          <w:rFonts w:ascii="Arial" w:cs="Arial" w:eastAsia="Arial" w:hAnsi="Arial"/>
          <w:sz w:val="12"/>
          <w:szCs w:val="12"/>
          <w:color w:val="auto"/>
        </w:rPr>
        <w:t xml:space="preserve"> of the Ministry of Economy and Competitiveness (the “DGCI”). After the initial declaration, the declaration must be filed with the DGCI on an annual basis each January while the shares are owned; however, if the value of the Shares or the sale proceeds exceed a certain amount, a declaration must be filed within one month of the acquisition or sale, as applicable.</w:t>
      </w:r>
    </w:p>
    <w:p>
      <w:pPr>
        <w:spacing w:after="0" w:line="161" w:lineRule="exact"/>
        <w:rPr>
          <w:sz w:val="20"/>
          <w:szCs w:val="20"/>
          <w:color w:val="auto"/>
        </w:rPr>
      </w:pPr>
    </w:p>
    <w:p>
      <w:pPr>
        <w:jc w:val="both"/>
        <w:ind w:left="280"/>
        <w:spacing w:after="0" w:line="274" w:lineRule="auto"/>
        <w:rPr>
          <w:sz w:val="20"/>
          <w:szCs w:val="20"/>
          <w:color w:val="auto"/>
        </w:rPr>
      </w:pPr>
      <w:r>
        <w:rPr>
          <w:rFonts w:ascii="Arial" w:cs="Arial" w:eastAsia="Arial" w:hAnsi="Arial"/>
          <w:sz w:val="13"/>
          <w:szCs w:val="13"/>
          <w:u w:val="single" w:color="auto"/>
          <w:color w:val="auto"/>
        </w:rPr>
        <w:t>Foreign Asset / Account Reporting Information</w:t>
      </w:r>
      <w:r>
        <w:rPr>
          <w:rFonts w:ascii="Arial" w:cs="Arial" w:eastAsia="Arial" w:hAnsi="Arial"/>
          <w:sz w:val="13"/>
          <w:szCs w:val="13"/>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176" w:lineRule="exact"/>
        <w:rPr>
          <w:sz w:val="20"/>
          <w:szCs w:val="20"/>
          <w:color w:val="auto"/>
        </w:rPr>
      </w:pPr>
    </w:p>
    <w:p>
      <w:pPr>
        <w:jc w:val="both"/>
        <w:ind w:left="280" w:right="20"/>
        <w:spacing w:after="0" w:line="310" w:lineRule="auto"/>
        <w:rPr>
          <w:sz w:val="20"/>
          <w:szCs w:val="20"/>
          <w:color w:val="auto"/>
        </w:rPr>
      </w:pPr>
      <w:r>
        <w:rPr>
          <w:rFonts w:ascii="Arial" w:cs="Arial" w:eastAsia="Arial" w:hAnsi="Arial"/>
          <w:sz w:val="13"/>
          <w:szCs w:val="13"/>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59"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SWEDEN</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Authorization to Withhold</w:t>
      </w:r>
      <w:r>
        <w:rPr>
          <w:rFonts w:ascii="Arial" w:cs="Arial" w:eastAsia="Arial" w:hAnsi="Arial"/>
          <w:sz w:val="14"/>
          <w:szCs w:val="14"/>
          <w:color w:val="auto"/>
        </w:rPr>
        <w:t>. This provision supplements Section 6 of the Agreement:</w:t>
      </w:r>
    </w:p>
    <w:p>
      <w:pPr>
        <w:spacing w:after="0" w:line="225"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color w:val="auto"/>
        </w:rPr>
        <w:t>Without limiting the Company’s and the Employer’s authority to satisfy their withholding obligations for Tax-Related Items as set forth in Section 6 of the Agreement, by accepting the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SWITZERLAND</w:t>
      </w:r>
    </w:p>
    <w:p>
      <w:pPr>
        <w:spacing w:after="0" w:line="217" w:lineRule="exact"/>
        <w:rPr>
          <w:sz w:val="20"/>
          <w:szCs w:val="20"/>
          <w:color w:val="auto"/>
        </w:rPr>
      </w:pPr>
    </w:p>
    <w:p>
      <w:pPr>
        <w:jc w:val="both"/>
        <w:ind w:left="280"/>
        <w:spacing w:after="0" w:line="278" w:lineRule="auto"/>
        <w:rPr>
          <w:sz w:val="20"/>
          <w:szCs w:val="20"/>
          <w:color w:val="auto"/>
        </w:rPr>
      </w:pPr>
      <w:r>
        <w:rPr>
          <w:rFonts w:ascii="Arial" w:cs="Arial" w:eastAsia="Arial" w:hAnsi="Arial"/>
          <w:sz w:val="13"/>
          <w:szCs w:val="13"/>
          <w:u w:val="single" w:color="auto"/>
          <w:color w:val="auto"/>
        </w:rPr>
        <w:t>Securities Law Information</w:t>
      </w:r>
      <w:r>
        <w:rPr>
          <w:rFonts w:ascii="Arial" w:cs="Arial" w:eastAsia="Arial" w:hAnsi="Arial"/>
          <w:sz w:val="13"/>
          <w:szCs w:val="13"/>
          <w:color w:val="auto"/>
        </w:rPr>
        <w:t>. The grant of RSUs and the issuance of any Shares are not intended to be a public offering in Switzerland and are therefore not subject to registration in Switzerland. Neither this document nor any materials relating to the RSUs (i) constitutes a prospectus according to articles 35 et. seq. of the Swiss Federal Act on Financial Services (“FinSA”) (ii) may be publicly distributed nor otherwise made publicly available in Switzerland to any person other than an employee of the Company or a Subsidiary , or (iii) has been or will be filed with, approved or supervised by any Swiss regulatory authority (in particular, the Swiss Financial Supervisory Authority (FINMA)).</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TAIWAN</w:t>
      </w:r>
    </w:p>
    <w:p>
      <w:pPr>
        <w:spacing w:after="0" w:line="229" w:lineRule="exact"/>
        <w:rPr>
          <w:sz w:val="20"/>
          <w:szCs w:val="20"/>
          <w:color w:val="auto"/>
        </w:rPr>
      </w:pPr>
    </w:p>
    <w:p>
      <w:pPr>
        <w:jc w:val="both"/>
        <w:ind w:left="280" w:right="20"/>
        <w:spacing w:after="0" w:line="320" w:lineRule="auto"/>
        <w:rPr>
          <w:sz w:val="20"/>
          <w:szCs w:val="20"/>
          <w:color w:val="auto"/>
        </w:rPr>
      </w:pPr>
      <w:r>
        <w:rPr>
          <w:rFonts w:ascii="Arial" w:cs="Arial" w:eastAsia="Arial" w:hAnsi="Arial"/>
          <w:sz w:val="12"/>
          <w:szCs w:val="12"/>
          <w:u w:val="single" w:color="auto"/>
          <w:color w:val="auto"/>
        </w:rPr>
        <w:t>Data Privacy</w:t>
      </w:r>
      <w:r>
        <w:rPr>
          <w:rFonts w:ascii="Arial" w:cs="Arial" w:eastAsia="Arial" w:hAnsi="Arial"/>
          <w:sz w:val="12"/>
          <w:szCs w:val="12"/>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- 12</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0" w:right="599" w:bottom="1440" w:gutter="0" w:footer="0" w:header="0"/>
        </w:sectPr>
      </w:pPr>
    </w:p>
    <w:bookmarkStart w:id="131" w:name="page132"/>
    <w:bookmarkEnd w:id="131"/>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353">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color w:val="auto"/>
        </w:rPr>
        <w:t>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187"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RSUs and participation in the Plan is made available only to employees of the Company and the Employer. It is not a public offer of securities by a Taiwanese company. Therefore, it is exempt from registration in Taiwan.</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Individuals may acquire foreign currency (including proceeds from the sale of Shares) into Taiwan up to US$5,000,000 per year without justification.</w:t>
      </w:r>
    </w:p>
    <w:p>
      <w:pPr>
        <w:spacing w:after="0" w:line="236"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THAILAND</w:t>
      </w:r>
    </w:p>
    <w:p>
      <w:pPr>
        <w:spacing w:after="0" w:line="229" w:lineRule="exact"/>
        <w:rPr>
          <w:sz w:val="20"/>
          <w:szCs w:val="20"/>
          <w:color w:val="auto"/>
        </w:rPr>
      </w:pPr>
    </w:p>
    <w:p>
      <w:pPr>
        <w:jc w:val="both"/>
        <w:ind w:left="280" w:right="20"/>
        <w:spacing w:after="0" w:line="274"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If the Participant is a Thai resident and the Participant realizes sale proceeds equal to or in excess of a specified threshold (currently US$1,000,000) in a single transaction, the Participant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TURKEY</w:t>
      </w:r>
    </w:p>
    <w:p>
      <w:pPr>
        <w:spacing w:after="0" w:line="229"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87"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UNITED KINGDOM</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Responsibility for Taxes</w:t>
      </w:r>
      <w:r>
        <w:rPr>
          <w:rFonts w:ascii="Arial" w:cs="Arial" w:eastAsia="Arial" w:hAnsi="Arial"/>
          <w:sz w:val="14"/>
          <w:szCs w:val="14"/>
          <w:color w:val="auto"/>
        </w:rPr>
        <w:t>. This provision supplements Section 6 of the Agreement:</w:t>
      </w:r>
    </w:p>
    <w:p>
      <w:pPr>
        <w:spacing w:after="0" w:line="166" w:lineRule="exact"/>
        <w:rPr>
          <w:sz w:val="20"/>
          <w:szCs w:val="20"/>
          <w:color w:val="auto"/>
        </w:rPr>
      </w:pPr>
    </w:p>
    <w:p>
      <w:pPr>
        <w:jc w:val="both"/>
        <w:ind w:left="280" w:right="20"/>
        <w:spacing w:after="0" w:line="253" w:lineRule="auto"/>
        <w:rPr>
          <w:sz w:val="20"/>
          <w:szCs w:val="20"/>
          <w:color w:val="auto"/>
        </w:rPr>
      </w:pPr>
      <w:r>
        <w:rPr>
          <w:rFonts w:ascii="Arial" w:cs="Arial" w:eastAsia="Arial" w:hAnsi="Arial"/>
          <w:sz w:val="14"/>
          <w:szCs w:val="14"/>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1" w:lineRule="exact"/>
        <w:rPr>
          <w:sz w:val="20"/>
          <w:szCs w:val="20"/>
          <w:color w:val="auto"/>
        </w:rPr>
      </w:pPr>
    </w:p>
    <w:p>
      <w:pPr>
        <w:jc w:val="both"/>
        <w:ind w:left="280"/>
        <w:spacing w:after="0" w:line="249" w:lineRule="auto"/>
        <w:rPr>
          <w:sz w:val="20"/>
          <w:szCs w:val="20"/>
          <w:color w:val="auto"/>
        </w:rPr>
      </w:pPr>
      <w:r>
        <w:rPr>
          <w:rFonts w:ascii="Arial" w:cs="Arial" w:eastAsia="Arial" w:hAnsi="Arial"/>
          <w:sz w:val="14"/>
          <w:szCs w:val="14"/>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recovered from the Participant by any of the means referred to in Section 6 of the Agreement.</w:t>
      </w:r>
    </w:p>
    <w:p>
      <w:pPr>
        <w:spacing w:after="0" w:line="202"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Manner of Payment</w:t>
      </w:r>
      <w:r>
        <w:rPr>
          <w:rFonts w:ascii="Arial" w:cs="Arial" w:eastAsia="Arial" w:hAnsi="Arial"/>
          <w:sz w:val="14"/>
          <w:szCs w:val="14"/>
          <w:color w:val="auto"/>
        </w:rPr>
        <w:t>. This provision replaces Section 7 of the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- 13</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1" w:right="599" w:bottom="1440" w:gutter="0" w:footer="0" w:header="0"/>
        </w:sectPr>
      </w:pPr>
    </w:p>
    <w:bookmarkStart w:id="132" w:name="page133"/>
    <w:bookmarkEnd w:id="132"/>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354">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Notwithstanding any discretion in the Plan or the Agreement to the contrary, upon vesting of the RSUs, Shares will be issued to the Participant. In no event will the Award be paid to Participant in the form of cash.</w:t>
      </w:r>
    </w:p>
    <w:p>
      <w:pPr>
        <w:spacing w:after="0" w:line="187"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187" w:lineRule="exact"/>
        <w:rPr>
          <w:sz w:val="20"/>
          <w:szCs w:val="20"/>
          <w:color w:val="auto"/>
        </w:rPr>
      </w:pPr>
    </w:p>
    <w:p>
      <w:pPr>
        <w:jc w:val="both"/>
        <w:ind w:left="280"/>
        <w:spacing w:after="0" w:line="310" w:lineRule="auto"/>
        <w:rPr>
          <w:sz w:val="20"/>
          <w:szCs w:val="20"/>
          <w:color w:val="auto"/>
        </w:rPr>
      </w:pPr>
      <w:r>
        <w:rPr>
          <w:rFonts w:ascii="Arial" w:cs="Arial" w:eastAsia="Arial" w:hAnsi="Arial"/>
          <w:sz w:val="13"/>
          <w:szCs w:val="13"/>
          <w:u w:val="single" w:color="auto"/>
          <w:color w:val="auto"/>
        </w:rPr>
        <w:t>Joint Election</w:t>
      </w:r>
      <w:r>
        <w:rPr>
          <w:rFonts w:ascii="Arial" w:cs="Arial" w:eastAsia="Arial" w:hAnsi="Arial"/>
          <w:sz w:val="13"/>
          <w:szCs w:val="13"/>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152" w:lineRule="exact"/>
        <w:rPr>
          <w:sz w:val="20"/>
          <w:szCs w:val="20"/>
          <w:color w:val="auto"/>
        </w:rPr>
      </w:pPr>
    </w:p>
    <w:p>
      <w:pPr>
        <w:jc w:val="both"/>
        <w:ind w:left="280"/>
        <w:spacing w:after="0" w:line="250" w:lineRule="auto"/>
        <w:rPr>
          <w:sz w:val="20"/>
          <w:szCs w:val="20"/>
          <w:color w:val="auto"/>
        </w:rPr>
      </w:pPr>
      <w:r>
        <w:rPr>
          <w:rFonts w:ascii="Arial" w:cs="Arial" w:eastAsia="Arial" w:hAnsi="Arial"/>
          <w:sz w:val="14"/>
          <w:szCs w:val="14"/>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02"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A - 14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1" w:right="599" w:bottom="1440" w:gutter="0" w:footer="0" w:header="0"/>
        </w:sectPr>
      </w:pPr>
    </w:p>
    <w:bookmarkStart w:id="133" w:name="page134"/>
    <w:bookmarkEnd w:id="133"/>
    <w:p>
      <w:pPr>
        <w:ind w:left="5206"/>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355">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B</w:t>
      </w:r>
    </w:p>
    <w:p>
      <w:pPr>
        <w:spacing w:after="0" w:line="143" w:lineRule="exact"/>
        <w:rPr>
          <w:sz w:val="20"/>
          <w:szCs w:val="20"/>
          <w:color w:val="auto"/>
        </w:rPr>
      </w:pPr>
    </w:p>
    <w:p>
      <w:pPr>
        <w:ind w:left="4966"/>
        <w:spacing w:after="0"/>
        <w:rPr>
          <w:sz w:val="20"/>
          <w:szCs w:val="20"/>
          <w:color w:val="auto"/>
        </w:rPr>
      </w:pPr>
      <w:r>
        <w:rPr>
          <w:rFonts w:ascii="Arial" w:cs="Arial" w:eastAsia="Arial" w:hAnsi="Arial"/>
          <w:sz w:val="14"/>
          <w:szCs w:val="14"/>
          <w:b w:val="1"/>
          <w:bCs w:val="1"/>
          <w:color w:val="auto"/>
        </w:rPr>
        <w:t>OFFER DOCUMENT</w:t>
      </w:r>
    </w:p>
    <w:p>
      <w:pPr>
        <w:spacing w:after="0" w:line="143" w:lineRule="exact"/>
        <w:rPr>
          <w:sz w:val="20"/>
          <w:szCs w:val="20"/>
          <w:color w:val="auto"/>
        </w:rPr>
      </w:pPr>
    </w:p>
    <w:p>
      <w:pPr>
        <w:ind w:left="4286"/>
        <w:spacing w:after="0"/>
        <w:rPr>
          <w:sz w:val="20"/>
          <w:szCs w:val="20"/>
          <w:color w:val="auto"/>
        </w:rPr>
      </w:pPr>
      <w:r>
        <w:rPr>
          <w:rFonts w:ascii="Arial" w:cs="Arial" w:eastAsia="Arial" w:hAnsi="Arial"/>
          <w:sz w:val="14"/>
          <w:szCs w:val="14"/>
          <w:b w:val="1"/>
          <w:bCs w:val="1"/>
          <w:color w:val="auto"/>
        </w:rPr>
        <w:t>OFFER OF RESTRICTED STOCK UNITS</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6"/>
        <w:spacing w:after="0" w:line="276" w:lineRule="auto"/>
        <w:rPr>
          <w:sz w:val="20"/>
          <w:szCs w:val="20"/>
          <w:color w:val="auto"/>
        </w:rPr>
      </w:pPr>
      <w:r>
        <w:rPr>
          <w:rFonts w:ascii="Arial" w:cs="Arial" w:eastAsia="Arial" w:hAnsi="Arial"/>
          <w:sz w:val="14"/>
          <w:szCs w:val="14"/>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97" w:lineRule="exact"/>
        <w:rPr>
          <w:sz w:val="20"/>
          <w:szCs w:val="20"/>
          <w:color w:val="auto"/>
        </w:rPr>
      </w:pPr>
    </w:p>
    <w:p>
      <w:pPr>
        <w:ind w:left="6"/>
        <w:spacing w:after="0"/>
        <w:rPr>
          <w:sz w:val="20"/>
          <w:szCs w:val="20"/>
          <w:color w:val="auto"/>
        </w:rPr>
      </w:pPr>
      <w:r>
        <w:rPr>
          <w:rFonts w:ascii="Arial" w:cs="Arial" w:eastAsia="Arial" w:hAnsi="Arial"/>
          <w:sz w:val="13"/>
          <w:szCs w:val="13"/>
          <w:b w:val="1"/>
          <w:bCs w:val="1"/>
          <w:color w:val="auto"/>
        </w:rPr>
        <w:t>Any information contained in this Offer Document and the Additional Documents is general in nature. It is not advice or information specific to your particular circumstances.</w:t>
      </w:r>
    </w:p>
    <w:p>
      <w:pPr>
        <w:spacing w:after="0" w:line="155" w:lineRule="exact"/>
        <w:rPr>
          <w:sz w:val="20"/>
          <w:szCs w:val="20"/>
          <w:color w:val="auto"/>
        </w:rPr>
      </w:pPr>
    </w:p>
    <w:p>
      <w:pPr>
        <w:jc w:val="both"/>
        <w:ind w:left="6"/>
        <w:spacing w:after="0" w:line="276" w:lineRule="auto"/>
        <w:rPr>
          <w:sz w:val="20"/>
          <w:szCs w:val="20"/>
          <w:color w:val="auto"/>
        </w:rPr>
      </w:pPr>
      <w:r>
        <w:rPr>
          <w:rFonts w:ascii="Arial" w:cs="Arial" w:eastAsia="Arial" w:hAnsi="Arial"/>
          <w:sz w:val="14"/>
          <w:szCs w:val="14"/>
          <w:b w:val="1"/>
          <w:bCs w:val="1"/>
          <w:color w:val="auto"/>
        </w:rPr>
        <w:t>Employees should consider obtaining their own financial product advice from an independent person who is licensed by the Australian Securities and Investments Commission to give such advice.</w:t>
      </w:r>
    </w:p>
    <w:p>
      <w:pPr>
        <w:spacing w:after="0" w:line="101" w:lineRule="exact"/>
        <w:rPr>
          <w:sz w:val="20"/>
          <w:szCs w:val="20"/>
          <w:color w:val="auto"/>
        </w:rPr>
      </w:pPr>
    </w:p>
    <w:p>
      <w:pPr>
        <w:jc w:val="both"/>
        <w:ind w:left="6"/>
        <w:spacing w:after="0" w:line="257" w:lineRule="auto"/>
        <w:rPr>
          <w:sz w:val="20"/>
          <w:szCs w:val="20"/>
          <w:color w:val="auto"/>
        </w:rPr>
      </w:pPr>
      <w:r>
        <w:rPr>
          <w:rFonts w:ascii="Arial" w:cs="Arial" w:eastAsia="Arial" w:hAnsi="Arial"/>
          <w:sz w:val="14"/>
          <w:szCs w:val="14"/>
          <w:color w:val="auto"/>
        </w:rPr>
        <w:t>We are pleased to provide you with this offer to participate in the Analog Devices, Inc. Amended and Restated 1996 Stock Incentive Plan (the “Plan”). This Offer Document sets out information regarding the grant of restricted stock units (“Restricted Stock Units”) over shares of common stock (“Shares”) of Analog Devices, Inc. (the “Company”) to Australian resident employees and directors of the Company and its Australian Subsidiary.</w:t>
      </w:r>
    </w:p>
    <w:p>
      <w:pPr>
        <w:spacing w:after="0" w:line="161" w:lineRule="exact"/>
        <w:rPr>
          <w:sz w:val="20"/>
          <w:szCs w:val="20"/>
          <w:color w:val="auto"/>
        </w:rPr>
      </w:pPr>
    </w:p>
    <w:p>
      <w:pPr>
        <w:jc w:val="both"/>
        <w:ind w:left="6" w:right="20"/>
        <w:spacing w:after="0" w:line="257" w:lineRule="auto"/>
        <w:rPr>
          <w:sz w:val="20"/>
          <w:szCs w:val="20"/>
          <w:color w:val="auto"/>
        </w:rPr>
      </w:pPr>
      <w:r>
        <w:rPr>
          <w:rFonts w:ascii="Arial" w:cs="Arial" w:eastAsia="Arial" w:hAnsi="Arial"/>
          <w:sz w:val="14"/>
          <w:szCs w:val="14"/>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61" w:lineRule="exact"/>
        <w:rPr>
          <w:sz w:val="20"/>
          <w:szCs w:val="20"/>
          <w:color w:val="auto"/>
        </w:rPr>
      </w:pPr>
    </w:p>
    <w:p>
      <w:pPr>
        <w:ind w:left="6"/>
        <w:spacing w:after="0"/>
        <w:rPr>
          <w:sz w:val="20"/>
          <w:szCs w:val="20"/>
          <w:color w:val="auto"/>
        </w:rPr>
      </w:pPr>
      <w:r>
        <w:rPr>
          <w:rFonts w:ascii="Arial" w:cs="Arial" w:eastAsia="Arial" w:hAnsi="Arial"/>
          <w:sz w:val="14"/>
          <w:szCs w:val="14"/>
          <w:color w:val="auto"/>
        </w:rPr>
        <w:t>Any capitalized term used but not defined herein shall have the meaning ascribed to such term in the Plan.</w:t>
      </w:r>
    </w:p>
    <w:p>
      <w:pPr>
        <w:spacing w:after="0" w:line="186" w:lineRule="exact"/>
        <w:rPr>
          <w:sz w:val="20"/>
          <w:szCs w:val="20"/>
          <w:color w:val="auto"/>
        </w:rPr>
      </w:pPr>
    </w:p>
    <w:p>
      <w:pPr>
        <w:ind w:left="246" w:hanging="246"/>
        <w:spacing w:after="0"/>
        <w:tabs>
          <w:tab w:leader="none" w:pos="246"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OFFER</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4"/>
          <w:szCs w:val="14"/>
          <w:color w:val="auto"/>
        </w:rPr>
        <w:t>This is an Offer of Restricted Stock Units, as may be granted from time to time by the Company, to certain eligible employees in accordance with the Plan.</w:t>
      </w:r>
    </w:p>
    <w:p>
      <w:pPr>
        <w:spacing w:after="0" w:line="186" w:lineRule="exact"/>
        <w:rPr>
          <w:sz w:val="20"/>
          <w:szCs w:val="20"/>
          <w:color w:val="auto"/>
        </w:rPr>
      </w:pPr>
    </w:p>
    <w:p>
      <w:pPr>
        <w:ind w:left="6"/>
        <w:spacing w:after="0"/>
        <w:tabs>
          <w:tab w:leader="none" w:pos="226"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3"/>
          <w:szCs w:val="13"/>
          <w:b w:val="1"/>
          <w:bCs w:val="1"/>
          <w:color w:val="auto"/>
        </w:rPr>
        <w:t>TERMS OF GRANT</w:t>
      </w:r>
    </w:p>
    <w:p>
      <w:pPr>
        <w:spacing w:after="0" w:line="194" w:lineRule="exact"/>
        <w:rPr>
          <w:sz w:val="20"/>
          <w:szCs w:val="20"/>
          <w:color w:val="auto"/>
        </w:rPr>
      </w:pPr>
    </w:p>
    <w:p>
      <w:pPr>
        <w:ind w:left="6"/>
        <w:spacing w:after="0" w:line="270" w:lineRule="auto"/>
        <w:rPr>
          <w:sz w:val="20"/>
          <w:szCs w:val="20"/>
          <w:color w:val="auto"/>
        </w:rPr>
      </w:pPr>
      <w:r>
        <w:rPr>
          <w:rFonts w:ascii="Arial" w:cs="Arial" w:eastAsia="Arial" w:hAnsi="Arial"/>
          <w:sz w:val="14"/>
          <w:szCs w:val="14"/>
          <w:color w:val="auto"/>
        </w:rPr>
        <w:t>The terms of the grant of Restricted Stock Units incorporate the rules of the Plan, this Offer Document and the Global Restricted Stock Unit Agreement, and Appendix A thereto (the “Agreement”). By accepting a grant of Restricted Stock Units, you will be bound by the rules of the Plan, this Offer Document and the Agreement.</w:t>
      </w:r>
    </w:p>
    <w:p>
      <w:pPr>
        <w:spacing w:after="0" w:line="148" w:lineRule="exact"/>
        <w:rPr>
          <w:sz w:val="20"/>
          <w:szCs w:val="20"/>
          <w:color w:val="auto"/>
        </w:rPr>
      </w:pPr>
    </w:p>
    <w:p>
      <w:pPr>
        <w:ind w:left="6"/>
        <w:spacing w:after="0"/>
        <w:tabs>
          <w:tab w:leader="none" w:pos="226" w:val="left"/>
        </w:tabs>
        <w:rPr>
          <w:sz w:val="20"/>
          <w:szCs w:val="20"/>
          <w:color w:val="auto"/>
        </w:rPr>
      </w:pPr>
      <w:r>
        <w:rPr>
          <w:rFonts w:ascii="Arial" w:cs="Arial" w:eastAsia="Arial" w:hAnsi="Arial"/>
          <w:sz w:val="14"/>
          <w:szCs w:val="14"/>
          <w:b w:val="1"/>
          <w:bCs w:val="1"/>
          <w:color w:val="auto"/>
        </w:rPr>
        <w:t>3.</w:t>
        <w:tab/>
        <w:t>ADDITIONAL DOCUMENTS</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4"/>
          <w:szCs w:val="14"/>
          <w:color w:val="auto"/>
        </w:rPr>
        <w:t>In addition to the information set out in this Offer Document, attached are copies of the following documents:</w:t>
      </w:r>
    </w:p>
    <w:p>
      <w:pPr>
        <w:spacing w:after="0" w:line="190" w:lineRule="exact"/>
        <w:rPr>
          <w:sz w:val="20"/>
          <w:szCs w:val="20"/>
          <w:color w:val="auto"/>
        </w:rPr>
      </w:pPr>
    </w:p>
    <w:p>
      <w:pPr>
        <w:ind w:left="586" w:hanging="586"/>
        <w:spacing w:after="0"/>
        <w:tabs>
          <w:tab w:leader="none" w:pos="58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Plan;</w:t>
      </w:r>
    </w:p>
    <w:p>
      <w:pPr>
        <w:spacing w:after="0" w:line="189" w:lineRule="exact"/>
        <w:rPr>
          <w:rFonts w:ascii="Arial" w:cs="Arial" w:eastAsia="Arial" w:hAnsi="Arial"/>
          <w:sz w:val="14"/>
          <w:szCs w:val="14"/>
          <w:color w:val="auto"/>
        </w:rPr>
      </w:pPr>
    </w:p>
    <w:p>
      <w:pPr>
        <w:ind w:left="586" w:hanging="586"/>
        <w:spacing w:after="0"/>
        <w:tabs>
          <w:tab w:leader="none" w:pos="58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Plan Prospectus; and</w:t>
      </w:r>
    </w:p>
    <w:p>
      <w:pPr>
        <w:spacing w:after="0" w:line="189" w:lineRule="exact"/>
        <w:rPr>
          <w:rFonts w:ascii="Arial" w:cs="Arial" w:eastAsia="Arial" w:hAnsi="Arial"/>
          <w:sz w:val="14"/>
          <w:szCs w:val="14"/>
          <w:color w:val="auto"/>
        </w:rPr>
      </w:pPr>
    </w:p>
    <w:p>
      <w:pPr>
        <w:ind w:left="586" w:hanging="586"/>
        <w:spacing w:after="0"/>
        <w:tabs>
          <w:tab w:leader="none" w:pos="586"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Agreement.</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4"/>
          <w:szCs w:val="14"/>
          <w:color w:val="auto"/>
        </w:rPr>
        <w:t>(collectively, the “Additional Documents”).</w:t>
      </w:r>
    </w:p>
    <w:p>
      <w:pPr>
        <w:spacing w:after="0" w:line="190" w:lineRule="exact"/>
        <w:rPr>
          <w:sz w:val="20"/>
          <w:szCs w:val="20"/>
          <w:color w:val="auto"/>
        </w:rPr>
      </w:pPr>
    </w:p>
    <w:p>
      <w:pPr>
        <w:ind w:left="6"/>
        <w:spacing w:after="0" w:line="270" w:lineRule="auto"/>
        <w:rPr>
          <w:sz w:val="20"/>
          <w:szCs w:val="20"/>
          <w:color w:val="auto"/>
        </w:rPr>
      </w:pPr>
      <w:r>
        <w:rPr>
          <w:rFonts w:ascii="Arial" w:cs="Arial" w:eastAsia="Arial" w:hAnsi="Arial"/>
          <w:sz w:val="14"/>
          <w:szCs w:val="14"/>
          <w:color w:val="auto"/>
        </w:rPr>
        <w:t>The Agreement sets out, among other details, the vesting conditions applicable to your Restricted Stock Units, information on the settlement of your Restricted Stock Units and the consequences of a change in the nature or status of your employment.</w:t>
      </w:r>
    </w:p>
    <w:p>
      <w:pPr>
        <w:spacing w:after="0" w:line="152" w:lineRule="exact"/>
        <w:rPr>
          <w:sz w:val="20"/>
          <w:szCs w:val="20"/>
          <w:color w:val="auto"/>
        </w:rPr>
      </w:pPr>
    </w:p>
    <w:p>
      <w:pPr>
        <w:ind w:left="6"/>
        <w:spacing w:after="0" w:line="270" w:lineRule="auto"/>
        <w:rPr>
          <w:sz w:val="20"/>
          <w:szCs w:val="20"/>
          <w:color w:val="auto"/>
        </w:rPr>
      </w:pPr>
      <w:r>
        <w:rPr>
          <w:rFonts w:ascii="Arial" w:cs="Arial" w:eastAsia="Arial" w:hAnsi="Arial"/>
          <w:sz w:val="14"/>
          <w:szCs w:val="14"/>
          <w:color w:val="auto"/>
        </w:rPr>
        <w:t xml:space="preserve">The other Additional Documents provide further information to assist you to make an informed investment decision in relation to your participation in the Plan. Neither the Plan nor the Amended and Restated 1996 Stock Incentive Plan Prospectus is a prospectus for the purposes of the </w:t>
      </w:r>
      <w:r>
        <w:rPr>
          <w:rFonts w:ascii="Arial" w:cs="Arial" w:eastAsia="Arial" w:hAnsi="Arial"/>
          <w:sz w:val="14"/>
          <w:szCs w:val="14"/>
          <w:i w:val="1"/>
          <w:iCs w:val="1"/>
          <w:color w:val="auto"/>
        </w:rPr>
        <w:t>Corporations Act</w:t>
      </w:r>
      <w:r>
        <w:rPr>
          <w:rFonts w:ascii="Arial" w:cs="Arial" w:eastAsia="Arial" w:hAnsi="Arial"/>
          <w:sz w:val="14"/>
          <w:szCs w:val="14"/>
          <w:color w:val="auto"/>
        </w:rPr>
        <w:t>.</w:t>
      </w:r>
    </w:p>
    <w:p>
      <w:pPr>
        <w:spacing w:after="0" w:line="398" w:lineRule="exact"/>
        <w:rPr>
          <w:sz w:val="20"/>
          <w:szCs w:val="20"/>
          <w:color w:val="auto"/>
        </w:rPr>
      </w:pPr>
    </w:p>
    <w:p>
      <w:pPr>
        <w:ind w:left="126"/>
        <w:spacing w:after="0"/>
        <w:rPr>
          <w:sz w:val="20"/>
          <w:szCs w:val="20"/>
          <w:color w:val="auto"/>
        </w:rPr>
      </w:pPr>
      <w:r>
        <w:rPr>
          <w:rFonts w:ascii="Arial" w:cs="Arial" w:eastAsia="Arial" w:hAnsi="Arial"/>
          <w:sz w:val="14"/>
          <w:szCs w:val="14"/>
          <w:color w:val="auto"/>
        </w:rPr>
        <w:t>APPENDIX B - 1</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6"/>
          </w:cols>
          <w:pgMar w:left="314" w:top="911" w:right="319" w:bottom="1440" w:gutter="0" w:footer="0" w:header="0"/>
        </w:sectPr>
      </w:pPr>
    </w:p>
    <w:bookmarkStart w:id="134" w:name="page135"/>
    <w:bookmarkEnd w:id="134"/>
    <w:p>
      <w:pPr>
        <w:ind w:left="5206"/>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56">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B</w:t>
      </w:r>
    </w:p>
    <w:p>
      <w:pPr>
        <w:spacing w:after="0" w:line="143" w:lineRule="exact"/>
        <w:rPr>
          <w:sz w:val="20"/>
          <w:szCs w:val="20"/>
          <w:color w:val="auto"/>
        </w:rPr>
      </w:pPr>
    </w:p>
    <w:p>
      <w:pPr>
        <w:ind w:left="4966"/>
        <w:spacing w:after="0"/>
        <w:rPr>
          <w:sz w:val="20"/>
          <w:szCs w:val="20"/>
          <w:color w:val="auto"/>
        </w:rPr>
      </w:pPr>
      <w:r>
        <w:rPr>
          <w:rFonts w:ascii="Arial" w:cs="Arial" w:eastAsia="Arial" w:hAnsi="Arial"/>
          <w:sz w:val="14"/>
          <w:szCs w:val="14"/>
          <w:b w:val="1"/>
          <w:bCs w:val="1"/>
          <w:color w:val="auto"/>
        </w:rPr>
        <w:t>OFFER DOCUMENT</w:t>
      </w:r>
    </w:p>
    <w:p>
      <w:pPr>
        <w:spacing w:after="0" w:line="143" w:lineRule="exact"/>
        <w:rPr>
          <w:sz w:val="20"/>
          <w:szCs w:val="20"/>
          <w:color w:val="auto"/>
        </w:rPr>
      </w:pPr>
    </w:p>
    <w:p>
      <w:pPr>
        <w:ind w:left="4286"/>
        <w:spacing w:after="0"/>
        <w:rPr>
          <w:sz w:val="20"/>
          <w:szCs w:val="20"/>
          <w:color w:val="auto"/>
        </w:rPr>
      </w:pPr>
      <w:r>
        <w:rPr>
          <w:rFonts w:ascii="Arial" w:cs="Arial" w:eastAsia="Arial" w:hAnsi="Arial"/>
          <w:sz w:val="14"/>
          <w:szCs w:val="14"/>
          <w:b w:val="1"/>
          <w:bCs w:val="1"/>
          <w:color w:val="auto"/>
        </w:rPr>
        <w:t>OFFER OF RESTRICTED STOCK UNITS</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46" w:hanging="246"/>
        <w:spacing w:after="0"/>
        <w:tabs>
          <w:tab w:leader="none" w:pos="246" w:val="left"/>
        </w:tabs>
        <w:numPr>
          <w:ilvl w:val="0"/>
          <w:numId w:val="112"/>
        </w:numPr>
        <w:rPr>
          <w:rFonts w:ascii="Arial" w:cs="Arial" w:eastAsia="Arial" w:hAnsi="Arial"/>
          <w:sz w:val="14"/>
          <w:szCs w:val="14"/>
          <w:b w:val="1"/>
          <w:bCs w:val="1"/>
          <w:color w:val="auto"/>
        </w:rPr>
      </w:pPr>
      <w:r>
        <w:rPr>
          <w:rFonts w:ascii="Arial" w:cs="Arial" w:eastAsia="Arial" w:hAnsi="Arial"/>
          <w:sz w:val="14"/>
          <w:szCs w:val="14"/>
          <w:b w:val="1"/>
          <w:bCs w:val="1"/>
          <w:color w:val="auto"/>
        </w:rPr>
        <w:t>RELIANCE ON STATEMENTS</w:t>
      </w:r>
    </w:p>
    <w:p>
      <w:pPr>
        <w:spacing w:after="0" w:line="194" w:lineRule="exact"/>
        <w:rPr>
          <w:sz w:val="20"/>
          <w:szCs w:val="20"/>
          <w:color w:val="auto"/>
        </w:rPr>
      </w:pPr>
    </w:p>
    <w:p>
      <w:pPr>
        <w:ind w:left="6"/>
        <w:spacing w:after="0" w:line="270" w:lineRule="auto"/>
        <w:rPr>
          <w:sz w:val="20"/>
          <w:szCs w:val="20"/>
          <w:color w:val="auto"/>
        </w:rPr>
      </w:pPr>
      <w:r>
        <w:rPr>
          <w:rFonts w:ascii="Arial" w:cs="Arial" w:eastAsia="Arial" w:hAnsi="Arial"/>
          <w:sz w:val="14"/>
          <w:szCs w:val="14"/>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48" w:lineRule="exact"/>
        <w:rPr>
          <w:sz w:val="20"/>
          <w:szCs w:val="20"/>
          <w:color w:val="auto"/>
        </w:rPr>
      </w:pPr>
    </w:p>
    <w:p>
      <w:pPr>
        <w:ind w:left="6"/>
        <w:spacing w:after="0"/>
        <w:tabs>
          <w:tab w:leader="none" w:pos="226" w:val="left"/>
        </w:tabs>
        <w:rPr>
          <w:sz w:val="20"/>
          <w:szCs w:val="20"/>
          <w:color w:val="auto"/>
        </w:rPr>
      </w:pPr>
      <w:r>
        <w:rPr>
          <w:rFonts w:ascii="Arial" w:cs="Arial" w:eastAsia="Arial" w:hAnsi="Arial"/>
          <w:sz w:val="14"/>
          <w:szCs w:val="14"/>
          <w:b w:val="1"/>
          <w:bCs w:val="1"/>
          <w:color w:val="auto"/>
        </w:rPr>
        <w:t>5.</w:t>
        <w:tab/>
        <w:t>WHO IS ELIGIBLE TO PARTICIPATE?</w:t>
      </w:r>
    </w:p>
    <w:p>
      <w:pPr>
        <w:spacing w:after="0" w:line="194" w:lineRule="exact"/>
        <w:rPr>
          <w:sz w:val="20"/>
          <w:szCs w:val="20"/>
          <w:color w:val="auto"/>
        </w:rPr>
      </w:pPr>
    </w:p>
    <w:p>
      <w:pPr>
        <w:ind w:left="6" w:right="20"/>
        <w:spacing w:after="0" w:line="270" w:lineRule="auto"/>
        <w:rPr>
          <w:sz w:val="20"/>
          <w:szCs w:val="20"/>
          <w:color w:val="auto"/>
        </w:rPr>
      </w:pPr>
      <w:r>
        <w:rPr>
          <w:rFonts w:ascii="Arial" w:cs="Arial" w:eastAsia="Arial" w:hAnsi="Arial"/>
          <w:sz w:val="14"/>
          <w:szCs w:val="14"/>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48" w:lineRule="exact"/>
        <w:rPr>
          <w:sz w:val="20"/>
          <w:szCs w:val="20"/>
          <w:color w:val="auto"/>
        </w:rPr>
      </w:pPr>
    </w:p>
    <w:p>
      <w:pPr>
        <w:ind w:left="246" w:hanging="246"/>
        <w:spacing w:after="0"/>
        <w:tabs>
          <w:tab w:leader="none" w:pos="246" w:val="left"/>
        </w:tabs>
        <w:numPr>
          <w:ilvl w:val="0"/>
          <w:numId w:val="113"/>
        </w:numPr>
        <w:rPr>
          <w:rFonts w:ascii="Arial" w:cs="Arial" w:eastAsia="Arial" w:hAnsi="Arial"/>
          <w:sz w:val="14"/>
          <w:szCs w:val="14"/>
          <w:b w:val="1"/>
          <w:bCs w:val="1"/>
          <w:color w:val="auto"/>
        </w:rPr>
      </w:pPr>
      <w:r>
        <w:rPr>
          <w:rFonts w:ascii="Arial" w:cs="Arial" w:eastAsia="Arial" w:hAnsi="Arial"/>
          <w:sz w:val="14"/>
          <w:szCs w:val="14"/>
          <w:b w:val="1"/>
          <w:bCs w:val="1"/>
          <w:color w:val="auto"/>
        </w:rPr>
        <w:t>ACCEPTING AN AWARD</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4"/>
          <w:szCs w:val="14"/>
          <w:color w:val="auto"/>
        </w:rPr>
        <w:t>The Agreement sets out additional terms and conditions of your Restricted Stock Unit award. You are not required to affirmatively accept your Restricted Stock Units award in writing.</w:t>
      </w:r>
    </w:p>
    <w:p>
      <w:pPr>
        <w:spacing w:after="0" w:line="186" w:lineRule="exact"/>
        <w:rPr>
          <w:sz w:val="20"/>
          <w:szCs w:val="20"/>
          <w:color w:val="auto"/>
        </w:rPr>
      </w:pPr>
    </w:p>
    <w:p>
      <w:pPr>
        <w:ind w:left="246" w:hanging="246"/>
        <w:spacing w:after="0"/>
        <w:tabs>
          <w:tab w:leader="none" w:pos="246" w:val="left"/>
        </w:tabs>
        <w:numPr>
          <w:ilvl w:val="0"/>
          <w:numId w:val="114"/>
        </w:numPr>
        <w:rPr>
          <w:rFonts w:ascii="Arial" w:cs="Arial" w:eastAsia="Arial" w:hAnsi="Arial"/>
          <w:sz w:val="14"/>
          <w:szCs w:val="14"/>
          <w:b w:val="1"/>
          <w:bCs w:val="1"/>
          <w:color w:val="auto"/>
        </w:rPr>
      </w:pPr>
      <w:r>
        <w:rPr>
          <w:rFonts w:ascii="Arial" w:cs="Arial" w:eastAsia="Arial" w:hAnsi="Arial"/>
          <w:sz w:val="14"/>
          <w:szCs w:val="14"/>
          <w:b w:val="1"/>
          <w:bCs w:val="1"/>
          <w:color w:val="auto"/>
        </w:rPr>
        <w:t>WHAT ARE THE MATERIAL TERMS OF THE RESTRICTED STOCK UNITS?</w:t>
      </w:r>
    </w:p>
    <w:p>
      <w:pPr>
        <w:spacing w:after="0" w:line="190"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What are Restricted Stock Units?</w:t>
      </w:r>
    </w:p>
    <w:p>
      <w:pPr>
        <w:spacing w:after="0" w:line="194" w:lineRule="exact"/>
        <w:rPr>
          <w:sz w:val="20"/>
          <w:szCs w:val="20"/>
          <w:color w:val="auto"/>
        </w:rPr>
      </w:pPr>
    </w:p>
    <w:p>
      <w:pPr>
        <w:jc w:val="both"/>
        <w:ind w:left="6"/>
        <w:spacing w:after="0" w:line="286" w:lineRule="auto"/>
        <w:rPr>
          <w:sz w:val="20"/>
          <w:szCs w:val="20"/>
          <w:color w:val="auto"/>
        </w:rPr>
      </w:pPr>
      <w:r>
        <w:rPr>
          <w:rFonts w:ascii="Arial" w:cs="Arial" w:eastAsia="Arial" w:hAnsi="Arial"/>
          <w:sz w:val="13"/>
          <w:szCs w:val="13"/>
          <w:color w:val="auto"/>
        </w:rPr>
        <w:t>Restricted Stock Units represent the right to receive Shares upon fulfilment of the vesting conditions set out in your Agreement. The Restricted Stock Units are considered “restricted” because they are subject to forfeiture and restrictions on transfer until they vest. The restrictions are set forth in your Agreement. When your Restricted Stock Units vest, you will be issued Shares at no monetary cost (other than applicable taxes) to you. Notwithstanding anything to the contrary in the Plan, the Agreement, or any related document, your Restricted Stock Units will be settled in Shares.</w:t>
      </w:r>
    </w:p>
    <w:p>
      <w:pPr>
        <w:spacing w:after="0" w:line="140" w:lineRule="exact"/>
        <w:rPr>
          <w:sz w:val="20"/>
          <w:szCs w:val="20"/>
          <w:color w:val="auto"/>
        </w:rPr>
      </w:pPr>
    </w:p>
    <w:p>
      <w:pPr>
        <w:ind w:left="306" w:hanging="306"/>
        <w:spacing w:after="0"/>
        <w:tabs>
          <w:tab w:leader="none" w:pos="306"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Do I have to pay any money to receive the Restricted Stock Units?</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4"/>
          <w:szCs w:val="14"/>
          <w:color w:val="auto"/>
        </w:rPr>
        <w:t>No. You pay no monetary consideration to receive the Restricted Stock Units, nor do you pay anything to receive the Shares upon vesting (other than applicable taxes).</w:t>
      </w:r>
    </w:p>
    <w:p>
      <w:pPr>
        <w:spacing w:after="0" w:line="186" w:lineRule="exact"/>
        <w:rPr>
          <w:sz w:val="20"/>
          <w:szCs w:val="20"/>
          <w:color w:val="auto"/>
        </w:rPr>
      </w:pPr>
    </w:p>
    <w:p>
      <w:pPr>
        <w:ind w:left="6"/>
        <w:spacing w:after="0"/>
        <w:tabs>
          <w:tab w:leader="none" w:pos="266" w:val="left"/>
        </w:tabs>
        <w:rPr>
          <w:sz w:val="20"/>
          <w:szCs w:val="20"/>
          <w:color w:val="auto"/>
        </w:rPr>
      </w:pPr>
      <w:r>
        <w:rPr>
          <w:rFonts w:ascii="Arial" w:cs="Arial" w:eastAsia="Arial" w:hAnsi="Arial"/>
          <w:sz w:val="14"/>
          <w:szCs w:val="14"/>
          <w:b w:val="1"/>
          <w:bCs w:val="1"/>
          <w:color w:val="auto"/>
        </w:rPr>
        <w:t>(c)</w:t>
      </w:r>
      <w:r>
        <w:rPr>
          <w:sz w:val="20"/>
          <w:szCs w:val="20"/>
          <w:color w:val="auto"/>
        </w:rPr>
        <w:tab/>
      </w:r>
      <w:r>
        <w:rPr>
          <w:rFonts w:ascii="Arial" w:cs="Arial" w:eastAsia="Arial" w:hAnsi="Arial"/>
          <w:sz w:val="12"/>
          <w:szCs w:val="12"/>
          <w:b w:val="1"/>
          <w:bCs w:val="1"/>
          <w:color w:val="auto"/>
        </w:rPr>
        <w:t>How many Shares will I receive upon vesting of my Restricted Stock Units?</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4"/>
          <w:szCs w:val="14"/>
          <w:color w:val="auto"/>
        </w:rPr>
        <w:t>The details of your Restricted Stock Units and the number of Shares subject to the award are set out in the Agreement.</w:t>
      </w:r>
    </w:p>
    <w:p>
      <w:pPr>
        <w:spacing w:after="0" w:line="186"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auto"/>
        </w:rPr>
        <w:t>(d)</w:t>
      </w:r>
      <w:r>
        <w:rPr>
          <w:sz w:val="20"/>
          <w:szCs w:val="20"/>
          <w:color w:val="auto"/>
        </w:rPr>
        <w:tab/>
      </w:r>
      <w:r>
        <w:rPr>
          <w:rFonts w:ascii="Arial" w:cs="Arial" w:eastAsia="Arial" w:hAnsi="Arial"/>
          <w:sz w:val="12"/>
          <w:szCs w:val="12"/>
          <w:b w:val="1"/>
          <w:bCs w:val="1"/>
          <w:color w:val="auto"/>
        </w:rPr>
        <w:t>When do I become a stockholder?</w:t>
      </w:r>
    </w:p>
    <w:p>
      <w:pPr>
        <w:spacing w:after="0" w:line="194" w:lineRule="exact"/>
        <w:rPr>
          <w:sz w:val="20"/>
          <w:szCs w:val="20"/>
          <w:color w:val="auto"/>
        </w:rPr>
      </w:pPr>
    </w:p>
    <w:p>
      <w:pPr>
        <w:jc w:val="both"/>
        <w:ind w:left="6" w:right="20"/>
        <w:spacing w:after="0" w:line="286" w:lineRule="auto"/>
        <w:rPr>
          <w:sz w:val="20"/>
          <w:szCs w:val="20"/>
          <w:color w:val="auto"/>
        </w:rPr>
      </w:pPr>
      <w:r>
        <w:rPr>
          <w:rFonts w:ascii="Arial" w:cs="Arial" w:eastAsia="Arial" w:hAnsi="Arial"/>
          <w:sz w:val="13"/>
          <w:szCs w:val="13"/>
          <w:color w:val="auto"/>
        </w:rPr>
        <w:t>You are not a stockholder merely as a result of holding Restricted Stock Units. The Restricted Stock Units will not entitle you to any shareholder rights, including the right to vote the Shares or receive dividends, notices of meetings, proxy statements and other materials provided to stockholders, until the restrictions lapse at vesting and the Restricted Stock Units are paid out in Shares. In this regard, you are not recorded as the owner of the Shares prior to vesting. You should refer to your Agreement for details of the consequences of a change in the nature of your employment.</w:t>
      </w:r>
    </w:p>
    <w:p>
      <w:pPr>
        <w:spacing w:after="0" w:line="140" w:lineRule="exact"/>
        <w:rPr>
          <w:sz w:val="20"/>
          <w:szCs w:val="20"/>
          <w:color w:val="auto"/>
        </w:rPr>
      </w:pPr>
    </w:p>
    <w:p>
      <w:pPr>
        <w:ind w:left="6"/>
        <w:spacing w:after="0"/>
        <w:tabs>
          <w:tab w:leader="none" w:pos="266" w:val="left"/>
        </w:tabs>
        <w:rPr>
          <w:sz w:val="20"/>
          <w:szCs w:val="20"/>
          <w:color w:val="auto"/>
        </w:rPr>
      </w:pPr>
      <w:r>
        <w:rPr>
          <w:rFonts w:ascii="Arial" w:cs="Arial" w:eastAsia="Arial" w:hAnsi="Arial"/>
          <w:sz w:val="14"/>
          <w:szCs w:val="14"/>
          <w:b w:val="1"/>
          <w:bCs w:val="1"/>
          <w:color w:val="auto"/>
        </w:rPr>
        <w:t>(e)</w:t>
      </w:r>
      <w:r>
        <w:rPr>
          <w:sz w:val="20"/>
          <w:szCs w:val="20"/>
          <w:color w:val="auto"/>
        </w:rPr>
        <w:tab/>
      </w:r>
      <w:r>
        <w:rPr>
          <w:rFonts w:ascii="Arial" w:cs="Arial" w:eastAsia="Arial" w:hAnsi="Arial"/>
          <w:sz w:val="12"/>
          <w:szCs w:val="12"/>
          <w:b w:val="1"/>
          <w:bCs w:val="1"/>
          <w:color w:val="auto"/>
        </w:rPr>
        <w:t>Can I transfer the Restricted Stock Units to someone else?</w:t>
      </w:r>
    </w:p>
    <w:p>
      <w:pPr>
        <w:spacing w:after="0" w:line="194" w:lineRule="exact"/>
        <w:rPr>
          <w:sz w:val="20"/>
          <w:szCs w:val="20"/>
          <w:color w:val="auto"/>
        </w:rPr>
      </w:pPr>
    </w:p>
    <w:p>
      <w:pPr>
        <w:jc w:val="both"/>
        <w:ind w:left="6"/>
        <w:spacing w:after="0" w:line="270" w:lineRule="auto"/>
        <w:rPr>
          <w:sz w:val="20"/>
          <w:szCs w:val="20"/>
          <w:color w:val="auto"/>
        </w:rPr>
      </w:pPr>
      <w:r>
        <w:rPr>
          <w:rFonts w:ascii="Arial" w:cs="Arial" w:eastAsia="Arial" w:hAnsi="Arial"/>
          <w:sz w:val="14"/>
          <w:szCs w:val="14"/>
          <w:color w:val="auto"/>
        </w:rPr>
        <w:t>No. The Restricted Stock Units are generally non-transferable, unless otherwise provided in your Agreement; however, once Shares are issued upon vesting, the Shares will be freely tradeable (subject to the Company’s policies and applicable laws regarding insider trading).</w:t>
      </w:r>
    </w:p>
    <w:p>
      <w:pPr>
        <w:spacing w:after="0" w:line="148" w:lineRule="exact"/>
        <w:rPr>
          <w:sz w:val="20"/>
          <w:szCs w:val="20"/>
          <w:color w:val="auto"/>
        </w:rPr>
      </w:pPr>
    </w:p>
    <w:p>
      <w:pPr>
        <w:ind w:left="6"/>
        <w:spacing w:after="0"/>
        <w:tabs>
          <w:tab w:leader="none" w:pos="266" w:val="left"/>
        </w:tabs>
        <w:rPr>
          <w:sz w:val="20"/>
          <w:szCs w:val="20"/>
          <w:color w:val="auto"/>
        </w:rPr>
      </w:pPr>
      <w:r>
        <w:rPr>
          <w:rFonts w:ascii="Arial" w:cs="Arial" w:eastAsia="Arial" w:hAnsi="Arial"/>
          <w:sz w:val="14"/>
          <w:szCs w:val="14"/>
          <w:b w:val="1"/>
          <w:bCs w:val="1"/>
          <w:color w:val="auto"/>
        </w:rPr>
        <w:t>(f)</w:t>
      </w:r>
      <w:r>
        <w:rPr>
          <w:sz w:val="20"/>
          <w:szCs w:val="20"/>
          <w:color w:val="auto"/>
        </w:rPr>
        <w:tab/>
      </w:r>
      <w:r>
        <w:rPr>
          <w:rFonts w:ascii="Arial" w:cs="Arial" w:eastAsia="Arial" w:hAnsi="Arial"/>
          <w:sz w:val="12"/>
          <w:szCs w:val="12"/>
          <w:b w:val="1"/>
          <w:bCs w:val="1"/>
          <w:color w:val="auto"/>
        </w:rPr>
        <w:t>What happens if my employment with the Company or Australian Subsidiary terminates?</w:t>
      </w:r>
    </w:p>
    <w:p>
      <w:pPr>
        <w:spacing w:after="0" w:line="194" w:lineRule="exact"/>
        <w:rPr>
          <w:sz w:val="20"/>
          <w:szCs w:val="20"/>
          <w:color w:val="auto"/>
        </w:rPr>
      </w:pPr>
    </w:p>
    <w:p>
      <w:pPr>
        <w:jc w:val="both"/>
        <w:ind w:left="6"/>
        <w:spacing w:after="0" w:line="270" w:lineRule="auto"/>
        <w:rPr>
          <w:sz w:val="20"/>
          <w:szCs w:val="20"/>
          <w:color w:val="auto"/>
        </w:rPr>
      </w:pPr>
      <w:r>
        <w:rPr>
          <w:rFonts w:ascii="Arial" w:cs="Arial" w:eastAsia="Arial" w:hAnsi="Arial"/>
          <w:sz w:val="14"/>
          <w:szCs w:val="14"/>
          <w:color w:val="auto"/>
        </w:rPr>
        <w:t>Your right to any unvested Restricted Stock Units will terminate when you terminate employment with the Company or any Subsidiary of the Company for reasons including, but not limited to, retirement, resignation, lay-off, discharge, or other change of employment status.</w:t>
      </w:r>
    </w:p>
    <w:p>
      <w:pPr>
        <w:spacing w:after="0" w:line="398" w:lineRule="exact"/>
        <w:rPr>
          <w:sz w:val="20"/>
          <w:szCs w:val="20"/>
          <w:color w:val="auto"/>
        </w:rPr>
      </w:pPr>
    </w:p>
    <w:p>
      <w:pPr>
        <w:ind w:left="126"/>
        <w:spacing w:after="0"/>
        <w:rPr>
          <w:sz w:val="20"/>
          <w:szCs w:val="20"/>
          <w:color w:val="auto"/>
        </w:rPr>
      </w:pPr>
      <w:r>
        <w:rPr>
          <w:rFonts w:ascii="Arial" w:cs="Arial" w:eastAsia="Arial" w:hAnsi="Arial"/>
          <w:sz w:val="14"/>
          <w:szCs w:val="14"/>
          <w:color w:val="auto"/>
        </w:rPr>
        <w:t>APPENDIX B - 2</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6"/>
          </w:cols>
          <w:pgMar w:left="314" w:top="910" w:right="319" w:bottom="1440" w:gutter="0" w:footer="0" w:header="0"/>
        </w:sectPr>
      </w:pPr>
    </w:p>
    <w:bookmarkStart w:id="135" w:name="page136"/>
    <w:bookmarkEnd w:id="135"/>
    <w:p>
      <w:pPr>
        <w:ind w:left="5206"/>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57">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B</w:t>
      </w:r>
    </w:p>
    <w:p>
      <w:pPr>
        <w:spacing w:after="0" w:line="143" w:lineRule="exact"/>
        <w:rPr>
          <w:sz w:val="20"/>
          <w:szCs w:val="20"/>
          <w:color w:val="auto"/>
        </w:rPr>
      </w:pPr>
    </w:p>
    <w:p>
      <w:pPr>
        <w:ind w:left="4966"/>
        <w:spacing w:after="0"/>
        <w:rPr>
          <w:sz w:val="20"/>
          <w:szCs w:val="20"/>
          <w:color w:val="auto"/>
        </w:rPr>
      </w:pPr>
      <w:r>
        <w:rPr>
          <w:rFonts w:ascii="Arial" w:cs="Arial" w:eastAsia="Arial" w:hAnsi="Arial"/>
          <w:sz w:val="14"/>
          <w:szCs w:val="14"/>
          <w:b w:val="1"/>
          <w:bCs w:val="1"/>
          <w:color w:val="auto"/>
        </w:rPr>
        <w:t>OFFER DOCUMENT</w:t>
      </w:r>
    </w:p>
    <w:p>
      <w:pPr>
        <w:spacing w:after="0" w:line="143" w:lineRule="exact"/>
        <w:rPr>
          <w:sz w:val="20"/>
          <w:szCs w:val="20"/>
          <w:color w:val="auto"/>
        </w:rPr>
      </w:pPr>
    </w:p>
    <w:p>
      <w:pPr>
        <w:ind w:left="4286"/>
        <w:spacing w:after="0"/>
        <w:rPr>
          <w:sz w:val="20"/>
          <w:szCs w:val="20"/>
          <w:color w:val="auto"/>
        </w:rPr>
      </w:pPr>
      <w:r>
        <w:rPr>
          <w:rFonts w:ascii="Arial" w:cs="Arial" w:eastAsia="Arial" w:hAnsi="Arial"/>
          <w:sz w:val="14"/>
          <w:szCs w:val="14"/>
          <w:b w:val="1"/>
          <w:bCs w:val="1"/>
          <w:color w:val="auto"/>
        </w:rPr>
        <w:t>OFFER OF RESTRICTED STOCK UNITS</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46" w:hanging="246"/>
        <w:spacing w:after="0"/>
        <w:tabs>
          <w:tab w:leader="none" w:pos="246" w:val="left"/>
        </w:tabs>
        <w:numPr>
          <w:ilvl w:val="0"/>
          <w:numId w:val="116"/>
        </w:numPr>
        <w:rPr>
          <w:rFonts w:ascii="Arial" w:cs="Arial" w:eastAsia="Arial" w:hAnsi="Arial"/>
          <w:sz w:val="14"/>
          <w:szCs w:val="14"/>
          <w:b w:val="1"/>
          <w:bCs w:val="1"/>
          <w:color w:val="auto"/>
        </w:rPr>
      </w:pPr>
      <w:r>
        <w:rPr>
          <w:rFonts w:ascii="Arial" w:cs="Arial" w:eastAsia="Arial" w:hAnsi="Arial"/>
          <w:sz w:val="14"/>
          <w:szCs w:val="14"/>
          <w:b w:val="1"/>
          <w:bCs w:val="1"/>
          <w:color w:val="auto"/>
        </w:rPr>
        <w:t>WHAT IS A SHARE IN THE COMPANY</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3"/>
          <w:szCs w:val="13"/>
          <w:color w:val="auto"/>
        </w:rPr>
        <w:t>Common stock of a U.S. corporation is analogous to an ordinary share of an Australian corporation. Each holder of a Share is entitled to one vote for every Share held in the Company.</w:t>
      </w:r>
    </w:p>
    <w:p>
      <w:pPr>
        <w:spacing w:after="0" w:line="201" w:lineRule="exact"/>
        <w:rPr>
          <w:sz w:val="20"/>
          <w:szCs w:val="20"/>
          <w:color w:val="auto"/>
        </w:rPr>
      </w:pPr>
    </w:p>
    <w:p>
      <w:pPr>
        <w:ind w:left="6"/>
        <w:spacing w:after="0"/>
        <w:rPr>
          <w:sz w:val="20"/>
          <w:szCs w:val="20"/>
          <w:color w:val="auto"/>
        </w:rPr>
      </w:pPr>
      <w:r>
        <w:rPr>
          <w:rFonts w:ascii="Arial" w:cs="Arial" w:eastAsia="Arial" w:hAnsi="Arial"/>
          <w:sz w:val="14"/>
          <w:szCs w:val="14"/>
          <w:color w:val="auto"/>
        </w:rPr>
        <w:t>Dividends may be paid on the Shares out of any funds of the Company legally available for dividends at the discretion of the board of directors of the Company.</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4"/>
          <w:szCs w:val="14"/>
          <w:color w:val="auto"/>
        </w:rPr>
        <w:t>The Shares are traded on the Nasdaq Global Select Market in the United States of America and are traded under the symbol “ADI”.</w:t>
      </w:r>
    </w:p>
    <w:p>
      <w:pPr>
        <w:spacing w:after="0" w:line="190" w:lineRule="exact"/>
        <w:rPr>
          <w:sz w:val="20"/>
          <w:szCs w:val="20"/>
          <w:color w:val="auto"/>
        </w:rPr>
      </w:pPr>
    </w:p>
    <w:p>
      <w:pPr>
        <w:ind w:left="6"/>
        <w:spacing w:after="0" w:line="270" w:lineRule="auto"/>
        <w:rPr>
          <w:sz w:val="20"/>
          <w:szCs w:val="20"/>
          <w:color w:val="auto"/>
        </w:rPr>
      </w:pPr>
      <w:r>
        <w:rPr>
          <w:rFonts w:ascii="Arial" w:cs="Arial" w:eastAsia="Arial" w:hAnsi="Arial"/>
          <w:sz w:val="14"/>
          <w:szCs w:val="14"/>
          <w:color w:val="auto"/>
        </w:rPr>
        <w:t>Shares are not liable to any further calls for payment of capital or for other assessment by the Company and have no sinking fund provisions, pre-emptive rights, conversion rights or redemption provisions.</w:t>
      </w:r>
    </w:p>
    <w:p>
      <w:pPr>
        <w:spacing w:after="0" w:line="148" w:lineRule="exact"/>
        <w:rPr>
          <w:sz w:val="20"/>
          <w:szCs w:val="20"/>
          <w:color w:val="auto"/>
        </w:rPr>
      </w:pPr>
    </w:p>
    <w:p>
      <w:pPr>
        <w:ind w:left="246" w:hanging="246"/>
        <w:spacing w:after="0"/>
        <w:tabs>
          <w:tab w:leader="none" w:pos="246" w:val="left"/>
        </w:tabs>
        <w:numPr>
          <w:ilvl w:val="0"/>
          <w:numId w:val="117"/>
        </w:numPr>
        <w:rPr>
          <w:rFonts w:ascii="Arial" w:cs="Arial" w:eastAsia="Arial" w:hAnsi="Arial"/>
          <w:sz w:val="14"/>
          <w:szCs w:val="14"/>
          <w:b w:val="1"/>
          <w:bCs w:val="1"/>
          <w:color w:val="auto"/>
        </w:rPr>
      </w:pPr>
      <w:r>
        <w:rPr>
          <w:rFonts w:ascii="Arial" w:cs="Arial" w:eastAsia="Arial" w:hAnsi="Arial"/>
          <w:sz w:val="14"/>
          <w:szCs w:val="14"/>
          <w:b w:val="1"/>
          <w:bCs w:val="1"/>
          <w:color w:val="auto"/>
        </w:rPr>
        <w:t>HOW CAN I OBTAIN UPDATED INDICATIVE EXAMPLES OF THE CURRENT MARKET PRICE IN AUSTRALIAN DOLLARS?</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2"/>
          <w:szCs w:val="12"/>
          <w:color w:val="auto"/>
        </w:rPr>
        <w:t xml:space="preserve">You may ascertain the current market price of the Shares as traded on the Nasdaq at </w:t>
      </w:r>
      <w:r>
        <w:rPr>
          <w:rFonts w:ascii="Arial" w:cs="Arial" w:eastAsia="Arial" w:hAnsi="Arial"/>
          <w:sz w:val="12"/>
          <w:szCs w:val="12"/>
          <w:u w:val="single" w:color="auto"/>
          <w:color w:val="auto"/>
        </w:rPr>
        <w:t>http://www.nasdaq.com</w:t>
      </w:r>
      <w:r>
        <w:rPr>
          <w:rFonts w:ascii="Arial" w:cs="Arial" w:eastAsia="Arial" w:hAnsi="Arial"/>
          <w:sz w:val="12"/>
          <w:szCs w:val="12"/>
          <w:color w:val="auto"/>
        </w:rPr>
        <w:t xml:space="preserve"> under the code “ADI”. The Australian dollar equivalent of that price can be obtained at:</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4"/>
          <w:szCs w:val="14"/>
          <w:u w:val="single" w:color="auto"/>
          <w:color w:val="auto"/>
        </w:rPr>
        <w:t>http://www.rba.gov.au/statistics/frequency/exchange-rates.html</w:t>
      </w:r>
      <w:r>
        <w:rPr>
          <w:rFonts w:ascii="Arial" w:cs="Arial" w:eastAsia="Arial" w:hAnsi="Arial"/>
          <w:sz w:val="14"/>
          <w:szCs w:val="14"/>
          <w:color w:val="auto"/>
        </w:rPr>
        <w:t>.</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3"/>
          <w:szCs w:val="13"/>
          <w:i w:val="1"/>
          <w:iCs w:val="1"/>
          <w:color w:val="auto"/>
        </w:rPr>
        <w:t>This will not be a prediction of what the market price per Share will be when the Restricted Stock Units vest or settle or of the applicable exchange rate on the actual date of vesting or settlement.</w:t>
      </w:r>
    </w:p>
    <w:p>
      <w:pPr>
        <w:spacing w:after="0" w:line="197"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auto"/>
        </w:rPr>
        <w:t>10.</w:t>
        <w:tab/>
        <w:t>WHAT ADDITIONAL RISK FACTORS APPLY TO AUSTRALIAN RESIDENTS’ PARTICIPATION IN THE PLAN?</w:t>
      </w:r>
    </w:p>
    <w:p>
      <w:pPr>
        <w:spacing w:after="0" w:line="194" w:lineRule="exact"/>
        <w:rPr>
          <w:sz w:val="20"/>
          <w:szCs w:val="20"/>
          <w:color w:val="auto"/>
        </w:rPr>
      </w:pPr>
    </w:p>
    <w:p>
      <w:pPr>
        <w:jc w:val="both"/>
        <w:ind w:left="6"/>
        <w:spacing w:after="0" w:line="278" w:lineRule="auto"/>
        <w:rPr>
          <w:sz w:val="20"/>
          <w:szCs w:val="20"/>
          <w:color w:val="auto"/>
        </w:rPr>
      </w:pPr>
      <w:r>
        <w:rPr>
          <w:rFonts w:ascii="Arial" w:cs="Arial" w:eastAsia="Arial" w:hAnsi="Arial"/>
          <w:sz w:val="13"/>
          <w:szCs w:val="13"/>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49" w:lineRule="exact"/>
        <w:rPr>
          <w:sz w:val="20"/>
          <w:szCs w:val="20"/>
          <w:color w:val="auto"/>
        </w:rPr>
      </w:pPr>
    </w:p>
    <w:p>
      <w:pPr>
        <w:jc w:val="both"/>
        <w:ind w:left="6"/>
        <w:spacing w:after="0" w:line="250" w:lineRule="auto"/>
        <w:rPr>
          <w:sz w:val="20"/>
          <w:szCs w:val="20"/>
          <w:color w:val="auto"/>
        </w:rPr>
      </w:pPr>
      <w:r>
        <w:rPr>
          <w:rFonts w:ascii="Arial" w:cs="Arial" w:eastAsia="Arial" w:hAnsi="Arial"/>
          <w:sz w:val="14"/>
          <w:szCs w:val="14"/>
          <w:color w:val="auto"/>
        </w:rPr>
        <w:t xml:space="preserve">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w:t>
      </w:r>
      <w:r>
        <w:rPr>
          <w:rFonts w:ascii="Arial" w:cs="Arial" w:eastAsia="Arial" w:hAnsi="Arial"/>
          <w:sz w:val="14"/>
          <w:szCs w:val="14"/>
          <w:u w:val="single" w:color="auto"/>
          <w:color w:val="auto"/>
        </w:rPr>
        <w:t>http://www.sec.gov/</w:t>
      </w:r>
      <w:r>
        <w:rPr>
          <w:rFonts w:ascii="Arial" w:cs="Arial" w:eastAsia="Arial" w:hAnsi="Arial"/>
          <w:sz w:val="14"/>
          <w:szCs w:val="14"/>
          <w:color w:val="auto"/>
        </w:rPr>
        <w:t xml:space="preserve">, on the Company’s “Investor Relations” page at </w:t>
      </w:r>
      <w:r>
        <w:rPr>
          <w:rFonts w:ascii="Arial" w:cs="Arial" w:eastAsia="Arial" w:hAnsi="Arial"/>
          <w:sz w:val="14"/>
          <w:szCs w:val="14"/>
          <w:u w:val="single" w:color="auto"/>
          <w:color w:val="auto"/>
        </w:rPr>
        <w:t>http://investor.analog.com/</w:t>
      </w:r>
      <w:r>
        <w:rPr>
          <w:rFonts w:ascii="Arial" w:cs="Arial" w:eastAsia="Arial" w:hAnsi="Arial"/>
          <w:sz w:val="14"/>
          <w:szCs w:val="14"/>
          <w:color w:val="auto"/>
        </w:rPr>
        <w:t>, and upon request to the Company.</w:t>
      </w:r>
    </w:p>
    <w:p>
      <w:pPr>
        <w:spacing w:after="0" w:line="167" w:lineRule="exact"/>
        <w:rPr>
          <w:sz w:val="20"/>
          <w:szCs w:val="20"/>
          <w:color w:val="auto"/>
        </w:rPr>
      </w:pPr>
    </w:p>
    <w:p>
      <w:pPr>
        <w:jc w:val="both"/>
        <w:ind w:left="6" w:right="20"/>
        <w:spacing w:after="0" w:line="270" w:lineRule="auto"/>
        <w:rPr>
          <w:sz w:val="20"/>
          <w:szCs w:val="20"/>
          <w:color w:val="auto"/>
        </w:rPr>
      </w:pPr>
      <w:r>
        <w:rPr>
          <w:rFonts w:ascii="Arial" w:cs="Arial" w:eastAsia="Arial" w:hAnsi="Arial"/>
          <w:sz w:val="14"/>
          <w:szCs w:val="14"/>
          <w:color w:val="auto"/>
        </w:rPr>
        <w:t>In addition, you should be aware that the Australian dollar value of the Shares you may acquire at vesting will be affected by the U.S. dollar/Australian dollar exchange rate. Participation in the Plan involves certain risks related to fluctuations in this rate of exchange.</w:t>
      </w:r>
    </w:p>
    <w:p>
      <w:pPr>
        <w:spacing w:after="0" w:line="148" w:lineRule="exact"/>
        <w:rPr>
          <w:sz w:val="20"/>
          <w:szCs w:val="20"/>
          <w:color w:val="auto"/>
        </w:rPr>
      </w:pPr>
    </w:p>
    <w:p>
      <w:pPr>
        <w:ind w:left="6"/>
        <w:spacing w:after="0"/>
        <w:tabs>
          <w:tab w:leader="none" w:pos="286" w:val="left"/>
        </w:tabs>
        <w:rPr>
          <w:sz w:val="20"/>
          <w:szCs w:val="20"/>
          <w:color w:val="auto"/>
        </w:rPr>
      </w:pPr>
      <w:r>
        <w:rPr>
          <w:rFonts w:ascii="Arial" w:cs="Arial" w:eastAsia="Arial" w:hAnsi="Arial"/>
          <w:sz w:val="14"/>
          <w:szCs w:val="14"/>
          <w:b w:val="1"/>
          <w:bCs w:val="1"/>
          <w:color w:val="auto"/>
        </w:rPr>
        <w:t>11.</w:t>
        <w:tab/>
        <w:t>PLAN MODIFICATION, TERMINATION ETC.</w:t>
      </w:r>
    </w:p>
    <w:p>
      <w:pPr>
        <w:spacing w:after="0" w:line="194" w:lineRule="exact"/>
        <w:rPr>
          <w:sz w:val="20"/>
          <w:szCs w:val="20"/>
          <w:color w:val="auto"/>
        </w:rPr>
      </w:pPr>
    </w:p>
    <w:p>
      <w:pPr>
        <w:jc w:val="both"/>
        <w:ind w:left="6"/>
        <w:spacing w:after="0" w:line="310" w:lineRule="auto"/>
        <w:rPr>
          <w:sz w:val="20"/>
          <w:szCs w:val="20"/>
          <w:color w:val="auto"/>
        </w:rPr>
      </w:pPr>
      <w:r>
        <w:rPr>
          <w:rFonts w:ascii="Arial" w:cs="Arial" w:eastAsia="Arial" w:hAnsi="Arial"/>
          <w:sz w:val="13"/>
          <w:szCs w:val="13"/>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374" w:lineRule="exact"/>
        <w:rPr>
          <w:sz w:val="20"/>
          <w:szCs w:val="20"/>
          <w:color w:val="auto"/>
        </w:rPr>
      </w:pPr>
    </w:p>
    <w:p>
      <w:pPr>
        <w:ind w:left="126"/>
        <w:spacing w:after="0"/>
        <w:rPr>
          <w:sz w:val="20"/>
          <w:szCs w:val="20"/>
          <w:color w:val="auto"/>
        </w:rPr>
      </w:pPr>
      <w:r>
        <w:rPr>
          <w:rFonts w:ascii="Arial" w:cs="Arial" w:eastAsia="Arial" w:hAnsi="Arial"/>
          <w:sz w:val="14"/>
          <w:szCs w:val="14"/>
          <w:color w:val="auto"/>
        </w:rPr>
        <w:t>APPENDIX B - 3</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6"/>
          </w:cols>
          <w:pgMar w:left="314" w:top="910" w:right="319" w:bottom="1440" w:gutter="0" w:footer="0" w:header="0"/>
        </w:sectPr>
      </w:pPr>
    </w:p>
    <w:bookmarkStart w:id="136" w:name="page137"/>
    <w:bookmarkEnd w:id="136"/>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58">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B</w:t>
      </w:r>
    </w:p>
    <w:p>
      <w:pPr>
        <w:spacing w:after="0" w:line="143"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OFFER DOCUMENT</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OFFER OF RESTRICTED STOCK UNITS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12.</w:t>
        <w:tab/>
        <w:t>WHAT ARE THE AUSTRALIAN TAX CONSEQUENCES OF PARTICIPATION IN THE PLAN?</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following is a summary of the tax consequences as of June 2021 for an Australian resident employee who receives Restricted Stock Units under the Plan. You may also be subject to Medicare levy and surcharge.</w:t>
      </w:r>
    </w:p>
    <w:p>
      <w:pPr>
        <w:spacing w:after="0" w:line="152" w:lineRule="exact"/>
        <w:rPr>
          <w:sz w:val="20"/>
          <w:szCs w:val="20"/>
          <w:color w:val="auto"/>
        </w:rPr>
      </w:pPr>
    </w:p>
    <w:p>
      <w:pPr>
        <w:jc w:val="both"/>
        <w:spacing w:after="0" w:line="310" w:lineRule="auto"/>
        <w:rPr>
          <w:sz w:val="20"/>
          <w:szCs w:val="20"/>
          <w:color w:val="auto"/>
        </w:rPr>
      </w:pPr>
      <w:r>
        <w:rPr>
          <w:rFonts w:ascii="Arial" w:cs="Arial" w:eastAsia="Arial" w:hAnsi="Arial"/>
          <w:sz w:val="13"/>
          <w:szCs w:val="13"/>
          <w:color w:val="auto"/>
        </w:rPr>
        <w:t>We note that for Restricted Stock Units granted under the Plan prior to 1 July 2015, different employee share scheme rules apply. The following taxation summary applies only to Restricted Stock Units granted on or after 1 July 2015. If you hold Restricted Stock Units granted before 1 July 2015, please consult with your personal tax advisor on the applicable tax treatment.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This summary is necessarily general in nature and does not purport to be tax advice in relation to an actual or potential recipient of Restricted Stock Units.</w:t>
      </w:r>
    </w:p>
    <w:p>
      <w:pPr>
        <w:spacing w:after="0" w:line="190"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 xml:space="preserve">If you are a citizen or resident of another country for local tax law purposes or if you transfer employment to another country after the Restricted Stock Units are granted to you, the information contained in this summary may not be applicable to you. </w:t>
      </w:r>
      <w:r>
        <w:rPr>
          <w:rFonts w:ascii="Arial" w:cs="Arial" w:eastAsia="Arial" w:hAnsi="Arial"/>
          <w:sz w:val="14"/>
          <w:szCs w:val="14"/>
          <w:i w:val="1"/>
          <w:iCs w:val="1"/>
          <w:color w:val="auto"/>
        </w:rPr>
        <w:t>You should seek appropriate professional advice as to how the tax or other laws in Australia and in your country apply to your specific</w:t>
      </w:r>
      <w:r>
        <w:rPr>
          <w:rFonts w:ascii="Arial" w:cs="Arial" w:eastAsia="Arial" w:hAnsi="Arial"/>
          <w:sz w:val="14"/>
          <w:szCs w:val="14"/>
          <w:color w:val="auto"/>
        </w:rPr>
        <w:t xml:space="preserve"> </w:t>
      </w:r>
      <w:r>
        <w:rPr>
          <w:rFonts w:ascii="Arial" w:cs="Arial" w:eastAsia="Arial" w:hAnsi="Arial"/>
          <w:sz w:val="14"/>
          <w:szCs w:val="14"/>
          <w:i w:val="1"/>
          <w:iCs w:val="1"/>
          <w:color w:val="auto"/>
        </w:rPr>
        <w:t>situation.</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If you are awarded Restricted Stock Units under the Plan, you should not rely on this summary as anything other than a broad guide, and you should obtain independent taxation advice specific to your particular circumstances before making the decision to accept the Restricted Stock Units.</w:t>
      </w:r>
    </w:p>
    <w:p>
      <w:pPr>
        <w:spacing w:after="0" w:line="14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(a)</w:t>
      </w:r>
      <w:r>
        <w:rPr>
          <w:sz w:val="20"/>
          <w:szCs w:val="20"/>
          <w:color w:val="auto"/>
        </w:rPr>
        <w:tab/>
      </w:r>
      <w:r>
        <w:rPr>
          <w:rFonts w:ascii="Arial" w:cs="Arial" w:eastAsia="Arial" w:hAnsi="Arial"/>
          <w:sz w:val="12"/>
          <w:szCs w:val="12"/>
          <w:b w:val="1"/>
          <w:bCs w:val="1"/>
          <w:color w:val="auto"/>
        </w:rPr>
        <w:t>What is the effect of the grant of the Restricted Stock Units?</w:t>
      </w:r>
    </w:p>
    <w:p>
      <w:pPr>
        <w:spacing w:after="0" w:line="194" w:lineRule="exact"/>
        <w:rPr>
          <w:sz w:val="20"/>
          <w:szCs w:val="20"/>
          <w:color w:val="auto"/>
        </w:rPr>
      </w:pPr>
    </w:p>
    <w:p>
      <w:pPr>
        <w:jc w:val="both"/>
        <w:spacing w:after="0" w:line="356" w:lineRule="auto"/>
        <w:rPr>
          <w:sz w:val="20"/>
          <w:szCs w:val="20"/>
          <w:color w:val="auto"/>
        </w:rPr>
      </w:pPr>
      <w:r>
        <w:rPr>
          <w:rFonts w:ascii="Arial" w:cs="Arial" w:eastAsia="Arial" w:hAnsi="Arial"/>
          <w:sz w:val="12"/>
          <w:szCs w:val="12"/>
          <w:color w:val="auto"/>
        </w:rPr>
        <w:t xml:space="preserve">The Australian tax legislation contains specific rules, in Division 83A of the </w:t>
      </w:r>
      <w:r>
        <w:rPr>
          <w:rFonts w:ascii="Arial" w:cs="Arial" w:eastAsia="Arial" w:hAnsi="Arial"/>
          <w:sz w:val="12"/>
          <w:szCs w:val="12"/>
          <w:i w:val="1"/>
          <w:iCs w:val="1"/>
          <w:color w:val="auto"/>
        </w:rPr>
        <w:t>Income Tax Assessment Act 1997</w:t>
      </w:r>
      <w:r>
        <w:rPr>
          <w:rFonts w:ascii="Arial" w:cs="Arial" w:eastAsia="Arial" w:hAnsi="Arial"/>
          <w:sz w:val="12"/>
          <w:szCs w:val="12"/>
          <w:color w:val="auto"/>
        </w:rPr>
        <w:t>, governing the taxation of shares and rights (called “ESS interests”) acquired by employees under employee share schemes. The Restricted Stock Units granted under the Plan should be regarded as a right to acquire shares and accordingly, an ESS interest for these purposes.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Your assessable income includes the ESS interest at grant, unless the ESS interest is subject to a “real risk of forfeiture,” in which case you will be subject to deferred taxation.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 the case of the Restricted Stock Units, the “real risk of forfeiture” test requires that:</w:t>
      </w:r>
    </w:p>
    <w:p>
      <w:pPr>
        <w:spacing w:after="0" w:line="190" w:lineRule="exact"/>
        <w:rPr>
          <w:sz w:val="20"/>
          <w:szCs w:val="20"/>
          <w:color w:val="auto"/>
        </w:rPr>
      </w:pPr>
    </w:p>
    <w:p>
      <w:pPr>
        <w:ind w:left="560" w:hanging="5"/>
        <w:spacing w:after="0" w:line="270" w:lineRule="auto"/>
        <w:tabs>
          <w:tab w:leader="none" w:pos="841"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there must be a real risk that, under the conditions of the Plan, you will forfeit the Restricted Stock Units or lose them (other than by disposing of them or in connection with the vesting of the Restricted Stock Units); or</w:t>
      </w:r>
    </w:p>
    <w:p>
      <w:pPr>
        <w:spacing w:after="0" w:line="152" w:lineRule="exact"/>
        <w:rPr>
          <w:rFonts w:ascii="Arial" w:cs="Arial" w:eastAsia="Arial" w:hAnsi="Arial"/>
          <w:sz w:val="14"/>
          <w:szCs w:val="14"/>
          <w:color w:val="auto"/>
        </w:rPr>
      </w:pPr>
    </w:p>
    <w:p>
      <w:pPr>
        <w:ind w:left="860" w:hanging="305"/>
        <w:spacing w:after="0"/>
        <w:tabs>
          <w:tab w:leader="none" w:pos="8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there must be a real risk that if your Restricted Stock Units vest, under the conditions of the Plan, you will forfeit the underlying Shares or lose them other than by disposing of them.</w:t>
      </w:r>
    </w:p>
    <w:p>
      <w:pPr>
        <w:spacing w:after="0" w:line="201"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terms of your Restricted Stock Unit award are set out in the Additional Documents. It is understood that your Restricted Stock Units will satisfy the real risk of forfeiture test and that you will be subject to deferred taxation (</w:t>
      </w:r>
      <w:r>
        <w:rPr>
          <w:rFonts w:ascii="Arial" w:cs="Arial" w:eastAsia="Arial" w:hAnsi="Arial"/>
          <w:sz w:val="14"/>
          <w:szCs w:val="14"/>
          <w:i w:val="1"/>
          <w:iCs w:val="1"/>
          <w:color w:val="auto"/>
        </w:rPr>
        <w:t>i.e.</w:t>
      </w:r>
      <w:r>
        <w:rPr>
          <w:rFonts w:ascii="Arial" w:cs="Arial" w:eastAsia="Arial" w:hAnsi="Arial"/>
          <w:sz w:val="14"/>
          <w:szCs w:val="14"/>
          <w:color w:val="auto"/>
        </w:rPr>
        <w:t>, you generally should not be subject to tax when the Restricted Share Units are granted to you).</w:t>
      </w:r>
    </w:p>
    <w:p>
      <w:pPr>
        <w:spacing w:after="0" w:line="14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(b)</w:t>
      </w:r>
      <w:r>
        <w:rPr>
          <w:sz w:val="20"/>
          <w:szCs w:val="20"/>
          <w:color w:val="auto"/>
        </w:rPr>
        <w:tab/>
      </w:r>
      <w:r>
        <w:rPr>
          <w:rFonts w:ascii="Arial" w:cs="Arial" w:eastAsia="Arial" w:hAnsi="Arial"/>
          <w:sz w:val="12"/>
          <w:szCs w:val="12"/>
          <w:b w:val="1"/>
          <w:bCs w:val="1"/>
          <w:color w:val="auto"/>
        </w:rPr>
        <w:t>When will you be taxed if your Restricted Stock Units are subject to a real risk of forfeiture?</w:t>
      </w:r>
    </w:p>
    <w:p>
      <w:pPr>
        <w:spacing w:after="0" w:line="194"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You will be required to include an amount in your assessable income for the income year (</w:t>
      </w:r>
      <w:r>
        <w:rPr>
          <w:rFonts w:ascii="Arial" w:cs="Arial" w:eastAsia="Arial" w:hAnsi="Arial"/>
          <w:sz w:val="14"/>
          <w:szCs w:val="14"/>
          <w:i w:val="1"/>
          <w:iCs w:val="1"/>
          <w:color w:val="auto"/>
        </w:rPr>
        <w:t>i.e.</w:t>
      </w:r>
      <w:r>
        <w:rPr>
          <w:rFonts w:ascii="Arial" w:cs="Arial" w:eastAsia="Arial" w:hAnsi="Arial"/>
          <w:sz w:val="14"/>
          <w:szCs w:val="14"/>
          <w:color w:val="auto"/>
        </w:rPr>
        <w:t>, the financial year ending 30 June) in which the earliest of the following events occurs in relation to the Restricted Stock Units (the “ESS deferred taxing point”).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Your ESS deferred taxing point will be the earliest of the following:</w:t>
      </w:r>
    </w:p>
    <w:p>
      <w:pPr>
        <w:spacing w:after="0" w:line="190" w:lineRule="exact"/>
        <w:rPr>
          <w:sz w:val="20"/>
          <w:szCs w:val="20"/>
          <w:color w:val="auto"/>
        </w:rPr>
      </w:pPr>
    </w:p>
    <w:p>
      <w:pPr>
        <w:ind w:left="560"/>
        <w:spacing w:after="0"/>
        <w:tabs>
          <w:tab w:leader="none" w:pos="80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2"/>
          <w:szCs w:val="12"/>
          <w:color w:val="auto"/>
        </w:rPr>
        <w:t>when there are no longer any genuine restrictions on the vesting of the Restricted Stock Units and there is no real risk of you forfeiting your Restricted Stock Units;</w:t>
      </w: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B - 4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0"/>
          </w:cols>
          <w:pgMar w:left="320" w:top="911" w:right="319" w:bottom="1440" w:gutter="0" w:footer="0" w:header="0"/>
        </w:sectPr>
      </w:pPr>
    </w:p>
    <w:bookmarkStart w:id="137" w:name="page138"/>
    <w:bookmarkEnd w:id="137"/>
    <w:p>
      <w:pPr>
        <w:ind w:left="5206"/>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59">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B</w:t>
      </w:r>
    </w:p>
    <w:p>
      <w:pPr>
        <w:spacing w:after="0" w:line="143" w:lineRule="exact"/>
        <w:rPr>
          <w:sz w:val="20"/>
          <w:szCs w:val="20"/>
          <w:color w:val="auto"/>
        </w:rPr>
      </w:pPr>
    </w:p>
    <w:p>
      <w:pPr>
        <w:ind w:left="4966"/>
        <w:spacing w:after="0"/>
        <w:rPr>
          <w:sz w:val="20"/>
          <w:szCs w:val="20"/>
          <w:color w:val="auto"/>
        </w:rPr>
      </w:pPr>
      <w:r>
        <w:rPr>
          <w:rFonts w:ascii="Arial" w:cs="Arial" w:eastAsia="Arial" w:hAnsi="Arial"/>
          <w:sz w:val="14"/>
          <w:szCs w:val="14"/>
          <w:b w:val="1"/>
          <w:bCs w:val="1"/>
          <w:color w:val="auto"/>
        </w:rPr>
        <w:t>OFFER DOCUMENT</w:t>
      </w:r>
    </w:p>
    <w:p>
      <w:pPr>
        <w:spacing w:after="0" w:line="143" w:lineRule="exact"/>
        <w:rPr>
          <w:sz w:val="20"/>
          <w:szCs w:val="20"/>
          <w:color w:val="auto"/>
        </w:rPr>
      </w:pPr>
    </w:p>
    <w:p>
      <w:pPr>
        <w:ind w:left="4286"/>
        <w:spacing w:after="0"/>
        <w:rPr>
          <w:sz w:val="20"/>
          <w:szCs w:val="20"/>
          <w:color w:val="auto"/>
        </w:rPr>
      </w:pPr>
      <w:r>
        <w:rPr>
          <w:rFonts w:ascii="Arial" w:cs="Arial" w:eastAsia="Arial" w:hAnsi="Arial"/>
          <w:sz w:val="14"/>
          <w:szCs w:val="14"/>
          <w:b w:val="1"/>
          <w:bCs w:val="1"/>
          <w:color w:val="auto"/>
        </w:rPr>
        <w:t>OFFER OF RESTRICTED STOCK UNITS</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66" w:hanging="305"/>
        <w:spacing w:after="0"/>
        <w:tabs>
          <w:tab w:leader="none" w:pos="86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when the Restricted Stock Units are settled and there is no genuine restriction on the disposal of the underlying Shares; and</w:t>
      </w:r>
    </w:p>
    <w:p>
      <w:pPr>
        <w:spacing w:after="0" w:line="189" w:lineRule="exact"/>
        <w:rPr>
          <w:rFonts w:ascii="Arial" w:cs="Arial" w:eastAsia="Arial" w:hAnsi="Arial"/>
          <w:sz w:val="14"/>
          <w:szCs w:val="14"/>
          <w:color w:val="auto"/>
        </w:rPr>
      </w:pPr>
    </w:p>
    <w:p>
      <w:pPr>
        <w:ind w:left="906" w:hanging="345"/>
        <w:spacing w:after="0"/>
        <w:tabs>
          <w:tab w:leader="none" w:pos="90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your cessation of employment (but see Section 11(e) below).</w:t>
      </w:r>
    </w:p>
    <w:p>
      <w:pPr>
        <w:spacing w:after="0" w:line="190" w:lineRule="exact"/>
        <w:rPr>
          <w:sz w:val="20"/>
          <w:szCs w:val="20"/>
          <w:color w:val="auto"/>
        </w:rPr>
      </w:pPr>
    </w:p>
    <w:p>
      <w:pPr>
        <w:jc w:val="both"/>
        <w:ind w:left="6"/>
        <w:spacing w:after="0" w:line="286" w:lineRule="auto"/>
        <w:rPr>
          <w:sz w:val="20"/>
          <w:szCs w:val="20"/>
          <w:color w:val="auto"/>
        </w:rPr>
      </w:pPr>
      <w:r>
        <w:rPr>
          <w:rFonts w:ascii="Arial" w:cs="Arial" w:eastAsia="Arial" w:hAnsi="Arial"/>
          <w:sz w:val="13"/>
          <w:szCs w:val="13"/>
          <w:color w:val="auto"/>
        </w:rPr>
        <w:t>Generally, this means that you will be subject to tax when your Restricted Stock Units vest. However, the ESS deferred taxing point for your Restricted Stock Units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14"/>
          <w:szCs w:val="14"/>
          <w:color w:val="auto"/>
        </w:rPr>
        <w:t>In addition to income taxes, the assessable amount may also be subject to Medicare Levy and surcharge (if applicable).</w:t>
      </w:r>
    </w:p>
    <w:p>
      <w:pPr>
        <w:spacing w:after="0" w:line="186" w:lineRule="exact"/>
        <w:rPr>
          <w:sz w:val="20"/>
          <w:szCs w:val="20"/>
          <w:color w:val="auto"/>
        </w:rPr>
      </w:pPr>
    </w:p>
    <w:p>
      <w:pPr>
        <w:ind w:left="6"/>
        <w:spacing w:after="0"/>
        <w:tabs>
          <w:tab w:leader="none" w:pos="266" w:val="left"/>
        </w:tabs>
        <w:rPr>
          <w:sz w:val="20"/>
          <w:szCs w:val="20"/>
          <w:color w:val="auto"/>
        </w:rPr>
      </w:pPr>
      <w:r>
        <w:rPr>
          <w:rFonts w:ascii="Arial" w:cs="Arial" w:eastAsia="Arial" w:hAnsi="Arial"/>
          <w:sz w:val="14"/>
          <w:szCs w:val="14"/>
          <w:b w:val="1"/>
          <w:bCs w:val="1"/>
          <w:color w:val="auto"/>
        </w:rPr>
        <w:t>(c)</w:t>
      </w:r>
      <w:r>
        <w:rPr>
          <w:sz w:val="20"/>
          <w:szCs w:val="20"/>
          <w:color w:val="auto"/>
        </w:rPr>
        <w:tab/>
      </w:r>
      <w:r>
        <w:rPr>
          <w:rFonts w:ascii="Arial" w:cs="Arial" w:eastAsia="Arial" w:hAnsi="Arial"/>
          <w:sz w:val="12"/>
          <w:szCs w:val="12"/>
          <w:b w:val="1"/>
          <w:bCs w:val="1"/>
          <w:color w:val="auto"/>
        </w:rPr>
        <w:t>What is the amount to be included in your assessable income if an ESS deferred taxing point occurs?</w:t>
      </w:r>
    </w:p>
    <w:p>
      <w:pPr>
        <w:spacing w:after="0" w:line="194" w:lineRule="exact"/>
        <w:rPr>
          <w:sz w:val="20"/>
          <w:szCs w:val="20"/>
          <w:color w:val="auto"/>
        </w:rPr>
      </w:pPr>
    </w:p>
    <w:p>
      <w:pPr>
        <w:jc w:val="both"/>
        <w:ind w:left="6" w:right="20"/>
        <w:spacing w:after="0" w:line="257" w:lineRule="auto"/>
        <w:rPr>
          <w:sz w:val="20"/>
          <w:szCs w:val="20"/>
          <w:color w:val="auto"/>
        </w:rPr>
      </w:pPr>
      <w:r>
        <w:rPr>
          <w:rFonts w:ascii="Arial" w:cs="Arial" w:eastAsia="Arial" w:hAnsi="Arial"/>
          <w:sz w:val="14"/>
          <w:szCs w:val="14"/>
          <w:color w:val="auto"/>
        </w:rPr>
        <w:t>The amount you must include in your assessable income in the income year (</w:t>
      </w:r>
      <w:r>
        <w:rPr>
          <w:rFonts w:ascii="Arial" w:cs="Arial" w:eastAsia="Arial" w:hAnsi="Arial"/>
          <w:sz w:val="14"/>
          <w:szCs w:val="14"/>
          <w:i w:val="1"/>
          <w:iCs w:val="1"/>
          <w:color w:val="auto"/>
        </w:rPr>
        <w:t>i.e.</w:t>
      </w:r>
      <w:r>
        <w:rPr>
          <w:rFonts w:ascii="Arial" w:cs="Arial" w:eastAsia="Arial" w:hAnsi="Arial"/>
          <w:sz w:val="14"/>
          <w:szCs w:val="14"/>
          <w:color w:val="auto"/>
        </w:rPr>
        <w:t>, the financial year ending 30 June) in which the ESS deferred taxing point occurs in relation to your Restricted Stock Units (</w:t>
      </w:r>
      <w:r>
        <w:rPr>
          <w:rFonts w:ascii="Arial" w:cs="Arial" w:eastAsia="Arial" w:hAnsi="Arial"/>
          <w:sz w:val="14"/>
          <w:szCs w:val="14"/>
          <w:i w:val="1"/>
          <w:iCs w:val="1"/>
          <w:color w:val="auto"/>
        </w:rPr>
        <w:t>i.e.,</w:t>
      </w:r>
      <w:r>
        <w:rPr>
          <w:rFonts w:ascii="Arial" w:cs="Arial" w:eastAsia="Arial" w:hAnsi="Arial"/>
          <w:sz w:val="14"/>
          <w:szCs w:val="14"/>
          <w:color w:val="auto"/>
        </w:rPr>
        <w:t xml:space="preserve"> typically at vesting) will be the difference between the “market value” of the underlying Shares at the ESS deferred taxing point and the cost base of the Restricted Stock Units (which should be nil because you do not have to pay anything to acquire the Restricted Stock Units or the underlying Shares).</w:t>
      </w:r>
    </w:p>
    <w:p>
      <w:pPr>
        <w:spacing w:after="0" w:line="161" w:lineRule="exact"/>
        <w:rPr>
          <w:sz w:val="20"/>
          <w:szCs w:val="20"/>
          <w:color w:val="auto"/>
        </w:rPr>
      </w:pPr>
    </w:p>
    <w:p>
      <w:pPr>
        <w:jc w:val="both"/>
        <w:ind w:left="6"/>
        <w:spacing w:after="0" w:line="310" w:lineRule="auto"/>
        <w:rPr>
          <w:sz w:val="20"/>
          <w:szCs w:val="20"/>
          <w:color w:val="auto"/>
        </w:rPr>
      </w:pPr>
      <w:r>
        <w:rPr>
          <w:rFonts w:ascii="Arial" w:cs="Arial" w:eastAsia="Arial" w:hAnsi="Arial"/>
          <w:sz w:val="13"/>
          <w:szCs w:val="13"/>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Restricted Stock Units (which, again, should be nil).</w:t>
      </w:r>
    </w:p>
    <w:p>
      <w:pPr>
        <w:spacing w:after="0" w:line="124" w:lineRule="exact"/>
        <w:rPr>
          <w:sz w:val="20"/>
          <w:szCs w:val="20"/>
          <w:color w:val="auto"/>
        </w:rPr>
      </w:pPr>
    </w:p>
    <w:p>
      <w:pPr>
        <w:ind w:left="346" w:hanging="346"/>
        <w:spacing w:after="0"/>
        <w:tabs>
          <w:tab w:leader="none" w:pos="346" w:val="left"/>
        </w:tabs>
        <w:numPr>
          <w:ilvl w:val="0"/>
          <w:numId w:val="120"/>
        </w:numPr>
        <w:rPr>
          <w:rFonts w:ascii="Arial" w:cs="Arial" w:eastAsia="Arial" w:hAnsi="Arial"/>
          <w:sz w:val="14"/>
          <w:szCs w:val="14"/>
          <w:b w:val="1"/>
          <w:bCs w:val="1"/>
          <w:color w:val="auto"/>
        </w:rPr>
      </w:pPr>
      <w:r>
        <w:rPr>
          <w:rFonts w:ascii="Arial" w:cs="Arial" w:eastAsia="Arial" w:hAnsi="Arial"/>
          <w:sz w:val="14"/>
          <w:szCs w:val="14"/>
          <w:b w:val="1"/>
          <w:bCs w:val="1"/>
          <w:color w:val="auto"/>
        </w:rPr>
        <w:t>What is the market value of the Underlying Shares?</w:t>
      </w:r>
    </w:p>
    <w:p>
      <w:pPr>
        <w:spacing w:after="0" w:line="194" w:lineRule="exact"/>
        <w:rPr>
          <w:sz w:val="20"/>
          <w:szCs w:val="20"/>
          <w:color w:val="auto"/>
        </w:rPr>
      </w:pPr>
    </w:p>
    <w:p>
      <w:pPr>
        <w:jc w:val="both"/>
        <w:ind w:left="6" w:right="20"/>
        <w:spacing w:after="0" w:line="270" w:lineRule="auto"/>
        <w:rPr>
          <w:sz w:val="20"/>
          <w:szCs w:val="20"/>
          <w:color w:val="auto"/>
        </w:rPr>
      </w:pPr>
      <w:r>
        <w:rPr>
          <w:rFonts w:ascii="Arial" w:cs="Arial" w:eastAsia="Arial" w:hAnsi="Arial"/>
          <w:sz w:val="14"/>
          <w:szCs w:val="14"/>
          <w:color w:val="auto"/>
        </w:rPr>
        <w:t>The “market value” of the Restricted Stock Units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52" w:lineRule="exact"/>
        <w:rPr>
          <w:sz w:val="20"/>
          <w:szCs w:val="20"/>
          <w:color w:val="auto"/>
        </w:rPr>
      </w:pPr>
    </w:p>
    <w:p>
      <w:pPr>
        <w:jc w:val="both"/>
        <w:ind w:left="6"/>
        <w:spacing w:after="0" w:line="286" w:lineRule="auto"/>
        <w:rPr>
          <w:sz w:val="20"/>
          <w:szCs w:val="20"/>
          <w:color w:val="auto"/>
        </w:rPr>
      </w:pPr>
      <w:r>
        <w:rPr>
          <w:rFonts w:ascii="Arial" w:cs="Arial" w:eastAsia="Arial" w:hAnsi="Arial"/>
          <w:sz w:val="13"/>
          <w:szCs w:val="13"/>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Restricted Stock Units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40" w:lineRule="exact"/>
        <w:rPr>
          <w:sz w:val="20"/>
          <w:szCs w:val="20"/>
          <w:color w:val="auto"/>
        </w:rPr>
      </w:pPr>
    </w:p>
    <w:p>
      <w:pPr>
        <w:ind w:left="326" w:hanging="326"/>
        <w:spacing w:after="0"/>
        <w:tabs>
          <w:tab w:leader="none" w:pos="326" w:val="left"/>
        </w:tabs>
        <w:numPr>
          <w:ilvl w:val="0"/>
          <w:numId w:val="121"/>
        </w:numPr>
        <w:rPr>
          <w:rFonts w:ascii="Arial" w:cs="Arial" w:eastAsia="Arial" w:hAnsi="Arial"/>
          <w:sz w:val="14"/>
          <w:szCs w:val="14"/>
          <w:b w:val="1"/>
          <w:bCs w:val="1"/>
          <w:color w:val="auto"/>
        </w:rPr>
      </w:pPr>
      <w:r>
        <w:rPr>
          <w:rFonts w:ascii="Arial" w:cs="Arial" w:eastAsia="Arial" w:hAnsi="Arial"/>
          <w:sz w:val="14"/>
          <w:szCs w:val="14"/>
          <w:b w:val="1"/>
          <w:bCs w:val="1"/>
          <w:color w:val="auto"/>
        </w:rPr>
        <w:t>What happens if I cease employment before my Restricted Stock Units vest?</w:t>
      </w:r>
    </w:p>
    <w:p>
      <w:pPr>
        <w:spacing w:after="0" w:line="194" w:lineRule="exact"/>
        <w:rPr>
          <w:sz w:val="20"/>
          <w:szCs w:val="20"/>
          <w:color w:val="auto"/>
        </w:rPr>
      </w:pPr>
    </w:p>
    <w:p>
      <w:pPr>
        <w:ind w:left="6" w:right="20"/>
        <w:spacing w:after="0" w:line="310" w:lineRule="auto"/>
        <w:rPr>
          <w:sz w:val="20"/>
          <w:szCs w:val="20"/>
          <w:color w:val="auto"/>
        </w:rPr>
      </w:pPr>
      <w:r>
        <w:rPr>
          <w:rFonts w:ascii="Arial" w:cs="Arial" w:eastAsia="Arial" w:hAnsi="Arial"/>
          <w:sz w:val="13"/>
          <w:szCs w:val="13"/>
          <w:color w:val="auto"/>
        </w:rPr>
        <w:t>If you cease employment with your employer prior to the vesting date of some or all of your Restricted Stock Units and the Restricted Stock Units do not vest upon termination of employment (</w:t>
      </w:r>
      <w:r>
        <w:rPr>
          <w:rFonts w:ascii="Arial" w:cs="Arial" w:eastAsia="Arial" w:hAnsi="Arial"/>
          <w:sz w:val="13"/>
          <w:szCs w:val="13"/>
          <w:i w:val="1"/>
          <w:iCs w:val="1"/>
          <w:color w:val="auto"/>
        </w:rPr>
        <w:t>i.e.,</w:t>
      </w:r>
      <w:r>
        <w:rPr>
          <w:rFonts w:ascii="Arial" w:cs="Arial" w:eastAsia="Arial" w:hAnsi="Arial"/>
          <w:sz w:val="13"/>
          <w:szCs w:val="13"/>
          <w:color w:val="auto"/>
        </w:rPr>
        <w:t xml:space="preserve"> they are forfeited), you may be treated as having never acquired the forfeited Restricted Stock Units in which case, no amount will be included in your assessable income.</w:t>
      </w:r>
    </w:p>
    <w:p>
      <w:pPr>
        <w:spacing w:after="0" w:line="124" w:lineRule="exact"/>
        <w:rPr>
          <w:sz w:val="20"/>
          <w:szCs w:val="20"/>
          <w:color w:val="auto"/>
        </w:rPr>
      </w:pPr>
    </w:p>
    <w:p>
      <w:pPr>
        <w:ind w:left="306" w:hanging="306"/>
        <w:spacing w:after="0"/>
        <w:tabs>
          <w:tab w:leader="none" w:pos="306" w:val="left"/>
        </w:tabs>
        <w:numPr>
          <w:ilvl w:val="0"/>
          <w:numId w:val="122"/>
        </w:numPr>
        <w:rPr>
          <w:rFonts w:ascii="Arial" w:cs="Arial" w:eastAsia="Arial" w:hAnsi="Arial"/>
          <w:sz w:val="14"/>
          <w:szCs w:val="14"/>
          <w:b w:val="1"/>
          <w:bCs w:val="1"/>
          <w:color w:val="auto"/>
        </w:rPr>
      </w:pPr>
      <w:r>
        <w:rPr>
          <w:rFonts w:ascii="Arial" w:cs="Arial" w:eastAsia="Arial" w:hAnsi="Arial"/>
          <w:sz w:val="14"/>
          <w:szCs w:val="14"/>
          <w:b w:val="1"/>
          <w:bCs w:val="1"/>
          <w:color w:val="auto"/>
        </w:rPr>
        <w:t>What tax consequences will arise when I sell my Shares?</w:t>
      </w:r>
    </w:p>
    <w:p>
      <w:pPr>
        <w:spacing w:after="0" w:line="194" w:lineRule="exact"/>
        <w:rPr>
          <w:sz w:val="20"/>
          <w:szCs w:val="20"/>
          <w:color w:val="auto"/>
        </w:rPr>
      </w:pPr>
    </w:p>
    <w:p>
      <w:pPr>
        <w:jc w:val="both"/>
        <w:ind w:left="6"/>
        <w:spacing w:after="0" w:line="270" w:lineRule="auto"/>
        <w:rPr>
          <w:sz w:val="20"/>
          <w:szCs w:val="20"/>
          <w:color w:val="auto"/>
        </w:rPr>
      </w:pPr>
      <w:r>
        <w:rPr>
          <w:rFonts w:ascii="Arial" w:cs="Arial" w:eastAsia="Arial" w:hAnsi="Arial"/>
          <w:sz w:val="14"/>
          <w:szCs w:val="14"/>
          <w:color w:val="auto"/>
        </w:rPr>
        <w:t>If you sell the Shares acquired upon vesting of your Restricted Stock Units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52" w:lineRule="exact"/>
        <w:rPr>
          <w:sz w:val="20"/>
          <w:szCs w:val="20"/>
          <w:color w:val="auto"/>
        </w:rPr>
      </w:pPr>
    </w:p>
    <w:p>
      <w:pPr>
        <w:jc w:val="both"/>
        <w:ind w:left="6"/>
        <w:spacing w:after="0" w:line="253" w:lineRule="auto"/>
        <w:rPr>
          <w:sz w:val="20"/>
          <w:szCs w:val="20"/>
          <w:color w:val="auto"/>
        </w:rPr>
      </w:pPr>
      <w:r>
        <w:rPr>
          <w:rFonts w:ascii="Arial" w:cs="Arial" w:eastAsia="Arial" w:hAnsi="Arial"/>
          <w:sz w:val="14"/>
          <w:szCs w:val="14"/>
          <w:color w:val="auto"/>
        </w:rPr>
        <w:t>If you sell the Shares acquired upon vesting of your Restricted Stock Units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200" w:lineRule="exact"/>
        <w:rPr>
          <w:sz w:val="20"/>
          <w:szCs w:val="20"/>
          <w:color w:val="auto"/>
        </w:rPr>
      </w:pPr>
    </w:p>
    <w:p>
      <w:pPr>
        <w:spacing w:after="0" w:line="209" w:lineRule="exact"/>
        <w:rPr>
          <w:sz w:val="20"/>
          <w:szCs w:val="20"/>
          <w:color w:val="auto"/>
        </w:rPr>
      </w:pPr>
    </w:p>
    <w:p>
      <w:pPr>
        <w:ind w:left="126"/>
        <w:spacing w:after="0"/>
        <w:rPr>
          <w:sz w:val="20"/>
          <w:szCs w:val="20"/>
          <w:color w:val="auto"/>
        </w:rPr>
      </w:pPr>
      <w:r>
        <w:rPr>
          <w:rFonts w:ascii="Arial" w:cs="Arial" w:eastAsia="Arial" w:hAnsi="Arial"/>
          <w:sz w:val="14"/>
          <w:szCs w:val="14"/>
          <w:color w:val="auto"/>
        </w:rPr>
        <w:t>APPENDIX B - 5</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6"/>
          </w:cols>
          <w:pgMar w:left="314" w:top="911" w:right="319" w:bottom="1440" w:gutter="0" w:footer="0" w:header="0"/>
        </w:sectPr>
      </w:pPr>
    </w:p>
    <w:bookmarkStart w:id="138" w:name="page139"/>
    <w:bookmarkEnd w:id="138"/>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60">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B</w:t>
      </w:r>
    </w:p>
    <w:p>
      <w:pPr>
        <w:spacing w:after="0" w:line="143"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OFFER DOCUMENT</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OFFER OF RESTRICTED STOCK UNITS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You are responsible for reporting any income you realize from the sale of Shares acquired upon vesting of Restricted Stock Units and paying any applicable taxes due on such income.</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48"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(g)</w:t>
      </w:r>
      <w:r>
        <w:rPr>
          <w:sz w:val="20"/>
          <w:szCs w:val="20"/>
          <w:color w:val="auto"/>
        </w:rPr>
        <w:tab/>
      </w:r>
      <w:r>
        <w:rPr>
          <w:rFonts w:ascii="Arial" w:cs="Arial" w:eastAsia="Arial" w:hAnsi="Arial"/>
          <w:sz w:val="12"/>
          <w:szCs w:val="12"/>
          <w:b w:val="1"/>
          <w:bCs w:val="1"/>
          <w:color w:val="auto"/>
        </w:rPr>
        <w:t>What are the taxation consequences if a dividend is paid on the Shares?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If you vest in the Restricted Stock Units and become a Company stockholder, you may be entitled to receive dividends on the Shares obtained from vesting in the Restricted Stock Units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59"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(h)</w:t>
      </w:r>
      <w:r>
        <w:rPr>
          <w:sz w:val="20"/>
          <w:szCs w:val="20"/>
          <w:color w:val="auto"/>
        </w:rPr>
        <w:tab/>
      </w:r>
      <w:r>
        <w:rPr>
          <w:rFonts w:ascii="Arial" w:cs="Arial" w:eastAsia="Arial" w:hAnsi="Arial"/>
          <w:sz w:val="12"/>
          <w:szCs w:val="12"/>
          <w:b w:val="1"/>
          <w:bCs w:val="1"/>
          <w:color w:val="auto"/>
        </w:rPr>
        <w:t>What are the tax withholding and reporting obligations associated with the Restricted Stock Units?</w:t>
      </w:r>
    </w:p>
    <w:p>
      <w:pPr>
        <w:spacing w:after="0" w:line="194" w:lineRule="exact"/>
        <w:rPr>
          <w:sz w:val="20"/>
          <w:szCs w:val="20"/>
          <w:color w:val="auto"/>
        </w:rPr>
      </w:pPr>
    </w:p>
    <w:p>
      <w:pPr>
        <w:jc w:val="both"/>
        <w:ind w:right="20"/>
        <w:spacing w:after="0" w:line="270" w:lineRule="auto"/>
        <w:rPr>
          <w:sz w:val="20"/>
          <w:szCs w:val="20"/>
          <w:color w:val="auto"/>
        </w:rPr>
      </w:pPr>
      <w:r>
        <w:rPr>
          <w:rFonts w:ascii="Arial" w:cs="Arial" w:eastAsia="Arial" w:hAnsi="Arial"/>
          <w:sz w:val="14"/>
          <w:szCs w:val="14"/>
          <w:color w:val="auto"/>
        </w:rPr>
        <w:t>You will be responsible for reporting on your tax return and paying any tax liability in relation to the Restricted Stock Units and any Shares issued to you at vesting. It is also your responsibility to report and pay any tax liability on the sale of any Shares acquired under the Plan any dividends received.</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Your employer will be required to withhold tax due on the Restricted Stock Units only if you have not provided your Tax File Number or Australian Business Number, as applicable, to your employer.</w:t>
      </w:r>
    </w:p>
    <w:p>
      <w:pPr>
        <w:spacing w:after="0" w:line="213" w:lineRule="exact"/>
        <w:rPr>
          <w:sz w:val="20"/>
          <w:szCs w:val="20"/>
          <w:color w:val="auto"/>
        </w:rPr>
      </w:pPr>
    </w:p>
    <w:p>
      <w:pPr>
        <w:jc w:val="both"/>
        <w:ind w:right="20"/>
        <w:spacing w:after="0" w:line="302" w:lineRule="auto"/>
        <w:rPr>
          <w:sz w:val="20"/>
          <w:szCs w:val="20"/>
          <w:color w:val="auto"/>
        </w:rPr>
      </w:pPr>
      <w:r>
        <w:rPr>
          <w:rFonts w:ascii="Arial" w:cs="Arial" w:eastAsia="Arial" w:hAnsi="Arial"/>
          <w:sz w:val="12"/>
          <w:szCs w:val="12"/>
          <w:color w:val="auto"/>
        </w:rPr>
        <w:t xml:space="preserve">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 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Arial" w:cs="Arial" w:eastAsia="Arial" w:hAnsi="Arial"/>
          <w:sz w:val="12"/>
          <w:szCs w:val="12"/>
          <w:i w:val="1"/>
          <w:iCs w:val="1"/>
          <w:color w:val="auto"/>
        </w:rPr>
        <w:t>You will be responsible for determining this amount and calculating your tax accordingly.</w:t>
      </w:r>
    </w:p>
    <w:p>
      <w:pPr>
        <w:spacing w:after="0" w:line="133"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3"/>
          <w:szCs w:val="13"/>
          <w:b w:val="1"/>
          <w:bCs w:val="1"/>
          <w:color w:val="auto"/>
        </w:rPr>
        <w:t>WHAT ARE THE U.S. TAX CONSEQUENCES OF PARTICIPATION IN THE PLAN?</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Australian residents who are not U.S. citizens or tax residents should not be subject to U.S. tax by reason only of the award or vesting of the Restricted Stock Units and/or the sale of Shares, except with respect to dividends as described above. However, liability for U.S. tax may accrue if an Australian resident is otherwise subject to U.S. tax.</w:t>
      </w:r>
    </w:p>
    <w:p>
      <w:pPr>
        <w:spacing w:after="0" w:line="152" w:lineRule="exact"/>
        <w:rPr>
          <w:sz w:val="20"/>
          <w:szCs w:val="20"/>
          <w:color w:val="auto"/>
        </w:rPr>
      </w:pPr>
    </w:p>
    <w:p>
      <w:pPr>
        <w:jc w:val="both"/>
        <w:ind w:right="20"/>
        <w:spacing w:after="0" w:line="270" w:lineRule="auto"/>
        <w:rPr>
          <w:sz w:val="20"/>
          <w:szCs w:val="20"/>
          <w:color w:val="auto"/>
        </w:rPr>
      </w:pPr>
      <w:r>
        <w:rPr>
          <w:rFonts w:ascii="Arial" w:cs="Arial" w:eastAsia="Arial" w:hAnsi="Arial"/>
          <w:sz w:val="14"/>
          <w:szCs w:val="14"/>
          <w:color w:val="auto"/>
        </w:rPr>
        <w:t>This is only an indication of the likely U.S. tax consequences for an Australian resident who is awarded Restricted Stock Units under the Plan. Each Australian resident should seek his or her own advice as to the U.S. tax consequences of the Plan.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We urge you to carefully review the information contained in this Offer Document and the Additional Documents.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B - 6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0"/>
          </w:cols>
          <w:pgMar w:left="320" w:top="911" w:right="319" w:bottom="1440" w:gutter="0" w:footer="0" w:header="0"/>
        </w:sectPr>
      </w:pPr>
    </w:p>
    <w:bookmarkStart w:id="139" w:name="page140"/>
    <w:bookmarkEnd w:id="139"/>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61">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B</w:t>
      </w:r>
    </w:p>
    <w:p>
      <w:pPr>
        <w:spacing w:after="0" w:line="143"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OFFER DOCUMENT</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OFFER OF RESTRICTED STOCK UNITS</w:t>
      </w:r>
    </w:p>
    <w:p>
      <w:pPr>
        <w:spacing w:after="0" w:line="19" w:lineRule="exact"/>
        <w:rPr>
          <w:sz w:val="20"/>
          <w:szCs w:val="20"/>
          <w:color w:val="auto"/>
        </w:rPr>
      </w:pPr>
    </w:p>
    <w:p>
      <w:pPr>
        <w:jc w:val="right"/>
        <w:ind w:right="3099"/>
        <w:spacing w:after="0"/>
        <w:rPr>
          <w:sz w:val="20"/>
          <w:szCs w:val="20"/>
          <w:color w:val="auto"/>
        </w:rPr>
      </w:pPr>
      <w:r>
        <w:rPr>
          <w:rFonts w:ascii="Arial" w:cs="Arial" w:eastAsia="Arial" w:hAnsi="Arial"/>
          <w:sz w:val="14"/>
          <w:szCs w:val="14"/>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ANALOG DEVICES, INC.</w:t>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B - 7</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139"/>
          </w:cols>
          <w:pgMar w:left="320" w:top="910" w:right="1440" w:bottom="1440" w:gutter="0" w:footer="0" w:header="0"/>
        </w:sectPr>
      </w:pPr>
    </w:p>
    <w:bookmarkStart w:id="140" w:name="page141"/>
    <w:bookmarkEnd w:id="140"/>
    <w:p>
      <w:pPr>
        <w:jc w:val="center"/>
        <w:ind w:right="-5"/>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62">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C</w:t>
      </w:r>
    </w:p>
    <w:p>
      <w:pPr>
        <w:spacing w:after="0" w:line="190" w:lineRule="exact"/>
        <w:rPr>
          <w:sz w:val="20"/>
          <w:szCs w:val="20"/>
          <w:color w:val="auto"/>
        </w:rPr>
      </w:pPr>
    </w:p>
    <w:p>
      <w:pPr>
        <w:ind w:left="3806"/>
        <w:spacing w:after="0"/>
        <w:rPr>
          <w:sz w:val="20"/>
          <w:szCs w:val="20"/>
          <w:color w:val="auto"/>
        </w:rPr>
      </w:pPr>
      <w:r>
        <w:rPr>
          <w:rFonts w:ascii="Arial" w:cs="Arial" w:eastAsia="Arial" w:hAnsi="Arial"/>
          <w:sz w:val="14"/>
          <w:szCs w:val="14"/>
          <w:b w:val="1"/>
          <w:bCs w:val="1"/>
          <w:color w:val="auto"/>
        </w:rPr>
        <w:t>EMPLOYER INFORMATION STATEMENT – DENMARK</w:t>
      </w:r>
    </w:p>
    <w:p>
      <w:pPr>
        <w:spacing w:after="0" w:line="19" w:lineRule="exact"/>
        <w:rPr>
          <w:sz w:val="20"/>
          <w:szCs w:val="20"/>
          <w:color w:val="auto"/>
        </w:rPr>
      </w:pPr>
    </w:p>
    <w:p>
      <w:pPr>
        <w:ind w:left="3846"/>
        <w:spacing w:after="0"/>
        <w:rPr>
          <w:sz w:val="20"/>
          <w:szCs w:val="20"/>
          <w:color w:val="auto"/>
        </w:rPr>
      </w:pPr>
      <w:r>
        <w:rPr>
          <w:rFonts w:ascii="Arial" w:cs="Arial" w:eastAsia="Arial" w:hAnsi="Arial"/>
          <w:sz w:val="14"/>
          <w:szCs w:val="14"/>
          <w:b w:val="1"/>
          <w:bCs w:val="1"/>
          <w:color w:val="auto"/>
        </w:rPr>
        <w:t xml:space="preserve">RESTRICTED STOCK UNIT GRANT ON </w:t>
      </w:r>
      <w:r>
        <w:rPr>
          <w:rFonts w:ascii="Arial" w:cs="Arial" w:eastAsia="Arial" w:hAnsi="Arial"/>
          <w:sz w:val="14"/>
          <w:szCs w:val="14"/>
          <w:b w:val="1"/>
          <w:bCs w:val="1"/>
          <w:color w:val="auto"/>
          <w:highlight w:val="yellow"/>
        </w:rPr>
        <w:t>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 w:right="20"/>
        <w:spacing w:after="0" w:line="278" w:lineRule="auto"/>
        <w:rPr>
          <w:sz w:val="20"/>
          <w:szCs w:val="20"/>
          <w:color w:val="auto"/>
        </w:rPr>
      </w:pPr>
      <w:r>
        <w:rPr>
          <w:rFonts w:ascii="Arial" w:cs="Arial" w:eastAsia="Arial" w:hAnsi="Arial"/>
          <w:sz w:val="13"/>
          <w:szCs w:val="13"/>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Amended and Restated 1996 Stock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99" w:lineRule="exact"/>
        <w:rPr>
          <w:sz w:val="20"/>
          <w:szCs w:val="20"/>
          <w:color w:val="auto"/>
        </w:rPr>
      </w:pPr>
    </w:p>
    <w:p>
      <w:pPr>
        <w:ind w:left="246" w:hanging="246"/>
        <w:spacing w:after="0"/>
        <w:tabs>
          <w:tab w:leader="none" w:pos="246" w:val="left"/>
        </w:tabs>
        <w:numPr>
          <w:ilvl w:val="0"/>
          <w:numId w:val="123"/>
        </w:numPr>
        <w:rPr>
          <w:rFonts w:ascii="Arial" w:cs="Arial" w:eastAsia="Arial" w:hAnsi="Arial"/>
          <w:sz w:val="14"/>
          <w:szCs w:val="14"/>
          <w:b w:val="1"/>
          <w:bCs w:val="1"/>
          <w:color w:val="auto"/>
        </w:rPr>
      </w:pPr>
      <w:r>
        <w:rPr>
          <w:rFonts w:ascii="Arial" w:cs="Arial" w:eastAsia="Arial" w:hAnsi="Arial"/>
          <w:sz w:val="14"/>
          <w:szCs w:val="14"/>
          <w:b w:val="1"/>
          <w:bCs w:val="1"/>
          <w:color w:val="auto"/>
        </w:rPr>
        <w:t>Date of Grant</w:t>
      </w:r>
    </w:p>
    <w:p>
      <w:pPr>
        <w:spacing w:after="0" w:line="147" w:lineRule="exact"/>
        <w:rPr>
          <w:sz w:val="20"/>
          <w:szCs w:val="20"/>
          <w:color w:val="auto"/>
        </w:rPr>
      </w:pPr>
    </w:p>
    <w:p>
      <w:pPr>
        <w:ind w:left="566"/>
        <w:spacing w:after="0"/>
        <w:rPr>
          <w:sz w:val="20"/>
          <w:szCs w:val="20"/>
          <w:color w:val="auto"/>
        </w:rPr>
      </w:pPr>
      <w:r>
        <w:rPr>
          <w:rFonts w:ascii="Arial" w:cs="Arial" w:eastAsia="Arial" w:hAnsi="Arial"/>
          <w:sz w:val="14"/>
          <w:szCs w:val="14"/>
          <w:color w:val="auto"/>
        </w:rPr>
        <w:t xml:space="preserve">The Company approved the grant of RSUs under the Plan on </w:t>
      </w:r>
      <w:r>
        <w:rPr>
          <w:rFonts w:ascii="Arial" w:cs="Arial" w:eastAsia="Arial" w:hAnsi="Arial"/>
          <w:sz w:val="14"/>
          <w:szCs w:val="14"/>
          <w:color w:val="auto"/>
          <w:highlight w:val="yellow"/>
        </w:rPr>
        <w:t>Grant Date.</w:t>
      </w:r>
      <w:r>
        <w:rPr>
          <w:rFonts w:ascii="Arial" w:cs="Arial" w:eastAsia="Arial" w:hAnsi="Arial"/>
          <w:sz w:val="14"/>
          <w:szCs w:val="14"/>
          <w:color w:val="auto"/>
        </w:rPr>
        <w:t xml:space="preserve"> On this basis, the Date of Grant for your RSUs is </w:t>
      </w:r>
      <w:r>
        <w:rPr>
          <w:rFonts w:ascii="Arial" w:cs="Arial" w:eastAsia="Arial" w:hAnsi="Arial"/>
          <w:sz w:val="14"/>
          <w:szCs w:val="14"/>
          <w:color w:val="auto"/>
          <w:highlight w:val="yellow"/>
        </w:rPr>
        <w:t>Grant Date.</w:t>
      </w:r>
    </w:p>
    <w:p>
      <w:pPr>
        <w:spacing w:after="0" w:line="139" w:lineRule="exact"/>
        <w:rPr>
          <w:sz w:val="20"/>
          <w:szCs w:val="20"/>
          <w:color w:val="auto"/>
        </w:rPr>
      </w:pPr>
    </w:p>
    <w:p>
      <w:pPr>
        <w:ind w:left="6"/>
        <w:spacing w:after="0"/>
        <w:tabs>
          <w:tab w:leader="none" w:pos="226"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Terms and Conditions of the RSU Grant</w:t>
      </w:r>
    </w:p>
    <w:p>
      <w:pPr>
        <w:spacing w:after="0" w:line="170" w:lineRule="exact"/>
        <w:rPr>
          <w:sz w:val="20"/>
          <w:szCs w:val="20"/>
          <w:color w:val="auto"/>
        </w:rPr>
      </w:pPr>
    </w:p>
    <w:p>
      <w:pPr>
        <w:jc w:val="both"/>
        <w:ind w:left="566"/>
        <w:spacing w:after="0" w:line="250" w:lineRule="auto"/>
        <w:rPr>
          <w:sz w:val="20"/>
          <w:szCs w:val="20"/>
          <w:color w:val="auto"/>
        </w:rPr>
      </w:pPr>
      <w:r>
        <w:rPr>
          <w:rFonts w:ascii="Arial" w:cs="Arial" w:eastAsia="Arial" w:hAnsi="Arial"/>
          <w:sz w:val="14"/>
          <w:szCs w:val="14"/>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16" w:lineRule="exact"/>
        <w:rPr>
          <w:sz w:val="20"/>
          <w:szCs w:val="20"/>
          <w:color w:val="auto"/>
        </w:rPr>
      </w:pPr>
    </w:p>
    <w:p>
      <w:pPr>
        <w:ind w:left="6"/>
        <w:spacing w:after="0"/>
        <w:tabs>
          <w:tab w:leader="none" w:pos="226"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2"/>
          <w:szCs w:val="12"/>
          <w:b w:val="1"/>
          <w:bCs w:val="1"/>
          <w:color w:val="auto"/>
        </w:rPr>
        <w:t>Vesting Date of RSUs</w:t>
      </w:r>
    </w:p>
    <w:p>
      <w:pPr>
        <w:spacing w:after="0" w:line="147" w:lineRule="exact"/>
        <w:rPr>
          <w:sz w:val="20"/>
          <w:szCs w:val="20"/>
          <w:color w:val="auto"/>
        </w:rPr>
      </w:pPr>
    </w:p>
    <w:p>
      <w:pPr>
        <w:jc w:val="both"/>
        <w:ind w:left="566"/>
        <w:spacing w:after="0" w:line="257" w:lineRule="auto"/>
        <w:rPr>
          <w:sz w:val="20"/>
          <w:szCs w:val="20"/>
          <w:color w:val="auto"/>
        </w:rPr>
      </w:pPr>
      <w:r>
        <w:rPr>
          <w:rFonts w:ascii="Arial" w:cs="Arial" w:eastAsia="Arial" w:hAnsi="Arial"/>
          <w:sz w:val="14"/>
          <w:szCs w:val="14"/>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566"/>
        <w:spacing w:after="0"/>
        <w:rPr>
          <w:sz w:val="20"/>
          <w:szCs w:val="20"/>
          <w:color w:val="auto"/>
        </w:rPr>
      </w:pPr>
      <w:r>
        <w:rPr>
          <w:rFonts w:ascii="Arial" w:cs="Arial" w:eastAsia="Arial" w:hAnsi="Arial"/>
          <w:sz w:val="14"/>
          <w:szCs w:val="14"/>
          <w:color w:val="auto"/>
        </w:rPr>
        <w:t>When your RSUs vest, the Company will issue one share of the Company’s common stock to you in settlement of each vested RSU.</w:t>
      </w:r>
    </w:p>
    <w:p>
      <w:pPr>
        <w:spacing w:after="0" w:line="139" w:lineRule="exact"/>
        <w:rPr>
          <w:sz w:val="20"/>
          <w:szCs w:val="20"/>
          <w:color w:val="auto"/>
        </w:rPr>
      </w:pPr>
    </w:p>
    <w:p>
      <w:pPr>
        <w:ind w:left="246" w:hanging="246"/>
        <w:spacing w:after="0"/>
        <w:tabs>
          <w:tab w:leader="none" w:pos="246" w:val="left"/>
        </w:tabs>
        <w:numPr>
          <w:ilvl w:val="0"/>
          <w:numId w:val="124"/>
        </w:numPr>
        <w:rPr>
          <w:rFonts w:ascii="Arial" w:cs="Arial" w:eastAsia="Arial" w:hAnsi="Arial"/>
          <w:sz w:val="14"/>
          <w:szCs w:val="14"/>
          <w:b w:val="1"/>
          <w:bCs w:val="1"/>
          <w:color w:val="auto"/>
        </w:rPr>
      </w:pPr>
      <w:r>
        <w:rPr>
          <w:rFonts w:ascii="Arial" w:cs="Arial" w:eastAsia="Arial" w:hAnsi="Arial"/>
          <w:sz w:val="14"/>
          <w:szCs w:val="14"/>
          <w:b w:val="1"/>
          <w:bCs w:val="1"/>
          <w:color w:val="auto"/>
        </w:rPr>
        <w:t>Exercise Price</w:t>
      </w:r>
    </w:p>
    <w:p>
      <w:pPr>
        <w:spacing w:after="0" w:line="147" w:lineRule="exact"/>
        <w:rPr>
          <w:sz w:val="20"/>
          <w:szCs w:val="20"/>
          <w:color w:val="auto"/>
        </w:rPr>
      </w:pPr>
    </w:p>
    <w:p>
      <w:pPr>
        <w:ind w:left="566"/>
        <w:spacing w:after="0" w:line="270" w:lineRule="auto"/>
        <w:rPr>
          <w:sz w:val="20"/>
          <w:szCs w:val="20"/>
          <w:color w:val="auto"/>
        </w:rPr>
      </w:pPr>
      <w:r>
        <w:rPr>
          <w:rFonts w:ascii="Arial" w:cs="Arial" w:eastAsia="Arial" w:hAnsi="Arial"/>
          <w:sz w:val="14"/>
          <w:szCs w:val="14"/>
          <w:color w:val="auto"/>
        </w:rPr>
        <w:t>Because each RSU entitles you to receive one share of the Company’s common stock on the date of vesting without any cost to you or other payment required from you, there is no exercise price associated with the RSUs.</w:t>
      </w:r>
    </w:p>
    <w:p>
      <w:pPr>
        <w:spacing w:after="0" w:line="102" w:lineRule="exact"/>
        <w:rPr>
          <w:sz w:val="20"/>
          <w:szCs w:val="20"/>
          <w:color w:val="auto"/>
        </w:rPr>
      </w:pPr>
    </w:p>
    <w:p>
      <w:pPr>
        <w:ind w:left="6"/>
        <w:spacing w:after="0"/>
        <w:tabs>
          <w:tab w:leader="none" w:pos="226"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2"/>
          <w:szCs w:val="12"/>
          <w:b w:val="1"/>
          <w:bCs w:val="1"/>
          <w:color w:val="auto"/>
        </w:rPr>
        <w:t>Your Rights upon Termination of Service</w:t>
      </w:r>
    </w:p>
    <w:p>
      <w:pPr>
        <w:spacing w:after="0" w:line="147" w:lineRule="exact"/>
        <w:rPr>
          <w:sz w:val="20"/>
          <w:szCs w:val="20"/>
          <w:color w:val="auto"/>
        </w:rPr>
      </w:pPr>
    </w:p>
    <w:p>
      <w:pPr>
        <w:ind w:left="566" w:right="20"/>
        <w:spacing w:after="0" w:line="270" w:lineRule="auto"/>
        <w:rPr>
          <w:sz w:val="20"/>
          <w:szCs w:val="20"/>
          <w:color w:val="auto"/>
        </w:rPr>
      </w:pPr>
      <w:r>
        <w:rPr>
          <w:rFonts w:ascii="Arial" w:cs="Arial" w:eastAsia="Arial" w:hAnsi="Arial"/>
          <w:sz w:val="14"/>
          <w:szCs w:val="14"/>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102" w:lineRule="exact"/>
        <w:rPr>
          <w:sz w:val="20"/>
          <w:szCs w:val="20"/>
          <w:color w:val="auto"/>
        </w:rPr>
      </w:pPr>
    </w:p>
    <w:p>
      <w:pPr>
        <w:ind w:left="246" w:hanging="246"/>
        <w:spacing w:after="0"/>
        <w:tabs>
          <w:tab w:leader="none" w:pos="246" w:val="left"/>
        </w:tabs>
        <w:numPr>
          <w:ilvl w:val="0"/>
          <w:numId w:val="125"/>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Aspects of Participating in the Plan</w:t>
      </w:r>
    </w:p>
    <w:p>
      <w:pPr>
        <w:spacing w:after="0" w:line="147" w:lineRule="exact"/>
        <w:rPr>
          <w:sz w:val="20"/>
          <w:szCs w:val="20"/>
          <w:color w:val="auto"/>
        </w:rPr>
      </w:pPr>
    </w:p>
    <w:p>
      <w:pPr>
        <w:jc w:val="both"/>
        <w:ind w:left="566"/>
        <w:spacing w:after="0" w:line="257" w:lineRule="auto"/>
        <w:rPr>
          <w:sz w:val="20"/>
          <w:szCs w:val="20"/>
          <w:color w:val="auto"/>
        </w:rPr>
      </w:pPr>
      <w:r>
        <w:rPr>
          <w:rFonts w:ascii="Arial" w:cs="Arial" w:eastAsia="Arial" w:hAnsi="Arial"/>
          <w:sz w:val="14"/>
          <w:szCs w:val="14"/>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14" w:lineRule="exact"/>
        <w:rPr>
          <w:sz w:val="20"/>
          <w:szCs w:val="20"/>
          <w:color w:val="auto"/>
        </w:rPr>
      </w:pPr>
    </w:p>
    <w:p>
      <w:pPr>
        <w:jc w:val="both"/>
        <w:ind w:left="566" w:right="20"/>
        <w:spacing w:after="0" w:line="257" w:lineRule="auto"/>
        <w:rPr>
          <w:sz w:val="20"/>
          <w:szCs w:val="20"/>
          <w:color w:val="auto"/>
        </w:rPr>
      </w:pPr>
      <w:r>
        <w:rPr>
          <w:rFonts w:ascii="Arial" w:cs="Arial" w:eastAsia="Arial" w:hAnsi="Arial"/>
          <w:sz w:val="14"/>
          <w:szCs w:val="14"/>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34" w:lineRule="exact"/>
        <w:rPr>
          <w:sz w:val="20"/>
          <w:szCs w:val="20"/>
          <w:color w:val="auto"/>
        </w:rPr>
      </w:pPr>
    </w:p>
    <w:p>
      <w:pPr>
        <w:ind w:left="246" w:hanging="246"/>
        <w:spacing w:after="0"/>
        <w:tabs>
          <w:tab w:leader="none" w:pos="246" w:val="left"/>
        </w:tabs>
        <w:numPr>
          <w:ilvl w:val="0"/>
          <w:numId w:val="126"/>
        </w:numPr>
        <w:rPr>
          <w:rFonts w:ascii="Arial" w:cs="Arial" w:eastAsia="Arial" w:hAnsi="Arial"/>
          <w:sz w:val="14"/>
          <w:szCs w:val="14"/>
          <w:b w:val="1"/>
          <w:bCs w:val="1"/>
          <w:color w:val="auto"/>
        </w:rPr>
      </w:pPr>
      <w:r>
        <w:rPr>
          <w:rFonts w:ascii="Arial" w:cs="Arial" w:eastAsia="Arial" w:hAnsi="Arial"/>
          <w:sz w:val="14"/>
          <w:szCs w:val="14"/>
          <w:b w:val="1"/>
          <w:bCs w:val="1"/>
          <w:color w:val="auto"/>
        </w:rPr>
        <w:t>Other Issues</w:t>
      </w:r>
    </w:p>
    <w:p>
      <w:pPr>
        <w:spacing w:after="0" w:line="147" w:lineRule="exact"/>
        <w:rPr>
          <w:sz w:val="20"/>
          <w:szCs w:val="20"/>
          <w:color w:val="auto"/>
        </w:rPr>
      </w:pPr>
    </w:p>
    <w:p>
      <w:pPr>
        <w:ind w:left="566" w:right="20"/>
        <w:spacing w:after="0" w:line="270" w:lineRule="auto"/>
        <w:rPr>
          <w:sz w:val="20"/>
          <w:szCs w:val="20"/>
          <w:color w:val="auto"/>
        </w:rPr>
      </w:pPr>
      <w:r>
        <w:rPr>
          <w:rFonts w:ascii="Arial" w:cs="Arial" w:eastAsia="Arial" w:hAnsi="Arial"/>
          <w:sz w:val="14"/>
          <w:szCs w:val="14"/>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363" w:lineRule="exact"/>
        <w:rPr>
          <w:sz w:val="20"/>
          <w:szCs w:val="20"/>
          <w:color w:val="auto"/>
        </w:rPr>
      </w:pPr>
    </w:p>
    <w:p>
      <w:pPr>
        <w:ind w:left="126"/>
        <w:spacing w:after="0"/>
        <w:rPr>
          <w:sz w:val="20"/>
          <w:szCs w:val="20"/>
          <w:color w:val="auto"/>
        </w:rPr>
      </w:pPr>
      <w:r>
        <w:rPr>
          <w:rFonts w:ascii="Arial" w:cs="Arial" w:eastAsia="Arial" w:hAnsi="Arial"/>
          <w:sz w:val="14"/>
          <w:szCs w:val="14"/>
          <w:color w:val="auto"/>
        </w:rPr>
        <w:t>APPENDIX C - 1</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6"/>
          </w:cols>
          <w:pgMar w:left="314" w:top="911" w:right="319" w:bottom="1440" w:gutter="0" w:footer="0" w:header="0"/>
        </w:sectPr>
      </w:pPr>
    </w:p>
    <w:bookmarkStart w:id="141" w:name="page142"/>
    <w:bookmarkEnd w:id="141"/>
    <w:p>
      <w:pPr>
        <w:jc w:val="center"/>
        <w:ind w:right="-112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63">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C</w:t>
      </w:r>
    </w:p>
    <w:p>
      <w:pPr>
        <w:spacing w:after="0" w:line="190" w:lineRule="exact"/>
        <w:rPr>
          <w:sz w:val="20"/>
          <w:szCs w:val="20"/>
          <w:color w:val="auto"/>
        </w:rPr>
      </w:pPr>
    </w:p>
    <w:p>
      <w:pPr>
        <w:jc w:val="right"/>
        <w:ind w:right="2679"/>
        <w:spacing w:after="0"/>
        <w:rPr>
          <w:sz w:val="20"/>
          <w:szCs w:val="20"/>
          <w:color w:val="auto"/>
        </w:rPr>
      </w:pPr>
      <w:r>
        <w:rPr>
          <w:rFonts w:ascii="Arial" w:cs="Arial" w:eastAsia="Arial" w:hAnsi="Arial"/>
          <w:sz w:val="14"/>
          <w:szCs w:val="14"/>
          <w:b w:val="1"/>
          <w:bCs w:val="1"/>
          <w:color w:val="auto"/>
        </w:rPr>
        <w:t>EMPLOYER INFORMATION STATEMENT – DENMARK</w:t>
      </w:r>
    </w:p>
    <w:p>
      <w:pPr>
        <w:spacing w:after="0" w:line="19"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 xml:space="preserve">RESTRICTED STOCK UNIT GRANT ON </w:t>
      </w:r>
      <w:r>
        <w:rPr>
          <w:rFonts w:ascii="Arial" w:cs="Arial" w:eastAsia="Arial" w:hAnsi="Arial"/>
          <w:sz w:val="14"/>
          <w:szCs w:val="14"/>
          <w:b w:val="1"/>
          <w:bCs w:val="1"/>
          <w:color w:val="auto"/>
          <w:highlight w:val="yellow"/>
        </w:rPr>
        <w:t>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Notice Provided By: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Analog Devices, Inc.</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One Analog Way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Wilmington, MA 01887</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C - 2</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139"/>
          </w:cols>
          <w:pgMar w:left="320" w:top="910" w:right="1440" w:bottom="1440" w:gutter="0" w:footer="0" w:header="0"/>
        </w:sectPr>
      </w:pPr>
    </w:p>
    <w:bookmarkStart w:id="142" w:name="page143"/>
    <w:bookmarkEnd w:id="142"/>
    <w:p>
      <w:pPr>
        <w:jc w:val="center"/>
        <w:ind w:right="-2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64">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ARBEJDSGIVERERKLÆRING – DANMARK</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 xml:space="preserve">Tildeling af “Restricted Stock Units” den </w:t>
      </w:r>
      <w:r>
        <w:rPr>
          <w:rFonts w:ascii="Arial" w:cs="Arial" w:eastAsia="Arial" w:hAnsi="Arial"/>
          <w:sz w:val="14"/>
          <w:szCs w:val="14"/>
          <w:b w:val="1"/>
          <w:bCs w:val="1"/>
          <w:color w:val="auto"/>
          <w:highlight w:val="yellow"/>
        </w:rPr>
        <w:t>GRANTDATE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1996 medarbejderaktieordning (“Ordningen”). Denne erklæring indeholder kun de oplysninger, der er nævnt i Aktieoptionsloven. De øvrige vilkår og betingelser for tildelingen er beskrevet nærmere i </w:t>
      </w:r>
      <w:r>
        <w:rPr>
          <w:rFonts w:ascii="Arial" w:cs="Arial" w:eastAsia="Arial" w:hAnsi="Arial"/>
          <w:sz w:val="14"/>
          <w:szCs w:val="14"/>
          <w:i w:val="1"/>
          <w:iCs w:val="1"/>
          <w:color w:val="auto"/>
        </w:rPr>
        <w:t>Global Restricted Stock Unit Agreement</w:t>
      </w:r>
      <w:r>
        <w:rPr>
          <w:rFonts w:ascii="Arial" w:cs="Arial" w:eastAsia="Arial" w:hAnsi="Arial"/>
          <w:sz w:val="14"/>
          <w:szCs w:val="14"/>
          <w:color w:val="auto"/>
        </w:rPr>
        <w:t xml:space="preserve"> (“Aftalen”), i tillægget til Aftalen og i Ordningen.</w:t>
      </w:r>
    </w:p>
    <w:p>
      <w:pPr>
        <w:spacing w:after="0" w:line="78"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Tildelingsdato</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Selskabets godkendte den </w:t>
      </w:r>
      <w:r>
        <w:rPr>
          <w:rFonts w:ascii="Arial" w:cs="Arial" w:eastAsia="Arial" w:hAnsi="Arial"/>
          <w:sz w:val="14"/>
          <w:szCs w:val="14"/>
          <w:color w:val="auto"/>
          <w:highlight w:val="yellow"/>
        </w:rPr>
        <w:t>Grant Date</w:t>
      </w:r>
      <w:r>
        <w:rPr>
          <w:rFonts w:ascii="Arial" w:cs="Arial" w:eastAsia="Arial" w:hAnsi="Arial"/>
          <w:sz w:val="14"/>
          <w:szCs w:val="14"/>
          <w:color w:val="auto"/>
        </w:rPr>
        <w:t xml:space="preserve"> tildelingen af RSU’er i henhold til Ordningen. Tildelingsdatoen for dine RSU’er er således den </w:t>
      </w:r>
      <w:r>
        <w:rPr>
          <w:rFonts w:ascii="Arial" w:cs="Arial" w:eastAsia="Arial" w:hAnsi="Arial"/>
          <w:sz w:val="14"/>
          <w:szCs w:val="14"/>
          <w:color w:val="auto"/>
          <w:highlight w:val="yellow"/>
        </w:rPr>
        <w:t>Grant Date.</w:t>
      </w:r>
    </w:p>
    <w:p>
      <w:pPr>
        <w:spacing w:after="0" w:line="127"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Vilkår og betingelser for RSU-tildelingen</w:t>
      </w:r>
    </w:p>
    <w:p>
      <w:pPr>
        <w:spacing w:after="0" w:line="100" w:lineRule="exact"/>
        <w:rPr>
          <w:sz w:val="20"/>
          <w:szCs w:val="20"/>
          <w:color w:val="auto"/>
        </w:rPr>
      </w:pPr>
    </w:p>
    <w:p>
      <w:pPr>
        <w:jc w:val="both"/>
        <w:ind w:left="280" w:right="20"/>
        <w:spacing w:after="0" w:line="268" w:lineRule="auto"/>
        <w:rPr>
          <w:sz w:val="20"/>
          <w:szCs w:val="20"/>
          <w:color w:val="auto"/>
        </w:rPr>
      </w:pPr>
      <w:r>
        <w:rPr>
          <w:rFonts w:ascii="Arial" w:cs="Arial" w:eastAsia="Arial" w:hAnsi="Arial"/>
          <w:sz w:val="14"/>
          <w:szCs w:val="14"/>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79" w:lineRule="exact"/>
        <w:rPr>
          <w:sz w:val="20"/>
          <w:szCs w:val="20"/>
          <w:color w:val="auto"/>
        </w:rPr>
      </w:pPr>
    </w:p>
    <w:p>
      <w:pPr>
        <w:ind w:left="520" w:hanging="246"/>
        <w:spacing w:after="0"/>
        <w:tabs>
          <w:tab w:leader="none" w:pos="520" w:val="left"/>
        </w:tabs>
        <w:numPr>
          <w:ilvl w:val="0"/>
          <w:numId w:val="127"/>
        </w:numPr>
        <w:rPr>
          <w:rFonts w:ascii="Arial" w:cs="Arial" w:eastAsia="Arial" w:hAnsi="Arial"/>
          <w:sz w:val="14"/>
          <w:szCs w:val="14"/>
          <w:b w:val="1"/>
          <w:bCs w:val="1"/>
          <w:color w:val="auto"/>
        </w:rPr>
      </w:pPr>
      <w:r>
        <w:rPr>
          <w:rFonts w:ascii="Arial" w:cs="Arial" w:eastAsia="Arial" w:hAnsi="Arial"/>
          <w:sz w:val="14"/>
          <w:szCs w:val="14"/>
          <w:b w:val="1"/>
          <w:bCs w:val="1"/>
          <w:color w:val="auto"/>
        </w:rPr>
        <w:t>Modningsdato for RSU’er</w:t>
      </w:r>
    </w:p>
    <w:p>
      <w:pPr>
        <w:spacing w:after="0" w:line="100" w:lineRule="exact"/>
        <w:rPr>
          <w:sz w:val="20"/>
          <w:szCs w:val="20"/>
          <w:color w:val="auto"/>
        </w:rPr>
      </w:pPr>
    </w:p>
    <w:p>
      <w:pPr>
        <w:jc w:val="both"/>
        <w:ind w:left="280" w:right="20"/>
        <w:spacing w:after="0" w:line="274" w:lineRule="auto"/>
        <w:rPr>
          <w:sz w:val="20"/>
          <w:szCs w:val="20"/>
          <w:color w:val="auto"/>
        </w:rPr>
      </w:pPr>
      <w:r>
        <w:rPr>
          <w:rFonts w:ascii="Arial" w:cs="Arial" w:eastAsia="Arial" w:hAnsi="Arial"/>
          <w:sz w:val="14"/>
          <w:szCs w:val="14"/>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Når RSU’erne modnes, udsteder Selskabet én ordinær aktie i Selskabet til dig for hver RSU, der er modnet.</w:t>
      </w:r>
    </w:p>
    <w:p>
      <w:pPr>
        <w:spacing w:after="0" w:line="127" w:lineRule="exact"/>
        <w:rPr>
          <w:sz w:val="20"/>
          <w:szCs w:val="20"/>
          <w:color w:val="auto"/>
        </w:rPr>
      </w:pPr>
    </w:p>
    <w:p>
      <w:pPr>
        <w:ind w:left="520" w:hanging="246"/>
        <w:spacing w:after="0"/>
        <w:tabs>
          <w:tab w:leader="none" w:pos="520" w:val="left"/>
        </w:tabs>
        <w:numPr>
          <w:ilvl w:val="0"/>
          <w:numId w:val="128"/>
        </w:numPr>
        <w:rPr>
          <w:rFonts w:ascii="Arial" w:cs="Arial" w:eastAsia="Arial" w:hAnsi="Arial"/>
          <w:sz w:val="14"/>
          <w:szCs w:val="14"/>
          <w:b w:val="1"/>
          <w:bCs w:val="1"/>
          <w:color w:val="auto"/>
        </w:rPr>
      </w:pPr>
      <w:r>
        <w:rPr>
          <w:rFonts w:ascii="Arial" w:cs="Arial" w:eastAsia="Arial" w:hAnsi="Arial"/>
          <w:sz w:val="14"/>
          <w:szCs w:val="14"/>
          <w:b w:val="1"/>
          <w:bCs w:val="1"/>
          <w:color w:val="auto"/>
        </w:rPr>
        <w:t>Udnyttelseskurs</w:t>
      </w:r>
    </w:p>
    <w:p>
      <w:pPr>
        <w:spacing w:after="0" w:line="89" w:lineRule="exact"/>
        <w:rPr>
          <w:sz w:val="20"/>
          <w:szCs w:val="20"/>
          <w:color w:val="auto"/>
        </w:rPr>
      </w:pPr>
    </w:p>
    <w:p>
      <w:pPr>
        <w:ind w:left="280" w:right="20"/>
        <w:spacing w:after="0" w:line="288" w:lineRule="auto"/>
        <w:rPr>
          <w:sz w:val="20"/>
          <w:szCs w:val="20"/>
          <w:color w:val="auto"/>
        </w:rPr>
      </w:pPr>
      <w:r>
        <w:rPr>
          <w:rFonts w:ascii="Arial" w:cs="Arial" w:eastAsia="Arial" w:hAnsi="Arial"/>
          <w:sz w:val="14"/>
          <w:szCs w:val="14"/>
          <w:color w:val="auto"/>
        </w:rPr>
        <w:t>Da hver RSU giver dig ret til at modtage én ordinær aktie i Selskabet på modningsdatoen, uden at du vil skulle betale nogen omkostninger eller andre beløb, er der ingen udnyttelseskurs forbundet med RSU’erne.</w:t>
      </w:r>
    </w:p>
    <w:p>
      <w:pPr>
        <w:spacing w:after="0" w:line="77" w:lineRule="exact"/>
        <w:rPr>
          <w:sz w:val="20"/>
          <w:szCs w:val="20"/>
          <w:color w:val="auto"/>
        </w:rPr>
      </w:pPr>
    </w:p>
    <w:p>
      <w:pPr>
        <w:ind w:left="520" w:hanging="246"/>
        <w:spacing w:after="0"/>
        <w:tabs>
          <w:tab w:leader="none" w:pos="520" w:val="left"/>
        </w:tabs>
        <w:numPr>
          <w:ilvl w:val="0"/>
          <w:numId w:val="129"/>
        </w:numPr>
        <w:rPr>
          <w:rFonts w:ascii="Arial" w:cs="Arial" w:eastAsia="Arial" w:hAnsi="Arial"/>
          <w:sz w:val="14"/>
          <w:szCs w:val="14"/>
          <w:b w:val="1"/>
          <w:bCs w:val="1"/>
          <w:color w:val="auto"/>
        </w:rPr>
      </w:pPr>
      <w:r>
        <w:rPr>
          <w:rFonts w:ascii="Arial" w:cs="Arial" w:eastAsia="Arial" w:hAnsi="Arial"/>
          <w:sz w:val="14"/>
          <w:szCs w:val="14"/>
          <w:b w:val="1"/>
          <w:bCs w:val="1"/>
          <w:color w:val="auto"/>
        </w:rPr>
        <w:t>Din retsstilling i forbindelse med fratræden</w:t>
      </w:r>
    </w:p>
    <w:p>
      <w:pPr>
        <w:spacing w:after="0" w:line="100" w:lineRule="exact"/>
        <w:rPr>
          <w:sz w:val="20"/>
          <w:szCs w:val="20"/>
          <w:color w:val="auto"/>
        </w:rPr>
      </w:pPr>
    </w:p>
    <w:p>
      <w:pPr>
        <w:ind w:left="280" w:right="20"/>
        <w:spacing w:after="0" w:line="288" w:lineRule="auto"/>
        <w:rPr>
          <w:sz w:val="20"/>
          <w:szCs w:val="20"/>
          <w:color w:val="auto"/>
        </w:rPr>
      </w:pPr>
      <w:r>
        <w:rPr>
          <w:rFonts w:ascii="Arial" w:cs="Arial" w:eastAsia="Arial" w:hAnsi="Arial"/>
          <w:sz w:val="14"/>
          <w:szCs w:val="14"/>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77" w:lineRule="exact"/>
        <w:rPr>
          <w:sz w:val="20"/>
          <w:szCs w:val="20"/>
          <w:color w:val="auto"/>
        </w:rPr>
      </w:pPr>
    </w:p>
    <w:p>
      <w:pPr>
        <w:ind w:left="520" w:hanging="246"/>
        <w:spacing w:after="0"/>
        <w:tabs>
          <w:tab w:leader="none" w:pos="520" w:val="left"/>
        </w:tabs>
        <w:numPr>
          <w:ilvl w:val="0"/>
          <w:numId w:val="130"/>
        </w:numPr>
        <w:rPr>
          <w:rFonts w:ascii="Arial" w:cs="Arial" w:eastAsia="Arial" w:hAnsi="Arial"/>
          <w:sz w:val="14"/>
          <w:szCs w:val="14"/>
          <w:b w:val="1"/>
          <w:bCs w:val="1"/>
          <w:color w:val="auto"/>
        </w:rPr>
      </w:pPr>
      <w:r>
        <w:rPr>
          <w:rFonts w:ascii="Arial" w:cs="Arial" w:eastAsia="Arial" w:hAnsi="Arial"/>
          <w:sz w:val="14"/>
          <w:szCs w:val="14"/>
          <w:b w:val="1"/>
          <w:bCs w:val="1"/>
          <w:color w:val="auto"/>
        </w:rPr>
        <w:t>Økonomiske aspekter ved at deltage i Ordningen</w:t>
      </w:r>
    </w:p>
    <w:p>
      <w:pPr>
        <w:spacing w:after="0" w:line="100" w:lineRule="exact"/>
        <w:rPr>
          <w:sz w:val="20"/>
          <w:szCs w:val="20"/>
          <w:color w:val="auto"/>
        </w:rPr>
      </w:pPr>
    </w:p>
    <w:p>
      <w:pPr>
        <w:jc w:val="both"/>
        <w:ind w:left="280" w:right="20"/>
        <w:spacing w:after="0" w:line="274" w:lineRule="auto"/>
        <w:rPr>
          <w:sz w:val="20"/>
          <w:szCs w:val="20"/>
          <w:color w:val="auto"/>
        </w:rPr>
      </w:pPr>
      <w:r>
        <w:rPr>
          <w:rFonts w:ascii="Arial" w:cs="Arial" w:eastAsia="Arial" w:hAnsi="Arial"/>
          <w:sz w:val="14"/>
          <w:szCs w:val="14"/>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80" w:lineRule="exact"/>
        <w:rPr>
          <w:sz w:val="20"/>
          <w:szCs w:val="20"/>
          <w:color w:val="auto"/>
        </w:rPr>
      </w:pPr>
    </w:p>
    <w:p>
      <w:pPr>
        <w:jc w:val="both"/>
        <w:ind w:left="280"/>
        <w:spacing w:after="0" w:line="274" w:lineRule="auto"/>
        <w:rPr>
          <w:sz w:val="20"/>
          <w:szCs w:val="20"/>
          <w:color w:val="auto"/>
        </w:rPr>
      </w:pPr>
      <w:r>
        <w:rPr>
          <w:rFonts w:ascii="Arial" w:cs="Arial" w:eastAsia="Arial" w:hAnsi="Arial"/>
          <w:sz w:val="14"/>
          <w:szCs w:val="14"/>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88" w:lineRule="exact"/>
        <w:rPr>
          <w:sz w:val="20"/>
          <w:szCs w:val="20"/>
          <w:color w:val="auto"/>
        </w:rPr>
      </w:pPr>
    </w:p>
    <w:p>
      <w:pPr>
        <w:ind w:left="520" w:hanging="246"/>
        <w:spacing w:after="0"/>
        <w:tabs>
          <w:tab w:leader="none" w:pos="520" w:val="left"/>
        </w:tabs>
        <w:numPr>
          <w:ilvl w:val="0"/>
          <w:numId w:val="131"/>
        </w:numPr>
        <w:rPr>
          <w:rFonts w:ascii="Arial" w:cs="Arial" w:eastAsia="Arial" w:hAnsi="Arial"/>
          <w:sz w:val="14"/>
          <w:szCs w:val="14"/>
          <w:b w:val="1"/>
          <w:bCs w:val="1"/>
          <w:color w:val="auto"/>
        </w:rPr>
      </w:pPr>
      <w:r>
        <w:rPr>
          <w:rFonts w:ascii="Arial" w:cs="Arial" w:eastAsia="Arial" w:hAnsi="Arial"/>
          <w:sz w:val="14"/>
          <w:szCs w:val="14"/>
          <w:b w:val="1"/>
          <w:bCs w:val="1"/>
          <w:color w:val="auto"/>
        </w:rPr>
        <w:t>Diverse</w:t>
      </w:r>
    </w:p>
    <w:p>
      <w:pPr>
        <w:spacing w:after="0" w:line="100" w:lineRule="exact"/>
        <w:rPr>
          <w:sz w:val="20"/>
          <w:szCs w:val="20"/>
          <w:color w:val="auto"/>
        </w:rPr>
      </w:pPr>
    </w:p>
    <w:p>
      <w:pPr>
        <w:ind w:left="280" w:right="20"/>
        <w:spacing w:after="0" w:line="288" w:lineRule="auto"/>
        <w:rPr>
          <w:sz w:val="20"/>
          <w:szCs w:val="20"/>
          <w:color w:val="auto"/>
        </w:rPr>
      </w:pPr>
      <w:r>
        <w:rPr>
          <w:rFonts w:ascii="Arial" w:cs="Arial" w:eastAsia="Arial" w:hAnsi="Arial"/>
          <w:sz w:val="14"/>
          <w:szCs w:val="14"/>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C - 3</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1" w:right="599" w:bottom="1440" w:gutter="0" w:footer="0" w:header="0"/>
        </w:sectPr>
      </w:pPr>
    </w:p>
    <w:bookmarkStart w:id="143" w:name="page144"/>
    <w:bookmarkEnd w:id="143"/>
    <w:p>
      <w:pPr>
        <w:jc w:val="center"/>
        <w:ind w:right="-11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65">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ARBEJDSGIVERERKLÆRING – DANMARK</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 xml:space="preserve">Tildeling af “Restricted Stock Units” den </w:t>
      </w:r>
      <w:r>
        <w:rPr>
          <w:rFonts w:ascii="Arial" w:cs="Arial" w:eastAsia="Arial" w:hAnsi="Arial"/>
          <w:sz w:val="13"/>
          <w:szCs w:val="13"/>
          <w:b w:val="1"/>
          <w:bCs w:val="1"/>
          <w:color w:val="auto"/>
          <w:highlight w:val="yellow"/>
        </w:rPr>
        <w:t>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Meddelelse afgivet af:</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Analog Devices, Inc.</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One Analog Way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Wilmington, MA 01887</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C - 4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139"/>
          </w:cols>
          <w:pgMar w:left="320" w:top="911" w:right="1440" w:bottom="1440" w:gutter="0" w:footer="0" w:header="0"/>
        </w:sectPr>
      </w:pPr>
    </w:p>
    <w:bookmarkStart w:id="144" w:name="page145"/>
    <w:bookmarkEnd w:id="144"/>
    <w:p>
      <w:pPr>
        <w:jc w:val="center"/>
        <w:ind w:right="-2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66">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D</w:t>
      </w:r>
    </w:p>
    <w:p>
      <w:pPr>
        <w:spacing w:after="0" w:line="96"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ANALOG DEVICES, INC.</w:t>
      </w:r>
    </w:p>
    <w:p>
      <w:pPr>
        <w:spacing w:after="0" w:line="96"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96"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Onscreen disclaimer</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If you are liable for National Insurance contributions (“NICs”) in the United Kingdom in connection with your restricted stock units or stock options (“Awards”) granted under the Analog Devices, Inc. Amended and Restated 1996 Stock Incentive Plan (the “Plan”), you are required to enter into an Election to transfer to you any liability for employer’s NICs that may arise in connection with your awards.</w:t>
      </w:r>
    </w:p>
    <w:p>
      <w:pPr>
        <w:spacing w:after="0" w:line="67" w:lineRule="exact"/>
        <w:rPr>
          <w:sz w:val="20"/>
          <w:szCs w:val="20"/>
          <w:color w:val="auto"/>
        </w:rPr>
      </w:pPr>
    </w:p>
    <w:p>
      <w:pPr>
        <w:ind w:right="460"/>
        <w:spacing w:after="0" w:line="383" w:lineRule="auto"/>
        <w:rPr>
          <w:sz w:val="20"/>
          <w:szCs w:val="20"/>
          <w:color w:val="auto"/>
        </w:rPr>
      </w:pPr>
      <w:r>
        <w:rPr>
          <w:rFonts w:ascii="Arial" w:cs="Arial" w:eastAsia="Arial" w:hAnsi="Arial"/>
          <w:sz w:val="14"/>
          <w:szCs w:val="14"/>
          <w:color w:val="auto"/>
        </w:rPr>
        <w:t xml:space="preserve">Clicking on the “ACCEPT” box indicates your acceptance of the Election. You should read the “Important Note on the Election to Transfer Employer NICs” before accepting the Election. </w:t>
      </w:r>
      <w:r>
        <w:rPr>
          <w:rFonts w:ascii="Arial" w:cs="Arial" w:eastAsia="Arial" w:hAnsi="Arial"/>
          <w:sz w:val="14"/>
          <w:szCs w:val="14"/>
          <w:b w:val="1"/>
          <w:bCs w:val="1"/>
          <w:color w:val="auto"/>
        </w:rPr>
        <w:t>Important Note on the Election to Transfer Employer NICs</w:t>
      </w:r>
    </w:p>
    <w:p>
      <w:pPr>
        <w:spacing w:after="0" w:line="1" w:lineRule="exact"/>
        <w:rPr>
          <w:sz w:val="20"/>
          <w:szCs w:val="20"/>
          <w:color w:val="auto"/>
        </w:rPr>
      </w:pPr>
    </w:p>
    <w:p>
      <w:pPr>
        <w:jc w:val="both"/>
        <w:ind w:right="20"/>
        <w:spacing w:after="0" w:line="270" w:lineRule="auto"/>
        <w:rPr>
          <w:sz w:val="20"/>
          <w:szCs w:val="20"/>
          <w:color w:val="auto"/>
        </w:rPr>
      </w:pPr>
      <w:r>
        <w:rPr>
          <w:rFonts w:ascii="Arial" w:cs="Arial" w:eastAsia="Arial" w:hAnsi="Arial"/>
          <w:sz w:val="14"/>
          <w:szCs w:val="14"/>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By entering into the Election:</w:t>
      </w:r>
    </w:p>
    <w:p>
      <w:pPr>
        <w:spacing w:after="0" w:line="96" w:lineRule="exact"/>
        <w:rPr>
          <w:sz w:val="20"/>
          <w:szCs w:val="20"/>
          <w:color w:val="auto"/>
        </w:rPr>
      </w:pPr>
    </w:p>
    <w:p>
      <w:pPr>
        <w:ind w:left="540" w:hanging="266"/>
        <w:spacing w:after="0"/>
        <w:tabs>
          <w:tab w:leader="none" w:pos="5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you agree that any employer’s NICs liability that may arise in connection with your Awards will be transferred to you;</w:t>
      </w:r>
    </w:p>
    <w:p>
      <w:pPr>
        <w:spacing w:after="0" w:line="14" w:lineRule="exact"/>
        <w:rPr>
          <w:rFonts w:ascii="Arial" w:cs="Arial" w:eastAsia="Arial" w:hAnsi="Arial"/>
          <w:sz w:val="14"/>
          <w:szCs w:val="14"/>
          <w:color w:val="auto"/>
        </w:rPr>
      </w:pPr>
    </w:p>
    <w:p>
      <w:pPr>
        <w:ind w:left="560" w:hanging="286"/>
        <w:spacing w:after="0" w:line="244" w:lineRule="auto"/>
        <w:tabs>
          <w:tab w:leader="none" w:pos="551" w:val="left"/>
        </w:tabs>
        <w:numPr>
          <w:ilvl w:val="0"/>
          <w:numId w:val="132"/>
        </w:numPr>
        <w:rPr>
          <w:rFonts w:ascii="Arial" w:cs="Arial" w:eastAsia="Arial" w:hAnsi="Arial"/>
          <w:sz w:val="14"/>
          <w:szCs w:val="14"/>
          <w:color w:val="auto"/>
        </w:rPr>
      </w:pPr>
      <w:r>
        <w:rPr>
          <w:rFonts w:ascii="Arial" w:cs="Arial" w:eastAsia="Arial" w:hAnsi="Arial"/>
          <w:sz w:val="14"/>
          <w:szCs w:val="14"/>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560" w:hanging="286"/>
        <w:spacing w:after="0" w:line="253" w:lineRule="auto"/>
        <w:tabs>
          <w:tab w:leader="none" w:pos="551" w:val="left"/>
        </w:tabs>
        <w:numPr>
          <w:ilvl w:val="0"/>
          <w:numId w:val="132"/>
        </w:numPr>
        <w:rPr>
          <w:rFonts w:ascii="Arial" w:cs="Arial" w:eastAsia="Arial" w:hAnsi="Arial"/>
          <w:sz w:val="14"/>
          <w:szCs w:val="14"/>
          <w:color w:val="auto"/>
        </w:rPr>
      </w:pPr>
      <w:r>
        <w:rPr>
          <w:rFonts w:ascii="Arial" w:cs="Arial" w:eastAsia="Arial" w:hAnsi="Arial"/>
          <w:sz w:val="14"/>
          <w:szCs w:val="14"/>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Please read the Election carefully before accepting the Election.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D - 1</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0"/>
          </w:cols>
          <w:pgMar w:left="320" w:top="910" w:right="599" w:bottom="1440" w:gutter="0" w:footer="0" w:header="0"/>
        </w:sectPr>
      </w:pPr>
    </w:p>
    <w:bookmarkStart w:id="145" w:name="page146"/>
    <w:bookmarkEnd w:id="145"/>
    <w:p>
      <w:pPr>
        <w:jc w:val="center"/>
        <w:ind w:right="-285"/>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67">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D</w:t>
      </w:r>
    </w:p>
    <w:p>
      <w:pPr>
        <w:spacing w:after="0" w:line="96" w:lineRule="exact"/>
        <w:rPr>
          <w:sz w:val="20"/>
          <w:szCs w:val="20"/>
          <w:color w:val="auto"/>
        </w:rPr>
      </w:pPr>
    </w:p>
    <w:p>
      <w:pPr>
        <w:jc w:val="center"/>
        <w:ind w:right="-285"/>
        <w:spacing w:after="0"/>
        <w:rPr>
          <w:sz w:val="20"/>
          <w:szCs w:val="20"/>
          <w:color w:val="auto"/>
        </w:rPr>
      </w:pPr>
      <w:r>
        <w:rPr>
          <w:rFonts w:ascii="Arial" w:cs="Arial" w:eastAsia="Arial" w:hAnsi="Arial"/>
          <w:sz w:val="14"/>
          <w:szCs w:val="14"/>
          <w:b w:val="1"/>
          <w:bCs w:val="1"/>
          <w:color w:val="auto"/>
        </w:rPr>
        <w:t>ANALOG DEVICES, INC.</w:t>
      </w:r>
    </w:p>
    <w:p>
      <w:pPr>
        <w:spacing w:after="0" w:line="96" w:lineRule="exact"/>
        <w:rPr>
          <w:sz w:val="20"/>
          <w:szCs w:val="20"/>
          <w:color w:val="auto"/>
        </w:rPr>
      </w:pPr>
    </w:p>
    <w:p>
      <w:pPr>
        <w:jc w:val="center"/>
        <w:ind w:right="-285"/>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96" w:lineRule="exact"/>
        <w:rPr>
          <w:sz w:val="20"/>
          <w:szCs w:val="20"/>
          <w:color w:val="auto"/>
        </w:rPr>
      </w:pPr>
    </w:p>
    <w:p>
      <w:pPr>
        <w:jc w:val="center"/>
        <w:ind w:right="-285"/>
        <w:spacing w:after="0"/>
        <w:rPr>
          <w:sz w:val="20"/>
          <w:szCs w:val="20"/>
          <w:color w:val="auto"/>
        </w:rPr>
      </w:pPr>
      <w:r>
        <w:rPr>
          <w:rFonts w:ascii="Arial" w:cs="Arial" w:eastAsia="Arial" w:hAnsi="Arial"/>
          <w:sz w:val="14"/>
          <w:szCs w:val="14"/>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
        <w:spacing w:after="0"/>
        <w:rPr>
          <w:sz w:val="20"/>
          <w:szCs w:val="20"/>
          <w:color w:val="auto"/>
        </w:rPr>
      </w:pPr>
      <w:r>
        <w:rPr>
          <w:rFonts w:ascii="Arial" w:cs="Arial" w:eastAsia="Arial" w:hAnsi="Arial"/>
          <w:sz w:val="14"/>
          <w:szCs w:val="14"/>
          <w:color w:val="auto"/>
        </w:rPr>
        <w:t>This Election is between:</w:t>
      </w:r>
    </w:p>
    <w:p>
      <w:pPr>
        <w:spacing w:after="0" w:line="139" w:lineRule="exact"/>
        <w:rPr>
          <w:sz w:val="20"/>
          <w:szCs w:val="20"/>
          <w:color w:val="auto"/>
        </w:rPr>
      </w:pPr>
    </w:p>
    <w:p>
      <w:pPr>
        <w:ind w:left="566" w:right="20" w:hanging="566"/>
        <w:spacing w:after="0" w:line="260" w:lineRule="auto"/>
        <w:tabs>
          <w:tab w:leader="none" w:pos="282"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individual who has obtained authorized access to this Election (the “</w:t>
      </w:r>
      <w:r>
        <w:rPr>
          <w:rFonts w:ascii="Arial" w:cs="Arial" w:eastAsia="Arial" w:hAnsi="Arial"/>
          <w:sz w:val="14"/>
          <w:szCs w:val="14"/>
          <w:b w:val="1"/>
          <w:bCs w:val="1"/>
          <w:color w:val="auto"/>
        </w:rPr>
        <w:t>Employee</w:t>
      </w:r>
      <w:r>
        <w:rPr>
          <w:rFonts w:ascii="Arial" w:cs="Arial" w:eastAsia="Arial" w:hAnsi="Arial"/>
          <w:sz w:val="14"/>
          <w:szCs w:val="14"/>
          <w:color w:val="auto"/>
        </w:rPr>
        <w:t>”), who is employed by one of the employing companies listed in the attached schedule (the “</w:t>
      </w:r>
      <w:r>
        <w:rPr>
          <w:rFonts w:ascii="Arial" w:cs="Arial" w:eastAsia="Arial" w:hAnsi="Arial"/>
          <w:sz w:val="14"/>
          <w:szCs w:val="14"/>
          <w:b w:val="1"/>
          <w:bCs w:val="1"/>
          <w:color w:val="auto"/>
        </w:rPr>
        <w:t>Employer</w:t>
      </w:r>
      <w:r>
        <w:rPr>
          <w:rFonts w:ascii="Arial" w:cs="Arial" w:eastAsia="Arial" w:hAnsi="Arial"/>
          <w:sz w:val="14"/>
          <w:szCs w:val="14"/>
          <w:color w:val="auto"/>
        </w:rPr>
        <w:t>”) and who is eligible to receive restricted stock units and/or stock options (“</w:t>
      </w:r>
      <w:r>
        <w:rPr>
          <w:rFonts w:ascii="Arial" w:cs="Arial" w:eastAsia="Arial" w:hAnsi="Arial"/>
          <w:sz w:val="14"/>
          <w:szCs w:val="14"/>
          <w:b w:val="1"/>
          <w:bCs w:val="1"/>
          <w:color w:val="auto"/>
        </w:rPr>
        <w:t>Awards</w:t>
      </w:r>
      <w:r>
        <w:rPr>
          <w:rFonts w:ascii="Arial" w:cs="Arial" w:eastAsia="Arial" w:hAnsi="Arial"/>
          <w:sz w:val="14"/>
          <w:szCs w:val="14"/>
          <w:color w:val="auto"/>
        </w:rPr>
        <w:t>”) pursuant to the Analog Devices, Inc. Amended and Restated 1996 Stock Incentive Plan (the “</w:t>
      </w:r>
      <w:r>
        <w:rPr>
          <w:rFonts w:ascii="Arial" w:cs="Arial" w:eastAsia="Arial" w:hAnsi="Arial"/>
          <w:sz w:val="14"/>
          <w:szCs w:val="14"/>
          <w:b w:val="1"/>
          <w:bCs w:val="1"/>
          <w:color w:val="auto"/>
        </w:rPr>
        <w:t>Plan</w:t>
      </w:r>
      <w:r>
        <w:rPr>
          <w:rFonts w:ascii="Arial" w:cs="Arial" w:eastAsia="Arial" w:hAnsi="Arial"/>
          <w:sz w:val="14"/>
          <w:szCs w:val="14"/>
          <w:color w:val="auto"/>
        </w:rPr>
        <w:t>”), and</w:t>
      </w:r>
    </w:p>
    <w:p>
      <w:pPr>
        <w:spacing w:after="0" w:line="108" w:lineRule="exact"/>
        <w:rPr>
          <w:rFonts w:ascii="Arial" w:cs="Arial" w:eastAsia="Arial" w:hAnsi="Arial"/>
          <w:sz w:val="14"/>
          <w:szCs w:val="14"/>
          <w:color w:val="auto"/>
        </w:rPr>
      </w:pPr>
    </w:p>
    <w:p>
      <w:pPr>
        <w:ind w:left="566" w:right="20" w:hanging="566"/>
        <w:spacing w:after="0" w:line="276" w:lineRule="auto"/>
        <w:tabs>
          <w:tab w:leader="none" w:pos="275"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Analog Devices, Inc. of One Analog Way, Wilmington, Massachusetts 01887, U.S.A. (the “</w:t>
      </w:r>
      <w:r>
        <w:rPr>
          <w:rFonts w:ascii="Arial" w:cs="Arial" w:eastAsia="Arial" w:hAnsi="Arial"/>
          <w:sz w:val="14"/>
          <w:szCs w:val="14"/>
          <w:b w:val="1"/>
          <w:bCs w:val="1"/>
          <w:color w:val="auto"/>
        </w:rPr>
        <w:t>Company</w:t>
      </w:r>
      <w:r>
        <w:rPr>
          <w:rFonts w:ascii="Arial" w:cs="Arial" w:eastAsia="Arial" w:hAnsi="Arial"/>
          <w:sz w:val="14"/>
          <w:szCs w:val="14"/>
          <w:color w:val="auto"/>
        </w:rPr>
        <w:t>”), which may grant Awards under the Plans and is entering into this Election on behalf of the Employer.</w:t>
      </w:r>
    </w:p>
    <w:p>
      <w:pPr>
        <w:spacing w:after="0" w:line="97" w:lineRule="exact"/>
        <w:rPr>
          <w:sz w:val="20"/>
          <w:szCs w:val="20"/>
          <w:color w:val="auto"/>
        </w:rPr>
      </w:pPr>
    </w:p>
    <w:p>
      <w:pPr>
        <w:ind w:left="566" w:hanging="566"/>
        <w:spacing w:after="0"/>
        <w:tabs>
          <w:tab w:leader="none" w:pos="566" w:val="left"/>
        </w:tabs>
        <w:numPr>
          <w:ilvl w:val="0"/>
          <w:numId w:val="134"/>
        </w:numPr>
        <w:rPr>
          <w:rFonts w:ascii="Arial" w:cs="Arial" w:eastAsia="Arial" w:hAnsi="Arial"/>
          <w:sz w:val="14"/>
          <w:szCs w:val="14"/>
          <w:b w:val="1"/>
          <w:bCs w:val="1"/>
          <w:color w:val="auto"/>
        </w:rPr>
      </w:pPr>
      <w:r>
        <w:rPr>
          <w:rFonts w:ascii="Arial" w:cs="Arial" w:eastAsia="Arial" w:hAnsi="Arial"/>
          <w:sz w:val="14"/>
          <w:szCs w:val="14"/>
          <w:b w:val="1"/>
          <w:bCs w:val="1"/>
          <w:color w:val="auto"/>
        </w:rPr>
        <w:t>Introduction</w:t>
      </w:r>
    </w:p>
    <w:p>
      <w:pPr>
        <w:spacing w:after="0" w:line="217"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2"/>
          <w:szCs w:val="12"/>
          <w:color w:val="auto"/>
        </w:rPr>
        <w:t>This Election relates to all Awards granted to the Employee or assumed and converted under the Plan up to the termination dates of the Plan.</w:t>
      </w:r>
    </w:p>
    <w:p>
      <w:pPr>
        <w:spacing w:after="0" w:line="213"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In this Election the following words and phrases have the following meanings:</w:t>
      </w:r>
    </w:p>
    <w:p>
      <w:pPr>
        <w:spacing w:after="0" w:line="209" w:lineRule="exact"/>
        <w:rPr>
          <w:sz w:val="20"/>
          <w:szCs w:val="20"/>
          <w:color w:val="auto"/>
        </w:rPr>
      </w:pPr>
    </w:p>
    <w:p>
      <w:pPr>
        <w:ind w:left="1106" w:hanging="545"/>
        <w:spacing w:after="0"/>
        <w:tabs>
          <w:tab w:leader="none" w:pos="110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Chargeable Event</w:t>
      </w:r>
      <w:r>
        <w:rPr>
          <w:rFonts w:ascii="Arial" w:cs="Arial" w:eastAsia="Arial" w:hAnsi="Arial"/>
          <w:sz w:val="14"/>
          <w:szCs w:val="14"/>
          <w:color w:val="auto"/>
        </w:rPr>
        <w:t>” means any event giving rise to Relevant Employment Income.</w:t>
      </w:r>
    </w:p>
    <w:p>
      <w:pPr>
        <w:spacing w:after="0" w:line="213" w:lineRule="exact"/>
        <w:rPr>
          <w:rFonts w:ascii="Arial" w:cs="Arial" w:eastAsia="Arial" w:hAnsi="Arial"/>
          <w:sz w:val="14"/>
          <w:szCs w:val="14"/>
          <w:color w:val="auto"/>
        </w:rPr>
      </w:pPr>
    </w:p>
    <w:p>
      <w:pPr>
        <w:ind w:left="1126" w:hanging="565"/>
        <w:spacing w:after="0"/>
        <w:tabs>
          <w:tab w:leader="none" w:pos="112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Relevant Employment Income</w:t>
      </w:r>
      <w:r>
        <w:rPr>
          <w:rFonts w:ascii="Arial" w:cs="Arial" w:eastAsia="Arial" w:hAnsi="Arial"/>
          <w:sz w:val="14"/>
          <w:szCs w:val="14"/>
          <w:color w:val="auto"/>
        </w:rPr>
        <w:t>” from Awards on which employer's National Insurance Contributions becomes due is defined as:</w:t>
      </w:r>
    </w:p>
    <w:p>
      <w:pPr>
        <w:spacing w:after="0" w:line="217" w:lineRule="exact"/>
        <w:rPr>
          <w:rFonts w:ascii="Arial" w:cs="Arial" w:eastAsia="Arial" w:hAnsi="Arial"/>
          <w:sz w:val="14"/>
          <w:szCs w:val="14"/>
          <w:color w:val="auto"/>
        </w:rPr>
      </w:pPr>
    </w:p>
    <w:p>
      <w:pPr>
        <w:ind w:left="1666" w:hanging="544"/>
        <w:spacing w:after="0"/>
        <w:tabs>
          <w:tab w:leader="none" w:pos="1666" w:val="left"/>
        </w:tabs>
        <w:numPr>
          <w:ilvl w:val="1"/>
          <w:numId w:val="135"/>
        </w:numPr>
        <w:rPr>
          <w:rFonts w:ascii="Arial" w:cs="Arial" w:eastAsia="Arial" w:hAnsi="Arial"/>
          <w:sz w:val="14"/>
          <w:szCs w:val="14"/>
          <w:color w:val="auto"/>
        </w:rPr>
      </w:pPr>
      <w:r>
        <w:rPr>
          <w:rFonts w:ascii="Arial" w:cs="Arial" w:eastAsia="Arial" w:hAnsi="Arial"/>
          <w:sz w:val="14"/>
          <w:szCs w:val="14"/>
          <w:color w:val="auto"/>
        </w:rPr>
        <w:t>an amount that counts as employment income of the earner under section 426 ITEPA (restricted securities: charge on certain post-acquisition events);</w:t>
      </w:r>
    </w:p>
    <w:p>
      <w:pPr>
        <w:spacing w:after="0" w:line="213" w:lineRule="exact"/>
        <w:rPr>
          <w:rFonts w:ascii="Arial" w:cs="Arial" w:eastAsia="Arial" w:hAnsi="Arial"/>
          <w:sz w:val="14"/>
          <w:szCs w:val="14"/>
          <w:color w:val="auto"/>
        </w:rPr>
      </w:pPr>
    </w:p>
    <w:p>
      <w:pPr>
        <w:ind w:left="1686" w:hanging="564"/>
        <w:spacing w:after="0"/>
        <w:tabs>
          <w:tab w:leader="none" w:pos="1686" w:val="left"/>
        </w:tabs>
        <w:numPr>
          <w:ilvl w:val="1"/>
          <w:numId w:val="135"/>
        </w:numPr>
        <w:rPr>
          <w:rFonts w:ascii="Arial" w:cs="Arial" w:eastAsia="Arial" w:hAnsi="Arial"/>
          <w:sz w:val="13"/>
          <w:szCs w:val="13"/>
          <w:color w:val="auto"/>
        </w:rPr>
      </w:pPr>
      <w:r>
        <w:rPr>
          <w:rFonts w:ascii="Arial" w:cs="Arial" w:eastAsia="Arial" w:hAnsi="Arial"/>
          <w:sz w:val="13"/>
          <w:szCs w:val="13"/>
          <w:color w:val="auto"/>
        </w:rPr>
        <w:t>an amount that counts as employment income of the earner under section 438 of ITEPA (convertible securities: charge on certain post-acquisition events); or</w:t>
      </w:r>
    </w:p>
    <w:p>
      <w:pPr>
        <w:spacing w:after="0" w:line="224" w:lineRule="exact"/>
        <w:rPr>
          <w:rFonts w:ascii="Arial" w:cs="Arial" w:eastAsia="Arial" w:hAnsi="Arial"/>
          <w:sz w:val="13"/>
          <w:szCs w:val="13"/>
          <w:color w:val="auto"/>
        </w:rPr>
      </w:pPr>
    </w:p>
    <w:p>
      <w:pPr>
        <w:ind w:left="1686" w:hanging="564"/>
        <w:spacing w:after="0"/>
        <w:tabs>
          <w:tab w:leader="none" w:pos="1686" w:val="left"/>
        </w:tabs>
        <w:numPr>
          <w:ilvl w:val="1"/>
          <w:numId w:val="135"/>
        </w:numPr>
        <w:rPr>
          <w:rFonts w:ascii="Arial" w:cs="Arial" w:eastAsia="Arial" w:hAnsi="Arial"/>
          <w:sz w:val="14"/>
          <w:szCs w:val="14"/>
          <w:color w:val="auto"/>
        </w:rPr>
      </w:pPr>
      <w:r>
        <w:rPr>
          <w:rFonts w:ascii="Arial" w:cs="Arial" w:eastAsia="Arial" w:hAnsi="Arial"/>
          <w:sz w:val="14"/>
          <w:szCs w:val="14"/>
          <w:color w:val="auto"/>
        </w:rPr>
        <w:t>any gain that is treated as remuneration derived from the earner's employment by virtue of section 4(4)(a) SSCBA, including without limitation:</w:t>
      </w:r>
    </w:p>
    <w:p>
      <w:pPr>
        <w:spacing w:after="0" w:line="213" w:lineRule="exact"/>
        <w:rPr>
          <w:rFonts w:ascii="Arial" w:cs="Arial" w:eastAsia="Arial" w:hAnsi="Arial"/>
          <w:sz w:val="14"/>
          <w:szCs w:val="14"/>
          <w:color w:val="auto"/>
        </w:rPr>
      </w:pPr>
    </w:p>
    <w:p>
      <w:pPr>
        <w:ind w:left="2246" w:hanging="563"/>
        <w:spacing w:after="0"/>
        <w:tabs>
          <w:tab w:leader="none" w:pos="2246" w:val="left"/>
        </w:tabs>
        <w:numPr>
          <w:ilvl w:val="2"/>
          <w:numId w:val="135"/>
        </w:numPr>
        <w:rPr>
          <w:rFonts w:ascii="Arial" w:cs="Arial" w:eastAsia="Arial" w:hAnsi="Arial"/>
          <w:sz w:val="14"/>
          <w:szCs w:val="14"/>
          <w:color w:val="auto"/>
        </w:rPr>
      </w:pPr>
      <w:r>
        <w:rPr>
          <w:rFonts w:ascii="Arial" w:cs="Arial" w:eastAsia="Arial" w:hAnsi="Arial"/>
          <w:sz w:val="14"/>
          <w:szCs w:val="14"/>
          <w:color w:val="auto"/>
        </w:rPr>
        <w:t>the acquisition of securities pursuant to the Awards (within the meaning of section 477(3)(a) of ITEPA);</w:t>
      </w:r>
    </w:p>
    <w:p>
      <w:pPr>
        <w:spacing w:after="0" w:line="213" w:lineRule="exact"/>
        <w:rPr>
          <w:rFonts w:ascii="Arial" w:cs="Arial" w:eastAsia="Arial" w:hAnsi="Arial"/>
          <w:sz w:val="14"/>
          <w:szCs w:val="14"/>
          <w:color w:val="auto"/>
        </w:rPr>
      </w:pPr>
    </w:p>
    <w:p>
      <w:pPr>
        <w:ind w:left="2246" w:hanging="563"/>
        <w:spacing w:after="0"/>
        <w:tabs>
          <w:tab w:leader="none" w:pos="2246" w:val="left"/>
        </w:tabs>
        <w:numPr>
          <w:ilvl w:val="2"/>
          <w:numId w:val="135"/>
        </w:numPr>
        <w:rPr>
          <w:rFonts w:ascii="Arial" w:cs="Arial" w:eastAsia="Arial" w:hAnsi="Arial"/>
          <w:sz w:val="14"/>
          <w:szCs w:val="14"/>
          <w:color w:val="auto"/>
        </w:rPr>
      </w:pPr>
      <w:r>
        <w:rPr>
          <w:rFonts w:ascii="Arial" w:cs="Arial" w:eastAsia="Arial" w:hAnsi="Arial"/>
          <w:sz w:val="14"/>
          <w:szCs w:val="14"/>
          <w:color w:val="auto"/>
        </w:rPr>
        <w:t>the assignment (if applicable) or release of the Awards in return for consideration (within the meaning of section 477(3)(b) of ITEPA);</w:t>
      </w:r>
    </w:p>
    <w:p>
      <w:pPr>
        <w:spacing w:after="0" w:line="213" w:lineRule="exact"/>
        <w:rPr>
          <w:rFonts w:ascii="Arial" w:cs="Arial" w:eastAsia="Arial" w:hAnsi="Arial"/>
          <w:sz w:val="14"/>
          <w:szCs w:val="14"/>
          <w:color w:val="auto"/>
        </w:rPr>
      </w:pPr>
    </w:p>
    <w:p>
      <w:pPr>
        <w:ind w:left="2246" w:hanging="563"/>
        <w:spacing w:after="0"/>
        <w:tabs>
          <w:tab w:leader="none" w:pos="2246" w:val="left"/>
        </w:tabs>
        <w:numPr>
          <w:ilvl w:val="2"/>
          <w:numId w:val="135"/>
        </w:numPr>
        <w:rPr>
          <w:rFonts w:ascii="Arial" w:cs="Arial" w:eastAsia="Arial" w:hAnsi="Arial"/>
          <w:sz w:val="13"/>
          <w:szCs w:val="13"/>
          <w:color w:val="auto"/>
        </w:rPr>
      </w:pPr>
      <w:r>
        <w:rPr>
          <w:rFonts w:ascii="Arial" w:cs="Arial" w:eastAsia="Arial" w:hAnsi="Arial"/>
          <w:sz w:val="13"/>
          <w:szCs w:val="13"/>
          <w:color w:val="auto"/>
        </w:rPr>
        <w:t>the receipt of a benefit in connection with the Awards, other than a benefit within (i) or (ii) above (within the meaning of section 477(3)(c) of ITEPA);</w:t>
      </w:r>
    </w:p>
    <w:p>
      <w:pPr>
        <w:spacing w:after="0" w:line="220" w:lineRule="exact"/>
        <w:rPr>
          <w:rFonts w:ascii="Arial" w:cs="Arial" w:eastAsia="Arial" w:hAnsi="Arial"/>
          <w:sz w:val="13"/>
          <w:szCs w:val="13"/>
          <w:color w:val="auto"/>
        </w:rPr>
      </w:pPr>
    </w:p>
    <w:p>
      <w:pPr>
        <w:ind w:left="1106" w:hanging="545"/>
        <w:spacing w:after="0"/>
        <w:tabs>
          <w:tab w:leader="none" w:pos="110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ITEPA</w:t>
      </w:r>
      <w:r>
        <w:rPr>
          <w:rFonts w:ascii="Arial" w:cs="Arial" w:eastAsia="Arial" w:hAnsi="Arial"/>
          <w:sz w:val="14"/>
          <w:szCs w:val="14"/>
          <w:color w:val="auto"/>
        </w:rPr>
        <w:t>” means the Income Tax (Earnings and Pensions) Act 2003.</w:t>
      </w:r>
    </w:p>
    <w:p>
      <w:pPr>
        <w:spacing w:after="0" w:line="213" w:lineRule="exact"/>
        <w:rPr>
          <w:rFonts w:ascii="Arial" w:cs="Arial" w:eastAsia="Arial" w:hAnsi="Arial"/>
          <w:sz w:val="14"/>
          <w:szCs w:val="14"/>
          <w:color w:val="auto"/>
        </w:rPr>
      </w:pPr>
    </w:p>
    <w:p>
      <w:pPr>
        <w:ind w:left="1126" w:hanging="565"/>
        <w:spacing w:after="0"/>
        <w:tabs>
          <w:tab w:leader="none" w:pos="1126" w:val="left"/>
        </w:tabs>
        <w:numPr>
          <w:ilvl w:val="0"/>
          <w:numId w:val="13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SSCBA</w:t>
      </w:r>
      <w:r>
        <w:rPr>
          <w:rFonts w:ascii="Arial" w:cs="Arial" w:eastAsia="Arial" w:hAnsi="Arial"/>
          <w:sz w:val="14"/>
          <w:szCs w:val="14"/>
          <w:color w:val="auto"/>
        </w:rPr>
        <w:t>” means the Social Security Contributions and Benefits Act 1992.</w:t>
      </w:r>
    </w:p>
    <w:p>
      <w:pPr>
        <w:spacing w:after="0" w:line="217" w:lineRule="exact"/>
        <w:rPr>
          <w:sz w:val="20"/>
          <w:szCs w:val="20"/>
          <w:color w:val="auto"/>
        </w:rPr>
      </w:pPr>
    </w:p>
    <w:p>
      <w:pPr>
        <w:ind w:left="566" w:hanging="560"/>
        <w:spacing w:after="0" w:line="270" w:lineRule="auto"/>
        <w:tabs>
          <w:tab w:leader="none" w:pos="546"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76" w:lineRule="exact"/>
        <w:rPr>
          <w:sz w:val="20"/>
          <w:szCs w:val="20"/>
          <w:color w:val="auto"/>
        </w:rPr>
      </w:pPr>
    </w:p>
    <w:p>
      <w:pPr>
        <w:ind w:left="566" w:hanging="560"/>
        <w:spacing w:after="0" w:line="270" w:lineRule="auto"/>
        <w:tabs>
          <w:tab w:leader="none" w:pos="546"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200" w:lineRule="exact"/>
        <w:rPr>
          <w:sz w:val="20"/>
          <w:szCs w:val="20"/>
          <w:color w:val="auto"/>
        </w:rPr>
      </w:pPr>
    </w:p>
    <w:p>
      <w:pPr>
        <w:spacing w:after="0" w:line="280" w:lineRule="exact"/>
        <w:rPr>
          <w:sz w:val="20"/>
          <w:szCs w:val="20"/>
          <w:color w:val="auto"/>
        </w:rPr>
      </w:pPr>
    </w:p>
    <w:p>
      <w:pPr>
        <w:ind w:left="126"/>
        <w:spacing w:after="0"/>
        <w:rPr>
          <w:sz w:val="20"/>
          <w:szCs w:val="20"/>
          <w:color w:val="auto"/>
        </w:rPr>
      </w:pPr>
      <w:r>
        <w:rPr>
          <w:rFonts w:ascii="Arial" w:cs="Arial" w:eastAsia="Arial" w:hAnsi="Arial"/>
          <w:sz w:val="14"/>
          <w:szCs w:val="14"/>
          <w:color w:val="auto"/>
        </w:rPr>
        <w:t>APPENDIX D - 2</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986"/>
          </w:cols>
          <w:pgMar w:left="314" w:top="910" w:right="599" w:bottom="1440" w:gutter="0" w:footer="0" w:header="0"/>
        </w:sectPr>
      </w:pPr>
    </w:p>
    <w:bookmarkStart w:id="146" w:name="page147"/>
    <w:bookmarkEnd w:id="146"/>
    <w:p>
      <w:pPr>
        <w:jc w:val="center"/>
        <w:ind w:right="-5"/>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68">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D</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ANALOG DEVICES, INC.</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96"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6" w:right="300" w:hanging="560"/>
        <w:spacing w:after="0" w:line="270" w:lineRule="auto"/>
        <w:tabs>
          <w:tab w:leader="none" w:pos="546"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72" w:lineRule="exact"/>
        <w:rPr>
          <w:sz w:val="20"/>
          <w:szCs w:val="20"/>
          <w:color w:val="auto"/>
        </w:rPr>
      </w:pPr>
    </w:p>
    <w:p>
      <w:pPr>
        <w:ind w:left="566" w:hanging="566"/>
        <w:spacing w:after="0"/>
        <w:tabs>
          <w:tab w:leader="none" w:pos="566"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The Election</w:t>
      </w:r>
    </w:p>
    <w:p>
      <w:pPr>
        <w:spacing w:after="0" w:line="217" w:lineRule="exact"/>
        <w:rPr>
          <w:rFonts w:ascii="Arial" w:cs="Arial" w:eastAsia="Arial" w:hAnsi="Arial"/>
          <w:sz w:val="14"/>
          <w:szCs w:val="14"/>
          <w:b w:val="1"/>
          <w:bCs w:val="1"/>
          <w:color w:val="auto"/>
        </w:rPr>
      </w:pPr>
    </w:p>
    <w:p>
      <w:pPr>
        <w:jc w:val="both"/>
        <w:ind w:left="566" w:right="300"/>
        <w:spacing w:after="0" w:line="257" w:lineRule="auto"/>
        <w:rPr>
          <w:rFonts w:ascii="Arial" w:cs="Arial" w:eastAsia="Arial" w:hAnsi="Arial"/>
          <w:sz w:val="14"/>
          <w:szCs w:val="14"/>
          <w:b w:val="1"/>
          <w:bCs w:val="1"/>
          <w:color w:val="auto"/>
        </w:rPr>
      </w:pPr>
      <w:r>
        <w:rPr>
          <w:rFonts w:ascii="Arial" w:cs="Arial" w:eastAsia="Arial" w:hAnsi="Arial"/>
          <w:sz w:val="14"/>
          <w:szCs w:val="14"/>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pacing w:after="0" w:line="110" w:lineRule="exact"/>
        <w:rPr>
          <w:rFonts w:ascii="Arial" w:cs="Arial" w:eastAsia="Arial" w:hAnsi="Arial"/>
          <w:sz w:val="14"/>
          <w:szCs w:val="14"/>
          <w:b w:val="1"/>
          <w:bCs w:val="1"/>
          <w:color w:val="auto"/>
        </w:rPr>
      </w:pPr>
    </w:p>
    <w:p>
      <w:pPr>
        <w:ind w:left="566" w:hanging="566"/>
        <w:spacing w:after="0"/>
        <w:tabs>
          <w:tab w:leader="none" w:pos="566" w:val="left"/>
        </w:tabs>
        <w:numPr>
          <w:ilvl w:val="0"/>
          <w:numId w:val="136"/>
        </w:numPr>
        <w:rPr>
          <w:rFonts w:ascii="Arial" w:cs="Arial" w:eastAsia="Arial" w:hAnsi="Arial"/>
          <w:sz w:val="14"/>
          <w:szCs w:val="14"/>
          <w:b w:val="1"/>
          <w:bCs w:val="1"/>
          <w:color w:val="auto"/>
        </w:rPr>
      </w:pPr>
      <w:r>
        <w:rPr>
          <w:rFonts w:ascii="Arial" w:cs="Arial" w:eastAsia="Arial" w:hAnsi="Arial"/>
          <w:sz w:val="14"/>
          <w:szCs w:val="14"/>
          <w:b w:val="1"/>
          <w:bCs w:val="1"/>
          <w:color w:val="auto"/>
        </w:rPr>
        <w:t>Payment of the Employer’s Liability</w:t>
      </w:r>
    </w:p>
    <w:p>
      <w:pPr>
        <w:spacing w:after="0" w:line="217" w:lineRule="exact"/>
        <w:rPr>
          <w:sz w:val="20"/>
          <w:szCs w:val="20"/>
          <w:color w:val="auto"/>
        </w:rPr>
      </w:pPr>
    </w:p>
    <w:p>
      <w:pPr>
        <w:ind w:left="566" w:right="300" w:hanging="560"/>
        <w:spacing w:after="0" w:line="270" w:lineRule="auto"/>
        <w:tabs>
          <w:tab w:leader="none" w:pos="546"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The Employee hereby authorizes the Company and/or the Employer to collect the Employer’s Liability in respect of any Relevant Employment Income from the Employee at any time after the Chargeable Event:</w:t>
      </w:r>
    </w:p>
    <w:p>
      <w:pPr>
        <w:spacing w:after="0" w:line="176" w:lineRule="exact"/>
        <w:rPr>
          <w:sz w:val="20"/>
          <w:szCs w:val="20"/>
          <w:color w:val="auto"/>
        </w:rPr>
      </w:pPr>
    </w:p>
    <w:p>
      <w:pPr>
        <w:ind w:left="826" w:hanging="265"/>
        <w:spacing w:after="0"/>
        <w:tabs>
          <w:tab w:leader="none" w:pos="826" w:val="left"/>
        </w:tabs>
        <w:numPr>
          <w:ilvl w:val="0"/>
          <w:numId w:val="137"/>
        </w:numPr>
        <w:rPr>
          <w:rFonts w:ascii="Arial" w:cs="Arial" w:eastAsia="Arial" w:hAnsi="Arial"/>
          <w:sz w:val="14"/>
          <w:szCs w:val="14"/>
          <w:color w:val="auto"/>
        </w:rPr>
      </w:pPr>
      <w:r>
        <w:rPr>
          <w:rFonts w:ascii="Arial" w:cs="Arial" w:eastAsia="Arial" w:hAnsi="Arial"/>
          <w:sz w:val="14"/>
          <w:szCs w:val="14"/>
          <w:color w:val="auto"/>
        </w:rPr>
        <w:t>by deduction from salary or any other payment payable to the Employee at any time on or after the date of the Chargeable Event; and/or</w:t>
      </w:r>
    </w:p>
    <w:p>
      <w:pPr>
        <w:spacing w:after="0" w:line="96" w:lineRule="exact"/>
        <w:rPr>
          <w:rFonts w:ascii="Arial" w:cs="Arial" w:eastAsia="Arial" w:hAnsi="Arial"/>
          <w:sz w:val="14"/>
          <w:szCs w:val="14"/>
          <w:color w:val="auto"/>
        </w:rPr>
      </w:pPr>
    </w:p>
    <w:p>
      <w:pPr>
        <w:ind w:left="866" w:hanging="305"/>
        <w:spacing w:after="0"/>
        <w:tabs>
          <w:tab w:leader="none" w:pos="866" w:val="left"/>
        </w:tabs>
        <w:numPr>
          <w:ilvl w:val="0"/>
          <w:numId w:val="137"/>
        </w:numPr>
        <w:rPr>
          <w:rFonts w:ascii="Arial" w:cs="Arial" w:eastAsia="Arial" w:hAnsi="Arial"/>
          <w:sz w:val="14"/>
          <w:szCs w:val="14"/>
          <w:color w:val="auto"/>
        </w:rPr>
      </w:pPr>
      <w:r>
        <w:rPr>
          <w:rFonts w:ascii="Arial" w:cs="Arial" w:eastAsia="Arial" w:hAnsi="Arial"/>
          <w:sz w:val="14"/>
          <w:szCs w:val="14"/>
          <w:color w:val="auto"/>
        </w:rPr>
        <w:t>directly from the Employee by payment in cash or cleared funds; and/or</w:t>
      </w:r>
    </w:p>
    <w:p>
      <w:pPr>
        <w:spacing w:after="0" w:line="96" w:lineRule="exact"/>
        <w:rPr>
          <w:rFonts w:ascii="Arial" w:cs="Arial" w:eastAsia="Arial" w:hAnsi="Arial"/>
          <w:sz w:val="14"/>
          <w:szCs w:val="14"/>
          <w:color w:val="auto"/>
        </w:rPr>
      </w:pPr>
    </w:p>
    <w:p>
      <w:pPr>
        <w:ind w:left="906" w:hanging="345"/>
        <w:spacing w:after="0"/>
        <w:tabs>
          <w:tab w:leader="none" w:pos="906" w:val="left"/>
        </w:tabs>
        <w:numPr>
          <w:ilvl w:val="0"/>
          <w:numId w:val="137"/>
        </w:numPr>
        <w:rPr>
          <w:rFonts w:ascii="Arial" w:cs="Arial" w:eastAsia="Arial" w:hAnsi="Arial"/>
          <w:sz w:val="14"/>
          <w:szCs w:val="14"/>
          <w:color w:val="auto"/>
        </w:rPr>
      </w:pPr>
      <w:r>
        <w:rPr>
          <w:rFonts w:ascii="Arial" w:cs="Arial" w:eastAsia="Arial" w:hAnsi="Arial"/>
          <w:sz w:val="14"/>
          <w:szCs w:val="14"/>
          <w:color w:val="auto"/>
        </w:rPr>
        <w:t>by arranging, on behalf of the Employee, for the sale of some of the securities which the Employee is entitled to receive in respect of the Awards; and/or</w:t>
      </w:r>
    </w:p>
    <w:p>
      <w:pPr>
        <w:spacing w:after="0" w:line="96" w:lineRule="exact"/>
        <w:rPr>
          <w:rFonts w:ascii="Arial" w:cs="Arial" w:eastAsia="Arial" w:hAnsi="Arial"/>
          <w:sz w:val="14"/>
          <w:szCs w:val="14"/>
          <w:color w:val="auto"/>
        </w:rPr>
      </w:pPr>
    </w:p>
    <w:p>
      <w:pPr>
        <w:ind w:left="906" w:hanging="345"/>
        <w:spacing w:after="0"/>
        <w:tabs>
          <w:tab w:leader="none" w:pos="906" w:val="left"/>
        </w:tabs>
        <w:numPr>
          <w:ilvl w:val="0"/>
          <w:numId w:val="137"/>
        </w:numPr>
        <w:rPr>
          <w:rFonts w:ascii="Arial" w:cs="Arial" w:eastAsia="Arial" w:hAnsi="Arial"/>
          <w:sz w:val="14"/>
          <w:szCs w:val="14"/>
          <w:color w:val="auto"/>
        </w:rPr>
      </w:pPr>
      <w:r>
        <w:rPr>
          <w:rFonts w:ascii="Arial" w:cs="Arial" w:eastAsia="Arial" w:hAnsi="Arial"/>
          <w:sz w:val="14"/>
          <w:szCs w:val="14"/>
          <w:color w:val="auto"/>
        </w:rPr>
        <w:t>by any other means specified in the applicable award agreement.</w:t>
      </w:r>
    </w:p>
    <w:p>
      <w:pPr>
        <w:spacing w:after="0" w:line="96" w:lineRule="exact"/>
        <w:rPr>
          <w:sz w:val="20"/>
          <w:szCs w:val="20"/>
          <w:color w:val="auto"/>
        </w:rPr>
      </w:pPr>
    </w:p>
    <w:p>
      <w:pPr>
        <w:jc w:val="both"/>
        <w:ind w:left="566" w:right="300" w:hanging="560"/>
        <w:spacing w:after="0" w:line="270" w:lineRule="auto"/>
        <w:tabs>
          <w:tab w:leader="none" w:pos="546"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The Company hereby reserves for itself and the Employer the right to withhold the transfer of any securities in respect of the Awards to the Employee until full payment of the Employer’s Liability is received.</w:t>
      </w:r>
    </w:p>
    <w:p>
      <w:pPr>
        <w:spacing w:after="0" w:line="176" w:lineRule="exact"/>
        <w:rPr>
          <w:sz w:val="20"/>
          <w:szCs w:val="20"/>
          <w:color w:val="auto"/>
        </w:rPr>
      </w:pPr>
    </w:p>
    <w:p>
      <w:pPr>
        <w:jc w:val="both"/>
        <w:ind w:left="566" w:right="300" w:hanging="560"/>
        <w:spacing w:after="0" w:line="257" w:lineRule="auto"/>
        <w:tabs>
          <w:tab w:leader="none" w:pos="546"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0" w:lineRule="exact"/>
        <w:rPr>
          <w:sz w:val="20"/>
          <w:szCs w:val="20"/>
          <w:color w:val="auto"/>
        </w:rPr>
      </w:pPr>
    </w:p>
    <w:p>
      <w:pPr>
        <w:ind w:left="566" w:hanging="566"/>
        <w:spacing w:after="0"/>
        <w:tabs>
          <w:tab w:leader="none" w:pos="566" w:val="left"/>
        </w:tabs>
        <w:numPr>
          <w:ilvl w:val="0"/>
          <w:numId w:val="138"/>
        </w:numPr>
        <w:rPr>
          <w:rFonts w:ascii="Arial" w:cs="Arial" w:eastAsia="Arial" w:hAnsi="Arial"/>
          <w:sz w:val="14"/>
          <w:szCs w:val="14"/>
          <w:b w:val="1"/>
          <w:bCs w:val="1"/>
          <w:color w:val="auto"/>
        </w:rPr>
      </w:pPr>
      <w:r>
        <w:rPr>
          <w:rFonts w:ascii="Arial" w:cs="Arial" w:eastAsia="Arial" w:hAnsi="Arial"/>
          <w:sz w:val="14"/>
          <w:szCs w:val="14"/>
          <w:b w:val="1"/>
          <w:bCs w:val="1"/>
          <w:color w:val="auto"/>
        </w:rPr>
        <w:t>Duration of Election</w:t>
      </w:r>
    </w:p>
    <w:p>
      <w:pPr>
        <w:spacing w:after="0" w:line="217" w:lineRule="exact"/>
        <w:rPr>
          <w:sz w:val="20"/>
          <w:szCs w:val="20"/>
          <w:color w:val="auto"/>
        </w:rPr>
      </w:pPr>
    </w:p>
    <w:p>
      <w:pPr>
        <w:ind w:left="566" w:right="280" w:hanging="560"/>
        <w:spacing w:after="0" w:line="270" w:lineRule="auto"/>
        <w:tabs>
          <w:tab w:leader="none" w:pos="546"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76"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3"/>
          <w:szCs w:val="13"/>
          <w:color w:val="auto"/>
        </w:rPr>
        <w:t>This Election will continue in effect until the earliest of the following:</w:t>
      </w:r>
    </w:p>
    <w:p>
      <w:pPr>
        <w:spacing w:after="0" w:line="213" w:lineRule="exact"/>
        <w:rPr>
          <w:sz w:val="20"/>
          <w:szCs w:val="20"/>
          <w:color w:val="auto"/>
        </w:rPr>
      </w:pPr>
    </w:p>
    <w:p>
      <w:pPr>
        <w:ind w:left="826" w:hanging="265"/>
        <w:spacing w:after="0"/>
        <w:tabs>
          <w:tab w:leader="none" w:pos="82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Employee and the Company agree in writing that it should cease to have effect;</w:t>
      </w:r>
    </w:p>
    <w:p>
      <w:pPr>
        <w:spacing w:after="0" w:line="143" w:lineRule="exact"/>
        <w:rPr>
          <w:rFonts w:ascii="Arial" w:cs="Arial" w:eastAsia="Arial" w:hAnsi="Arial"/>
          <w:sz w:val="14"/>
          <w:szCs w:val="14"/>
          <w:color w:val="auto"/>
        </w:rPr>
      </w:pPr>
    </w:p>
    <w:p>
      <w:pPr>
        <w:ind w:left="906" w:hanging="345"/>
        <w:spacing w:after="0"/>
        <w:tabs>
          <w:tab w:leader="none" w:pos="90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on the date the Company serves written notice on the Employee terminating its effect;</w:t>
      </w:r>
    </w:p>
    <w:p>
      <w:pPr>
        <w:spacing w:after="0" w:line="143" w:lineRule="exact"/>
        <w:rPr>
          <w:rFonts w:ascii="Arial" w:cs="Arial" w:eastAsia="Arial" w:hAnsi="Arial"/>
          <w:sz w:val="14"/>
          <w:szCs w:val="14"/>
          <w:color w:val="auto"/>
        </w:rPr>
      </w:pPr>
    </w:p>
    <w:p>
      <w:pPr>
        <w:ind w:left="946" w:hanging="385"/>
        <w:spacing w:after="0"/>
        <w:tabs>
          <w:tab w:leader="none" w:pos="94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on the date HM Revenue &amp; Customs withdraws approval of this Election; or</w:t>
      </w:r>
    </w:p>
    <w:p>
      <w:pPr>
        <w:spacing w:after="0" w:line="143" w:lineRule="exact"/>
        <w:rPr>
          <w:rFonts w:ascii="Arial" w:cs="Arial" w:eastAsia="Arial" w:hAnsi="Arial"/>
          <w:sz w:val="14"/>
          <w:szCs w:val="14"/>
          <w:color w:val="auto"/>
        </w:rPr>
      </w:pPr>
    </w:p>
    <w:p>
      <w:pPr>
        <w:ind w:left="1126" w:right="20" w:hanging="565"/>
        <w:spacing w:after="0" w:line="270" w:lineRule="auto"/>
        <w:tabs>
          <w:tab w:leader="none" w:pos="998"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after due payment of the Employer’s Liability in respect of the entirety of the Awards to which this Election relates or could relate, such that the Election ceases to have effect in accordance with its terms.</w:t>
      </w:r>
    </w:p>
    <w:p>
      <w:pPr>
        <w:spacing w:after="0" w:line="106"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2"/>
          <w:szCs w:val="12"/>
          <w:color w:val="auto"/>
        </w:rPr>
        <w:t>This Election will continue in force regardless of whether the Employee ceases to be an employee of the Employer.</w:t>
      </w:r>
    </w:p>
    <w:p>
      <w:pPr>
        <w:spacing w:after="0" w:line="213" w:lineRule="exact"/>
        <w:rPr>
          <w:sz w:val="20"/>
          <w:szCs w:val="20"/>
          <w:color w:val="auto"/>
        </w:rPr>
      </w:pPr>
    </w:p>
    <w:p>
      <w:pPr>
        <w:jc w:val="both"/>
        <w:ind w:left="566" w:hanging="560"/>
        <w:spacing w:after="0" w:line="257" w:lineRule="auto"/>
        <w:tabs>
          <w:tab w:leader="none" w:pos="546"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4"/>
          <w:szCs w:val="14"/>
          <w:b w:val="1"/>
          <w:bCs w:val="1"/>
          <w:u w:val="single" w:color="auto"/>
          <w:color w:val="auto"/>
        </w:rPr>
        <w:t>Acceptance by the Employee</w:t>
      </w:r>
    </w:p>
    <w:p>
      <w:pPr>
        <w:spacing w:after="0" w:line="200" w:lineRule="exact"/>
        <w:rPr>
          <w:sz w:val="20"/>
          <w:szCs w:val="20"/>
          <w:color w:val="auto"/>
        </w:rPr>
      </w:pPr>
    </w:p>
    <w:p>
      <w:pPr>
        <w:spacing w:after="0" w:line="204" w:lineRule="exact"/>
        <w:rPr>
          <w:sz w:val="20"/>
          <w:szCs w:val="20"/>
          <w:color w:val="auto"/>
        </w:rPr>
      </w:pPr>
    </w:p>
    <w:p>
      <w:pPr>
        <w:ind w:left="126"/>
        <w:spacing w:after="0"/>
        <w:rPr>
          <w:sz w:val="20"/>
          <w:szCs w:val="20"/>
          <w:color w:val="auto"/>
        </w:rPr>
      </w:pPr>
      <w:r>
        <w:rPr>
          <w:rFonts w:ascii="Arial" w:cs="Arial" w:eastAsia="Arial" w:hAnsi="Arial"/>
          <w:sz w:val="14"/>
          <w:szCs w:val="14"/>
          <w:color w:val="auto"/>
        </w:rPr>
        <w:t>APPENDIX D - 3</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6"/>
          </w:cols>
          <w:pgMar w:left="314" w:top="911" w:right="3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69">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ANALOG DEVICES,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The Employee acknowledges that, by clicking on the “ACCEPT” box, the Employee agrees to be bound by the terms of this Election.</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Acceptance by Analog Devices, Inc.</w:t>
      </w:r>
    </w:p>
    <w:p>
      <w:pPr>
        <w:spacing w:after="0" w:line="100"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Signature for and 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behalf of Analog Devices, Inc.</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420" w:type="dxa"/>
            <w:vAlign w:val="bottom"/>
          </w:tcPr>
          <w:p>
            <w:pPr>
              <w:spacing w:after="0"/>
              <w:rPr>
                <w:sz w:val="20"/>
                <w:szCs w:val="20"/>
                <w:color w:val="auto"/>
              </w:rPr>
            </w:pPr>
            <w:r>
              <w:rPr>
                <w:rFonts w:ascii="Arial" w:cs="Arial" w:eastAsia="Arial" w:hAnsi="Arial"/>
                <w:sz w:val="14"/>
                <w:szCs w:val="14"/>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Richard P. Ahern</w:t>
            </w:r>
          </w:p>
        </w:tc>
      </w:tr>
      <w:tr>
        <w:trPr>
          <w:trHeight w:val="194"/>
        </w:trPr>
        <w:tc>
          <w:tcPr>
            <w:tcW w:w="420" w:type="dxa"/>
            <w:vAlign w:val="bottom"/>
          </w:tcPr>
          <w:p>
            <w:pPr>
              <w:spacing w:after="0"/>
              <w:rPr>
                <w:sz w:val="16"/>
                <w:szCs w:val="16"/>
                <w:color w:val="auto"/>
              </w:rPr>
            </w:pPr>
          </w:p>
        </w:tc>
        <w:tc>
          <w:tcPr>
            <w:tcW w:w="5360" w:type="dxa"/>
            <w:vAlign w:val="bottom"/>
          </w:tcPr>
          <w:p>
            <w:pPr>
              <w:ind w:left="20"/>
              <w:spacing w:after="0"/>
              <w:rPr>
                <w:sz w:val="20"/>
                <w:szCs w:val="20"/>
                <w:color w:val="auto"/>
              </w:rPr>
            </w:pPr>
            <w:r>
              <w:rPr>
                <w:rFonts w:ascii="Arial" w:cs="Arial" w:eastAsia="Arial" w:hAnsi="Arial"/>
                <w:sz w:val="14"/>
                <w:szCs w:val="14"/>
                <w:color w:val="auto"/>
              </w:rPr>
              <w:t>Richard P. Ahern, Vice President, Global Total Rewards &amp; HR Services</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Date: </w:t>
      </w:r>
      <w:r>
        <w:rPr>
          <w:rFonts w:ascii="Arial" w:cs="Arial" w:eastAsia="Arial" w:hAnsi="Arial"/>
          <w:sz w:val="14"/>
          <w:szCs w:val="14"/>
          <w:color w:val="auto"/>
          <w:highlight w:val="yellow"/>
        </w:rPr>
        <w:t>Grant Date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color w:val="auto"/>
          <w:highlight w:val="yellow"/>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D - 4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1260"/>
          </w:cols>
          <w:pgMar w:left="320" w:top="911" w:right="319" w:bottom="1440" w:gutter="0" w:footer="0" w:header="0"/>
        </w:sectPr>
      </w:pPr>
    </w:p>
    <w:bookmarkStart w:id="148" w:name="page149"/>
    <w:bookmarkEnd w:id="148"/>
    <w:p>
      <w:pPr>
        <w:jc w:val="center"/>
        <w:ind w:right="-11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70">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D</w:t>
      </w:r>
    </w:p>
    <w:p>
      <w:pPr>
        <w:spacing w:after="0" w:line="96"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ANALOG DEVICES, INC.</w:t>
      </w:r>
    </w:p>
    <w:p>
      <w:pPr>
        <w:spacing w:after="0" w:line="96"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96"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Schedule of Employer Companies</w:t>
            </w:r>
          </w:p>
        </w:tc>
      </w:tr>
      <w:tr>
        <w:trPr>
          <w:trHeight w:val="268"/>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The following are employer companies to which this Election may apply:</w:t>
            </w:r>
          </w:p>
        </w:tc>
        <w:tc>
          <w:tcPr>
            <w:tcW w:w="40" w:type="dxa"/>
            <w:vAlign w:val="bottom"/>
          </w:tcPr>
          <w:p>
            <w:pPr>
              <w:spacing w:after="0"/>
              <w:rPr>
                <w:sz w:val="23"/>
                <w:szCs w:val="23"/>
                <w:color w:val="auto"/>
              </w:rPr>
            </w:pPr>
          </w:p>
        </w:tc>
        <w:tc>
          <w:tcPr>
            <w:tcW w:w="2020" w:type="dxa"/>
            <w:vAlign w:val="bottom"/>
            <w:tcBorders>
              <w:top w:val="single" w:sz="8" w:color="auto"/>
            </w:tcBorders>
          </w:tcPr>
          <w:p>
            <w:pPr>
              <w:spacing w:after="0"/>
              <w:rPr>
                <w:sz w:val="23"/>
                <w:szCs w:val="23"/>
                <w:color w:val="auto"/>
              </w:rPr>
            </w:pPr>
          </w:p>
        </w:tc>
        <w:tc>
          <w:tcPr>
            <w:tcW w:w="2540" w:type="dxa"/>
            <w:vAlign w:val="bottom"/>
          </w:tcPr>
          <w:p>
            <w:pPr>
              <w:spacing w:after="0"/>
              <w:rPr>
                <w:sz w:val="23"/>
                <w:szCs w:val="23"/>
                <w:color w:val="auto"/>
              </w:rPr>
            </w:pPr>
          </w:p>
        </w:tc>
      </w:tr>
      <w:tr>
        <w:trPr>
          <w:trHeight w:val="257"/>
        </w:trPr>
        <w:tc>
          <w:tcPr>
            <w:tcW w:w="4600" w:type="dxa"/>
            <w:vAlign w:val="bottom"/>
            <w:gridSpan w:val="2"/>
          </w:tcPr>
          <w:p>
            <w:pPr>
              <w:ind w:left="20"/>
              <w:spacing w:after="0"/>
              <w:rPr>
                <w:sz w:val="20"/>
                <w:szCs w:val="20"/>
                <w:color w:val="auto"/>
              </w:rPr>
            </w:pPr>
            <w:r>
              <w:rPr>
                <w:rFonts w:ascii="Arial" w:cs="Arial" w:eastAsia="Arial" w:hAnsi="Arial"/>
                <w:sz w:val="14"/>
                <w:szCs w:val="14"/>
                <w:i w:val="1"/>
                <w:iCs w:val="1"/>
                <w:color w:val="auto"/>
              </w:rPr>
              <w:t>For each company, provide the following details:</w:t>
            </w:r>
          </w:p>
        </w:tc>
        <w:tc>
          <w:tcPr>
            <w:tcW w:w="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57"/>
        </w:trPr>
        <w:tc>
          <w:tcPr>
            <w:tcW w:w="4600" w:type="dxa"/>
            <w:vAlign w:val="bottom"/>
            <w:gridSpan w:val="2"/>
          </w:tcPr>
          <w:p>
            <w:pPr>
              <w:spacing w:after="0"/>
              <w:rPr>
                <w:sz w:val="20"/>
                <w:szCs w:val="20"/>
                <w:color w:val="auto"/>
              </w:rPr>
            </w:pPr>
            <w:r>
              <w:rPr>
                <w:rFonts w:ascii="Arial" w:cs="Arial" w:eastAsia="Arial" w:hAnsi="Arial"/>
                <w:sz w:val="14"/>
                <w:szCs w:val="14"/>
                <w:color w:val="auto"/>
              </w:rPr>
              <w:t>Analog Devices Limited</w:t>
            </w:r>
          </w:p>
        </w:tc>
        <w:tc>
          <w:tcPr>
            <w:tcW w:w="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540" w:type="dxa"/>
            <w:vAlign w:val="bottom"/>
          </w:tcPr>
          <w:p>
            <w:pPr>
              <w:spacing w:after="0"/>
              <w:rPr>
                <w:sz w:val="22"/>
                <w:szCs w:val="22"/>
                <w:color w:val="auto"/>
              </w:rPr>
            </w:pPr>
          </w:p>
        </w:tc>
      </w:tr>
      <w:tr>
        <w:trPr>
          <w:trHeight w:val="204"/>
        </w:trPr>
        <w:tc>
          <w:tcPr>
            <w:tcW w:w="120" w:type="dxa"/>
            <w:vAlign w:val="bottom"/>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3"/>
          </w:tcPr>
          <w:p>
            <w:pPr>
              <w:spacing w:after="0"/>
              <w:rPr>
                <w:sz w:val="17"/>
                <w:szCs w:val="17"/>
                <w:color w:val="auto"/>
              </w:rPr>
            </w:pPr>
          </w:p>
        </w:tc>
      </w:tr>
      <w:tr>
        <w:trPr>
          <w:trHeight w:val="194"/>
        </w:trPr>
        <w:tc>
          <w:tcPr>
            <w:tcW w:w="12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15 Pressing Lane, Blyth Road, Hayes, England, UB3 1EP</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00895439</w:t>
            </w:r>
          </w:p>
        </w:tc>
        <w:tc>
          <w:tcPr>
            <w:tcW w:w="2540" w:type="dxa"/>
            <w:vAlign w:val="bottom"/>
            <w:tcBorders>
              <w:bottom w:val="single" w:sz="8" w:color="auto"/>
              <w:right w:val="single" w:sz="8" w:color="auto"/>
            </w:tcBorders>
          </w:tcPr>
          <w:p>
            <w:pPr>
              <w:spacing w:after="0"/>
              <w:rPr>
                <w:sz w:val="17"/>
                <w:szCs w:val="17"/>
                <w:color w:val="auto"/>
              </w:rPr>
            </w:pP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6873689030216A</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120/A4055</w:t>
            </w:r>
          </w:p>
        </w:tc>
      </w:tr>
      <w:tr>
        <w:trPr>
          <w:trHeight w:val="556"/>
        </w:trPr>
        <w:tc>
          <w:tcPr>
            <w:tcW w:w="4600" w:type="dxa"/>
            <w:vAlign w:val="bottom"/>
            <w:gridSpan w:val="2"/>
          </w:tcPr>
          <w:p>
            <w:pPr>
              <w:spacing w:after="0"/>
              <w:rPr>
                <w:sz w:val="20"/>
                <w:szCs w:val="20"/>
                <w:color w:val="auto"/>
              </w:rPr>
            </w:pPr>
            <w:r>
              <w:rPr>
                <w:rFonts w:ascii="Arial" w:cs="Arial" w:eastAsia="Arial" w:hAnsi="Arial"/>
                <w:sz w:val="14"/>
                <w:szCs w:val="14"/>
                <w:color w:val="auto"/>
              </w:rPr>
              <w:t>Linear Technology (UK) Limited</w:t>
            </w: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4"/>
        </w:trPr>
        <w:tc>
          <w:tcPr>
            <w:tcW w:w="120" w:type="dxa"/>
            <w:vAlign w:val="bottom"/>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3"/>
          </w:tcPr>
          <w:p>
            <w:pPr>
              <w:spacing w:after="0"/>
              <w:rPr>
                <w:sz w:val="17"/>
                <w:szCs w:val="17"/>
                <w:color w:val="auto"/>
              </w:rPr>
            </w:pPr>
          </w:p>
        </w:tc>
      </w:tr>
      <w:tr>
        <w:trPr>
          <w:trHeight w:val="194"/>
        </w:trPr>
        <w:tc>
          <w:tcPr>
            <w:tcW w:w="12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3 The Listons, Liston Road, Marlow, Buckinghamshire, SL7 1FD</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02149602</w:t>
            </w:r>
          </w:p>
        </w:tc>
        <w:tc>
          <w:tcPr>
            <w:tcW w:w="2540" w:type="dxa"/>
            <w:vAlign w:val="bottom"/>
            <w:tcBorders>
              <w:bottom w:val="single" w:sz="8" w:color="auto"/>
              <w:right w:val="single" w:sz="8" w:color="auto"/>
            </w:tcBorders>
          </w:tcPr>
          <w:p>
            <w:pPr>
              <w:spacing w:after="0"/>
              <w:rPr>
                <w:sz w:val="17"/>
                <w:szCs w:val="17"/>
                <w:color w:val="auto"/>
              </w:rPr>
            </w:pP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120PA00148447</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120/L30589</w:t>
            </w:r>
          </w:p>
        </w:tc>
      </w:tr>
      <w:tr>
        <w:trPr>
          <w:trHeight w:val="545"/>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Maxim Integrated Products UK Limited</w:t>
            </w: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57"/>
        </w:trPr>
        <w:tc>
          <w:tcPr>
            <w:tcW w:w="120" w:type="dxa"/>
            <w:vAlign w:val="bottom"/>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4600" w:type="dxa"/>
            <w:vAlign w:val="bottom"/>
            <w:tcBorders>
              <w:bottom w:val="single" w:sz="8" w:color="auto"/>
            </w:tcBorders>
            <w:gridSpan w:val="3"/>
          </w:tcPr>
          <w:p>
            <w:pPr>
              <w:spacing w:after="0"/>
              <w:rPr>
                <w:sz w:val="13"/>
                <w:szCs w:val="13"/>
                <w:color w:val="auto"/>
              </w:rPr>
            </w:pPr>
          </w:p>
        </w:tc>
      </w:tr>
      <w:tr>
        <w:trPr>
          <w:trHeight w:val="194"/>
        </w:trPr>
        <w:tc>
          <w:tcPr>
            <w:tcW w:w="12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First Floor, Templeback, 10 Temple Back, Bristol, England, BS1 6FL</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01873931</w:t>
            </w:r>
          </w:p>
        </w:tc>
        <w:tc>
          <w:tcPr>
            <w:tcW w:w="2540" w:type="dxa"/>
            <w:vAlign w:val="bottom"/>
            <w:tcBorders>
              <w:bottom w:val="single" w:sz="8" w:color="auto"/>
              <w:right w:val="single" w:sz="8" w:color="auto"/>
            </w:tcBorders>
          </w:tcPr>
          <w:p>
            <w:pPr>
              <w:spacing w:after="0"/>
              <w:rPr>
                <w:sz w:val="17"/>
                <w:szCs w:val="17"/>
                <w:color w:val="auto"/>
              </w:rPr>
            </w:pP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56090 07213</w:t>
            </w:r>
          </w:p>
        </w:tc>
        <w:tc>
          <w:tcPr>
            <w:tcW w:w="2540" w:type="dxa"/>
            <w:vAlign w:val="bottom"/>
            <w:tcBorders>
              <w:bottom w:val="single" w:sz="8" w:color="auto"/>
              <w:right w:val="single" w:sz="8" w:color="auto"/>
            </w:tcBorders>
          </w:tcPr>
          <w:p>
            <w:pPr>
              <w:spacing w:after="0"/>
              <w:rPr>
                <w:sz w:val="17"/>
                <w:szCs w:val="17"/>
                <w:color w:val="auto"/>
              </w:rPr>
            </w:pP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577/RM581</w:t>
            </w:r>
          </w:p>
        </w:tc>
      </w:tr>
      <w:tr>
        <w:trPr>
          <w:trHeight w:val="556"/>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Calvatec</w:t>
            </w: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57"/>
        </w:trPr>
        <w:tc>
          <w:tcPr>
            <w:tcW w:w="120" w:type="dxa"/>
            <w:vAlign w:val="bottom"/>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4600" w:type="dxa"/>
            <w:vAlign w:val="bottom"/>
            <w:tcBorders>
              <w:bottom w:val="single" w:sz="8" w:color="auto"/>
            </w:tcBorders>
            <w:gridSpan w:val="3"/>
          </w:tcPr>
          <w:p>
            <w:pPr>
              <w:spacing w:after="0"/>
              <w:rPr>
                <w:sz w:val="13"/>
                <w:szCs w:val="13"/>
                <w:color w:val="auto"/>
              </w:rPr>
            </w:pPr>
          </w:p>
        </w:tc>
      </w:tr>
      <w:tr>
        <w:trPr>
          <w:trHeight w:val="194"/>
        </w:trPr>
        <w:tc>
          <w:tcPr>
            <w:tcW w:w="12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50 Lothian Road, Festival Square, Edinburgh, United Kingdom EH3 9WJ</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SC342295</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2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4889926696</w:t>
            </w:r>
          </w:p>
        </w:tc>
        <w:tc>
          <w:tcPr>
            <w:tcW w:w="2540" w:type="dxa"/>
            <w:vAlign w:val="bottom"/>
            <w:tcBorders>
              <w:bottom w:val="single" w:sz="8" w:color="auto"/>
              <w:right w:val="single" w:sz="8" w:color="auto"/>
            </w:tcBorders>
          </w:tcPr>
          <w:p>
            <w:pPr>
              <w:spacing w:after="0"/>
              <w:rPr>
                <w:sz w:val="17"/>
                <w:szCs w:val="17"/>
                <w:color w:val="auto"/>
              </w:rPr>
            </w:pP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color w:val="auto"/>
              </w:rPr>
              <w:t>961/VA27993</w:t>
            </w:r>
          </w:p>
        </w:tc>
      </w:tr>
    </w:tbl>
    <w:p>
      <w:pPr>
        <w:spacing w:after="0" w:line="200" w:lineRule="exact"/>
        <w:rPr>
          <w:sz w:val="20"/>
          <w:szCs w:val="20"/>
          <w:color w:val="auto"/>
        </w:rPr>
      </w:pPr>
    </w:p>
    <w:p>
      <w:pPr>
        <w:spacing w:after="0" w:line="25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APPENDIX D - 5</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159"/>
          </w:cols>
          <w:pgMar w:left="300" w:top="910" w:right="1440" w:bottom="1440" w:gutter="0" w:footer="0" w:header="0"/>
        </w:sectPr>
      </w:pPr>
    </w:p>
    <w:bookmarkStart w:id="149" w:name="page150"/>
    <w:bookmarkEnd w:id="149"/>
    <w:p>
      <w:pPr>
        <w:jc w:val="center"/>
        <w:ind w:right="-11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28395" cy="35623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71">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56235"/>
                    </a:xfrm>
                    <a:prstGeom prst="rect">
                      <a:avLst/>
                    </a:prstGeom>
                    <a:noFill/>
                  </pic:spPr>
                </pic:pic>
              </a:graphicData>
            </a:graphic>
          </wp:anchor>
        </w:drawing>
        <w:t>APPENDIX D</w:t>
      </w:r>
    </w:p>
    <w:p>
      <w:pPr>
        <w:spacing w:after="0" w:line="96"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ANALOG DEVICES, INC.</w:t>
      </w:r>
    </w:p>
    <w:p>
      <w:pPr>
        <w:spacing w:after="0" w:line="96"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96"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Phyworks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 w:type="dxa"/>
            <w:vAlign w:val="bottom"/>
            <w:tcBorders>
              <w:right w:val="single" w:sz="8" w:color="auto"/>
            </w:tcBorders>
          </w:tcPr>
          <w:p>
            <w:pPr>
              <w:spacing w:after="0"/>
              <w:rPr>
                <w:sz w:val="18"/>
                <w:szCs w:val="18"/>
                <w:color w:val="auto"/>
              </w:rPr>
            </w:pPr>
          </w:p>
        </w:tc>
        <w:tc>
          <w:tcPr>
            <w:tcW w:w="4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First Floor, Templeback, 10 Temple Back, Bristol, England, BS1 6FL</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04075331</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1086827375</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w:t>
            </w:r>
          </w:p>
        </w:tc>
      </w:tr>
      <w:tr>
        <w:trPr>
          <w:trHeight w:val="556"/>
        </w:trPr>
        <w:tc>
          <w:tcPr>
            <w:tcW w:w="4580" w:type="dxa"/>
            <w:vAlign w:val="bottom"/>
            <w:gridSpan w:val="2"/>
          </w:tcPr>
          <w:p>
            <w:pPr>
              <w:spacing w:after="0"/>
              <w:rPr>
                <w:sz w:val="20"/>
                <w:szCs w:val="20"/>
                <w:color w:val="auto"/>
              </w:rPr>
            </w:pPr>
            <w:r>
              <w:rPr>
                <w:rFonts w:ascii="Arial" w:cs="Arial" w:eastAsia="Arial" w:hAnsi="Arial"/>
                <w:sz w:val="14"/>
                <w:szCs w:val="14"/>
                <w:color w:val="auto"/>
              </w:rPr>
              <w:t>Maxim Integrated Products International Sales Limited UK Establishment</w:t>
            </w:r>
          </w:p>
        </w:tc>
        <w:tc>
          <w:tcPr>
            <w:tcW w:w="4600" w:type="dxa"/>
            <w:vAlign w:val="bottom"/>
          </w:tcPr>
          <w:p>
            <w:pPr>
              <w:spacing w:after="0"/>
              <w:rPr>
                <w:sz w:val="24"/>
                <w:szCs w:val="24"/>
                <w:color w:val="auto"/>
              </w:rPr>
            </w:pPr>
          </w:p>
        </w:tc>
      </w:tr>
      <w:tr>
        <w:trPr>
          <w:trHeight w:val="157"/>
        </w:trPr>
        <w:tc>
          <w:tcPr>
            <w:tcW w:w="100" w:type="dxa"/>
            <w:vAlign w:val="bottom"/>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4600" w:type="dxa"/>
            <w:vAlign w:val="bottom"/>
            <w:tcBorders>
              <w:bottom w:val="single" w:sz="8" w:color="auto"/>
            </w:tcBorders>
          </w:tcPr>
          <w:p>
            <w:pPr>
              <w:spacing w:after="0"/>
              <w:rPr>
                <w:sz w:val="13"/>
                <w:szCs w:val="13"/>
                <w:color w:val="auto"/>
              </w:rPr>
            </w:pPr>
          </w:p>
        </w:tc>
      </w:tr>
      <w:tr>
        <w:trPr>
          <w:trHeight w:val="194"/>
        </w:trPr>
        <w:tc>
          <w:tcPr>
            <w:tcW w:w="10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612 Reading Road, Wokingham, Winnersh, RG41 5HE</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BR014351</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27787 13294</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APPENDIX D - 6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VERSION 6/21</w:t>
      </w:r>
    </w:p>
    <w:p>
      <w:pPr>
        <w:sectPr>
          <w:pgSz w:w="11900" w:h="16838" w:orient="portrait"/>
          <w:cols w:equalWidth="0" w:num="1">
            <w:col w:w="10139"/>
          </w:cols>
          <w:pgMar w:left="320" w:top="910"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43635" cy="35623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72">
                      <a:clrChange>
                        <a:clrFrom>
                          <a:srgbClr val="FFFFFF"/>
                        </a:clrFrom>
                        <a:clrTo>
                          <a:srgbClr val="FFFFFF">
                            <a:alpha val="0"/>
                          </a:srgbClr>
                        </a:clrTo>
                      </a:clrChange>
                      <a:extLst>
                        <a:ext uri="{28A0092B-C50C-407E-A947-70E740481C1C}"/>
                      </a:extLst>
                    </a:blip>
                    <a:srcRect/>
                    <a:stretch>
                      <a:fillRect/>
                    </a:stretch>
                  </pic:blipFill>
                  <pic:spPr bwMode="auto">
                    <a:xfrm>
                      <a:off x="0" y="0"/>
                      <a:ext cx="1143635" cy="356235"/>
                    </a:xfrm>
                    <a:prstGeom prst="rect">
                      <a:avLst/>
                    </a:prstGeom>
                    <a:noFill/>
                  </pic:spPr>
                </pic:pic>
              </a:graphicData>
            </a:graphic>
          </wp:anchor>
        </w:drawing>
        <w:t>Exhibit 10.38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66"/>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ind w:left="3706"/>
        <w:spacing w:after="0"/>
        <w:rPr>
          <w:sz w:val="20"/>
          <w:szCs w:val="20"/>
          <w:color w:val="auto"/>
        </w:rPr>
      </w:pPr>
      <w:r>
        <w:rPr>
          <w:rFonts w:ascii="Arial" w:cs="Arial" w:eastAsia="Arial" w:hAnsi="Arial"/>
          <w:sz w:val="14"/>
          <w:szCs w:val="14"/>
          <w:b w:val="1"/>
          <w:bCs w:val="1"/>
          <w:color w:val="auto"/>
        </w:rPr>
        <w:t>GLOBAL NON-QUALIFIED STOCK OPTION AGREEMENT</w:t>
      </w:r>
    </w:p>
    <w:p>
      <w:pPr>
        <w:spacing w:after="0" w:line="197"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Private &amp; Confidential (Addressee Only)</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4"/>
          <w:szCs w:val="14"/>
          <w:color w:val="auto"/>
          <w:highlight w:val="yellow"/>
        </w:rPr>
        <w:t>Participant Name</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4"/>
          <w:szCs w:val="14"/>
          <w:color w:val="auto"/>
          <w:highlight w:val="yellow"/>
        </w:rPr>
        <w:t>Employee ID</w:t>
      </w:r>
    </w:p>
    <w:p>
      <w:pPr>
        <w:spacing w:after="0" w:line="3" w:lineRule="exact"/>
        <w:rPr>
          <w:sz w:val="20"/>
          <w:szCs w:val="20"/>
          <w:color w:val="auto"/>
        </w:rPr>
      </w:pPr>
    </w:p>
    <w:p>
      <w:pPr>
        <w:ind w:left="6"/>
        <w:spacing w:after="0"/>
        <w:rPr>
          <w:sz w:val="20"/>
          <w:szCs w:val="20"/>
          <w:color w:val="auto"/>
        </w:rPr>
      </w:pPr>
      <w:r>
        <w:rPr>
          <w:rFonts w:ascii="Arial" w:cs="Arial" w:eastAsia="Arial" w:hAnsi="Arial"/>
          <w:sz w:val="14"/>
          <w:szCs w:val="14"/>
          <w:color w:val="auto"/>
        </w:rPr>
        <w:t xml:space="preserve">Grant ID: </w:t>
      </w:r>
      <w:r>
        <w:rPr>
          <w:rFonts w:ascii="Arial" w:cs="Arial" w:eastAsia="Arial" w:hAnsi="Arial"/>
          <w:sz w:val="14"/>
          <w:szCs w:val="14"/>
          <w:color w:val="auto"/>
          <w:highlight w:val="yellow"/>
        </w:rPr>
        <w:t>Client Grant ID</w:t>
      </w:r>
    </w:p>
    <w:p>
      <w:pPr>
        <w:spacing w:after="0" w:line="131" w:lineRule="exact"/>
        <w:rPr>
          <w:sz w:val="20"/>
          <w:szCs w:val="20"/>
          <w:color w:val="auto"/>
        </w:rPr>
      </w:pPr>
    </w:p>
    <w:p>
      <w:pPr>
        <w:jc w:val="both"/>
        <w:ind w:left="6"/>
        <w:spacing w:after="0" w:line="250" w:lineRule="auto"/>
        <w:rPr>
          <w:sz w:val="20"/>
          <w:szCs w:val="20"/>
          <w:color w:val="auto"/>
        </w:rPr>
      </w:pPr>
      <w:r>
        <w:rPr>
          <w:rFonts w:ascii="Arial" w:cs="Arial" w:eastAsia="Arial" w:hAnsi="Arial"/>
          <w:sz w:val="14"/>
          <w:szCs w:val="14"/>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Amended and Restated 1996 Stock Incentive Plan (the “Plan”), and this Global Non-Qualified Stock Option Agreement, including Appendix A, which includes any applicable country-specific provisions. This Global Non-Qualified Stock Option Agreement, together with Appendix A, is referred to as the “Agreement.” The grant of this Option reflects the Company’s confidence in the Optionee’s commitment and contributions to the success and continued growth of the Company.</w:t>
      </w:r>
    </w:p>
    <w:p>
      <w:pPr>
        <w:spacing w:after="0" w:line="120" w:lineRule="exact"/>
        <w:rPr>
          <w:sz w:val="20"/>
          <w:szCs w:val="20"/>
          <w:color w:val="auto"/>
        </w:rPr>
      </w:pPr>
    </w:p>
    <w:p>
      <w:pPr>
        <w:ind w:left="6"/>
        <w:spacing w:after="0"/>
        <w:rPr>
          <w:sz w:val="20"/>
          <w:szCs w:val="20"/>
          <w:color w:val="auto"/>
        </w:rPr>
      </w:pPr>
      <w:r>
        <w:rPr>
          <w:rFonts w:ascii="Arial" w:cs="Arial" w:eastAsia="Arial" w:hAnsi="Arial"/>
          <w:sz w:val="14"/>
          <w:szCs w:val="14"/>
          <w:color w:val="auto"/>
        </w:rPr>
        <w:t>All terms not defined herein shall have the meanings assigned to such terms in the Plan.</w:t>
      </w:r>
    </w:p>
    <w:p>
      <w:pPr>
        <w:spacing w:after="0" w:line="143" w:lineRule="exact"/>
        <w:rPr>
          <w:sz w:val="20"/>
          <w:szCs w:val="20"/>
          <w:color w:val="auto"/>
        </w:rPr>
      </w:pPr>
    </w:p>
    <w:p>
      <w:pPr>
        <w:ind w:left="286" w:hanging="286"/>
        <w:spacing w:after="0" w:line="270" w:lineRule="auto"/>
        <w:tabs>
          <w:tab w:leader="none" w:pos="286" w:val="left"/>
        </w:tabs>
        <w:numPr>
          <w:ilvl w:val="0"/>
          <w:numId w:val="140"/>
        </w:numPr>
        <w:rPr>
          <w:rFonts w:ascii="Arial" w:cs="Arial" w:eastAsia="Arial" w:hAnsi="Arial"/>
          <w:sz w:val="14"/>
          <w:szCs w:val="14"/>
          <w:color w:val="auto"/>
        </w:rPr>
      </w:pPr>
      <w:r>
        <w:rPr>
          <w:rFonts w:ascii="Arial" w:cs="Arial" w:eastAsia="Arial" w:hAnsi="Arial"/>
          <w:sz w:val="14"/>
          <w:szCs w:val="14"/>
          <w:u w:val="single" w:color="auto"/>
          <w:color w:val="auto"/>
        </w:rPr>
        <w:t>Grant of Option</w:t>
      </w:r>
      <w:r>
        <w:rPr>
          <w:rFonts w:ascii="Arial" w:cs="Arial" w:eastAsia="Arial" w:hAnsi="Arial"/>
          <w:sz w:val="14"/>
          <w:szCs w:val="14"/>
          <w:color w:val="auto"/>
        </w:rPr>
        <w:t>. Subject to the terms and conditions of the Plan and this Agreement, the Company has granted to the Optionee an Option to purchase that number of shares of Common Stock (the “Option Shares”) effective on the Date of Grant set forth below:</w:t>
      </w:r>
    </w:p>
    <w:p>
      <w:pPr>
        <w:spacing w:after="0" w:line="102" w:lineRule="exact"/>
        <w:rPr>
          <w:sz w:val="20"/>
          <w:szCs w:val="20"/>
          <w:color w:val="auto"/>
        </w:rPr>
      </w:pPr>
    </w:p>
    <w:p>
      <w:pPr>
        <w:ind w:left="1126"/>
        <w:spacing w:after="0"/>
        <w:tabs>
          <w:tab w:leader="none" w:pos="2126" w:val="left"/>
        </w:tabs>
        <w:rPr>
          <w:sz w:val="20"/>
          <w:szCs w:val="20"/>
          <w:color w:val="auto"/>
        </w:rPr>
      </w:pPr>
      <w:r>
        <w:rPr>
          <w:rFonts w:ascii="Arial" w:cs="Arial" w:eastAsia="Arial" w:hAnsi="Arial"/>
          <w:sz w:val="14"/>
          <w:szCs w:val="14"/>
          <w:b w:val="1"/>
          <w:bCs w:val="1"/>
          <w:color w:val="0000CC"/>
        </w:rPr>
        <w:t>Date of Grant:</w:t>
      </w:r>
      <w:r>
        <w:rPr>
          <w:sz w:val="20"/>
          <w:szCs w:val="20"/>
          <w:color w:val="auto"/>
        </w:rPr>
        <w:tab/>
      </w:r>
      <w:r>
        <w:rPr>
          <w:rFonts w:ascii="Arial" w:cs="Arial" w:eastAsia="Arial" w:hAnsi="Arial"/>
          <w:sz w:val="13"/>
          <w:szCs w:val="13"/>
          <w:b w:val="1"/>
          <w:bCs w:val="1"/>
          <w:color w:val="0000CC"/>
          <w:highlight w:val="yellow"/>
        </w:rPr>
        <w:t>Grant Date</w:t>
      </w:r>
    </w:p>
    <w:p>
      <w:pPr>
        <w:spacing w:after="0" w:line="19" w:lineRule="exact"/>
        <w:rPr>
          <w:sz w:val="20"/>
          <w:szCs w:val="20"/>
          <w:color w:val="auto"/>
        </w:rPr>
      </w:pPr>
    </w:p>
    <w:p>
      <w:pPr>
        <w:ind w:left="1126"/>
        <w:spacing w:after="0"/>
        <w:tabs>
          <w:tab w:leader="none" w:pos="3366" w:val="left"/>
        </w:tabs>
        <w:rPr>
          <w:sz w:val="20"/>
          <w:szCs w:val="20"/>
          <w:color w:val="auto"/>
        </w:rPr>
      </w:pPr>
      <w:r>
        <w:rPr>
          <w:rFonts w:ascii="Arial" w:cs="Arial" w:eastAsia="Arial" w:hAnsi="Arial"/>
          <w:sz w:val="14"/>
          <w:szCs w:val="14"/>
          <w:b w:val="1"/>
          <w:bCs w:val="1"/>
          <w:color w:val="0000CC"/>
        </w:rPr>
        <w:t>Number of Option Shares Granted:</w:t>
      </w:r>
      <w:r>
        <w:rPr>
          <w:sz w:val="20"/>
          <w:szCs w:val="20"/>
          <w:color w:val="auto"/>
        </w:rPr>
        <w:tab/>
      </w:r>
      <w:r>
        <w:rPr>
          <w:rFonts w:ascii="Arial" w:cs="Arial" w:eastAsia="Arial" w:hAnsi="Arial"/>
          <w:sz w:val="13"/>
          <w:szCs w:val="13"/>
          <w:b w:val="1"/>
          <w:bCs w:val="1"/>
          <w:color w:val="0000CC"/>
          <w:highlight w:val="yellow"/>
        </w:rPr>
        <w:t>Number of Awards Granted</w:t>
      </w:r>
    </w:p>
    <w:p>
      <w:pPr>
        <w:spacing w:after="0" w:line="3" w:lineRule="exact"/>
        <w:rPr>
          <w:sz w:val="20"/>
          <w:szCs w:val="20"/>
          <w:color w:val="auto"/>
        </w:rPr>
      </w:pPr>
    </w:p>
    <w:p>
      <w:pPr>
        <w:ind w:left="1126"/>
        <w:spacing w:after="0"/>
        <w:tabs>
          <w:tab w:leader="none" w:pos="3226" w:val="left"/>
        </w:tabs>
        <w:rPr>
          <w:sz w:val="20"/>
          <w:szCs w:val="20"/>
          <w:color w:val="auto"/>
        </w:rPr>
      </w:pPr>
      <w:r>
        <w:rPr>
          <w:rFonts w:ascii="Arial" w:cs="Arial" w:eastAsia="Arial" w:hAnsi="Arial"/>
          <w:sz w:val="14"/>
          <w:szCs w:val="14"/>
          <w:b w:val="1"/>
          <w:bCs w:val="1"/>
          <w:color w:val="0000CC"/>
        </w:rPr>
        <w:t>Option Exercise Price Per Share:</w:t>
      </w:r>
      <w:r>
        <w:rPr>
          <w:sz w:val="20"/>
          <w:szCs w:val="20"/>
          <w:color w:val="auto"/>
        </w:rPr>
        <w:tab/>
      </w:r>
      <w:r>
        <w:rPr>
          <w:rFonts w:ascii="Arial" w:cs="Arial" w:eastAsia="Arial" w:hAnsi="Arial"/>
          <w:sz w:val="13"/>
          <w:szCs w:val="13"/>
          <w:b w:val="1"/>
          <w:bCs w:val="1"/>
          <w:color w:val="0000CC"/>
          <w:highlight w:val="yellow"/>
        </w:rPr>
        <w:t>Grant Price</w:t>
      </w:r>
    </w:p>
    <w:p>
      <w:pPr>
        <w:spacing w:after="0" w:line="131" w:lineRule="exact"/>
        <w:rPr>
          <w:sz w:val="20"/>
          <w:szCs w:val="20"/>
          <w:color w:val="auto"/>
        </w:rPr>
      </w:pPr>
    </w:p>
    <w:p>
      <w:pPr>
        <w:ind w:left="286" w:hanging="286"/>
        <w:spacing w:after="0" w:line="270" w:lineRule="auto"/>
        <w:tabs>
          <w:tab w:leader="none" w:pos="286"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Vesting and Exercise of Option</w:t>
      </w:r>
      <w:r>
        <w:rPr>
          <w:rFonts w:ascii="Arial" w:cs="Arial" w:eastAsia="Arial" w:hAnsi="Arial"/>
          <w:sz w:val="14"/>
          <w:szCs w:val="14"/>
          <w:color w:val="auto"/>
        </w:rPr>
        <w:t xml:space="preserve">. Subject to the Optionee’s continued employment with the Company or the Employer (as defined in 7 below) and other limitations set forth in this Agreement and the Plan, the Option will vest as to a set number of shares on each of the scheduled vesting dates. </w:t>
      </w:r>
      <w:r>
        <w:rPr>
          <w:rFonts w:ascii="Arial" w:cs="Arial" w:eastAsia="Arial" w:hAnsi="Arial"/>
          <w:sz w:val="14"/>
          <w:szCs w:val="14"/>
          <w:color w:val="auto"/>
          <w:highlight w:val="yellow"/>
        </w:rPr>
        <w:t>Vesting Schedule.</w:t>
      </w:r>
    </w:p>
    <w:p>
      <w:pPr>
        <w:spacing w:after="0" w:line="106" w:lineRule="exact"/>
        <w:rPr>
          <w:sz w:val="20"/>
          <w:szCs w:val="20"/>
          <w:color w:val="auto"/>
        </w:rPr>
      </w:pPr>
    </w:p>
    <w:p>
      <w:pPr>
        <w:ind w:left="6" w:right="20"/>
        <w:spacing w:after="0" w:line="270" w:lineRule="auto"/>
        <w:rPr>
          <w:sz w:val="20"/>
          <w:szCs w:val="20"/>
          <w:color w:val="auto"/>
        </w:rPr>
      </w:pPr>
      <w:r>
        <w:rPr>
          <w:rFonts w:ascii="Arial" w:cs="Arial" w:eastAsia="Arial" w:hAnsi="Arial"/>
          <w:sz w:val="14"/>
          <w:szCs w:val="14"/>
          <w:color w:val="auto"/>
        </w:rPr>
        <w:t xml:space="preserve">The right of exercise is cumulative, so that an Option, once vested, may be exercised, in whole or in part, at any time up to </w:t>
      </w:r>
      <w:r>
        <w:rPr>
          <w:rFonts w:ascii="Arial" w:cs="Arial" w:eastAsia="Arial" w:hAnsi="Arial"/>
          <w:sz w:val="14"/>
          <w:szCs w:val="14"/>
          <w:color w:val="auto"/>
          <w:highlight w:val="yellow"/>
        </w:rPr>
        <w:t>Expiration Date</w:t>
      </w:r>
      <w:r>
        <w:rPr>
          <w:rFonts w:ascii="Arial" w:cs="Arial" w:eastAsia="Arial" w:hAnsi="Arial"/>
          <w:sz w:val="14"/>
          <w:szCs w:val="14"/>
          <w:color w:val="auto"/>
        </w:rPr>
        <w:t>, the expiration date, or such earlier date as provided in Section 3 below or in the country-specific provisions in Appendix A.</w:t>
      </w:r>
    </w:p>
    <w:p>
      <w:pPr>
        <w:spacing w:after="0" w:line="106" w:lineRule="exact"/>
        <w:rPr>
          <w:sz w:val="20"/>
          <w:szCs w:val="20"/>
          <w:color w:val="auto"/>
        </w:rPr>
      </w:pPr>
    </w:p>
    <w:p>
      <w:pPr>
        <w:ind w:left="286" w:hanging="286"/>
        <w:spacing w:after="0"/>
        <w:tabs>
          <w:tab w:leader="none" w:pos="286" w:val="left"/>
        </w:tabs>
        <w:numPr>
          <w:ilvl w:val="0"/>
          <w:numId w:val="142"/>
        </w:numPr>
        <w:rPr>
          <w:rFonts w:ascii="Arial" w:cs="Arial" w:eastAsia="Arial" w:hAnsi="Arial"/>
          <w:sz w:val="14"/>
          <w:szCs w:val="14"/>
          <w:color w:val="auto"/>
        </w:rPr>
      </w:pPr>
      <w:r>
        <w:rPr>
          <w:rFonts w:ascii="Arial" w:cs="Arial" w:eastAsia="Arial" w:hAnsi="Arial"/>
          <w:sz w:val="14"/>
          <w:szCs w:val="14"/>
          <w:u w:val="single" w:color="auto"/>
          <w:color w:val="auto"/>
        </w:rPr>
        <w:t>Term of Option; Termination of Employment</w:t>
      </w:r>
      <w:r>
        <w:rPr>
          <w:rFonts w:ascii="Arial" w:cs="Arial" w:eastAsia="Arial" w:hAnsi="Arial"/>
          <w:sz w:val="14"/>
          <w:szCs w:val="14"/>
          <w:color w:val="auto"/>
        </w:rPr>
        <w:t>.</w:t>
      </w:r>
    </w:p>
    <w:p>
      <w:pPr>
        <w:spacing w:after="0" w:line="143" w:lineRule="exact"/>
        <w:rPr>
          <w:rFonts w:ascii="Arial" w:cs="Arial" w:eastAsia="Arial" w:hAnsi="Arial"/>
          <w:sz w:val="14"/>
          <w:szCs w:val="14"/>
          <w:color w:val="auto"/>
        </w:rPr>
      </w:pPr>
    </w:p>
    <w:p>
      <w:pPr>
        <w:ind w:left="546" w:hanging="266"/>
        <w:spacing w:after="0"/>
        <w:tabs>
          <w:tab w:leader="none" w:pos="546" w:val="left"/>
        </w:tabs>
        <w:numPr>
          <w:ilvl w:val="1"/>
          <w:numId w:val="142"/>
        </w:numPr>
        <w:rPr>
          <w:rFonts w:ascii="Arial" w:cs="Arial" w:eastAsia="Arial" w:hAnsi="Arial"/>
          <w:sz w:val="14"/>
          <w:szCs w:val="14"/>
          <w:color w:val="auto"/>
        </w:rPr>
      </w:pPr>
      <w:r>
        <w:rPr>
          <w:rFonts w:ascii="Arial" w:cs="Arial" w:eastAsia="Arial" w:hAnsi="Arial"/>
          <w:sz w:val="14"/>
          <w:szCs w:val="14"/>
          <w:color w:val="auto"/>
        </w:rPr>
        <w:t>The term of the Option is ten (10) years after the Date of Grant, subject, however, to the early termination provisions set forth herein.</w:t>
      </w:r>
    </w:p>
    <w:p>
      <w:pPr>
        <w:spacing w:after="0" w:line="143" w:lineRule="exact"/>
        <w:rPr>
          <w:rFonts w:ascii="Arial" w:cs="Arial" w:eastAsia="Arial" w:hAnsi="Arial"/>
          <w:sz w:val="14"/>
          <w:szCs w:val="14"/>
          <w:color w:val="auto"/>
        </w:rPr>
      </w:pPr>
    </w:p>
    <w:p>
      <w:pPr>
        <w:ind w:left="566" w:hanging="286"/>
        <w:spacing w:after="0" w:line="270" w:lineRule="auto"/>
        <w:tabs>
          <w:tab w:leader="none" w:pos="566" w:val="left"/>
        </w:tabs>
        <w:numPr>
          <w:ilvl w:val="1"/>
          <w:numId w:val="142"/>
        </w:numPr>
        <w:rPr>
          <w:rFonts w:ascii="Arial" w:cs="Arial" w:eastAsia="Arial" w:hAnsi="Arial"/>
          <w:sz w:val="14"/>
          <w:szCs w:val="14"/>
          <w:color w:val="auto"/>
        </w:rPr>
      </w:pPr>
      <w:r>
        <w:rPr>
          <w:rFonts w:ascii="Arial" w:cs="Arial" w:eastAsia="Arial" w:hAnsi="Arial"/>
          <w:sz w:val="14"/>
          <w:szCs w:val="14"/>
          <w:color w:val="auto"/>
        </w:rPr>
        <w:t>Except as otherwise provided herein, the Option shall be exercisable by the Optionee (or his or her successor in interest) following the termination of the Optionee’s employment only to the extent that the Option was vested on or prior to the date of such termination.</w:t>
      </w:r>
    </w:p>
    <w:p>
      <w:pPr>
        <w:spacing w:after="0" w:line="105" w:lineRule="exact"/>
        <w:rPr>
          <w:rFonts w:ascii="Arial" w:cs="Arial" w:eastAsia="Arial" w:hAnsi="Arial"/>
          <w:sz w:val="14"/>
          <w:szCs w:val="14"/>
          <w:color w:val="auto"/>
        </w:rPr>
      </w:pPr>
    </w:p>
    <w:p>
      <w:pPr>
        <w:jc w:val="both"/>
        <w:ind w:left="566" w:hanging="286"/>
        <w:spacing w:after="0" w:line="286" w:lineRule="auto"/>
        <w:tabs>
          <w:tab w:leader="none" w:pos="558" w:val="left"/>
        </w:tabs>
        <w:numPr>
          <w:ilvl w:val="1"/>
          <w:numId w:val="142"/>
        </w:numPr>
        <w:rPr>
          <w:rFonts w:ascii="Arial" w:cs="Arial" w:eastAsia="Arial" w:hAnsi="Arial"/>
          <w:sz w:val="13"/>
          <w:szCs w:val="13"/>
          <w:color w:val="auto"/>
        </w:rPr>
      </w:pPr>
      <w:r>
        <w:rPr>
          <w:rFonts w:ascii="Arial" w:cs="Arial" w:eastAsia="Arial" w:hAnsi="Arial"/>
          <w:sz w:val="13"/>
          <w:szCs w:val="13"/>
          <w:color w:val="auto"/>
        </w:rPr>
        <w:t xml:space="preserve">The vesting of the Option shall terminate on the date the Optionee </w:t>
      </w:r>
      <w:r>
        <w:rPr>
          <w:rFonts w:ascii="Arial" w:cs="Arial" w:eastAsia="Arial" w:hAnsi="Arial"/>
          <w:sz w:val="13"/>
          <w:szCs w:val="13"/>
          <w:u w:val="single" w:color="auto"/>
          <w:color w:val="auto"/>
        </w:rPr>
        <w:t>voluntarily terminates</w:t>
      </w:r>
      <w:r>
        <w:rPr>
          <w:rFonts w:ascii="Arial" w:cs="Arial" w:eastAsia="Arial" w:hAnsi="Arial"/>
          <w:sz w:val="13"/>
          <w:szCs w:val="13"/>
          <w:color w:val="auto"/>
        </w:rPr>
        <w:t xml:space="preserve"> employment with the Company or the Employer (as defined in Section 7) (except by reason of retirement after attaining age 60 as provided below) or on the date his or her employment is terminated by the Company or the Employer without “Cause” (as defined in paragraph (d)), but any Option that is vested on the date of such termination shall continue to be exercisable for a period of three (3) months following such termination date.</w:t>
      </w:r>
    </w:p>
    <w:p>
      <w:pPr>
        <w:spacing w:after="0" w:line="97" w:lineRule="exact"/>
        <w:rPr>
          <w:rFonts w:ascii="Arial" w:cs="Arial" w:eastAsia="Arial" w:hAnsi="Arial"/>
          <w:sz w:val="13"/>
          <w:szCs w:val="13"/>
          <w:color w:val="auto"/>
        </w:rPr>
      </w:pPr>
    </w:p>
    <w:p>
      <w:pPr>
        <w:jc w:val="both"/>
        <w:ind w:left="566" w:hanging="286"/>
        <w:spacing w:after="0" w:line="257" w:lineRule="auto"/>
        <w:tabs>
          <w:tab w:leader="none" w:pos="566" w:val="left"/>
        </w:tabs>
        <w:numPr>
          <w:ilvl w:val="1"/>
          <w:numId w:val="142"/>
        </w:numPr>
        <w:rPr>
          <w:rFonts w:ascii="Arial" w:cs="Arial" w:eastAsia="Arial" w:hAnsi="Arial"/>
          <w:sz w:val="14"/>
          <w:szCs w:val="14"/>
          <w:color w:val="auto"/>
        </w:rPr>
      </w:pPr>
      <w:r>
        <w:rPr>
          <w:rFonts w:ascii="Arial" w:cs="Arial" w:eastAsia="Arial" w:hAnsi="Arial"/>
          <w:sz w:val="14"/>
          <w:szCs w:val="14"/>
          <w:color w:val="auto"/>
        </w:rPr>
        <w:t xml:space="preserve">The Option shall terminate on the date the Optionee’s employment with the Company or the Employer is terminated by the Company or one of its Subsidiaries </w:t>
      </w:r>
      <w:r>
        <w:rPr>
          <w:rFonts w:ascii="Arial" w:cs="Arial" w:eastAsia="Arial" w:hAnsi="Arial"/>
          <w:sz w:val="14"/>
          <w:szCs w:val="14"/>
          <w:u w:val="single" w:color="auto"/>
          <w:color w:val="auto"/>
        </w:rPr>
        <w:t>for “Cause</w:t>
      </w:r>
      <w:r>
        <w:rPr>
          <w:rFonts w:ascii="Arial" w:cs="Arial" w:eastAsia="Arial" w:hAnsi="Arial"/>
          <w:sz w:val="14"/>
          <w:szCs w:val="14"/>
          <w:color w:val="auto"/>
        </w:rPr>
        <w:t>”, and all Option Shares that are then vested shall forthwith cease to be exercisable. “Cause” for this purpose means unsatisfactory job performance (as determined by the Company), willful misconduct, fraud, gross negligence, disobedience or dishonesty, or as otherwise determined under applicable law.</w:t>
      </w:r>
    </w:p>
    <w:p>
      <w:pPr>
        <w:spacing w:after="0" w:line="114" w:lineRule="exact"/>
        <w:rPr>
          <w:rFonts w:ascii="Arial" w:cs="Arial" w:eastAsia="Arial" w:hAnsi="Arial"/>
          <w:sz w:val="14"/>
          <w:szCs w:val="14"/>
          <w:color w:val="auto"/>
        </w:rPr>
      </w:pPr>
    </w:p>
    <w:p>
      <w:pPr>
        <w:ind w:left="566" w:hanging="286"/>
        <w:spacing w:after="0" w:line="270" w:lineRule="auto"/>
        <w:tabs>
          <w:tab w:leader="none" w:pos="558" w:val="left"/>
        </w:tabs>
        <w:numPr>
          <w:ilvl w:val="1"/>
          <w:numId w:val="142"/>
        </w:numPr>
        <w:rPr>
          <w:rFonts w:ascii="Arial" w:cs="Arial" w:eastAsia="Arial" w:hAnsi="Arial"/>
          <w:sz w:val="14"/>
          <w:szCs w:val="14"/>
          <w:color w:val="auto"/>
        </w:rPr>
      </w:pPr>
      <w:r>
        <w:rPr>
          <w:rFonts w:ascii="Arial" w:cs="Arial" w:eastAsia="Arial" w:hAnsi="Arial"/>
          <w:sz w:val="14"/>
          <w:szCs w:val="14"/>
          <w:color w:val="auto"/>
        </w:rPr>
        <w:t xml:space="preserve">Upon the </w:t>
      </w:r>
      <w:r>
        <w:rPr>
          <w:rFonts w:ascii="Arial" w:cs="Arial" w:eastAsia="Arial" w:hAnsi="Arial"/>
          <w:sz w:val="14"/>
          <w:szCs w:val="14"/>
          <w:u w:val="single" w:color="auto"/>
          <w:color w:val="auto"/>
        </w:rPr>
        <w:t>death</w:t>
      </w:r>
      <w:r>
        <w:rPr>
          <w:rFonts w:ascii="Arial" w:cs="Arial" w:eastAsia="Arial" w:hAnsi="Arial"/>
          <w:sz w:val="14"/>
          <w:szCs w:val="14"/>
          <w:color w:val="auto"/>
        </w:rPr>
        <w:t xml:space="preserve"> of the Optionee while he or 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4"/>
          <w:szCs w:val="14"/>
          <w:color w:val="auto"/>
        </w:rPr>
        <w:t>VERSION 6/21</w:t>
        <w:tab/>
        <w:t>1</w:t>
      </w:r>
    </w:p>
    <w:p>
      <w:pPr>
        <w:sectPr>
          <w:pgSz w:w="11900" w:h="16838" w:orient="portrait"/>
          <w:cols w:equalWidth="0" w:num="1">
            <w:col w:w="11266"/>
          </w:cols>
          <w:pgMar w:left="314" w:top="774" w:right="319" w:bottom="1440" w:gutter="0" w:footer="0" w:header="0"/>
        </w:sectPr>
      </w:pPr>
    </w:p>
    <w:bookmarkStart w:id="151" w:name="page152"/>
    <w:bookmarkEnd w:id="15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43635" cy="35623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73">
                      <a:clrChange>
                        <a:clrFrom>
                          <a:srgbClr val="FFFFFF"/>
                        </a:clrFrom>
                        <a:clrTo>
                          <a:srgbClr val="FFFFFF">
                            <a:alpha val="0"/>
                          </a:srgbClr>
                        </a:clrTo>
                      </a:clrChange>
                      <a:extLst>
                        <a:ext uri="{28A0092B-C50C-407E-A947-70E740481C1C}"/>
                      </a:extLst>
                    </a:blip>
                    <a:srcRect/>
                    <a:stretch>
                      <a:fillRect/>
                    </a:stretch>
                  </pic:blipFill>
                  <pic:spPr bwMode="auto">
                    <a:xfrm>
                      <a:off x="0" y="0"/>
                      <a:ext cx="1143635" cy="356235"/>
                    </a:xfrm>
                    <a:prstGeom prst="rect">
                      <a:avLst/>
                    </a:prstGeom>
                    <a:noFill/>
                  </pic:spPr>
                </pic:pic>
              </a:graphicData>
            </a:graphic>
          </wp:anchor>
        </w:drawing>
      </w:r>
    </w:p>
    <w:p>
      <w:pPr>
        <w:jc w:val="both"/>
        <w:ind w:left="566" w:right="20" w:hanging="286"/>
        <w:spacing w:after="0" w:line="253" w:lineRule="auto"/>
        <w:tabs>
          <w:tab w:leader="none" w:pos="566" w:val="left"/>
        </w:tabs>
        <w:numPr>
          <w:ilvl w:val="1"/>
          <w:numId w:val="143"/>
        </w:numPr>
        <w:rPr>
          <w:rFonts w:ascii="Arial" w:cs="Arial" w:eastAsia="Arial" w:hAnsi="Arial"/>
          <w:sz w:val="14"/>
          <w:szCs w:val="14"/>
          <w:color w:val="auto"/>
        </w:rPr>
      </w:pPr>
      <w:r>
        <w:rPr>
          <w:rFonts w:ascii="Arial" w:cs="Arial" w:eastAsia="Arial" w:hAnsi="Arial"/>
          <w:sz w:val="14"/>
          <w:szCs w:val="14"/>
          <w:color w:val="auto"/>
        </w:rPr>
        <w:t>If the Optionee’s employment with the Company or the Employer terminates by reason of the retirement of the Optionee after attaining age 60, the vesting of the Option shall terminate on the date of such retirement, but any Option that is vested on the date of such retirement shall continue to be exercisable over the remaining term of the Option; provided that all then-exercisable Options held by such Optionee shall immediately cease to be exercisable in the event that such Optionee becomes an employee of any competitor of the Company or the Employer (as determined in the sole discretion of the Company).</w:t>
      </w:r>
    </w:p>
    <w:p>
      <w:pPr>
        <w:spacing w:after="0" w:line="116" w:lineRule="exact"/>
        <w:rPr>
          <w:rFonts w:ascii="Arial" w:cs="Arial" w:eastAsia="Arial" w:hAnsi="Arial"/>
          <w:sz w:val="14"/>
          <w:szCs w:val="14"/>
          <w:color w:val="auto"/>
        </w:rPr>
      </w:pPr>
    </w:p>
    <w:p>
      <w:pPr>
        <w:jc w:val="both"/>
        <w:ind w:left="566" w:hanging="286"/>
        <w:spacing w:after="0" w:line="308" w:lineRule="auto"/>
        <w:tabs>
          <w:tab w:leader="none" w:pos="566" w:val="left"/>
        </w:tabs>
        <w:numPr>
          <w:ilvl w:val="1"/>
          <w:numId w:val="143"/>
        </w:numPr>
        <w:rPr>
          <w:rFonts w:ascii="Arial" w:cs="Arial" w:eastAsia="Arial" w:hAnsi="Arial"/>
          <w:sz w:val="12"/>
          <w:szCs w:val="12"/>
          <w:color w:val="auto"/>
        </w:rPr>
      </w:pPr>
      <w:r>
        <w:rPr>
          <w:rFonts w:ascii="Arial" w:cs="Arial" w:eastAsia="Arial" w:hAnsi="Arial"/>
          <w:sz w:val="12"/>
          <w:szCs w:val="12"/>
          <w:color w:val="auto"/>
        </w:rPr>
        <w:t xml:space="preserve">If the Optionee becomes </w:t>
      </w:r>
      <w:r>
        <w:rPr>
          <w:rFonts w:ascii="Arial" w:cs="Arial" w:eastAsia="Arial" w:hAnsi="Arial"/>
          <w:sz w:val="12"/>
          <w:szCs w:val="12"/>
          <w:u w:val="single" w:color="auto"/>
          <w:color w:val="auto"/>
        </w:rPr>
        <w:t>Disabled</w:t>
      </w:r>
      <w:r>
        <w:rPr>
          <w:rFonts w:ascii="Arial" w:cs="Arial" w:eastAsia="Arial" w:hAnsi="Arial"/>
          <w:sz w:val="12"/>
          <w:szCs w:val="12"/>
          <w:color w:val="auto"/>
        </w:rPr>
        <w:t>, regardless of whether Optionee terminates employment with the Company or the Employer, the Option shall vest and become exercisable in full on the date the Optionee is determined to be Disabled and shall continue to be exercisable until the date that is ten (10) years after the Date of Grant, at which time the Option shall terminate. “Disabled” with respect to the Optionee means, when and if, as a result of disease, injury or mental disorder, the Optionee is incapable of engaging in regular service or occupation with the Company or the Employer (as defined in paragraph (h)) which has lasted or can be expected to last for a continuous period of not less than 12 months, as determined by the Company.</w:t>
      </w:r>
    </w:p>
    <w:p>
      <w:pPr>
        <w:spacing w:after="0" w:line="86" w:lineRule="exact"/>
        <w:rPr>
          <w:rFonts w:ascii="Arial" w:cs="Arial" w:eastAsia="Arial" w:hAnsi="Arial"/>
          <w:sz w:val="12"/>
          <w:szCs w:val="12"/>
          <w:color w:val="auto"/>
        </w:rPr>
      </w:pPr>
    </w:p>
    <w:p>
      <w:pPr>
        <w:jc w:val="both"/>
        <w:ind w:left="566" w:right="20" w:hanging="286"/>
        <w:spacing w:after="0" w:line="257" w:lineRule="auto"/>
        <w:tabs>
          <w:tab w:leader="none" w:pos="566" w:val="left"/>
        </w:tabs>
        <w:numPr>
          <w:ilvl w:val="1"/>
          <w:numId w:val="143"/>
        </w:numPr>
        <w:rPr>
          <w:rFonts w:ascii="Arial" w:cs="Arial" w:eastAsia="Arial" w:hAnsi="Arial"/>
          <w:sz w:val="14"/>
          <w:szCs w:val="14"/>
          <w:color w:val="auto"/>
        </w:rPr>
      </w:pPr>
      <w:r>
        <w:rPr>
          <w:rFonts w:ascii="Arial" w:cs="Arial" w:eastAsia="Arial" w:hAnsi="Arial"/>
          <w:sz w:val="14"/>
          <w:szCs w:val="14"/>
          <w:color w:val="auto"/>
        </w:rPr>
        <w:t>To be eligible for grants of Options under the Plan and this Agreement, the Optionee must be an Employee, Director, or Consultant. Should an Optionee transfer employment to become a Director or Consultant following the Date of Grant, he or she will be considered employed for vesting purposes until he or she ceases to provide services to the Company or any direct or indirect Parent or Subsidiary of the Company, or any successor to the Company or any such Parent or Subsidiary.</w:t>
      </w:r>
    </w:p>
    <w:p>
      <w:pPr>
        <w:spacing w:after="0" w:line="114" w:lineRule="exact"/>
        <w:rPr>
          <w:rFonts w:ascii="Arial" w:cs="Arial" w:eastAsia="Arial" w:hAnsi="Arial"/>
          <w:sz w:val="14"/>
          <w:szCs w:val="14"/>
          <w:color w:val="auto"/>
        </w:rPr>
      </w:pPr>
    </w:p>
    <w:p>
      <w:pPr>
        <w:jc w:val="both"/>
        <w:ind w:left="566" w:right="20" w:hanging="286"/>
        <w:spacing w:after="0" w:line="257" w:lineRule="auto"/>
        <w:tabs>
          <w:tab w:leader="none" w:pos="558" w:val="left"/>
        </w:tabs>
        <w:numPr>
          <w:ilvl w:val="1"/>
          <w:numId w:val="143"/>
        </w:numPr>
        <w:rPr>
          <w:rFonts w:ascii="Arial" w:cs="Arial" w:eastAsia="Arial" w:hAnsi="Arial"/>
          <w:sz w:val="14"/>
          <w:szCs w:val="14"/>
          <w:color w:val="auto"/>
        </w:rPr>
      </w:pPr>
      <w:r>
        <w:rPr>
          <w:rFonts w:ascii="Arial" w:cs="Arial" w:eastAsia="Arial" w:hAnsi="Arial"/>
          <w:sz w:val="14"/>
          <w:szCs w:val="14"/>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14" w:lineRule="exact"/>
        <w:rPr>
          <w:rFonts w:ascii="Arial" w:cs="Arial" w:eastAsia="Arial" w:hAnsi="Arial"/>
          <w:sz w:val="14"/>
          <w:szCs w:val="14"/>
          <w:color w:val="auto"/>
        </w:rPr>
      </w:pPr>
    </w:p>
    <w:p>
      <w:pPr>
        <w:ind w:left="286" w:hanging="286"/>
        <w:spacing w:after="0"/>
        <w:tabs>
          <w:tab w:leader="none" w:pos="286" w:val="left"/>
        </w:tabs>
        <w:numPr>
          <w:ilvl w:val="0"/>
          <w:numId w:val="144"/>
        </w:numPr>
        <w:rPr>
          <w:rFonts w:ascii="Arial" w:cs="Arial" w:eastAsia="Arial" w:hAnsi="Arial"/>
          <w:sz w:val="14"/>
          <w:szCs w:val="14"/>
          <w:color w:val="auto"/>
        </w:rPr>
      </w:pPr>
      <w:r>
        <w:rPr>
          <w:rFonts w:ascii="Arial" w:cs="Arial" w:eastAsia="Arial" w:hAnsi="Arial"/>
          <w:sz w:val="14"/>
          <w:szCs w:val="14"/>
          <w:u w:val="single" w:color="auto"/>
          <w:color w:val="auto"/>
        </w:rPr>
        <w:t>Payment of Exercise Price</w:t>
      </w:r>
      <w:r>
        <w:rPr>
          <w:rFonts w:ascii="Arial" w:cs="Arial" w:eastAsia="Arial" w:hAnsi="Arial"/>
          <w:sz w:val="14"/>
          <w:szCs w:val="14"/>
          <w:color w:val="auto"/>
        </w:rPr>
        <w:t>. The following payment methods may be used to purchase Option Shares:</w:t>
      </w:r>
    </w:p>
    <w:p>
      <w:pPr>
        <w:spacing w:after="0" w:line="143" w:lineRule="exact"/>
        <w:rPr>
          <w:rFonts w:ascii="Arial" w:cs="Arial" w:eastAsia="Arial" w:hAnsi="Arial"/>
          <w:sz w:val="14"/>
          <w:szCs w:val="14"/>
          <w:color w:val="auto"/>
        </w:rPr>
      </w:pPr>
    </w:p>
    <w:p>
      <w:pPr>
        <w:ind w:left="546" w:hanging="266"/>
        <w:spacing w:after="0"/>
        <w:tabs>
          <w:tab w:leader="none" w:pos="546" w:val="left"/>
        </w:tabs>
        <w:numPr>
          <w:ilvl w:val="1"/>
          <w:numId w:val="144"/>
        </w:numPr>
        <w:rPr>
          <w:rFonts w:ascii="Arial" w:cs="Arial" w:eastAsia="Arial" w:hAnsi="Arial"/>
          <w:sz w:val="14"/>
          <w:szCs w:val="14"/>
          <w:color w:val="auto"/>
        </w:rPr>
      </w:pPr>
      <w:r>
        <w:rPr>
          <w:rFonts w:ascii="Arial" w:cs="Arial" w:eastAsia="Arial" w:hAnsi="Arial"/>
          <w:sz w:val="14"/>
          <w:szCs w:val="14"/>
          <w:color w:val="auto"/>
        </w:rPr>
        <w:t>A cashless exercise in a manner described in Section 6(e)(ii)(D) of the Plan.</w:t>
      </w:r>
    </w:p>
    <w:p>
      <w:pPr>
        <w:spacing w:after="0" w:line="143" w:lineRule="exact"/>
        <w:rPr>
          <w:rFonts w:ascii="Arial" w:cs="Arial" w:eastAsia="Arial" w:hAnsi="Arial"/>
          <w:sz w:val="14"/>
          <w:szCs w:val="14"/>
          <w:color w:val="auto"/>
        </w:rPr>
      </w:pPr>
    </w:p>
    <w:p>
      <w:pPr>
        <w:ind w:left="566" w:hanging="286"/>
        <w:spacing w:after="0"/>
        <w:tabs>
          <w:tab w:leader="none" w:pos="566" w:val="left"/>
        </w:tabs>
        <w:numPr>
          <w:ilvl w:val="1"/>
          <w:numId w:val="144"/>
        </w:numPr>
        <w:rPr>
          <w:rFonts w:ascii="Arial" w:cs="Arial" w:eastAsia="Arial" w:hAnsi="Arial"/>
          <w:sz w:val="14"/>
          <w:szCs w:val="14"/>
          <w:color w:val="auto"/>
        </w:rPr>
      </w:pPr>
      <w:r>
        <w:rPr>
          <w:rFonts w:ascii="Arial" w:cs="Arial" w:eastAsia="Arial" w:hAnsi="Arial"/>
          <w:sz w:val="14"/>
          <w:szCs w:val="14"/>
          <w:color w:val="auto"/>
        </w:rPr>
        <w:t>Cash or check payable to the Company.</w:t>
      </w:r>
    </w:p>
    <w:p>
      <w:pPr>
        <w:spacing w:after="0" w:line="143" w:lineRule="exact"/>
        <w:rPr>
          <w:rFonts w:ascii="Arial" w:cs="Arial" w:eastAsia="Arial" w:hAnsi="Arial"/>
          <w:sz w:val="14"/>
          <w:szCs w:val="14"/>
          <w:color w:val="auto"/>
        </w:rPr>
      </w:pPr>
    </w:p>
    <w:p>
      <w:pPr>
        <w:ind w:left="546" w:hanging="266"/>
        <w:spacing w:after="0"/>
        <w:tabs>
          <w:tab w:leader="none" w:pos="546" w:val="left"/>
        </w:tabs>
        <w:numPr>
          <w:ilvl w:val="1"/>
          <w:numId w:val="144"/>
        </w:numPr>
        <w:rPr>
          <w:rFonts w:ascii="Arial" w:cs="Arial" w:eastAsia="Arial" w:hAnsi="Arial"/>
          <w:sz w:val="14"/>
          <w:szCs w:val="14"/>
          <w:color w:val="auto"/>
        </w:rPr>
      </w:pPr>
      <w:r>
        <w:rPr>
          <w:rFonts w:ascii="Arial" w:cs="Arial" w:eastAsia="Arial" w:hAnsi="Arial"/>
          <w:sz w:val="14"/>
          <w:szCs w:val="14"/>
          <w:color w:val="auto"/>
        </w:rPr>
        <w:t>Delivery by the Optionee of shares of Common Stock (by actual delivery or attestation) in accordance with Section 6(e)(ii)(C) of the Plan.</w:t>
      </w:r>
    </w:p>
    <w:p>
      <w:pPr>
        <w:spacing w:after="0" w:line="143" w:lineRule="exact"/>
        <w:rPr>
          <w:rFonts w:ascii="Arial" w:cs="Arial" w:eastAsia="Arial" w:hAnsi="Arial"/>
          <w:sz w:val="14"/>
          <w:szCs w:val="14"/>
          <w:color w:val="auto"/>
        </w:rPr>
      </w:pPr>
    </w:p>
    <w:p>
      <w:pPr>
        <w:ind w:left="566" w:hanging="286"/>
        <w:spacing w:after="0"/>
        <w:tabs>
          <w:tab w:leader="none" w:pos="566" w:val="left"/>
        </w:tabs>
        <w:numPr>
          <w:ilvl w:val="1"/>
          <w:numId w:val="144"/>
        </w:numPr>
        <w:rPr>
          <w:rFonts w:ascii="Arial" w:cs="Arial" w:eastAsia="Arial" w:hAnsi="Arial"/>
          <w:sz w:val="14"/>
          <w:szCs w:val="14"/>
          <w:color w:val="auto"/>
        </w:rPr>
      </w:pPr>
      <w:r>
        <w:rPr>
          <w:rFonts w:ascii="Arial" w:cs="Arial" w:eastAsia="Arial" w:hAnsi="Arial"/>
          <w:sz w:val="14"/>
          <w:szCs w:val="14"/>
          <w:color w:val="auto"/>
        </w:rPr>
        <w:t>Any combination of the above methods.</w:t>
      </w:r>
    </w:p>
    <w:p>
      <w:pPr>
        <w:spacing w:after="0" w:line="143" w:lineRule="exact"/>
        <w:rPr>
          <w:rFonts w:ascii="Arial" w:cs="Arial" w:eastAsia="Arial" w:hAnsi="Arial"/>
          <w:sz w:val="14"/>
          <w:szCs w:val="14"/>
          <w:color w:val="auto"/>
        </w:rPr>
      </w:pPr>
    </w:p>
    <w:p>
      <w:pPr>
        <w:jc w:val="both"/>
        <w:ind w:left="286" w:hanging="286"/>
        <w:spacing w:after="0" w:line="257" w:lineRule="auto"/>
        <w:tabs>
          <w:tab w:leader="none" w:pos="286" w:val="left"/>
        </w:tabs>
        <w:numPr>
          <w:ilvl w:val="0"/>
          <w:numId w:val="144"/>
        </w:numPr>
        <w:rPr>
          <w:rFonts w:ascii="Arial" w:cs="Arial" w:eastAsia="Arial" w:hAnsi="Arial"/>
          <w:sz w:val="14"/>
          <w:szCs w:val="14"/>
          <w:color w:val="auto"/>
        </w:rPr>
      </w:pPr>
      <w:r>
        <w:rPr>
          <w:rFonts w:ascii="Arial" w:cs="Arial" w:eastAsia="Arial" w:hAnsi="Arial"/>
          <w:sz w:val="14"/>
          <w:szCs w:val="14"/>
          <w:u w:val="single" w:color="auto"/>
          <w:color w:val="auto"/>
        </w:rPr>
        <w:t>Non-Transferability of Option</w:t>
      </w:r>
      <w:r>
        <w:rPr>
          <w:rFonts w:ascii="Arial" w:cs="Arial" w:eastAsia="Arial" w:hAnsi="Arial"/>
          <w:sz w:val="14"/>
          <w:szCs w:val="14"/>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14" w:lineRule="exact"/>
        <w:rPr>
          <w:rFonts w:ascii="Arial" w:cs="Arial" w:eastAsia="Arial" w:hAnsi="Arial"/>
          <w:sz w:val="14"/>
          <w:szCs w:val="14"/>
          <w:color w:val="auto"/>
        </w:rPr>
      </w:pPr>
    </w:p>
    <w:p>
      <w:pPr>
        <w:ind w:left="286" w:right="20" w:hanging="286"/>
        <w:spacing w:after="0" w:line="270" w:lineRule="auto"/>
        <w:tabs>
          <w:tab w:leader="none" w:pos="286" w:val="left"/>
        </w:tabs>
        <w:numPr>
          <w:ilvl w:val="0"/>
          <w:numId w:val="144"/>
        </w:numPr>
        <w:rPr>
          <w:rFonts w:ascii="Arial" w:cs="Arial" w:eastAsia="Arial" w:hAnsi="Arial"/>
          <w:sz w:val="14"/>
          <w:szCs w:val="14"/>
          <w:color w:val="auto"/>
        </w:rPr>
      </w:pPr>
      <w:r>
        <w:rPr>
          <w:rFonts w:ascii="Arial" w:cs="Arial" w:eastAsia="Arial" w:hAnsi="Arial"/>
          <w:sz w:val="14"/>
          <w:szCs w:val="14"/>
          <w:u w:val="single" w:color="auto"/>
          <w:color w:val="auto"/>
        </w:rPr>
        <w:t>Adjustment</w:t>
      </w:r>
      <w:r>
        <w:rPr>
          <w:rFonts w:ascii="Arial" w:cs="Arial" w:eastAsia="Arial" w:hAnsi="Arial"/>
          <w:sz w:val="14"/>
          <w:szCs w:val="14"/>
          <w:color w:val="auto"/>
        </w:rPr>
        <w:t>. This Option is subject to adjustment (including with respect to vesting of the Option Shares) upon certain changes in the Common Stock and certain other events, including a Change in Control Event or a Reorganization Event, as provided in Section 14 of the Plan.</w:t>
      </w:r>
    </w:p>
    <w:p>
      <w:pPr>
        <w:spacing w:after="0" w:line="105" w:lineRule="exact"/>
        <w:rPr>
          <w:rFonts w:ascii="Arial" w:cs="Arial" w:eastAsia="Arial" w:hAnsi="Arial"/>
          <w:sz w:val="14"/>
          <w:szCs w:val="14"/>
          <w:color w:val="auto"/>
        </w:rPr>
      </w:pPr>
    </w:p>
    <w:p>
      <w:pPr>
        <w:jc w:val="both"/>
        <w:ind w:left="286" w:hanging="286"/>
        <w:spacing w:after="0" w:line="268" w:lineRule="auto"/>
        <w:tabs>
          <w:tab w:leader="none" w:pos="286" w:val="left"/>
        </w:tabs>
        <w:numPr>
          <w:ilvl w:val="0"/>
          <w:numId w:val="144"/>
        </w:numPr>
        <w:rPr>
          <w:rFonts w:ascii="Arial" w:cs="Arial" w:eastAsia="Arial" w:hAnsi="Arial"/>
          <w:sz w:val="13"/>
          <w:szCs w:val="13"/>
          <w:color w:val="auto"/>
        </w:rPr>
      </w:pPr>
      <w:r>
        <w:rPr>
          <w:rFonts w:ascii="Arial" w:cs="Arial" w:eastAsia="Arial" w:hAnsi="Arial"/>
          <w:sz w:val="13"/>
          <w:szCs w:val="13"/>
          <w:u w:val="single" w:color="auto"/>
          <w:color w:val="auto"/>
        </w:rPr>
        <w:t>Withholding Taxes</w:t>
      </w:r>
      <w:r>
        <w:rPr>
          <w:rFonts w:ascii="Arial" w:cs="Arial" w:eastAsia="Arial" w:hAnsi="Arial"/>
          <w:sz w:val="13"/>
          <w:szCs w:val="13"/>
          <w:color w:val="auto"/>
        </w:rPr>
        <w:t>. Regardless of any action the Company or, if different, the Optionee’s employer (the “Employer”)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4"/>
          <w:szCs w:val="14"/>
          <w:color w:val="auto"/>
        </w:rPr>
        <w:t>VERSION 6/21</w:t>
        <w:tab/>
        <w:t>2</w:t>
      </w:r>
    </w:p>
    <w:p>
      <w:pPr>
        <w:sectPr>
          <w:pgSz w:w="11900" w:h="16838" w:orient="portrait"/>
          <w:cols w:equalWidth="0" w:num="1">
            <w:col w:w="11266"/>
          </w:cols>
          <w:pgMar w:left="314" w:top="1440" w:right="319" w:bottom="1440" w:gutter="0" w:footer="0" w:header="0"/>
        </w:sectPr>
      </w:pPr>
    </w:p>
    <w:bookmarkStart w:id="152" w:name="page153"/>
    <w:bookmarkEnd w:id="152"/>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43635" cy="35623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74">
                      <a:clrChange>
                        <a:clrFrom>
                          <a:srgbClr val="FFFFFF"/>
                        </a:clrFrom>
                        <a:clrTo>
                          <a:srgbClr val="FFFFFF">
                            <a:alpha val="0"/>
                          </a:srgbClr>
                        </a:clrTo>
                      </a:clrChange>
                      <a:extLst>
                        <a:ext uri="{28A0092B-C50C-407E-A947-70E740481C1C}"/>
                      </a:extLst>
                    </a:blip>
                    <a:srcRect/>
                    <a:stretch>
                      <a:fillRect/>
                    </a:stretch>
                  </pic:blipFill>
                  <pic:spPr bwMode="auto">
                    <a:xfrm>
                      <a:off x="0" y="0"/>
                      <a:ext cx="1143635" cy="356235"/>
                    </a:xfrm>
                    <a:prstGeom prst="rect">
                      <a:avLst/>
                    </a:prstGeom>
                    <a:noFill/>
                  </pic:spPr>
                </pic:pic>
              </a:graphicData>
            </a:graphic>
          </wp:anchor>
        </w:drawing>
      </w:r>
    </w:p>
    <w:p>
      <w:pPr>
        <w:jc w:val="both"/>
        <w:ind w:left="286"/>
        <w:spacing w:after="0" w:line="291" w:lineRule="auto"/>
        <w:rPr>
          <w:sz w:val="20"/>
          <w:szCs w:val="20"/>
          <w:color w:val="auto"/>
        </w:rPr>
      </w:pPr>
      <w:r>
        <w:rPr>
          <w:rFonts w:ascii="Arial" w:cs="Arial" w:eastAsia="Arial" w:hAnsi="Arial"/>
          <w:sz w:val="12"/>
          <w:szCs w:val="12"/>
          <w:color w:val="auto"/>
        </w:rPr>
        <w:t>Prior to the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if any, with regard to all Tax-Related Items by one or a combination of the following: (i) withholding from the Optionee’s wages or other cash compensation payable to the Optionee by the Company and/or the Employer; or</w:t>
      </w:r>
    </w:p>
    <w:p>
      <w:pPr>
        <w:spacing w:after="0" w:line="1" w:lineRule="exact"/>
        <w:rPr>
          <w:sz w:val="20"/>
          <w:szCs w:val="20"/>
          <w:color w:val="auto"/>
        </w:rPr>
      </w:pPr>
    </w:p>
    <w:p>
      <w:pPr>
        <w:jc w:val="both"/>
        <w:ind w:left="286" w:hanging="6"/>
        <w:spacing w:after="0" w:line="246" w:lineRule="auto"/>
        <w:tabs>
          <w:tab w:leader="none" w:pos="507" w:val="left"/>
        </w:tabs>
        <w:numPr>
          <w:ilvl w:val="0"/>
          <w:numId w:val="145"/>
        </w:numPr>
        <w:rPr>
          <w:rFonts w:ascii="Arial" w:cs="Arial" w:eastAsia="Arial" w:hAnsi="Arial"/>
          <w:sz w:val="14"/>
          <w:szCs w:val="14"/>
          <w:color w:val="auto"/>
        </w:rPr>
      </w:pPr>
      <w:r>
        <w:rPr>
          <w:rFonts w:ascii="Arial" w:cs="Arial" w:eastAsia="Arial" w:hAnsi="Arial"/>
          <w:sz w:val="14"/>
          <w:szCs w:val="14"/>
          <w:color w:val="auto"/>
        </w:rPr>
        <w:t>withholding from proceeds of the sale of Option Shares acquired at exercise of the Option either through a voluntary sale or through a mandatory sale arranged by the Company (on the Optionee’s behalf pursuant to this authorization). The Company may withhold or account for Tax-Related Items by considering statutory withholding amounts or other applicable withholding rates in the Optionee’s jurisdiction(s), including maximum applicable rates. If the Company and/or the Employer withhold more than the amount necessary to satisfy the liability for Tax-Related Items, the Optionee may receive a refund of any over-withheld amount in cash and will have no entitlement to the equivalent in shares of Common Stock. No fractional Option Shares will be issued pursuant to the grant of the Option and the issuance of Option Shares hereunder.</w:t>
      </w:r>
    </w:p>
    <w:p>
      <w:pPr>
        <w:spacing w:after="0" w:line="122" w:lineRule="exact"/>
        <w:rPr>
          <w:sz w:val="20"/>
          <w:szCs w:val="20"/>
          <w:color w:val="auto"/>
        </w:rPr>
      </w:pPr>
    </w:p>
    <w:p>
      <w:pPr>
        <w:jc w:val="both"/>
        <w:ind w:left="286"/>
        <w:spacing w:after="0" w:line="257" w:lineRule="auto"/>
        <w:rPr>
          <w:sz w:val="20"/>
          <w:szCs w:val="20"/>
          <w:color w:val="auto"/>
        </w:rPr>
      </w:pPr>
      <w:r>
        <w:rPr>
          <w:rFonts w:ascii="Arial" w:cs="Arial" w:eastAsia="Arial" w:hAnsi="Arial"/>
          <w:sz w:val="14"/>
          <w:szCs w:val="14"/>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114" w:lineRule="exact"/>
        <w:rPr>
          <w:sz w:val="20"/>
          <w:szCs w:val="20"/>
          <w:color w:val="auto"/>
        </w:rPr>
      </w:pPr>
    </w:p>
    <w:p>
      <w:pPr>
        <w:ind w:left="286" w:hanging="286"/>
        <w:spacing w:after="0"/>
        <w:tabs>
          <w:tab w:leader="none" w:pos="286" w:val="left"/>
        </w:tabs>
        <w:numPr>
          <w:ilvl w:val="0"/>
          <w:numId w:val="146"/>
        </w:numPr>
        <w:rPr>
          <w:rFonts w:ascii="Arial" w:cs="Arial" w:eastAsia="Arial" w:hAnsi="Arial"/>
          <w:sz w:val="14"/>
          <w:szCs w:val="14"/>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In accepting the Option, the Optionee acknowledges, understands and agrees that:</w:t>
      </w:r>
    </w:p>
    <w:p>
      <w:pPr>
        <w:spacing w:after="0" w:line="143" w:lineRule="exact"/>
        <w:rPr>
          <w:rFonts w:ascii="Arial" w:cs="Arial" w:eastAsia="Arial" w:hAnsi="Arial"/>
          <w:sz w:val="14"/>
          <w:szCs w:val="14"/>
          <w:color w:val="auto"/>
        </w:rPr>
      </w:pPr>
    </w:p>
    <w:p>
      <w:pPr>
        <w:ind w:left="566" w:hanging="286"/>
        <w:spacing w:after="0" w:line="270" w:lineRule="auto"/>
        <w:tabs>
          <w:tab w:leader="none" w:pos="558" w:val="left"/>
        </w:tabs>
        <w:numPr>
          <w:ilvl w:val="1"/>
          <w:numId w:val="146"/>
        </w:numPr>
        <w:rPr>
          <w:rFonts w:ascii="Arial" w:cs="Arial" w:eastAsia="Arial" w:hAnsi="Arial"/>
          <w:sz w:val="14"/>
          <w:szCs w:val="14"/>
          <w:color w:val="auto"/>
        </w:rPr>
      </w:pPr>
      <w:r>
        <w:rPr>
          <w:rFonts w:ascii="Arial" w:cs="Arial" w:eastAsia="Arial" w:hAnsi="Arial"/>
          <w:sz w:val="14"/>
          <w:szCs w:val="14"/>
          <w:color w:val="auto"/>
        </w:rPr>
        <w:t>the Plan is established voluntarily by the Company, it is discretionary in nature, and may be amended, suspended or terminated by the Company at any time, to the extent permitted by the Plan;</w:t>
      </w:r>
    </w:p>
    <w:p>
      <w:pPr>
        <w:spacing w:after="0" w:line="105" w:lineRule="exact"/>
        <w:rPr>
          <w:rFonts w:ascii="Arial" w:cs="Arial" w:eastAsia="Arial" w:hAnsi="Arial"/>
          <w:sz w:val="14"/>
          <w:szCs w:val="14"/>
          <w:color w:val="auto"/>
        </w:rPr>
      </w:pPr>
    </w:p>
    <w:p>
      <w:pPr>
        <w:ind w:left="566" w:hanging="286"/>
        <w:spacing w:after="0" w:line="270" w:lineRule="auto"/>
        <w:tabs>
          <w:tab w:leader="none" w:pos="566" w:val="left"/>
        </w:tabs>
        <w:numPr>
          <w:ilvl w:val="1"/>
          <w:numId w:val="146"/>
        </w:numPr>
        <w:rPr>
          <w:rFonts w:ascii="Arial" w:cs="Arial" w:eastAsia="Arial" w:hAnsi="Arial"/>
          <w:sz w:val="14"/>
          <w:szCs w:val="14"/>
          <w:color w:val="auto"/>
        </w:rPr>
      </w:pPr>
      <w:r>
        <w:rPr>
          <w:rFonts w:ascii="Arial" w:cs="Arial" w:eastAsia="Arial" w:hAnsi="Arial"/>
          <w:sz w:val="14"/>
          <w:szCs w:val="14"/>
          <w:color w:val="auto"/>
        </w:rPr>
        <w:t>the grant of the Option is exceptional, voluntary and occasional and does not create any contractual or other right to receive future grants of options, or benefits in lieu of options, even if options have been granted repeatedly in the past;</w:t>
      </w:r>
    </w:p>
    <w:p>
      <w:pPr>
        <w:spacing w:after="0" w:line="105" w:lineRule="exact"/>
        <w:rPr>
          <w:rFonts w:ascii="Arial" w:cs="Arial" w:eastAsia="Arial" w:hAnsi="Arial"/>
          <w:sz w:val="14"/>
          <w:szCs w:val="14"/>
          <w:color w:val="auto"/>
        </w:rPr>
      </w:pPr>
    </w:p>
    <w:p>
      <w:pPr>
        <w:ind w:left="546" w:hanging="266"/>
        <w:spacing w:after="0"/>
        <w:tabs>
          <w:tab w:leader="none" w:pos="546" w:val="left"/>
        </w:tabs>
        <w:numPr>
          <w:ilvl w:val="1"/>
          <w:numId w:val="146"/>
        </w:numPr>
        <w:rPr>
          <w:rFonts w:ascii="Arial" w:cs="Arial" w:eastAsia="Arial" w:hAnsi="Arial"/>
          <w:sz w:val="14"/>
          <w:szCs w:val="14"/>
          <w:color w:val="auto"/>
        </w:rPr>
      </w:pPr>
      <w:r>
        <w:rPr>
          <w:rFonts w:ascii="Arial" w:cs="Arial" w:eastAsia="Arial" w:hAnsi="Arial"/>
          <w:sz w:val="14"/>
          <w:szCs w:val="14"/>
          <w:color w:val="auto"/>
        </w:rPr>
        <w:t>all decisions with respect to future option grants, if any, will be at the sole discretion of the Company;</w:t>
      </w:r>
    </w:p>
    <w:p>
      <w:pPr>
        <w:spacing w:after="0" w:line="143" w:lineRule="exact"/>
        <w:rPr>
          <w:rFonts w:ascii="Arial" w:cs="Arial" w:eastAsia="Arial" w:hAnsi="Arial"/>
          <w:sz w:val="14"/>
          <w:szCs w:val="14"/>
          <w:color w:val="auto"/>
        </w:rPr>
      </w:pPr>
    </w:p>
    <w:p>
      <w:pPr>
        <w:ind w:left="566" w:right="20" w:hanging="286"/>
        <w:spacing w:after="0" w:line="270" w:lineRule="auto"/>
        <w:tabs>
          <w:tab w:leader="none" w:pos="566" w:val="left"/>
        </w:tabs>
        <w:numPr>
          <w:ilvl w:val="1"/>
          <w:numId w:val="146"/>
        </w:numPr>
        <w:rPr>
          <w:rFonts w:ascii="Arial" w:cs="Arial" w:eastAsia="Arial" w:hAnsi="Arial"/>
          <w:sz w:val="14"/>
          <w:szCs w:val="14"/>
          <w:color w:val="auto"/>
        </w:rPr>
      </w:pPr>
      <w:r>
        <w:rPr>
          <w:rFonts w:ascii="Arial" w:cs="Arial" w:eastAsia="Arial" w:hAnsi="Arial"/>
          <w:sz w:val="14"/>
          <w:szCs w:val="14"/>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05" w:lineRule="exact"/>
        <w:rPr>
          <w:rFonts w:ascii="Arial" w:cs="Arial" w:eastAsia="Arial" w:hAnsi="Arial"/>
          <w:sz w:val="14"/>
          <w:szCs w:val="14"/>
          <w:color w:val="auto"/>
        </w:rPr>
      </w:pPr>
    </w:p>
    <w:p>
      <w:pPr>
        <w:ind w:left="546" w:hanging="266"/>
        <w:spacing w:after="0"/>
        <w:tabs>
          <w:tab w:leader="none" w:pos="546" w:val="left"/>
        </w:tabs>
        <w:numPr>
          <w:ilvl w:val="1"/>
          <w:numId w:val="146"/>
        </w:numPr>
        <w:rPr>
          <w:rFonts w:ascii="Arial" w:cs="Arial" w:eastAsia="Arial" w:hAnsi="Arial"/>
          <w:sz w:val="14"/>
          <w:szCs w:val="14"/>
          <w:color w:val="auto"/>
        </w:rPr>
      </w:pPr>
      <w:r>
        <w:rPr>
          <w:rFonts w:ascii="Arial" w:cs="Arial" w:eastAsia="Arial" w:hAnsi="Arial"/>
          <w:sz w:val="14"/>
          <w:szCs w:val="14"/>
          <w:color w:val="auto"/>
        </w:rPr>
        <w:t>the Optionee is voluntarily participating in the Plan;</w:t>
      </w:r>
    </w:p>
    <w:p>
      <w:pPr>
        <w:spacing w:after="0" w:line="143" w:lineRule="exact"/>
        <w:rPr>
          <w:rFonts w:ascii="Arial" w:cs="Arial" w:eastAsia="Arial" w:hAnsi="Arial"/>
          <w:sz w:val="14"/>
          <w:szCs w:val="14"/>
          <w:color w:val="auto"/>
        </w:rPr>
      </w:pPr>
    </w:p>
    <w:p>
      <w:pPr>
        <w:jc w:val="both"/>
        <w:ind w:left="566" w:right="20" w:hanging="286"/>
        <w:spacing w:after="0" w:line="286" w:lineRule="auto"/>
        <w:tabs>
          <w:tab w:leader="none" w:pos="566"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97" w:lineRule="exact"/>
        <w:rPr>
          <w:rFonts w:ascii="Arial" w:cs="Arial" w:eastAsia="Arial" w:hAnsi="Arial"/>
          <w:sz w:val="13"/>
          <w:szCs w:val="13"/>
          <w:color w:val="auto"/>
        </w:rPr>
      </w:pPr>
    </w:p>
    <w:p>
      <w:pPr>
        <w:ind w:left="566" w:hanging="286"/>
        <w:spacing w:after="0"/>
        <w:tabs>
          <w:tab w:leader="none" w:pos="566" w:val="left"/>
        </w:tabs>
        <w:numPr>
          <w:ilvl w:val="1"/>
          <w:numId w:val="146"/>
        </w:numPr>
        <w:rPr>
          <w:rFonts w:ascii="Arial" w:cs="Arial" w:eastAsia="Arial" w:hAnsi="Arial"/>
          <w:sz w:val="13"/>
          <w:szCs w:val="13"/>
          <w:color w:val="auto"/>
        </w:rPr>
      </w:pPr>
      <w:r>
        <w:rPr>
          <w:rFonts w:ascii="Arial" w:cs="Arial" w:eastAsia="Arial" w:hAnsi="Arial"/>
          <w:sz w:val="13"/>
          <w:szCs w:val="13"/>
          <w:color w:val="auto"/>
        </w:rPr>
        <w:t>the Option grant and the Optionee’s participation in the Plan will not be interpreted to form or amend an employment or service contract or relationship with the Company or the Employer;</w:t>
      </w:r>
    </w:p>
    <w:p>
      <w:pPr>
        <w:spacing w:after="0" w:line="154" w:lineRule="exact"/>
        <w:rPr>
          <w:rFonts w:ascii="Arial" w:cs="Arial" w:eastAsia="Arial" w:hAnsi="Arial"/>
          <w:sz w:val="13"/>
          <w:szCs w:val="13"/>
          <w:color w:val="auto"/>
        </w:rPr>
      </w:pPr>
    </w:p>
    <w:p>
      <w:pPr>
        <w:ind w:left="566" w:hanging="286"/>
        <w:spacing w:after="0"/>
        <w:tabs>
          <w:tab w:leader="none" w:pos="566" w:val="left"/>
        </w:tabs>
        <w:numPr>
          <w:ilvl w:val="1"/>
          <w:numId w:val="146"/>
        </w:numPr>
        <w:rPr>
          <w:rFonts w:ascii="Arial" w:cs="Arial" w:eastAsia="Arial" w:hAnsi="Arial"/>
          <w:sz w:val="14"/>
          <w:szCs w:val="14"/>
          <w:color w:val="auto"/>
        </w:rPr>
      </w:pPr>
      <w:r>
        <w:rPr>
          <w:rFonts w:ascii="Arial" w:cs="Arial" w:eastAsia="Arial" w:hAnsi="Arial"/>
          <w:sz w:val="14"/>
          <w:szCs w:val="14"/>
          <w:color w:val="auto"/>
        </w:rPr>
        <w:t>the future value of the Option Shares underlying the Option is unknown, indeterminable, and cannot be predicted with certainty;</w:t>
      </w:r>
    </w:p>
    <w:p>
      <w:pPr>
        <w:spacing w:after="0" w:line="143" w:lineRule="exact"/>
        <w:rPr>
          <w:rFonts w:ascii="Arial" w:cs="Arial" w:eastAsia="Arial" w:hAnsi="Arial"/>
          <w:sz w:val="14"/>
          <w:szCs w:val="14"/>
          <w:color w:val="auto"/>
        </w:rPr>
      </w:pPr>
    </w:p>
    <w:p>
      <w:pPr>
        <w:ind w:left="546" w:hanging="266"/>
        <w:spacing w:after="0"/>
        <w:tabs>
          <w:tab w:leader="none" w:pos="546" w:val="left"/>
        </w:tabs>
        <w:numPr>
          <w:ilvl w:val="1"/>
          <w:numId w:val="146"/>
        </w:numPr>
        <w:rPr>
          <w:rFonts w:ascii="Arial" w:cs="Arial" w:eastAsia="Arial" w:hAnsi="Arial"/>
          <w:sz w:val="14"/>
          <w:szCs w:val="14"/>
          <w:color w:val="auto"/>
        </w:rPr>
      </w:pPr>
      <w:r>
        <w:rPr>
          <w:rFonts w:ascii="Arial" w:cs="Arial" w:eastAsia="Arial" w:hAnsi="Arial"/>
          <w:sz w:val="14"/>
          <w:szCs w:val="14"/>
          <w:color w:val="auto"/>
        </w:rPr>
        <w:t>if the underlying Option Shares do not increase in value, the Option will have no value;</w:t>
      </w:r>
    </w:p>
    <w:p>
      <w:pPr>
        <w:spacing w:after="0" w:line="143" w:lineRule="exact"/>
        <w:rPr>
          <w:rFonts w:ascii="Arial" w:cs="Arial" w:eastAsia="Arial" w:hAnsi="Arial"/>
          <w:sz w:val="14"/>
          <w:szCs w:val="14"/>
          <w:color w:val="auto"/>
        </w:rPr>
      </w:pPr>
    </w:p>
    <w:p>
      <w:pPr>
        <w:ind w:left="546" w:hanging="266"/>
        <w:spacing w:after="0"/>
        <w:tabs>
          <w:tab w:leader="none" w:pos="546" w:val="left"/>
        </w:tabs>
        <w:numPr>
          <w:ilvl w:val="1"/>
          <w:numId w:val="146"/>
        </w:numPr>
        <w:rPr>
          <w:rFonts w:ascii="Arial" w:cs="Arial" w:eastAsia="Arial" w:hAnsi="Arial"/>
          <w:sz w:val="14"/>
          <w:szCs w:val="14"/>
          <w:color w:val="auto"/>
        </w:rPr>
      </w:pPr>
      <w:r>
        <w:rPr>
          <w:rFonts w:ascii="Arial" w:cs="Arial" w:eastAsia="Arial" w:hAnsi="Arial"/>
          <w:sz w:val="14"/>
          <w:szCs w:val="14"/>
          <w:color w:val="auto"/>
        </w:rPr>
        <w:t>if the Optionee exercises the Option and acquires Option Shares, the value of such Option Shares may increase or decrease in value, even below the Exercise Price;</w:t>
      </w:r>
    </w:p>
    <w:p>
      <w:pPr>
        <w:spacing w:after="0" w:line="143" w:lineRule="exact"/>
        <w:rPr>
          <w:rFonts w:ascii="Arial" w:cs="Arial" w:eastAsia="Arial" w:hAnsi="Arial"/>
          <w:sz w:val="14"/>
          <w:szCs w:val="14"/>
          <w:color w:val="auto"/>
        </w:rPr>
      </w:pPr>
    </w:p>
    <w:p>
      <w:pPr>
        <w:ind w:left="566" w:hanging="286"/>
        <w:spacing w:after="0"/>
        <w:tabs>
          <w:tab w:leader="none" w:pos="566" w:val="left"/>
        </w:tabs>
        <w:numPr>
          <w:ilvl w:val="1"/>
          <w:numId w:val="146"/>
        </w:numPr>
        <w:rPr>
          <w:rFonts w:ascii="Arial" w:cs="Arial" w:eastAsia="Arial" w:hAnsi="Arial"/>
          <w:sz w:val="14"/>
          <w:szCs w:val="14"/>
          <w:color w:val="auto"/>
        </w:rPr>
      </w:pPr>
      <w:r>
        <w:rPr>
          <w:rFonts w:ascii="Arial" w:cs="Arial" w:eastAsia="Arial" w:hAnsi="Arial"/>
          <w:sz w:val="14"/>
          <w:szCs w:val="14"/>
          <w:color w:val="auto"/>
        </w:rPr>
        <w:t>for Optionees who reside outside the U.S. and/or the Company is not the Optionee’s employer, the following additional provisions shall apply:</w:t>
      </w:r>
    </w:p>
    <w:p>
      <w:pPr>
        <w:spacing w:after="0" w:line="143" w:lineRule="exact"/>
        <w:rPr>
          <w:rFonts w:ascii="Arial" w:cs="Arial" w:eastAsia="Arial" w:hAnsi="Arial"/>
          <w:sz w:val="14"/>
          <w:szCs w:val="14"/>
          <w:color w:val="auto"/>
        </w:rPr>
      </w:pPr>
    </w:p>
    <w:p>
      <w:pPr>
        <w:ind w:left="1126" w:hanging="280"/>
        <w:spacing w:after="0"/>
        <w:tabs>
          <w:tab w:leader="none" w:pos="1126" w:val="left"/>
        </w:tabs>
        <w:numPr>
          <w:ilvl w:val="2"/>
          <w:numId w:val="146"/>
        </w:numPr>
        <w:rPr>
          <w:rFonts w:ascii="Arial" w:cs="Arial" w:eastAsia="Arial" w:hAnsi="Arial"/>
          <w:sz w:val="14"/>
          <w:szCs w:val="14"/>
          <w:color w:val="auto"/>
        </w:rPr>
      </w:pPr>
      <w:r>
        <w:rPr>
          <w:rFonts w:ascii="Arial" w:cs="Arial" w:eastAsia="Arial" w:hAnsi="Arial"/>
          <w:sz w:val="14"/>
          <w:szCs w:val="14"/>
          <w:color w:val="auto"/>
        </w:rPr>
        <w:t>the Option and any Option Shares acquired under the Plan, and the income and value of same, are not intended to replace any pension rights or compensation;</w:t>
      </w:r>
    </w:p>
    <w:p>
      <w:pPr>
        <w:spacing w:after="0" w:line="143" w:lineRule="exact"/>
        <w:rPr>
          <w:rFonts w:ascii="Arial" w:cs="Arial" w:eastAsia="Arial" w:hAnsi="Arial"/>
          <w:sz w:val="14"/>
          <w:szCs w:val="14"/>
          <w:color w:val="auto"/>
        </w:rPr>
      </w:pPr>
    </w:p>
    <w:p>
      <w:pPr>
        <w:ind w:left="1126" w:right="20" w:hanging="280"/>
        <w:spacing w:after="0" w:line="270" w:lineRule="auto"/>
        <w:tabs>
          <w:tab w:leader="none" w:pos="1122" w:val="left"/>
        </w:tabs>
        <w:numPr>
          <w:ilvl w:val="2"/>
          <w:numId w:val="146"/>
        </w:numPr>
        <w:rPr>
          <w:rFonts w:ascii="Arial" w:cs="Arial" w:eastAsia="Arial" w:hAnsi="Arial"/>
          <w:sz w:val="14"/>
          <w:szCs w:val="14"/>
          <w:color w:val="auto"/>
        </w:rPr>
      </w:pPr>
      <w:r>
        <w:rPr>
          <w:rFonts w:ascii="Arial" w:cs="Arial" w:eastAsia="Arial" w:hAnsi="Arial"/>
          <w:sz w:val="14"/>
          <w:szCs w:val="14"/>
          <w:color w:val="auto"/>
        </w:rPr>
        <w:t>the Option and any Option Shares acquired under the Plan are extraordinary items that do not constitute compensation of any kind for services of any kind rendered to the Company or the Employer, and which is outside the scope of the Optionee’s employment or service contract,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4"/>
          <w:szCs w:val="14"/>
          <w:color w:val="auto"/>
        </w:rPr>
        <w:t>VERSION 6/21</w:t>
        <w:tab/>
        <w:t>3</w:t>
      </w:r>
    </w:p>
    <w:p>
      <w:pPr>
        <w:sectPr>
          <w:pgSz w:w="11900" w:h="16838" w:orient="portrait"/>
          <w:cols w:equalWidth="0" w:num="1">
            <w:col w:w="11266"/>
          </w:cols>
          <w:pgMar w:left="314" w:top="1440" w:right="319" w:bottom="1440" w:gutter="0" w:footer="0" w:header="0"/>
        </w:sectPr>
      </w:pPr>
    </w:p>
    <w:bookmarkStart w:id="153" w:name="page154"/>
    <w:bookmarkEnd w:id="153"/>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43635" cy="35623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75">
                      <a:clrChange>
                        <a:clrFrom>
                          <a:srgbClr val="FFFFFF"/>
                        </a:clrFrom>
                        <a:clrTo>
                          <a:srgbClr val="FFFFFF">
                            <a:alpha val="0"/>
                          </a:srgbClr>
                        </a:clrTo>
                      </a:clrChange>
                      <a:extLst>
                        <a:ext uri="{28A0092B-C50C-407E-A947-70E740481C1C}"/>
                      </a:extLst>
                    </a:blip>
                    <a:srcRect/>
                    <a:stretch>
                      <a:fillRect/>
                    </a:stretch>
                  </pic:blipFill>
                  <pic:spPr bwMode="auto">
                    <a:xfrm>
                      <a:off x="0" y="0"/>
                      <a:ext cx="1143635" cy="356235"/>
                    </a:xfrm>
                    <a:prstGeom prst="rect">
                      <a:avLst/>
                    </a:prstGeom>
                    <a:noFill/>
                  </pic:spPr>
                </pic:pic>
              </a:graphicData>
            </a:graphic>
          </wp:anchor>
        </w:drawing>
      </w:r>
    </w:p>
    <w:p>
      <w:pPr>
        <w:jc w:val="both"/>
        <w:ind w:left="1126" w:right="20" w:hanging="280"/>
        <w:spacing w:after="0" w:line="257" w:lineRule="auto"/>
        <w:tabs>
          <w:tab w:leader="none" w:pos="1126" w:val="left"/>
        </w:tabs>
        <w:numPr>
          <w:ilvl w:val="1"/>
          <w:numId w:val="147"/>
        </w:numPr>
        <w:rPr>
          <w:rFonts w:ascii="Arial" w:cs="Arial" w:eastAsia="Arial" w:hAnsi="Arial"/>
          <w:sz w:val="14"/>
          <w:szCs w:val="14"/>
          <w:color w:val="auto"/>
        </w:rPr>
      </w:pPr>
      <w:r>
        <w:rPr>
          <w:rFonts w:ascii="Arial" w:cs="Arial" w:eastAsia="Arial" w:hAnsi="Arial"/>
          <w:sz w:val="14"/>
          <w:szCs w:val="14"/>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114" w:lineRule="exact"/>
        <w:rPr>
          <w:rFonts w:ascii="Arial" w:cs="Arial" w:eastAsia="Arial" w:hAnsi="Arial"/>
          <w:sz w:val="14"/>
          <w:szCs w:val="14"/>
          <w:color w:val="auto"/>
        </w:rPr>
      </w:pPr>
    </w:p>
    <w:p>
      <w:pPr>
        <w:jc w:val="both"/>
        <w:ind w:left="1126" w:right="20" w:hanging="280"/>
        <w:spacing w:after="0" w:line="299" w:lineRule="auto"/>
        <w:tabs>
          <w:tab w:leader="none" w:pos="1118" w:val="left"/>
        </w:tabs>
        <w:numPr>
          <w:ilvl w:val="1"/>
          <w:numId w:val="147"/>
        </w:numPr>
        <w:rPr>
          <w:rFonts w:ascii="Arial" w:cs="Arial" w:eastAsia="Arial" w:hAnsi="Arial"/>
          <w:sz w:val="12"/>
          <w:szCs w:val="12"/>
          <w:color w:val="auto"/>
        </w:rPr>
      </w:pPr>
      <w:r>
        <w:rPr>
          <w:rFonts w:ascii="Arial" w:cs="Arial" w:eastAsia="Arial" w:hAnsi="Arial"/>
          <w:sz w:val="12"/>
          <w:szCs w:val="12"/>
          <w:color w:val="auto"/>
        </w:rPr>
        <w:t>no claim or entitlement to compensation or damages shall arise from forfeiture of the Option resulting from termination of the Optionee’s employment by the Company or the Employer (regardless of the reason for such termination and whether or not later found to be invalid or in breach of employment laws in the jurisdiction where Optionee is employed or the terms of Optionee’s employment agreement, if any) and in consideration of the grant of the Option to which the Optionee is otherwise not entitled, the Optionee irrevocably agrees never to institute any claim against the Company or the Employer and waives his or her ability, if any, to bring such a claim, and releases the Company and the Employer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91" w:lineRule="exact"/>
        <w:rPr>
          <w:rFonts w:ascii="Arial" w:cs="Arial" w:eastAsia="Arial" w:hAnsi="Arial"/>
          <w:sz w:val="12"/>
          <w:szCs w:val="12"/>
          <w:color w:val="auto"/>
        </w:rPr>
      </w:pPr>
    </w:p>
    <w:p>
      <w:pPr>
        <w:jc w:val="both"/>
        <w:ind w:left="286" w:hanging="286"/>
        <w:spacing w:after="0" w:line="257" w:lineRule="auto"/>
        <w:tabs>
          <w:tab w:leader="none" w:pos="286"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t>No Advice Regarding Grant</w:t>
      </w:r>
      <w:r>
        <w:rPr>
          <w:rFonts w:ascii="Arial" w:cs="Arial" w:eastAsia="Arial" w:hAnsi="Arial"/>
          <w:sz w:val="14"/>
          <w:szCs w:val="14"/>
          <w:color w:val="auto"/>
        </w:rPr>
        <w:t>. The Company is not providing any tax, legal or financial advice, nor is the Company making any recommendations regarding the Optionee’s participation in the Plan, or the Optionee’s acquisition or sale of the underlying Option Shares. The Optionee is encouraged to consult with his or her own personal tax, legal and financial advisors regarding his or her participation in the Plan before taking any action related to the Plan.</w:t>
      </w:r>
    </w:p>
    <w:p>
      <w:pPr>
        <w:spacing w:after="0" w:line="114" w:lineRule="exact"/>
        <w:rPr>
          <w:rFonts w:ascii="Arial" w:cs="Arial" w:eastAsia="Arial" w:hAnsi="Arial"/>
          <w:sz w:val="14"/>
          <w:szCs w:val="14"/>
          <w:color w:val="auto"/>
        </w:rPr>
      </w:pPr>
    </w:p>
    <w:p>
      <w:pPr>
        <w:ind w:left="286" w:right="20" w:hanging="286"/>
        <w:spacing w:after="0" w:line="270" w:lineRule="auto"/>
        <w:tabs>
          <w:tab w:leader="none" w:pos="286"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xml:space="preserve">. This Agreement shall be binding upon and inure to the benefit of the Company and the Optionee and his or her </w:t>
      </w:r>
      <w:r>
        <w:rPr>
          <w:rFonts w:ascii="Arial" w:cs="Arial" w:eastAsia="Arial" w:hAnsi="Arial"/>
          <w:sz w:val="14"/>
          <w:szCs w:val="14"/>
          <w:u w:val="single" w:color="auto"/>
          <w:color w:val="auto"/>
        </w:rPr>
        <w:t>respective</w:t>
      </w:r>
      <w:r>
        <w:rPr>
          <w:rFonts w:ascii="Arial" w:cs="Arial" w:eastAsia="Arial" w:hAnsi="Arial"/>
          <w:sz w:val="14"/>
          <w:szCs w:val="14"/>
          <w:color w:val="auto"/>
        </w:rPr>
        <w:t xml:space="preserve"> heirs, executors, administrators, legal representatives, successors and assigns, subject to the restrictions on transfer set forth in Section 5 of this Agreement.</w:t>
      </w:r>
    </w:p>
    <w:p>
      <w:pPr>
        <w:spacing w:after="0" w:line="105" w:lineRule="exact"/>
        <w:rPr>
          <w:rFonts w:ascii="Arial" w:cs="Arial" w:eastAsia="Arial" w:hAnsi="Arial"/>
          <w:sz w:val="14"/>
          <w:szCs w:val="14"/>
          <w:color w:val="auto"/>
        </w:rPr>
      </w:pPr>
    </w:p>
    <w:p>
      <w:pPr>
        <w:jc w:val="both"/>
        <w:ind w:left="286" w:hanging="286"/>
        <w:spacing w:after="0" w:line="253" w:lineRule="auto"/>
        <w:tabs>
          <w:tab w:leader="none" w:pos="281"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Optionee shall be addressed to the Optionee at the Optionee’s last known mailing or email address, as applicable, on the records of the Company.</w:t>
      </w:r>
    </w:p>
    <w:p>
      <w:pPr>
        <w:spacing w:after="0" w:line="116" w:lineRule="exact"/>
        <w:rPr>
          <w:rFonts w:ascii="Arial" w:cs="Arial" w:eastAsia="Arial" w:hAnsi="Arial"/>
          <w:sz w:val="14"/>
          <w:szCs w:val="14"/>
          <w:color w:val="auto"/>
        </w:rPr>
      </w:pPr>
    </w:p>
    <w:p>
      <w:pPr>
        <w:ind w:left="286" w:hanging="286"/>
        <w:spacing w:after="0" w:line="270" w:lineRule="auto"/>
        <w:tabs>
          <w:tab w:leader="none" w:pos="286"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t>Pronouns</w:t>
      </w:r>
      <w:r>
        <w:rPr>
          <w:rFonts w:ascii="Arial" w:cs="Arial" w:eastAsia="Arial" w:hAnsi="Arial"/>
          <w:sz w:val="14"/>
          <w:szCs w:val="14"/>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05" w:lineRule="exact"/>
        <w:rPr>
          <w:rFonts w:ascii="Arial" w:cs="Arial" w:eastAsia="Arial" w:hAnsi="Arial"/>
          <w:sz w:val="14"/>
          <w:szCs w:val="14"/>
          <w:color w:val="auto"/>
        </w:rPr>
      </w:pPr>
    </w:p>
    <w:p>
      <w:pPr>
        <w:ind w:left="286" w:hanging="286"/>
        <w:spacing w:after="0" w:line="270" w:lineRule="auto"/>
        <w:tabs>
          <w:tab w:leader="none" w:pos="286"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and the Plan constitute the entire understanding between the parties, and supersede all prior agreements and understandings, relating to the subject matter of these documents.</w:t>
      </w:r>
    </w:p>
    <w:p>
      <w:pPr>
        <w:spacing w:after="0" w:line="105" w:lineRule="exact"/>
        <w:rPr>
          <w:rFonts w:ascii="Arial" w:cs="Arial" w:eastAsia="Arial" w:hAnsi="Arial"/>
          <w:sz w:val="14"/>
          <w:szCs w:val="14"/>
          <w:color w:val="auto"/>
        </w:rPr>
      </w:pPr>
    </w:p>
    <w:p>
      <w:pPr>
        <w:ind w:left="286" w:right="20" w:hanging="286"/>
        <w:spacing w:after="0" w:line="270" w:lineRule="auto"/>
        <w:tabs>
          <w:tab w:leader="none" w:pos="286"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Agreement shall be construed, interpreted and enforced in accordance with the internal laws of the Commonwealth of Massachusetts without regard to any applicable conflicts of laws.</w:t>
      </w:r>
    </w:p>
    <w:p>
      <w:pPr>
        <w:spacing w:after="0" w:line="105" w:lineRule="exact"/>
        <w:rPr>
          <w:rFonts w:ascii="Arial" w:cs="Arial" w:eastAsia="Arial" w:hAnsi="Arial"/>
          <w:sz w:val="14"/>
          <w:szCs w:val="14"/>
          <w:color w:val="auto"/>
        </w:rPr>
      </w:pPr>
    </w:p>
    <w:p>
      <w:pPr>
        <w:jc w:val="both"/>
        <w:ind w:left="286" w:hanging="286"/>
        <w:spacing w:after="0" w:line="268" w:lineRule="auto"/>
        <w:tabs>
          <w:tab w:leader="none" w:pos="286"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Compliance with Law</w:t>
      </w:r>
      <w:r>
        <w:rPr>
          <w:rFonts w:ascii="Arial" w:cs="Arial" w:eastAsia="Arial" w:hAnsi="Arial"/>
          <w:sz w:val="13"/>
          <w:szCs w:val="13"/>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Optionee understands that the Company is under no obligation to register or qualify the Option Shares with the SEC or any state or non-U.S.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08" w:lineRule="exact"/>
        <w:rPr>
          <w:rFonts w:ascii="Arial" w:cs="Arial" w:eastAsia="Arial" w:hAnsi="Arial"/>
          <w:sz w:val="13"/>
          <w:szCs w:val="13"/>
          <w:color w:val="auto"/>
        </w:rPr>
      </w:pPr>
    </w:p>
    <w:p>
      <w:pPr>
        <w:ind w:left="286" w:right="20" w:hanging="286"/>
        <w:spacing w:after="0" w:line="270" w:lineRule="auto"/>
        <w:tabs>
          <w:tab w:leader="none" w:pos="286"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t>Interpretation</w:t>
      </w:r>
      <w:r>
        <w:rPr>
          <w:rFonts w:ascii="Arial" w:cs="Arial" w:eastAsia="Arial" w:hAnsi="Arial"/>
          <w:sz w:val="14"/>
          <w:szCs w:val="14"/>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4"/>
          <w:szCs w:val="14"/>
          <w:color w:val="auto"/>
        </w:rPr>
        <w:t>VERSION 6/21</w:t>
        <w:tab/>
        <w:t>4</w:t>
      </w:r>
    </w:p>
    <w:p>
      <w:pPr>
        <w:sectPr>
          <w:pgSz w:w="11900" w:h="16838" w:orient="portrait"/>
          <w:cols w:equalWidth="0" w:num="1">
            <w:col w:w="11266"/>
          </w:cols>
          <w:pgMar w:left="314" w:top="1440" w:right="319" w:bottom="1440" w:gutter="0" w:footer="0" w:header="0"/>
        </w:sectPr>
      </w:pPr>
    </w:p>
    <w:bookmarkStart w:id="154" w:name="page155"/>
    <w:bookmarkEnd w:id="154"/>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43635" cy="35623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76">
                      <a:clrChange>
                        <a:clrFrom>
                          <a:srgbClr val="FFFFFF"/>
                        </a:clrFrom>
                        <a:clrTo>
                          <a:srgbClr val="FFFFFF">
                            <a:alpha val="0"/>
                          </a:srgbClr>
                        </a:clrTo>
                      </a:clrChange>
                      <a:extLst>
                        <a:ext uri="{28A0092B-C50C-407E-A947-70E740481C1C}"/>
                      </a:extLst>
                    </a:blip>
                    <a:srcRect/>
                    <a:stretch>
                      <a:fillRect/>
                    </a:stretch>
                  </pic:blipFill>
                  <pic:spPr bwMode="auto">
                    <a:xfrm>
                      <a:off x="0" y="0"/>
                      <a:ext cx="1143635" cy="356235"/>
                    </a:xfrm>
                    <a:prstGeom prst="rect">
                      <a:avLst/>
                    </a:prstGeom>
                    <a:noFill/>
                  </pic:spPr>
                </pic:pic>
              </a:graphicData>
            </a:graphic>
          </wp:anchor>
        </w:drawing>
      </w:r>
    </w:p>
    <w:p>
      <w:pPr>
        <w:jc w:val="both"/>
        <w:ind w:left="286" w:hanging="286"/>
        <w:spacing w:after="0" w:line="257" w:lineRule="auto"/>
        <w:tabs>
          <w:tab w:leader="none" w:pos="286"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Optionee’s Acceptance</w:t>
      </w:r>
      <w:r>
        <w:rPr>
          <w:rFonts w:ascii="Arial" w:cs="Arial" w:eastAsia="Arial" w:hAnsi="Arial"/>
          <w:sz w:val="14"/>
          <w:szCs w:val="14"/>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114" w:lineRule="exact"/>
        <w:rPr>
          <w:rFonts w:ascii="Arial" w:cs="Arial" w:eastAsia="Arial" w:hAnsi="Arial"/>
          <w:sz w:val="14"/>
          <w:szCs w:val="14"/>
          <w:color w:val="auto"/>
        </w:rPr>
      </w:pPr>
    </w:p>
    <w:p>
      <w:pPr>
        <w:jc w:val="both"/>
        <w:ind w:left="286" w:hanging="286"/>
        <w:spacing w:after="0" w:line="257" w:lineRule="auto"/>
        <w:tabs>
          <w:tab w:leader="none" w:pos="286"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Arial" w:cs="Arial" w:eastAsia="Arial" w:hAnsi="Arial"/>
          <w:sz w:val="14"/>
          <w:szCs w:val="14"/>
          <w:color w:val="auto"/>
        </w:rPr>
      </w:pPr>
    </w:p>
    <w:p>
      <w:pPr>
        <w:ind w:left="286" w:right="20" w:hanging="286"/>
        <w:spacing w:after="0" w:line="270" w:lineRule="auto"/>
        <w:tabs>
          <w:tab w:leader="none" w:pos="286"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Language</w:t>
      </w:r>
      <w:r>
        <w:rPr>
          <w:rFonts w:ascii="Arial" w:cs="Arial" w:eastAsia="Arial" w:hAnsi="Arial"/>
          <w:sz w:val="14"/>
          <w:szCs w:val="14"/>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05" w:lineRule="exact"/>
        <w:rPr>
          <w:rFonts w:ascii="Arial" w:cs="Arial" w:eastAsia="Arial" w:hAnsi="Arial"/>
          <w:sz w:val="14"/>
          <w:szCs w:val="14"/>
          <w:color w:val="auto"/>
        </w:rPr>
      </w:pPr>
    </w:p>
    <w:p>
      <w:pPr>
        <w:ind w:left="286" w:right="20" w:hanging="286"/>
        <w:spacing w:after="0" w:line="270" w:lineRule="auto"/>
        <w:tabs>
          <w:tab w:leader="none" w:pos="286"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05" w:lineRule="exact"/>
        <w:rPr>
          <w:rFonts w:ascii="Arial" w:cs="Arial" w:eastAsia="Arial" w:hAnsi="Arial"/>
          <w:sz w:val="14"/>
          <w:szCs w:val="14"/>
          <w:color w:val="auto"/>
        </w:rPr>
      </w:pPr>
    </w:p>
    <w:p>
      <w:pPr>
        <w:jc w:val="both"/>
        <w:ind w:left="286" w:hanging="286"/>
        <w:spacing w:after="0" w:line="286" w:lineRule="auto"/>
        <w:tabs>
          <w:tab w:leader="none" w:pos="286"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Appendix</w:t>
      </w:r>
      <w:r>
        <w:rPr>
          <w:rFonts w:ascii="Arial" w:cs="Arial" w:eastAsia="Arial" w:hAnsi="Arial"/>
          <w:sz w:val="13"/>
          <w:szCs w:val="13"/>
          <w:color w:val="auto"/>
        </w:rPr>
        <w:t>. The Option shall be subject to any additional provisions set forth in the Appendix for the Optionee’s country of employment and/or residence, if any. If the Optionee relocates to one of the countries included in the Appendix during the life of the Option, the additional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97" w:lineRule="exact"/>
        <w:rPr>
          <w:rFonts w:ascii="Arial" w:cs="Arial" w:eastAsia="Arial" w:hAnsi="Arial"/>
          <w:sz w:val="13"/>
          <w:szCs w:val="13"/>
          <w:color w:val="auto"/>
        </w:rPr>
      </w:pPr>
    </w:p>
    <w:p>
      <w:pPr>
        <w:jc w:val="both"/>
        <w:ind w:left="286" w:right="20" w:hanging="286"/>
        <w:spacing w:after="0" w:line="257" w:lineRule="auto"/>
        <w:tabs>
          <w:tab w:leader="none" w:pos="286"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Additional Requirements</w:t>
      </w:r>
      <w:r>
        <w:rPr>
          <w:rFonts w:ascii="Arial" w:cs="Arial" w:eastAsia="Arial" w:hAnsi="Arial"/>
          <w:sz w:val="14"/>
          <w:szCs w:val="14"/>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114" w:lineRule="exact"/>
        <w:rPr>
          <w:rFonts w:ascii="Arial" w:cs="Arial" w:eastAsia="Arial" w:hAnsi="Arial"/>
          <w:sz w:val="14"/>
          <w:szCs w:val="14"/>
          <w:color w:val="auto"/>
        </w:rPr>
      </w:pPr>
    </w:p>
    <w:p>
      <w:pPr>
        <w:jc w:val="both"/>
        <w:ind w:left="286" w:right="20" w:hanging="286"/>
        <w:spacing w:after="0" w:line="257" w:lineRule="auto"/>
        <w:tabs>
          <w:tab w:leader="none" w:pos="286"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Private Placement</w:t>
      </w:r>
      <w:r>
        <w:rPr>
          <w:rFonts w:ascii="Arial" w:cs="Arial" w:eastAsia="Arial" w:hAnsi="Arial"/>
          <w:sz w:val="14"/>
          <w:szCs w:val="14"/>
          <w:color w:val="auto"/>
        </w:rPr>
        <w:t>. The Company has submitted filings in the United States in connection with the equity incentive plan under which this Option was made. The Company has not submitted any registration statement, prospectus or other filings with other local securities authorities (unless otherwise required under such local law), and the grant of the Option is not intended to be a public offering of securities in any other jurisdiction or subject to the supervision of other local securities authorities.</w:t>
      </w:r>
    </w:p>
    <w:p>
      <w:pPr>
        <w:spacing w:after="0" w:line="114" w:lineRule="exact"/>
        <w:rPr>
          <w:rFonts w:ascii="Arial" w:cs="Arial" w:eastAsia="Arial" w:hAnsi="Arial"/>
          <w:sz w:val="14"/>
          <w:szCs w:val="14"/>
          <w:color w:val="auto"/>
        </w:rPr>
      </w:pPr>
    </w:p>
    <w:p>
      <w:pPr>
        <w:jc w:val="both"/>
        <w:ind w:left="286" w:hanging="286"/>
        <w:spacing w:after="0" w:line="269" w:lineRule="auto"/>
        <w:tabs>
          <w:tab w:leader="none" w:pos="286"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Insider Trading Restrictions/Market Abuse Laws</w:t>
      </w:r>
      <w:r>
        <w:rPr>
          <w:rFonts w:ascii="Arial" w:cs="Arial" w:eastAsia="Arial" w:hAnsi="Arial"/>
          <w:sz w:val="13"/>
          <w:szCs w:val="13"/>
          <w:color w:val="auto"/>
        </w:rPr>
        <w:t>. The Optionee acknowledges that, depending on the Optionee’s or the Optionee’s broker’s country of residence or where the Common Stock is listed, the Optionee may be subject to insider trading restrictions and/or market abuse laws, which may affect the Optionee’s ability to accept, acquire, sell, or otherwise dispose of Common Stock, rights to Common Stock (</w:t>
      </w:r>
      <w:r>
        <w:rPr>
          <w:rFonts w:ascii="Arial" w:cs="Arial" w:eastAsia="Arial" w:hAnsi="Arial"/>
          <w:sz w:val="13"/>
          <w:szCs w:val="13"/>
          <w:i w:val="1"/>
          <w:iCs w:val="1"/>
          <w:color w:val="auto"/>
        </w:rPr>
        <w:t>e.g.</w:t>
      </w:r>
      <w:r>
        <w:rPr>
          <w:rFonts w:ascii="Arial" w:cs="Arial" w:eastAsia="Arial" w:hAnsi="Arial"/>
          <w:sz w:val="13"/>
          <w:szCs w:val="13"/>
          <w:color w:val="auto"/>
        </w:rPr>
        <w:t>, Options) or rights linked to the value of Common Stock (</w:t>
      </w:r>
      <w:r>
        <w:rPr>
          <w:rFonts w:ascii="Arial" w:cs="Arial" w:eastAsia="Arial" w:hAnsi="Arial"/>
          <w:sz w:val="13"/>
          <w:szCs w:val="13"/>
          <w:i w:val="1"/>
          <w:iCs w:val="1"/>
          <w:color w:val="auto"/>
        </w:rPr>
        <w:t>e.g.</w:t>
      </w:r>
      <w:r>
        <w:rPr>
          <w:rFonts w:ascii="Arial" w:cs="Arial" w:eastAsia="Arial" w:hAnsi="Arial"/>
          <w:sz w:val="13"/>
          <w:szCs w:val="13"/>
          <w:color w:val="auto"/>
        </w:rPr>
        <w:t>, phantom awards, futures) during such times as Optionee is considered to have “inside information” regarding the Company (as defined by the laws or regulations in the Optionee’s country). Local insider trading laws and regulations may prohibit the cancellation or amendment of orders the Optionee placed before possessing inside information. Furthermore, the Optionee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109" w:lineRule="exact"/>
        <w:rPr>
          <w:rFonts w:ascii="Arial" w:cs="Arial" w:eastAsia="Arial" w:hAnsi="Arial"/>
          <w:sz w:val="13"/>
          <w:szCs w:val="13"/>
          <w:color w:val="auto"/>
        </w:rPr>
      </w:pPr>
    </w:p>
    <w:p>
      <w:pPr>
        <w:jc w:val="both"/>
        <w:ind w:left="286" w:hanging="286"/>
        <w:spacing w:after="0" w:line="272" w:lineRule="auto"/>
        <w:tabs>
          <w:tab w:leader="none" w:pos="286"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Foreign Asset/Account, Exchange Control, and Tax Reporting</w:t>
      </w:r>
      <w:r>
        <w:rPr>
          <w:rFonts w:ascii="Arial" w:cs="Arial" w:eastAsia="Arial" w:hAnsi="Arial"/>
          <w:sz w:val="13"/>
          <w:szCs w:val="13"/>
          <w:color w:val="auto"/>
        </w:rPr>
        <w:t>. The Optionee may be subject to foreign asset/account, exchange control and/or tax reporting requirements as a result of the exercise of the Option, the acquisition, holding, and/or transfer of Option Shares or cash resulting from participation in the Plan and/or the opening and maintenance of a brokerage or bank account in connection with the Plan. The Optionee may be required to report such assets, accounts, account balances and values and/or related transactions to the applicable authorities in his or her country. The Optionee also may be required to repatriate sale proceeds or other funds received as a result of participation in the Plan to the Optionee’s country through a designated broker or bank and/or within a certain time after receipt. The Optionee acknowledges that he or she is responsible for ensuring compliance with any applicable foreign asset/account, exchange control and tax reporting requirements. The Optionee further understands that he or she should consult the Optionee’s personal legal advisor on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4"/>
          <w:szCs w:val="14"/>
          <w:color w:val="auto"/>
        </w:rPr>
        <w:t>VERSION 6/21</w:t>
        <w:tab/>
        <w:t>5</w:t>
      </w:r>
    </w:p>
    <w:p>
      <w:pPr>
        <w:sectPr>
          <w:pgSz w:w="11900" w:h="16838" w:orient="portrait"/>
          <w:cols w:equalWidth="0" w:num="1">
            <w:col w:w="11266"/>
          </w:cols>
          <w:pgMar w:left="314" w:top="1440" w:right="319" w:bottom="1440" w:gutter="0" w:footer="0" w:header="0"/>
        </w:sectPr>
      </w:pPr>
    </w:p>
    <w:bookmarkStart w:id="155" w:name="page156"/>
    <w:bookmarkEnd w:id="155"/>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43635" cy="35623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77">
                      <a:clrChange>
                        <a:clrFrom>
                          <a:srgbClr val="FFFFFF"/>
                        </a:clrFrom>
                        <a:clrTo>
                          <a:srgbClr val="FFFFFF">
                            <a:alpha val="0"/>
                          </a:srgbClr>
                        </a:clrTo>
                      </a:clrChange>
                      <a:extLst>
                        <a:ext uri="{28A0092B-C50C-407E-A947-70E740481C1C}"/>
                      </a:extLst>
                    </a:blip>
                    <a:srcRect/>
                    <a:stretch>
                      <a:fillRect/>
                    </a:stretch>
                  </pic:blipFill>
                  <pic:spPr bwMode="auto">
                    <a:xfrm>
                      <a:off x="0" y="0"/>
                      <a:ext cx="1143635" cy="356235"/>
                    </a:xfrm>
                    <a:prstGeom prst="rect">
                      <a:avLst/>
                    </a:prstGeom>
                    <a:noFill/>
                  </pic:spPr>
                </pic:pic>
              </a:graphicData>
            </a:graphic>
          </wp:anchor>
        </w:drawing>
      </w:r>
    </w:p>
    <w:p>
      <w:pPr>
        <w:ind w:left="286" w:hanging="286"/>
        <w:spacing w:after="0" w:line="270" w:lineRule="auto"/>
        <w:tabs>
          <w:tab w:leader="none" w:pos="286" w:val="left"/>
        </w:tabs>
        <w:numPr>
          <w:ilvl w:val="0"/>
          <w:numId w:val="150"/>
        </w:numPr>
        <w:rPr>
          <w:rFonts w:ascii="Arial" w:cs="Arial" w:eastAsia="Arial" w:hAnsi="Arial"/>
          <w:sz w:val="14"/>
          <w:szCs w:val="14"/>
          <w:color w:val="auto"/>
        </w:rPr>
      </w:pPr>
      <w:r>
        <w:rPr>
          <w:rFonts w:ascii="Arial" w:cs="Arial" w:eastAsia="Arial" w:hAnsi="Arial"/>
          <w:sz w:val="14"/>
          <w:szCs w:val="14"/>
          <w:u w:val="single" w:color="auto"/>
          <w:color w:val="auto"/>
        </w:rPr>
        <w:t>Waiver</w:t>
      </w:r>
      <w:r>
        <w:rPr>
          <w:rFonts w:ascii="Arial" w:cs="Arial" w:eastAsia="Arial" w:hAnsi="Arial"/>
          <w:sz w:val="14"/>
          <w:szCs w:val="14"/>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4"/>
          <w:szCs w:val="14"/>
          <w:color w:val="auto"/>
        </w:rPr>
        <w:t>VERSION 6/21</w:t>
        <w:tab/>
        <w:t>6</w:t>
      </w:r>
    </w:p>
    <w:p>
      <w:pPr>
        <w:sectPr>
          <w:pgSz w:w="11900" w:h="16838" w:orient="portrait"/>
          <w:cols w:equalWidth="0" w:num="1">
            <w:col w:w="11246"/>
          </w:cols>
          <w:pgMar w:left="314" w:top="1440" w:right="3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43635" cy="35623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78">
                      <a:clrChange>
                        <a:clrFrom>
                          <a:srgbClr val="FFFFFF"/>
                        </a:clrFrom>
                        <a:clrTo>
                          <a:srgbClr val="FFFFFF">
                            <a:alpha val="0"/>
                          </a:srgbClr>
                        </a:clrTo>
                      </a:clrChange>
                      <a:extLst>
                        <a:ext uri="{28A0092B-C50C-407E-A947-70E740481C1C}"/>
                      </a:extLst>
                    </a:blip>
                    <a:srcRect/>
                    <a:stretch>
                      <a:fillRect/>
                    </a:stretch>
                  </pic:blipFill>
                  <pic:spPr bwMode="auto">
                    <a:xfrm>
                      <a:off x="0" y="0"/>
                      <a:ext cx="1143635" cy="356235"/>
                    </a:xfrm>
                    <a:prstGeom prst="rect">
                      <a:avLst/>
                    </a:prstGeom>
                    <a:noFill/>
                  </pic:spPr>
                </pic:pic>
              </a:graphicData>
            </a:graphic>
          </wp:anchor>
        </w:drawing>
      </w: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A copy of the Plan prospectus is available on the Company’s Intranet at </w:t>
      </w:r>
      <w:r>
        <w:rPr>
          <w:rFonts w:ascii="Arial" w:cs="Arial" w:eastAsia="Arial" w:hAnsi="Arial"/>
          <w:sz w:val="14"/>
          <w:szCs w:val="14"/>
          <w:u w:val="single" w:color="auto"/>
          <w:color w:val="auto"/>
        </w:rPr>
        <w:t>https://thecircuit.web.analog.com/Pages/CircuitHome.aspx</w:t>
      </w:r>
      <w:r>
        <w:rPr>
          <w:rFonts w:ascii="Arial" w:cs="Arial" w:eastAsia="Arial" w:hAnsi="Arial"/>
          <w:sz w:val="14"/>
          <w:szCs w:val="14"/>
          <w:color w:val="auto"/>
        </w:rPr>
        <w:t>.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w:t>
      </w:r>
      <w:r>
        <w:rPr>
          <w:rFonts w:ascii="Arial" w:cs="Arial" w:eastAsia="Arial" w:hAnsi="Arial"/>
          <w:sz w:val="14"/>
          <w:szCs w:val="14"/>
          <w:u w:val="single" w:color="auto"/>
          <w:color w:val="auto"/>
        </w:rPr>
        <w:t>Stock_Plan_Admin@Analog.com</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40" w:type="dxa"/>
            <w:vAlign w:val="bottom"/>
          </w:tcPr>
          <w:p>
            <w:pPr>
              <w:spacing w:after="0"/>
              <w:rPr>
                <w:sz w:val="20"/>
                <w:szCs w:val="20"/>
                <w:color w:val="auto"/>
              </w:rPr>
            </w:pPr>
            <w:r>
              <w:rPr>
                <w:rFonts w:ascii="Arial" w:cs="Arial" w:eastAsia="Arial" w:hAnsi="Arial"/>
                <w:sz w:val="14"/>
                <w:szCs w:val="14"/>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Ray Stata</w:t>
            </w:r>
          </w:p>
        </w:tc>
        <w:tc>
          <w:tcPr>
            <w:tcW w:w="1980" w:type="dxa"/>
            <w:vAlign w:val="bottom"/>
          </w:tcPr>
          <w:p>
            <w:pPr>
              <w:ind w:left="1440"/>
              <w:spacing w:after="0"/>
              <w:rPr>
                <w:sz w:val="20"/>
                <w:szCs w:val="20"/>
                <w:color w:val="auto"/>
              </w:rPr>
            </w:pPr>
            <w:r>
              <w:rPr>
                <w:rFonts w:ascii="Arial" w:cs="Arial" w:eastAsia="Arial" w:hAnsi="Arial"/>
                <w:sz w:val="14"/>
                <w:szCs w:val="14"/>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Vincent Roche</w:t>
            </w:r>
          </w:p>
        </w:tc>
      </w:tr>
      <w:tr>
        <w:trPr>
          <w:trHeight w:val="194"/>
        </w:trPr>
        <w:tc>
          <w:tcPr>
            <w:tcW w:w="54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4"/>
                <w:szCs w:val="14"/>
                <w:color w:val="auto"/>
              </w:rPr>
              <w:t>Ray Stata, Chairman of the Board of Directors</w:t>
            </w:r>
          </w:p>
        </w:tc>
        <w:tc>
          <w:tcPr>
            <w:tcW w:w="198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4"/>
                <w:szCs w:val="14"/>
                <w:color w:val="auto"/>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tab/>
        <w:t>7</w:t>
      </w:r>
    </w:p>
    <w:p>
      <w:pPr>
        <w:sectPr>
          <w:pgSz w:w="11900" w:h="16838" w:orient="portrait"/>
          <w:cols w:equalWidth="0" w:num="1">
            <w:col w:w="11260"/>
          </w:cols>
          <w:pgMar w:left="320" w:top="1440" w:right="319" w:bottom="1440" w:gutter="0" w:footer="0" w:header="0"/>
        </w:sectPr>
      </w:pPr>
    </w:p>
    <w:bookmarkStart w:id="157" w:name="page158"/>
    <w:bookmarkEnd w:id="157"/>
    <w:p>
      <w:pPr>
        <w:ind w:left="52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79">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t>APPENDIX A</w:t>
      </w:r>
    </w:p>
    <w:p>
      <w:pPr>
        <w:spacing w:after="0" w:line="143"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GLOBAL 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color w:val="auto"/>
        </w:rPr>
        <w:t>This Appendix A includes additional terms and conditions that govern the Options granted to the Optionee if the Optionee resides and/or works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196" w:lineRule="exact"/>
        <w:rPr>
          <w:sz w:val="20"/>
          <w:szCs w:val="20"/>
          <w:color w:val="auto"/>
        </w:rPr>
      </w:pPr>
    </w:p>
    <w:p>
      <w:pPr>
        <w:jc w:val="both"/>
        <w:ind w:left="280"/>
        <w:spacing w:after="0" w:line="278" w:lineRule="auto"/>
        <w:rPr>
          <w:sz w:val="20"/>
          <w:szCs w:val="20"/>
          <w:color w:val="auto"/>
        </w:rPr>
      </w:pPr>
      <w:r>
        <w:rPr>
          <w:rFonts w:ascii="Arial" w:cs="Arial" w:eastAsia="Arial" w:hAnsi="Arial"/>
          <w:sz w:val="13"/>
          <w:szCs w:val="13"/>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June 2021.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 addition, the information is general in nature and may not apply to the Optionee’s particular situation, and the Company is not in a position to assure the Optionee of any particular result.</w:t>
      </w:r>
    </w:p>
    <w:p>
      <w:pPr>
        <w:spacing w:after="0" w:line="3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Therefore, the Optionee should seek appropriate professional advice as to how the relevant laws in the Optionee’s country may apply to his or her situation.</w:t>
      </w:r>
    </w:p>
    <w:p>
      <w:pPr>
        <w:spacing w:after="0" w:line="213"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4"/>
          <w:szCs w:val="14"/>
          <w:color w:val="auto"/>
        </w:rPr>
        <w:t>Finally, the Optionee understands that if he or she is a citizen or resident of a country other than the one in which the Optionee is currently working and/or residing, transfers employment and/or residency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TERMS AND CONDITIONS APPLICABLE TO OPTIONEES OUTSIDE THE U.S.</w:t>
      </w:r>
    </w:p>
    <w:p>
      <w:pPr>
        <w:spacing w:after="0" w:line="229"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b w:val="1"/>
          <w:bCs w:val="1"/>
          <w:i w:val="1"/>
          <w:iCs w:val="1"/>
          <w:u w:val="single" w:color="auto"/>
          <w:color w:val="auto"/>
        </w:rPr>
        <w:t>Data Privacy Information and Consent</w:t>
      </w:r>
      <w:r>
        <w:rPr>
          <w:rFonts w:ascii="Arial" w:cs="Arial" w:eastAsia="Arial" w:hAnsi="Arial"/>
          <w:sz w:val="14"/>
          <w:szCs w:val="14"/>
          <w:b w:val="1"/>
          <w:bCs w:val="1"/>
          <w:i w:val="1"/>
          <w:iCs w:val="1"/>
          <w:color w:val="auto"/>
        </w:rPr>
        <w:t>. The Company is located at One Analog Way, Wilmington, Massachusetts, 01887 U.S.A. and grants employees of the Company and its Subsidiaries Options, at the Company’s sole discretion. If the Optionee would like to participate in the Plan, please review the following information about the Company’s data processing practices and declare the Optionee’s consent.</w:t>
      </w:r>
    </w:p>
    <w:p>
      <w:pPr>
        <w:spacing w:after="0" w:line="114" w:lineRule="exact"/>
        <w:rPr>
          <w:sz w:val="20"/>
          <w:szCs w:val="20"/>
          <w:color w:val="auto"/>
        </w:rPr>
      </w:pPr>
    </w:p>
    <w:p>
      <w:pPr>
        <w:jc w:val="both"/>
        <w:ind w:left="560" w:hanging="286"/>
        <w:spacing w:after="0" w:line="274" w:lineRule="auto"/>
        <w:tabs>
          <w:tab w:leader="none" w:pos="552" w:val="left"/>
        </w:tabs>
        <w:numPr>
          <w:ilvl w:val="0"/>
          <w:numId w:val="151"/>
        </w:numPr>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Data Collection and Usage</w:t>
      </w:r>
      <w:r>
        <w:rPr>
          <w:rFonts w:ascii="Arial" w:cs="Arial" w:eastAsia="Arial" w:hAnsi="Arial"/>
          <w:sz w:val="13"/>
          <w:szCs w:val="13"/>
          <w:b w:val="1"/>
          <w:bCs w:val="1"/>
          <w:i w:val="1"/>
          <w:iCs w:val="1"/>
          <w:color w:val="auto"/>
        </w:rPr>
        <w:t>. The Company collects, processes and uses personal data of Optionees, including, name, home address and telephone number, date of birth, social insurance number or other identification number, salary, citizenship, job title, any shares of stock or directorships held in the Company, and details of all Options, canceled, vested, or outstanding in the Optionee’s favor, which the Company receives from the Optionee or the Employer. If the Company offers the Optionee a grant of Options under the Plan, then the Company will collect the Optionee’s personal data for purposes of allocating stock and implementing, administering and managing the Plan. The Company’s legal basis for the processing of the Optionee’s personal data would be his or her consent.</w:t>
      </w:r>
    </w:p>
    <w:p>
      <w:pPr>
        <w:spacing w:after="0" w:line="105" w:lineRule="exact"/>
        <w:rPr>
          <w:rFonts w:ascii="Arial" w:cs="Arial" w:eastAsia="Arial" w:hAnsi="Arial"/>
          <w:sz w:val="13"/>
          <w:szCs w:val="13"/>
          <w:color w:val="auto"/>
        </w:rPr>
      </w:pPr>
    </w:p>
    <w:p>
      <w:pPr>
        <w:jc w:val="both"/>
        <w:ind w:left="560" w:hanging="286"/>
        <w:spacing w:after="0" w:line="250" w:lineRule="auto"/>
        <w:tabs>
          <w:tab w:leader="none" w:pos="560" w:val="left"/>
        </w:tabs>
        <w:numPr>
          <w:ilvl w:val="0"/>
          <w:numId w:val="151"/>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participant data to Fidelity Stock Plan Services LLC (“Fidelity”), an independent service provider based in the United States, which assists the Company with the implementation, administration and management of the Plan. In the future, the Company may select a different service provider and share the Optionee’s data with another company that serves in a similar manner. The Company’s service provider will open an account for the Optionee to receive and trade shares of Common Stock. The Optionee will be asked to agree on separate terms and data processing practices with the service provider, which is a condition to the Optionee’s ability to participate in the Plan.</w:t>
      </w:r>
    </w:p>
    <w:p>
      <w:pPr>
        <w:spacing w:after="0" w:line="120" w:lineRule="exact"/>
        <w:rPr>
          <w:rFonts w:ascii="Arial" w:cs="Arial" w:eastAsia="Arial" w:hAnsi="Arial"/>
          <w:sz w:val="14"/>
          <w:szCs w:val="14"/>
          <w:color w:val="auto"/>
        </w:rPr>
      </w:pPr>
    </w:p>
    <w:p>
      <w:pPr>
        <w:jc w:val="both"/>
        <w:ind w:left="560" w:hanging="286"/>
        <w:spacing w:after="0" w:line="270" w:lineRule="auto"/>
        <w:tabs>
          <w:tab w:leader="none" w:pos="552" w:val="left"/>
        </w:tabs>
        <w:numPr>
          <w:ilvl w:val="0"/>
          <w:numId w:val="151"/>
        </w:numPr>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International Data Transfers</w:t>
      </w:r>
      <w:r>
        <w:rPr>
          <w:rFonts w:ascii="Arial" w:cs="Arial" w:eastAsia="Arial" w:hAnsi="Arial"/>
          <w:sz w:val="13"/>
          <w:szCs w:val="13"/>
          <w:b w:val="1"/>
          <w:bCs w:val="1"/>
          <w:i w:val="1"/>
          <w:iCs w:val="1"/>
          <w:color w:val="auto"/>
        </w:rPr>
        <w:t>. The Company and its service providers are based in the United States. If the Optionee is outside the United States, the Optionee should note that his or her country has enacted data privacy laws that are different from the United States and that the United States might not provide a level of protection of personal data equivalent to the level of protection in the Optionee’s country. In order to ensure an appropriate level of protection for the transfer of the Optionee’s personal data to the Company in the United States, the Company has implemented the EU Standard Contractual Clauses. However, the onward transfer of the Optionee’s personal data by the Company to its service provider is not subject to appropriate safeguards such as the EU Standard Contractual Clauses and is based solely on the Optionee’s consent. The Optionee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- 1</w:t>
      </w:r>
    </w:p>
    <w:p>
      <w:pPr>
        <w:sectPr>
          <w:pgSz w:w="11900" w:h="16838" w:orient="portrait"/>
          <w:cols w:equalWidth="0" w:num="1">
            <w:col w:w="10980"/>
          </w:cols>
          <w:pgMar w:left="320" w:top="911" w:right="59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80">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560" w:hanging="286"/>
        <w:spacing w:after="0" w:line="253" w:lineRule="auto"/>
        <w:tabs>
          <w:tab w:leader="none" w:pos="560" w:val="left"/>
        </w:tabs>
        <w:numPr>
          <w:ilvl w:val="0"/>
          <w:numId w:val="152"/>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Retention</w:t>
      </w:r>
      <w:r>
        <w:rPr>
          <w:rFonts w:ascii="Arial" w:cs="Arial" w:eastAsia="Arial" w:hAnsi="Arial"/>
          <w:sz w:val="14"/>
          <w:szCs w:val="14"/>
          <w:b w:val="1"/>
          <w:bCs w:val="1"/>
          <w:i w:val="1"/>
          <w:iCs w:val="1"/>
          <w:color w:val="auto"/>
        </w:rPr>
        <w:t>. The Company will use the Optionee’s personal data only as long as is necessary to implement, administer and manage the Optionee’s participation in the Plan or as required to comply with legal or regulatory obligations, including under tax, securities, exchange control, and labor laws. This period may extend beyond the Optionee’s employment with the Employer. If the Company keeps data longer, it would be to satisfy legal or regulatory obligations and the Company’s legal basis would be relevant laws or regulations.</w:t>
      </w:r>
    </w:p>
    <w:p>
      <w:pPr>
        <w:spacing w:after="0" w:line="116" w:lineRule="exact"/>
        <w:rPr>
          <w:rFonts w:ascii="Arial" w:cs="Arial" w:eastAsia="Arial" w:hAnsi="Arial"/>
          <w:sz w:val="14"/>
          <w:szCs w:val="14"/>
          <w:color w:val="auto"/>
        </w:rPr>
      </w:pPr>
    </w:p>
    <w:p>
      <w:pPr>
        <w:jc w:val="both"/>
        <w:ind w:left="560" w:right="20" w:hanging="286"/>
        <w:spacing w:after="0" w:line="320" w:lineRule="auto"/>
        <w:tabs>
          <w:tab w:leader="none" w:pos="552" w:val="left"/>
        </w:tabs>
        <w:numPr>
          <w:ilvl w:val="0"/>
          <w:numId w:val="152"/>
        </w:numPr>
        <w:rPr>
          <w:rFonts w:ascii="Arial" w:cs="Arial" w:eastAsia="Arial" w:hAnsi="Arial"/>
          <w:sz w:val="12"/>
          <w:szCs w:val="12"/>
          <w:color w:val="auto"/>
        </w:rPr>
      </w:pPr>
      <w:r>
        <w:rPr>
          <w:rFonts w:ascii="Arial" w:cs="Arial" w:eastAsia="Arial" w:hAnsi="Arial"/>
          <w:sz w:val="12"/>
          <w:szCs w:val="12"/>
          <w:b w:val="1"/>
          <w:bCs w:val="1"/>
          <w:i w:val="1"/>
          <w:iCs w:val="1"/>
          <w:u w:val="single" w:color="auto"/>
          <w:color w:val="auto"/>
        </w:rPr>
        <w:t>Voluntariness and Consequences of Consent Denial or Withdrawal</w:t>
      </w:r>
      <w:r>
        <w:rPr>
          <w:rFonts w:ascii="Arial" w:cs="Arial" w:eastAsia="Arial" w:hAnsi="Arial"/>
          <w:sz w:val="12"/>
          <w:szCs w:val="12"/>
          <w:b w:val="1"/>
          <w:bCs w:val="1"/>
          <w:i w:val="1"/>
          <w:iCs w:val="1"/>
          <w:color w:val="auto"/>
        </w:rPr>
        <w:t>. The Optionee’s participation in the Plan and the Optionee’s grant of consent is purely voluntary. The Optionee may deny or withdraw his or her consent at any time. If the Optionee does not consent, or if the Optionee withdraws his or her consent, the Optionee cannot participate in the Plan. This would not affect the Optionee’s salary from or employment with the Employer; the Optionee would merely forfeit the opportunities associated with the Plan.</w:t>
      </w:r>
    </w:p>
    <w:p>
      <w:pPr>
        <w:spacing w:after="0" w:line="79" w:lineRule="exact"/>
        <w:rPr>
          <w:rFonts w:ascii="Arial" w:cs="Arial" w:eastAsia="Arial" w:hAnsi="Arial"/>
          <w:sz w:val="12"/>
          <w:szCs w:val="12"/>
          <w:color w:val="auto"/>
        </w:rPr>
      </w:pPr>
    </w:p>
    <w:p>
      <w:pPr>
        <w:jc w:val="both"/>
        <w:ind w:left="560" w:right="20" w:hanging="286"/>
        <w:spacing w:after="0" w:line="274" w:lineRule="auto"/>
        <w:tabs>
          <w:tab w:leader="none" w:pos="560" w:val="left"/>
        </w:tabs>
        <w:numPr>
          <w:ilvl w:val="0"/>
          <w:numId w:val="152"/>
        </w:numPr>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Data Subject Rights</w:t>
      </w:r>
      <w:r>
        <w:rPr>
          <w:rFonts w:ascii="Arial" w:cs="Arial" w:eastAsia="Arial" w:hAnsi="Arial"/>
          <w:sz w:val="13"/>
          <w:szCs w:val="13"/>
          <w:b w:val="1"/>
          <w:bCs w:val="1"/>
          <w:i w:val="1"/>
          <w:iCs w:val="1"/>
          <w:color w:val="auto"/>
        </w:rPr>
        <w:t>. The Optionee has a number of rights under data privacy laws in his or her country. Depending on where the Optionee is based, the Optionee’s rights may include the right to (a) request access or copies of personal data the Company processes, (b) rectification of incorrect data, (c) deletion of data, (d) restrictions on processing, (e) portability of data, (f) lodge complaints with competent authorities in the Optionee’s country, and/or (g) a list with the names and addresses of any potential recipients of the Optionee’s personal data. To receive clarification regarding the Optionee’s rights or to exercise the Optionee’s rights please contact the Company at Analog Devices, Inc., One Analog Way, Wilmington, Massachusetts, 01887 U.S.A., Attention: Stock Plan Administrator.</w:t>
      </w:r>
    </w:p>
    <w:p>
      <w:pPr>
        <w:spacing w:after="0" w:line="106" w:lineRule="exact"/>
        <w:rPr>
          <w:sz w:val="20"/>
          <w:szCs w:val="20"/>
          <w:color w:val="auto"/>
        </w:rPr>
      </w:pPr>
    </w:p>
    <w:p>
      <w:pPr>
        <w:jc w:val="both"/>
        <w:ind w:left="280" w:right="20"/>
        <w:spacing w:after="0" w:line="310" w:lineRule="auto"/>
        <w:rPr>
          <w:sz w:val="20"/>
          <w:szCs w:val="20"/>
          <w:color w:val="auto"/>
        </w:rPr>
      </w:pPr>
      <w:r>
        <w:rPr>
          <w:rFonts w:ascii="Arial" w:cs="Arial" w:eastAsia="Arial" w:hAnsi="Arial"/>
          <w:sz w:val="13"/>
          <w:szCs w:val="13"/>
          <w:b w:val="1"/>
          <w:bCs w:val="1"/>
          <w:i w:val="1"/>
          <w:iCs w:val="1"/>
          <w:color w:val="auto"/>
        </w:rPr>
        <w:t>If the Optionee resides in a European Economic Area, European Union member state or the United Kingdom and agrees with the data processing practices described in this notice, the Optionee declares his or her consent by clicking “Accept Your Grant” on the Accepting Your Grants page on Fidelity’s participant website.</w:t>
      </w:r>
    </w:p>
    <w:p>
      <w:pPr>
        <w:spacing w:after="0" w:line="163"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Language</w:t>
      </w:r>
      <w:r>
        <w:rPr>
          <w:rFonts w:ascii="Arial" w:cs="Arial" w:eastAsia="Arial" w:hAnsi="Arial"/>
          <w:sz w:val="14"/>
          <w:szCs w:val="14"/>
          <w:color w:val="auto"/>
        </w:rPr>
        <w:t>. The Optionee acknowledges that he or she is sufficiently proficient in English, or has consulted with an advisor who is sufficiently proficient in English, to understand the terms and conditions of this Agreement.</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AUSTRIA</w:t>
      </w:r>
    </w:p>
    <w:p>
      <w:pPr>
        <w:spacing w:after="0" w:line="229" w:lineRule="exact"/>
        <w:rPr>
          <w:sz w:val="20"/>
          <w:szCs w:val="20"/>
          <w:color w:val="auto"/>
        </w:rPr>
      </w:pPr>
    </w:p>
    <w:p>
      <w:pPr>
        <w:jc w:val="both"/>
        <w:ind w:left="280"/>
        <w:spacing w:after="0" w:line="286"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If the Optionee holds Option Shares acquired under the Plan outside Austria (even if he or she holds them outside Austria with an Austrian bank), then the Optionee understands that he or she must submit an annual report to the Austrian National Bank using the form “</w:t>
      </w:r>
      <w:r>
        <w:rPr>
          <w:rFonts w:ascii="Arial" w:cs="Arial" w:eastAsia="Arial" w:hAnsi="Arial"/>
          <w:sz w:val="13"/>
          <w:szCs w:val="13"/>
          <w:i w:val="1"/>
          <w:iCs w:val="1"/>
          <w:color w:val="auto"/>
        </w:rPr>
        <w:t>Standmeldung/Wertpapiere</w:t>
      </w:r>
      <w:r>
        <w:rPr>
          <w:rFonts w:ascii="Arial" w:cs="Arial" w:eastAsia="Arial" w:hAnsi="Arial"/>
          <w:sz w:val="13"/>
          <w:szCs w:val="13"/>
          <w:color w:val="auto"/>
        </w:rPr>
        <w:t>.” An exemption applies if the value of the securities held outside Austria does not exceed certain thresholds. If applicable, the deadline for filing the annual report is January 31 of the following year.</w:t>
      </w:r>
    </w:p>
    <w:p>
      <w:pPr>
        <w:spacing w:after="0" w:line="179" w:lineRule="exact"/>
        <w:rPr>
          <w:sz w:val="20"/>
          <w:szCs w:val="20"/>
          <w:color w:val="auto"/>
        </w:rPr>
      </w:pPr>
    </w:p>
    <w:p>
      <w:pPr>
        <w:jc w:val="both"/>
        <w:ind w:left="280" w:right="20"/>
        <w:spacing w:after="0" w:line="253" w:lineRule="auto"/>
        <w:rPr>
          <w:sz w:val="20"/>
          <w:szCs w:val="20"/>
          <w:color w:val="auto"/>
        </w:rPr>
      </w:pPr>
      <w:r>
        <w:rPr>
          <w:rFonts w:ascii="Arial" w:cs="Arial" w:eastAsia="Arial" w:hAnsi="Arial"/>
          <w:sz w:val="14"/>
          <w:szCs w:val="14"/>
          <w:color w:val="auto"/>
        </w:rPr>
        <w:t>When the Option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Optionee’s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4"/>
          <w:szCs w:val="14"/>
          <w:i w:val="1"/>
          <w:iCs w:val="1"/>
          <w:color w:val="auto"/>
        </w:rPr>
        <w:t>Meldungen SI-Forderungen und/oder SI-Verpflichtungen</w:t>
      </w:r>
      <w:r>
        <w:rPr>
          <w:rFonts w:ascii="Arial" w:cs="Arial" w:eastAsia="Arial" w:hAnsi="Arial"/>
          <w:sz w:val="14"/>
          <w:szCs w:val="14"/>
          <w:color w:val="auto"/>
        </w:rPr>
        <w:t>.”</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BELGIUM</w:t>
      </w:r>
    </w:p>
    <w:p>
      <w:pPr>
        <w:spacing w:after="0" w:line="229" w:lineRule="exact"/>
        <w:rPr>
          <w:sz w:val="20"/>
          <w:szCs w:val="20"/>
          <w:color w:val="auto"/>
        </w:rPr>
      </w:pPr>
    </w:p>
    <w:p>
      <w:pPr>
        <w:jc w:val="both"/>
        <w:ind w:left="280" w:right="20"/>
        <w:spacing w:after="0" w:line="356" w:lineRule="auto"/>
        <w:rPr>
          <w:sz w:val="20"/>
          <w:szCs w:val="20"/>
          <w:color w:val="auto"/>
        </w:rPr>
      </w:pPr>
      <w:r>
        <w:rPr>
          <w:rFonts w:ascii="Arial" w:cs="Arial" w:eastAsia="Arial" w:hAnsi="Arial"/>
          <w:sz w:val="12"/>
          <w:szCs w:val="12"/>
          <w:u w:val="single" w:color="auto"/>
          <w:color w:val="auto"/>
        </w:rPr>
        <w:t>Taxation of Option</w:t>
      </w:r>
      <w:r>
        <w:rPr>
          <w:rFonts w:ascii="Arial" w:cs="Arial" w:eastAsia="Arial" w:hAnsi="Arial"/>
          <w:sz w:val="12"/>
          <w:szCs w:val="12"/>
          <w:color w:val="auto"/>
        </w:rPr>
        <w:t>. The Optionee will not be permitted to accept the Options until after 60 days from the offer date. If the Optionee accepts the Options within 60 days of the offer date, the Optionee will be deemed to have accepted the Option after the 60th day from the offer date. Therefore, the Options will not be subject to Belgian tax until they are exercised by the Optionee.</w:t>
      </w:r>
    </w:p>
    <w:p>
      <w:pPr>
        <w:spacing w:after="0" w:line="140" w:lineRule="exact"/>
        <w:rPr>
          <w:sz w:val="20"/>
          <w:szCs w:val="20"/>
          <w:color w:val="auto"/>
        </w:rPr>
      </w:pPr>
    </w:p>
    <w:p>
      <w:pPr>
        <w:jc w:val="both"/>
        <w:ind w:left="280"/>
        <w:spacing w:after="0" w:line="286" w:lineRule="auto"/>
        <w:rPr>
          <w:sz w:val="20"/>
          <w:szCs w:val="20"/>
          <w:color w:val="auto"/>
        </w:rPr>
      </w:pPr>
      <w:r>
        <w:rPr>
          <w:rFonts w:ascii="Arial" w:cs="Arial" w:eastAsia="Arial" w:hAnsi="Arial"/>
          <w:sz w:val="13"/>
          <w:szCs w:val="13"/>
          <w:u w:val="single" w:color="auto"/>
          <w:color w:val="auto"/>
        </w:rPr>
        <w:t>Foreign Asset / Account Reporting Information</w:t>
      </w:r>
      <w:r>
        <w:rPr>
          <w:rFonts w:ascii="Arial" w:cs="Arial" w:eastAsia="Arial" w:hAnsi="Arial"/>
          <w:sz w:val="13"/>
          <w:szCs w:val="13"/>
          <w:color w:val="auto"/>
        </w:rPr>
        <w:t>. The Optionee is required to report any securities (e.g., Option Shares) or bank accounts opened and maintained outside Belgium on his or her annual tax return. In a separate report, certain details regarding such foreign accounts (including the account number, bank name and country in which such account was opened) must be reported to the Central Contact Point of the National Bank of Belgium. The forms to complete this report are available on the website of the National Bank of Belgium.</w:t>
      </w:r>
    </w:p>
    <w:p>
      <w:pPr>
        <w:spacing w:after="0" w:line="179"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u w:val="single" w:color="auto"/>
          <w:color w:val="auto"/>
        </w:rPr>
        <w:t>Stock Exchange Tax</w:t>
      </w:r>
      <w:r>
        <w:rPr>
          <w:rFonts w:ascii="Arial" w:cs="Arial" w:eastAsia="Arial" w:hAnsi="Arial"/>
          <w:sz w:val="14"/>
          <w:szCs w:val="14"/>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- 2</w:t>
      </w:r>
    </w:p>
    <w:p>
      <w:pPr>
        <w:sectPr>
          <w:pgSz w:w="11900" w:h="16838" w:orient="portrait"/>
          <w:cols w:equalWidth="0" w:num="1">
            <w:col w:w="10980"/>
          </w:cols>
          <w:pgMar w:left="320" w:top="1440" w:right="59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81">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color w:val="auto"/>
        </w:rPr>
        <w:t>exchange tax directly. The stock exchange tax likely will apply when Option Shares acquired under the Plan are sold. Belgian residents should consult with a personal tax or financial advisor for additional details on their obligations with respect to the stock exchange tax.</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CANADA</w:t>
      </w:r>
    </w:p>
    <w:p>
      <w:pPr>
        <w:spacing w:after="0" w:line="229"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196" w:lineRule="exact"/>
        <w:rPr>
          <w:sz w:val="20"/>
          <w:szCs w:val="20"/>
          <w:color w:val="auto"/>
        </w:rPr>
      </w:pPr>
    </w:p>
    <w:p>
      <w:pPr>
        <w:jc w:val="both"/>
        <w:ind w:left="280" w:right="20"/>
        <w:spacing w:after="0" w:line="308" w:lineRule="auto"/>
        <w:rPr>
          <w:sz w:val="20"/>
          <w:szCs w:val="20"/>
          <w:color w:val="auto"/>
        </w:rPr>
      </w:pPr>
      <w:r>
        <w:rPr>
          <w:rFonts w:ascii="Arial" w:cs="Arial" w:eastAsia="Arial" w:hAnsi="Arial"/>
          <w:sz w:val="12"/>
          <w:szCs w:val="12"/>
          <w:u w:val="single" w:color="auto"/>
          <w:color w:val="auto"/>
        </w:rPr>
        <w:t>Payment of Exercise Price and Withholding Taxes</w:t>
      </w:r>
      <w:r>
        <w:rPr>
          <w:rFonts w:ascii="Arial" w:cs="Arial" w:eastAsia="Arial" w:hAnsi="Arial"/>
          <w:sz w:val="12"/>
          <w:szCs w:val="12"/>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2"/>
          <w:szCs w:val="12"/>
          <w:u w:val="single" w:color="auto"/>
          <w:color w:val="auto"/>
        </w:rPr>
        <w:t>Termination of Employment</w:t>
      </w:r>
      <w:r>
        <w:rPr>
          <w:rFonts w:ascii="Arial" w:cs="Arial" w:eastAsia="Arial" w:hAnsi="Arial"/>
          <w:sz w:val="12"/>
          <w:szCs w:val="12"/>
          <w:color w:val="auto"/>
        </w:rPr>
        <w:t>. The following supplements Section 3 of the Agreement (except Section 3(g) regarding disability) as well as any other section required to give effect to the same:</w:t>
      </w:r>
    </w:p>
    <w:p>
      <w:pPr>
        <w:spacing w:after="0" w:line="236" w:lineRule="exact"/>
        <w:rPr>
          <w:sz w:val="20"/>
          <w:szCs w:val="20"/>
          <w:color w:val="auto"/>
        </w:rPr>
      </w:pPr>
    </w:p>
    <w:p>
      <w:pPr>
        <w:jc w:val="both"/>
        <w:ind w:left="280"/>
        <w:spacing w:after="0" w:line="308" w:lineRule="auto"/>
        <w:rPr>
          <w:sz w:val="20"/>
          <w:szCs w:val="20"/>
          <w:color w:val="auto"/>
        </w:rPr>
      </w:pPr>
      <w:r>
        <w:rPr>
          <w:rFonts w:ascii="Arial" w:cs="Arial" w:eastAsia="Arial" w:hAnsi="Arial"/>
          <w:sz w:val="12"/>
          <w:szCs w:val="12"/>
          <w:color w:val="auto"/>
        </w:rPr>
        <w:t>In the event of termination of the Optionee’s employment for any reason (other than by reason of the Optionee’s death), either by the Optionee or by the Employer, with or without cause, the Optionee's right to vest or continue to vest in the Option under the Plan, if any, will terminate as of the actual Date of Termination. For this purpose, “Date of Termination” shall mean the last day on which the Optionee is actively employed by the Employer, and shall not include or be extended by any period following such day during which the Optionee is in receipt of or eligible to receive any notice of termination, pay in lieu of notice of termination, severance pay or any other payments or damages, whether arising under statute, contract or at common law.</w:t>
      </w:r>
    </w:p>
    <w:p>
      <w:pPr>
        <w:spacing w:after="0" w:line="169" w:lineRule="exact"/>
        <w:rPr>
          <w:sz w:val="20"/>
          <w:szCs w:val="20"/>
          <w:color w:val="auto"/>
        </w:rPr>
      </w:pPr>
    </w:p>
    <w:p>
      <w:pPr>
        <w:jc w:val="both"/>
        <w:ind w:left="280" w:right="20"/>
        <w:spacing w:after="0" w:line="286" w:lineRule="auto"/>
        <w:rPr>
          <w:sz w:val="20"/>
          <w:szCs w:val="20"/>
          <w:color w:val="auto"/>
        </w:rPr>
      </w:pPr>
      <w:r>
        <w:rPr>
          <w:rFonts w:ascii="Arial" w:cs="Arial" w:eastAsia="Arial" w:hAnsi="Arial"/>
          <w:sz w:val="13"/>
          <w:szCs w:val="13"/>
          <w:color w:val="auto"/>
        </w:rPr>
        <w:t>Notwithstanding the foregoing, if applicable employment standards legislation explicitly requires continued entitlement to vesting during a statutory notice period, the Optionee’s right to vest in the Options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spacing w:after="0" w:line="179" w:lineRule="exact"/>
        <w:rPr>
          <w:sz w:val="20"/>
          <w:szCs w:val="20"/>
          <w:color w:val="auto"/>
        </w:rPr>
      </w:pPr>
    </w:p>
    <w:p>
      <w:pPr>
        <w:jc w:val="both"/>
        <w:ind w:left="280"/>
        <w:spacing w:after="0" w:line="272" w:lineRule="auto"/>
        <w:rPr>
          <w:sz w:val="20"/>
          <w:szCs w:val="20"/>
          <w:color w:val="auto"/>
        </w:rPr>
      </w:pPr>
      <w:r>
        <w:rPr>
          <w:rFonts w:ascii="Arial" w:cs="Arial" w:eastAsia="Arial" w:hAnsi="Arial"/>
          <w:sz w:val="13"/>
          <w:szCs w:val="13"/>
          <w:u w:val="single" w:color="auto"/>
          <w:color w:val="auto"/>
        </w:rPr>
        <w:t>Foreign Asset / Account Reporting Information</w:t>
      </w:r>
      <w:r>
        <w:rPr>
          <w:rFonts w:ascii="Arial" w:cs="Arial" w:eastAsia="Arial" w:hAnsi="Arial"/>
          <w:sz w:val="13"/>
          <w:szCs w:val="13"/>
          <w:color w:val="auto"/>
        </w:rPr>
        <w:t>. Foreign specified property (including cash held outside Canada or Option Shares) held by Canadian residents must be reported annually on Form T1135 (Foreign Income Verification Statement) if the cost of such foreign specified property exceeds C$100,000 at any time during the year. Foreign specified property may also include the unvested portion of the Options. The Options must be reported (generally at a nil cost) if the $100,000 cost threshold is exceeded because of other foreign specified property the Optionee holds. If Option Shares are acquired, their cost generally is the adjusted cost base (“ACB”) of the Option Shares. The ACB would normally equal the fair market value of the Option Shares at exercise, but if the Optionee owns other shares, this ACB may have to be averaged with the ACB of the other shares. If due, the Form must be filed by April 30 of the following year. The Optionee should consult with his or her personal tax advisor to determine the reporting requirements.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The following terms and conditions apply if the Optionee is in Quebec:</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Data Privacy</w:t>
      </w:r>
      <w:r>
        <w:rPr>
          <w:rFonts w:ascii="Arial" w:cs="Arial" w:eastAsia="Arial" w:hAnsi="Arial"/>
          <w:sz w:val="14"/>
          <w:szCs w:val="14"/>
          <w:color w:val="auto"/>
        </w:rPr>
        <w:t>. This provision supplements the Data Privacy Information and Consent provision in the Terms and Conditions for Optionees Outside the U.S. set forth above:</w:t>
      </w:r>
    </w:p>
    <w:p>
      <w:pPr>
        <w:spacing w:after="0" w:line="225"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further authorizes the Company and the Employer to record such information and to keep such information in the Optionee’s employee file.</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French Language Acknowledgment</w:t>
      </w:r>
      <w:r>
        <w:rPr>
          <w:rFonts w:ascii="Arial" w:cs="Arial" w:eastAsia="Arial" w:hAnsi="Arial"/>
          <w:sz w:val="14"/>
          <w:szCs w:val="14"/>
          <w:color w:val="auto"/>
        </w:rPr>
        <w:t>. This provision supplements Section 19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- 3</w:t>
      </w:r>
    </w:p>
    <w:p>
      <w:pPr>
        <w:sectPr>
          <w:pgSz w:w="11900" w:h="16838" w:orient="portrait"/>
          <w:cols w:equalWidth="0" w:num="1">
            <w:col w:w="10980"/>
          </w:cols>
          <w:pgMar w:left="320" w:top="1440" w:right="59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82">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87"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CHINA</w:t>
      </w:r>
    </w:p>
    <w:p>
      <w:pPr>
        <w:spacing w:after="0" w:line="229"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b w:val="1"/>
          <w:bCs w:val="1"/>
          <w:i w:val="1"/>
          <w:iCs w:val="1"/>
          <w:color w:val="auto"/>
        </w:rPr>
        <w:t>The following provision applies if the Optionee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87" w:lineRule="exact"/>
        <w:rPr>
          <w:sz w:val="20"/>
          <w:szCs w:val="20"/>
          <w:color w:val="auto"/>
        </w:rPr>
      </w:pPr>
    </w:p>
    <w:p>
      <w:pPr>
        <w:jc w:val="both"/>
        <w:ind w:left="280"/>
        <w:spacing w:after="0" w:line="249" w:lineRule="auto"/>
        <w:rPr>
          <w:sz w:val="20"/>
          <w:szCs w:val="20"/>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 Notwithstanding anything to the contrary in the Plan or the Agreement, the Options will not vest and no Option Shares will be issued to the Optionee unless and until all necessary exchange control or other approvals with respect to the Options under the Plan have been obtained from the SAFE or its local counterpart (“SAFE Approval”). In the event that SAFE Approval has not been obtained prior to any date(s) on which the Options are scheduled to vest in accordance with the vesting schedule set forth in the Agreement, the Options will not vest until the seventh day of the month following the month in which SAFE Approval is obtained (the “Actual Vesting Date”). If the Optionee’s status as a service provider terminates prior to the Actual Vesting Date, the Optionee shall not be entitled to vest in any portion of the Options and the Options shall be forfeited without any liability to the Company, the Employer or any other Parent or Subsidiary of the Company.</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Payment of Exercise Price</w:t>
      </w:r>
      <w:r>
        <w:rPr>
          <w:rFonts w:ascii="Arial" w:cs="Arial" w:eastAsia="Arial" w:hAnsi="Arial"/>
          <w:sz w:val="14"/>
          <w:szCs w:val="14"/>
          <w:color w:val="auto"/>
        </w:rPr>
        <w:t>. The following supplements Section 4 of the Agreement:</w:t>
      </w:r>
    </w:p>
    <w:p>
      <w:pPr>
        <w:spacing w:after="0" w:line="225" w:lineRule="exact"/>
        <w:rPr>
          <w:sz w:val="20"/>
          <w:szCs w:val="20"/>
          <w:color w:val="auto"/>
        </w:rPr>
      </w:pPr>
    </w:p>
    <w:p>
      <w:pPr>
        <w:jc w:val="both"/>
        <w:ind w:left="280"/>
        <w:spacing w:after="0" w:line="249" w:lineRule="auto"/>
        <w:rPr>
          <w:sz w:val="20"/>
          <w:szCs w:val="20"/>
          <w:color w:val="auto"/>
        </w:rPr>
      </w:pPr>
      <w:r>
        <w:rPr>
          <w:rFonts w:ascii="Arial" w:cs="Arial" w:eastAsia="Arial" w:hAnsi="Arial"/>
          <w:sz w:val="14"/>
          <w:szCs w:val="14"/>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202" w:lineRule="exact"/>
        <w:rPr>
          <w:sz w:val="20"/>
          <w:szCs w:val="20"/>
          <w:color w:val="auto"/>
        </w:rPr>
      </w:pPr>
    </w:p>
    <w:p>
      <w:pPr>
        <w:jc w:val="both"/>
        <w:ind w:left="280"/>
        <w:spacing w:after="0" w:line="253" w:lineRule="auto"/>
        <w:rPr>
          <w:sz w:val="20"/>
          <w:szCs w:val="20"/>
          <w:color w:val="auto"/>
        </w:rPr>
      </w:pPr>
      <w:r>
        <w:rPr>
          <w:rFonts w:ascii="Arial" w:cs="Arial" w:eastAsia="Arial" w:hAnsi="Arial"/>
          <w:sz w:val="14"/>
          <w:szCs w:val="14"/>
          <w:u w:val="single" w:color="auto"/>
          <w:color w:val="auto"/>
        </w:rPr>
        <w:t>Exchange Control Requirements</w:t>
      </w:r>
      <w:r>
        <w:rPr>
          <w:rFonts w:ascii="Arial" w:cs="Arial" w:eastAsia="Arial" w:hAnsi="Arial"/>
          <w:sz w:val="14"/>
          <w:szCs w:val="14"/>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198" w:lineRule="exact"/>
        <w:rPr>
          <w:sz w:val="20"/>
          <w:szCs w:val="20"/>
          <w:color w:val="auto"/>
        </w:rPr>
      </w:pPr>
    </w:p>
    <w:p>
      <w:pPr>
        <w:jc w:val="both"/>
        <w:ind w:left="280"/>
        <w:spacing w:after="0" w:line="250" w:lineRule="auto"/>
        <w:rPr>
          <w:sz w:val="20"/>
          <w:szCs w:val="20"/>
          <w:color w:val="auto"/>
        </w:rPr>
      </w:pPr>
      <w:r>
        <w:rPr>
          <w:rFonts w:ascii="Arial" w:cs="Arial" w:eastAsia="Arial" w:hAnsi="Arial"/>
          <w:sz w:val="14"/>
          <w:szCs w:val="14"/>
          <w:color w:val="auto"/>
        </w:rPr>
        <w:t>Further, notwithstanding Section 3(e) or 3(g) of the Agreement, if the Optionee terminates employment with the Company or the Employer due to death or the Optionee becomes Disabled as determined by the Company, the vesting of the Option shall accelerate on the date of such termination or determination of disability, and the Option shall continue to be exercisable for a period of three (3) months (or such other period as may be required by the SAFE) following the termination date due to death or disability. If the Optionee or the Optionee’s heirs do not exercise the Option within three (3) months (or such other period as may be required by the SAFE) of the Optionee’s death or date of termination in the event of disability, the Option will be forfeited and the Optionee or the Optionee’s heirs will not be able to exercise the Option.</w:t>
      </w:r>
    </w:p>
    <w:p>
      <w:pPr>
        <w:spacing w:after="0" w:line="191" w:lineRule="exact"/>
        <w:rPr>
          <w:sz w:val="20"/>
          <w:szCs w:val="20"/>
          <w:color w:val="auto"/>
        </w:rPr>
      </w:pPr>
    </w:p>
    <w:p>
      <w:pPr>
        <w:jc w:val="both"/>
        <w:ind w:left="280"/>
        <w:spacing w:after="0" w:line="253" w:lineRule="auto"/>
        <w:rPr>
          <w:sz w:val="20"/>
          <w:szCs w:val="20"/>
          <w:color w:val="auto"/>
        </w:rPr>
      </w:pPr>
      <w:r>
        <w:rPr>
          <w:rFonts w:ascii="Arial" w:cs="Arial" w:eastAsia="Arial" w:hAnsi="Arial"/>
          <w:sz w:val="14"/>
          <w:szCs w:val="14"/>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- 4</w:t>
      </w:r>
    </w:p>
    <w:p>
      <w:pPr>
        <w:sectPr>
          <w:pgSz w:w="11900" w:h="16838" w:orient="portrait"/>
          <w:cols w:equalWidth="0" w:num="1">
            <w:col w:w="10980"/>
          </w:cols>
          <w:pgMar w:left="320" w:top="1440" w:right="59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83">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DENMARK</w:t>
      </w:r>
    </w:p>
    <w:p>
      <w:pPr>
        <w:spacing w:after="0" w:line="229"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Danish Stock Option Act</w:t>
      </w:r>
      <w:r>
        <w:rPr>
          <w:rFonts w:ascii="Arial" w:cs="Arial" w:eastAsia="Arial" w:hAnsi="Arial"/>
          <w:sz w:val="14"/>
          <w:szCs w:val="14"/>
          <w:color w:val="auto"/>
        </w:rPr>
        <w:t>. By participating in the Plan, the Optionee acknowledges that he or she received an Employer Statement translated into Danish, which is being provided to comply with the Danish Stock Option Act, as amended effective January 1, 2019, and is attached hereto as Appendix B.</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Notice of Grant</w:t>
      </w:r>
      <w:r>
        <w:rPr>
          <w:rFonts w:ascii="Arial" w:cs="Arial" w:eastAsia="Arial" w:hAnsi="Arial"/>
          <w:sz w:val="14"/>
          <w:szCs w:val="14"/>
          <w:color w:val="auto"/>
        </w:rPr>
        <w:t>. This provision supplements Section 8 in the Agreement: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By accepting the Option, the Optionee acknowledges, understands and agrees that this grant relates to future services to be performed and is not a bonus or compensation for past services.</w:t>
      </w:r>
    </w:p>
    <w:p>
      <w:pPr>
        <w:spacing w:after="0" w:line="248"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u w:val="single" w:color="auto"/>
          <w:color w:val="auto"/>
        </w:rPr>
        <w:t>Foreign Asset / Account Reporting Information</w:t>
      </w:r>
      <w:r>
        <w:rPr>
          <w:rFonts w:ascii="Arial" w:cs="Arial" w:eastAsia="Arial" w:hAnsi="Arial"/>
          <w:sz w:val="14"/>
          <w:szCs w:val="14"/>
          <w:color w:val="auto"/>
        </w:rPr>
        <w:t>. If the Optionee establishes an account holding Option Shares or cash outside Denmark, the Optionee must report the account to the Danish Tax Administration. The form which should be used in this respect can be obtained from a local bank.</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EGYPT</w:t>
      </w:r>
    </w:p>
    <w:p>
      <w:pPr>
        <w:spacing w:after="0" w:line="217"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the Optionee transfers funds out of or into Egypt in connection with the exercise of the Option or remits proceeds from the sale of Option Shares, the Optionee is required to transfer the funds through a registered bank in Egypt.</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FINLAND</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There are no country-specific provisions.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FRANCE</w:t>
      </w:r>
    </w:p>
    <w:p>
      <w:pPr>
        <w:spacing w:after="0" w:line="229" w:lineRule="exact"/>
        <w:rPr>
          <w:sz w:val="20"/>
          <w:szCs w:val="20"/>
          <w:color w:val="auto"/>
        </w:rPr>
      </w:pPr>
    </w:p>
    <w:p>
      <w:pPr>
        <w:jc w:val="both"/>
        <w:ind w:left="280" w:right="20"/>
        <w:spacing w:after="0" w:line="340" w:lineRule="auto"/>
        <w:rPr>
          <w:sz w:val="20"/>
          <w:szCs w:val="20"/>
          <w:color w:val="auto"/>
        </w:rPr>
      </w:pPr>
      <w:r>
        <w:rPr>
          <w:rFonts w:ascii="Arial" w:cs="Arial" w:eastAsia="Arial" w:hAnsi="Arial"/>
          <w:sz w:val="14"/>
          <w:szCs w:val="14"/>
          <w:u w:val="single" w:color="auto"/>
          <w:color w:val="auto"/>
        </w:rPr>
        <w:t>Options Not Tax-Qualified</w:t>
      </w:r>
      <w:r>
        <w:rPr>
          <w:rFonts w:ascii="Arial" w:cs="Arial" w:eastAsia="Arial" w:hAnsi="Arial"/>
          <w:sz w:val="14"/>
          <w:szCs w:val="14"/>
          <w:color w:val="auto"/>
        </w:rPr>
        <w:t>. The Optionee understand that this Option is not intended to qualify for favorable tax and social security treatment applicable to stock options granted under Section L.225-177 to L.225-186 and Sections L. 22-10-56 to L. 22-10-58 of the French Commercial Code, as amended.</w:t>
      </w:r>
    </w:p>
    <w:p>
      <w:pPr>
        <w:spacing w:after="0" w:line="140"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Language Consent</w:t>
      </w:r>
      <w:r>
        <w:rPr>
          <w:rFonts w:ascii="Arial" w:cs="Arial" w:eastAsia="Arial" w:hAnsi="Arial"/>
          <w:sz w:val="14"/>
          <w:szCs w:val="14"/>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52"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4"/>
          <w:szCs w:val="14"/>
          <w:i w:val="1"/>
          <w:iCs w:val="1"/>
          <w:u w:val="single" w:color="auto"/>
          <w:color w:val="auto"/>
        </w:rPr>
        <w:t>Consentement a la Langue</w:t>
      </w:r>
      <w:r>
        <w:rPr>
          <w:rFonts w:ascii="Arial" w:cs="Arial" w:eastAsia="Arial" w:hAnsi="Arial"/>
          <w:sz w:val="14"/>
          <w:szCs w:val="14"/>
          <w:color w:val="auto"/>
        </w:rPr>
        <w:t>.</w:t>
      </w:r>
      <w:r>
        <w:rPr>
          <w:rFonts w:ascii="Arial" w:cs="Arial" w:eastAsia="Arial" w:hAnsi="Arial"/>
          <w:sz w:val="14"/>
          <w:szCs w:val="14"/>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61"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French residents holding Option Shares outside of France or maintaining a foreign bank account are required to report such to French tax authorities when filing his or her annual tax return. Failure to comply may trigger significant penalties.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GERMANY</w:t>
      </w:r>
    </w:p>
    <w:p>
      <w:pPr>
        <w:spacing w:after="0" w:line="217" w:lineRule="exact"/>
        <w:rPr>
          <w:sz w:val="20"/>
          <w:szCs w:val="20"/>
          <w:color w:val="auto"/>
        </w:rPr>
      </w:pPr>
    </w:p>
    <w:p>
      <w:pPr>
        <w:jc w:val="both"/>
        <w:ind w:left="280"/>
        <w:spacing w:after="0" w:line="278"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Cross-border payments in excess of €12,500 must be reported monthly to the German Federal Bank. In case of payments in connection with the exercise of the Options or sale of Option Shares acquired under the Plan, the report must be filed electronically by the 5th day of the month following the month in which the payment was received. The form of report (“</w:t>
      </w:r>
      <w:r>
        <w:rPr>
          <w:rFonts w:ascii="Arial" w:cs="Arial" w:eastAsia="Arial" w:hAnsi="Arial"/>
          <w:sz w:val="13"/>
          <w:szCs w:val="13"/>
          <w:i w:val="1"/>
          <w:iCs w:val="1"/>
          <w:color w:val="auto"/>
        </w:rPr>
        <w:t>Allgemeine Meldeportal Statistik</w:t>
      </w:r>
      <w:r>
        <w:rPr>
          <w:rFonts w:ascii="Arial" w:cs="Arial" w:eastAsia="Arial" w:hAnsi="Arial"/>
          <w:sz w:val="13"/>
          <w:szCs w:val="13"/>
          <w:color w:val="auto"/>
        </w:rPr>
        <w:t>”) can be accessed via the Bundesbank’s website (www.bundesbank.de) and is available in both German and English. It is Optionee’s responsibility to comply with this reporting obligation and the Optionee should consult with his or her personal tax advisor in this regard.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- 5</w:t>
      </w:r>
    </w:p>
    <w:p>
      <w:pPr>
        <w:sectPr>
          <w:pgSz w:w="11900" w:h="16838" w:orient="portrait"/>
          <w:cols w:equalWidth="0" w:num="1">
            <w:col w:w="10980"/>
          </w:cols>
          <w:pgMar w:left="320" w:top="1440" w:right="59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84">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80"/>
        <w:spacing w:after="0" w:line="308" w:lineRule="auto"/>
        <w:rPr>
          <w:sz w:val="20"/>
          <w:szCs w:val="20"/>
          <w:color w:val="auto"/>
        </w:rPr>
      </w:pPr>
      <w:r>
        <w:rPr>
          <w:rFonts w:ascii="Arial" w:cs="Arial" w:eastAsia="Arial" w:hAnsi="Arial"/>
          <w:sz w:val="12"/>
          <w:szCs w:val="12"/>
          <w:u w:val="single" w:color="auto"/>
          <w:color w:val="auto"/>
        </w:rPr>
        <w:t>Foreign Asset/Account Reporting Information</w:t>
      </w:r>
      <w:r>
        <w:rPr>
          <w:rFonts w:ascii="Arial" w:cs="Arial" w:eastAsia="Arial" w:hAnsi="Arial"/>
          <w:sz w:val="12"/>
          <w:szCs w:val="12"/>
          <w:color w:val="auto"/>
        </w:rPr>
        <w:t>. If the Optionee’s acquisition of Option Shares under the Plan leads to a “qualified participation” at any point during the calendar year, the Optionee will need to report the acquisition when the Optionee files his or her tax return for the relevant year. A qualified participation is attained if (i) the value of the Option Shares acquired exceeds a certain threshold or (ii) in the unlikely event the Optionee holds shares of Common Stock exceeding a certain threshold of the total Common Stock. However, provided the Common Stock is listed on a recognized stock exchange (</w:t>
      </w:r>
      <w:r>
        <w:rPr>
          <w:rFonts w:ascii="Arial" w:cs="Arial" w:eastAsia="Arial" w:hAnsi="Arial"/>
          <w:sz w:val="12"/>
          <w:szCs w:val="12"/>
          <w:i w:val="1"/>
          <w:iCs w:val="1"/>
          <w:color w:val="auto"/>
        </w:rPr>
        <w:t>e.g.</w:t>
      </w:r>
      <w:r>
        <w:rPr>
          <w:rFonts w:ascii="Arial" w:cs="Arial" w:eastAsia="Arial" w:hAnsi="Arial"/>
          <w:sz w:val="12"/>
          <w:szCs w:val="12"/>
          <w:color w:val="auto"/>
        </w:rPr>
        <w:t>, the Nasdaq Stock Market) and the Optionee owns less than 1% of the Company, this requirement will not apply.</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HUNGARY</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There are no country-specific provisions.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INDIA</w:t>
      </w:r>
    </w:p>
    <w:p>
      <w:pPr>
        <w:spacing w:after="0" w:line="229" w:lineRule="exact"/>
        <w:rPr>
          <w:sz w:val="20"/>
          <w:szCs w:val="20"/>
          <w:color w:val="auto"/>
        </w:rPr>
      </w:pPr>
    </w:p>
    <w:p>
      <w:pPr>
        <w:jc w:val="both"/>
        <w:ind w:left="280"/>
        <w:spacing w:after="0" w:line="274" w:lineRule="auto"/>
        <w:rPr>
          <w:sz w:val="20"/>
          <w:szCs w:val="20"/>
          <w:color w:val="auto"/>
        </w:rPr>
      </w:pPr>
      <w:r>
        <w:rPr>
          <w:rFonts w:ascii="Arial" w:cs="Arial" w:eastAsia="Arial" w:hAnsi="Arial"/>
          <w:sz w:val="13"/>
          <w:szCs w:val="13"/>
          <w:u w:val="single" w:color="auto"/>
          <w:color w:val="auto"/>
        </w:rPr>
        <w:t>Exchange Control Notification</w:t>
      </w:r>
      <w:r>
        <w:rPr>
          <w:rFonts w:ascii="Arial" w:cs="Arial" w:eastAsia="Arial" w:hAnsi="Arial"/>
          <w:sz w:val="13"/>
          <w:szCs w:val="13"/>
          <w:color w:val="auto"/>
        </w:rPr>
        <w:t>. If the Optionee remits funds out of India to purchase Option Shares, it is the Optionee’s responsibility to comply with applicable exchange control laws.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or such other period of time as required under applicable regulations.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w:t>
      </w:r>
    </w:p>
    <w:p>
      <w:pPr>
        <w:spacing w:after="0" w:line="176"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Foreign Asset / Account Reporting Information</w:t>
      </w:r>
      <w:r>
        <w:rPr>
          <w:rFonts w:ascii="Arial" w:cs="Arial" w:eastAsia="Arial" w:hAnsi="Arial"/>
          <w:sz w:val="14"/>
          <w:szCs w:val="14"/>
          <w:color w:val="auto"/>
        </w:rPr>
        <w:t>. The Optionee is required to declare any foreign bank accounts and assets (including Option Shares acquired under the Plan) on his or her annual tax return. The Optionee should consult with his or her personal tax advisor to determine his or her reporting requirements.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IRELAND</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Labor Law Acknowledgment</w:t>
      </w:r>
      <w:r>
        <w:rPr>
          <w:rFonts w:ascii="Arial" w:cs="Arial" w:eastAsia="Arial" w:hAnsi="Arial"/>
          <w:sz w:val="14"/>
          <w:szCs w:val="14"/>
          <w:color w:val="auto"/>
        </w:rPr>
        <w:t>. This provision supplements Section 8 of the Agreement:</w:t>
      </w:r>
    </w:p>
    <w:p>
      <w:pPr>
        <w:spacing w:after="0" w:line="143"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By accepting the Option, the Optionee acknowledges, understands, and agrees that the benefits received under the Plan will not be taken into account for any redundancy or unfair dismissal claim.</w:t>
      </w:r>
    </w:p>
    <w:p>
      <w:pPr>
        <w:spacing w:after="0" w:line="152"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u w:val="single" w:color="auto"/>
          <w:color w:val="auto"/>
        </w:rPr>
        <w:t>Restriction on Type of Shares Issued to Directors</w:t>
      </w:r>
      <w:r>
        <w:rPr>
          <w:rFonts w:ascii="Arial" w:cs="Arial" w:eastAsia="Arial" w:hAnsi="Arial"/>
          <w:sz w:val="14"/>
          <w:szCs w:val="14"/>
          <w:color w:val="auto"/>
        </w:rPr>
        <w:t>. If the Optionee is a director of an Irish Subsidiary, the Option will be granted over newly issued shares only. In no event will treasury shares be issued pursuant to the exercise of the Option. This restriction also applies to a shadow director of an Irish Subsidiary.</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ISRAEL</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Payment of Exercise Price</w:t>
      </w:r>
      <w:r>
        <w:rPr>
          <w:rFonts w:ascii="Arial" w:cs="Arial" w:eastAsia="Arial" w:hAnsi="Arial"/>
          <w:sz w:val="14"/>
          <w:szCs w:val="14"/>
          <w:color w:val="auto"/>
        </w:rPr>
        <w:t>. This provision supplements Section 4 of the Agreement:</w:t>
      </w:r>
    </w:p>
    <w:p>
      <w:pPr>
        <w:spacing w:after="0" w:line="225" w:lineRule="exact"/>
        <w:rPr>
          <w:sz w:val="20"/>
          <w:szCs w:val="20"/>
          <w:color w:val="auto"/>
        </w:rPr>
      </w:pPr>
    </w:p>
    <w:p>
      <w:pPr>
        <w:jc w:val="both"/>
        <w:ind w:left="280" w:right="20"/>
        <w:spacing w:after="0" w:line="308" w:lineRule="auto"/>
        <w:rPr>
          <w:sz w:val="20"/>
          <w:szCs w:val="20"/>
          <w:color w:val="auto"/>
        </w:rPr>
      </w:pPr>
      <w:r>
        <w:rPr>
          <w:rFonts w:ascii="Arial" w:cs="Arial" w:eastAsia="Arial" w:hAnsi="Arial"/>
          <w:sz w:val="12"/>
          <w:szCs w:val="12"/>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This offer of Options does not constitute a public offering under the Securities Law, 1968.</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ITALY</w:t>
      </w:r>
    </w:p>
    <w:p>
      <w:pPr>
        <w:spacing w:after="0" w:line="217"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u w:val="single" w:color="auto"/>
          <w:color w:val="auto"/>
        </w:rPr>
        <w:t>Plan Document Acknowledgment</w:t>
      </w:r>
      <w:r>
        <w:rPr>
          <w:rFonts w:ascii="Arial" w:cs="Arial" w:eastAsia="Arial" w:hAnsi="Arial"/>
          <w:sz w:val="14"/>
          <w:szCs w:val="14"/>
          <w:color w:val="auto"/>
        </w:rPr>
        <w:t>. In accepting the Option, the Optionee acknowledges a copy of the Plan was made available to the Optionee, and that the Optionee has reviewed the Plan and the Agreement, including Appendix A, in their entirety and fully understand and accept all provisions of the Plan, the Agreement and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- 6</w:t>
      </w:r>
    </w:p>
    <w:p>
      <w:pPr>
        <w:sectPr>
          <w:pgSz w:w="11900" w:h="16838" w:orient="portrait"/>
          <w:cols w:equalWidth="0" w:num="1">
            <w:col w:w="10980"/>
          </w:cols>
          <w:pgMar w:left="320" w:top="1440" w:right="599"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85">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color w:val="auto"/>
        </w:rPr>
        <w:t>The Optionee further acknowledges that he or she has read and specifically and expressly approves the following provision in the Agreement: Term of Option; Termination of Employment; Withholding Taxes; Nature of Grant; and Additional Requirements.</w:t>
      </w:r>
    </w:p>
    <w:p>
      <w:pPr>
        <w:spacing w:after="0" w:line="152"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u w:val="single" w:color="auto"/>
          <w:color w:val="auto"/>
        </w:rPr>
        <w:t>Foreign Asset Tax</w:t>
      </w:r>
      <w:r>
        <w:rPr>
          <w:rFonts w:ascii="Arial" w:cs="Arial" w:eastAsia="Arial" w:hAnsi="Arial"/>
          <w:sz w:val="14"/>
          <w:szCs w:val="14"/>
          <w:color w:val="auto"/>
        </w:rPr>
        <w:t>. The value of any Option Shares (and other the financial assets) held outside Italy by individuals resident of Italy may be subject to a foreign asset tax. The taxable amount will be the fair market value of the financial assets (e.g., Option Shares) assessed at the end of the calendar year. The value of financial assets held abroad must be reported in Form RM of the annual tax return. The Optionee should consult his or her personal tax advisor for additional information on the foreign asset tax.</w:t>
      </w:r>
    </w:p>
    <w:p>
      <w:pPr>
        <w:spacing w:after="0" w:line="196" w:lineRule="exact"/>
        <w:rPr>
          <w:sz w:val="20"/>
          <w:szCs w:val="20"/>
          <w:color w:val="auto"/>
        </w:rPr>
      </w:pPr>
    </w:p>
    <w:p>
      <w:pPr>
        <w:jc w:val="both"/>
        <w:ind w:left="280"/>
        <w:spacing w:after="0" w:line="320" w:lineRule="auto"/>
        <w:rPr>
          <w:sz w:val="20"/>
          <w:szCs w:val="20"/>
          <w:color w:val="auto"/>
        </w:rPr>
      </w:pPr>
      <w:r>
        <w:rPr>
          <w:rFonts w:ascii="Arial" w:cs="Arial" w:eastAsia="Arial" w:hAnsi="Arial"/>
          <w:sz w:val="12"/>
          <w:szCs w:val="12"/>
          <w:u w:val="single" w:color="auto"/>
          <w:color w:val="auto"/>
        </w:rPr>
        <w:t>Foreign Asset / Account Reporting Information</w:t>
      </w:r>
      <w:r>
        <w:rPr>
          <w:rFonts w:ascii="Arial" w:cs="Arial" w:eastAsia="Arial" w:hAnsi="Arial"/>
          <w:sz w:val="12"/>
          <w:szCs w:val="12"/>
          <w:color w:val="auto"/>
        </w:rPr>
        <w:t>. If the Optionee holds investments abroad or foreign financial assets (e.g., cash, Option Shares, Options) that may generate income taxable in Italy, the Optionee is required to report them on his or her annual tax returns (UNICO Form, RW Schedule) or on a special form if no tax return is due, irrespective of their value. The same reporting duties apply to the Optionee if he or she is a beneficial owner of the investments, even if the Optionee does not directly hold investments abroad or foreign assets.</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JAPAN</w:t>
      </w:r>
    </w:p>
    <w:p>
      <w:pPr>
        <w:spacing w:after="0" w:line="229"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the Optionee is a Japanese resident and acquires Option Shares valued at more than ¥100,000,000 in a single transaction, the Optionee must file a Securities Acquisition Report with the Ministry of Finance through the Bank of Japan within 20 days of the acquisition of the Option Shares.</w:t>
      </w:r>
    </w:p>
    <w:p>
      <w:pPr>
        <w:spacing w:after="0" w:line="176" w:lineRule="exact"/>
        <w:rPr>
          <w:sz w:val="20"/>
          <w:szCs w:val="20"/>
          <w:color w:val="auto"/>
        </w:rPr>
      </w:pPr>
    </w:p>
    <w:p>
      <w:pPr>
        <w:jc w:val="both"/>
        <w:ind w:left="280"/>
        <w:spacing w:after="0" w:line="286" w:lineRule="auto"/>
        <w:rPr>
          <w:sz w:val="20"/>
          <w:szCs w:val="20"/>
          <w:color w:val="auto"/>
        </w:rPr>
      </w:pPr>
      <w:r>
        <w:rPr>
          <w:rFonts w:ascii="Arial" w:cs="Arial" w:eastAsia="Arial" w:hAnsi="Arial"/>
          <w:sz w:val="13"/>
          <w:szCs w:val="13"/>
          <w:color w:val="auto"/>
        </w:rPr>
        <w:t>In addition, if the Optionee is a Japanese resident and pays more than ¥30,000,000 in a single transaction for the purchase of Option Shares when he or she exercises the option, the Optionee must file a Payment Report with the Ministry of Finance through the Bank of Japan by the 20th day following the month in which the payment was made. The precise reporting requirements vary depending on whether the relevant payment is made through a bank in Japan. The Optionee should consult with his or her legal advisor in this regard.</w:t>
      </w:r>
    </w:p>
    <w:p>
      <w:pPr>
        <w:spacing w:after="0" w:line="179"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A Payment Report is required independently of a Securities Acquisition Report. Therefore, if the total amount that the Optionee pays upon a one-time transaction for exercising this Option and purchasing Option Shares exceeds ¥100,000,000, then the Optionee must file both a Payment Report and a Securities Acquisition Report.</w:t>
      </w:r>
    </w:p>
    <w:p>
      <w:pPr>
        <w:spacing w:after="0" w:line="187" w:lineRule="exact"/>
        <w:rPr>
          <w:sz w:val="20"/>
          <w:szCs w:val="20"/>
          <w:color w:val="auto"/>
        </w:rPr>
      </w:pPr>
    </w:p>
    <w:p>
      <w:pPr>
        <w:jc w:val="both"/>
        <w:ind w:left="280"/>
        <w:spacing w:after="0" w:line="286" w:lineRule="auto"/>
        <w:rPr>
          <w:sz w:val="20"/>
          <w:szCs w:val="20"/>
          <w:color w:val="auto"/>
        </w:rPr>
      </w:pPr>
      <w:r>
        <w:rPr>
          <w:rFonts w:ascii="Arial" w:cs="Arial" w:eastAsia="Arial" w:hAnsi="Arial"/>
          <w:sz w:val="13"/>
          <w:szCs w:val="13"/>
          <w:u w:val="single" w:color="auto"/>
          <w:color w:val="auto"/>
        </w:rPr>
        <w:t>Foreign Asset / Account Reporting Information</w:t>
      </w:r>
      <w:r>
        <w:rPr>
          <w:rFonts w:ascii="Arial" w:cs="Arial" w:eastAsia="Arial" w:hAnsi="Arial"/>
          <w:sz w:val="13"/>
          <w:szCs w:val="13"/>
          <w:color w:val="auto"/>
        </w:rPr>
        <w:t>. The Optionee will be required to report details of any assets held outside Japan as of December 31st to the extent such assets have a total net fair market value exceeding ¥50,000,000. This report is due by March 15th each year. The Optionee should consult with his or her personal tax advisor as to whether the reporting obligation applies to him or her and whether the requirement extends to any outstanding Options or Option Shares acquired under the Plan.</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KOREA</w:t>
      </w:r>
    </w:p>
    <w:p>
      <w:pPr>
        <w:spacing w:after="0" w:line="217"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u w:val="single" w:color="auto"/>
          <w:color w:val="auto"/>
        </w:rPr>
        <w:t>Foreign Asset / Account Reporting Information</w:t>
      </w:r>
      <w:r>
        <w:rPr>
          <w:rFonts w:ascii="Arial" w:cs="Arial" w:eastAsia="Arial" w:hAnsi="Arial"/>
          <w:sz w:val="14"/>
          <w:szCs w:val="14"/>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Optionee should consult with his or her personal tax advisor to determine any personal reporting obligations.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MALAYSIA</w:t>
      </w:r>
    </w:p>
    <w:p>
      <w:pPr>
        <w:spacing w:after="0" w:line="217" w:lineRule="exact"/>
        <w:rPr>
          <w:sz w:val="20"/>
          <w:szCs w:val="20"/>
          <w:color w:val="auto"/>
        </w:rPr>
      </w:pPr>
    </w:p>
    <w:p>
      <w:pPr>
        <w:jc w:val="both"/>
        <w:ind w:left="280" w:right="20"/>
        <w:spacing w:after="0" w:line="250" w:lineRule="auto"/>
        <w:rPr>
          <w:sz w:val="20"/>
          <w:szCs w:val="20"/>
          <w:color w:val="auto"/>
        </w:rPr>
      </w:pPr>
      <w:r>
        <w:rPr>
          <w:rFonts w:ascii="Arial" w:cs="Arial" w:eastAsia="Arial" w:hAnsi="Arial"/>
          <w:sz w:val="14"/>
          <w:szCs w:val="14"/>
          <w:u w:val="single" w:color="auto"/>
          <w:color w:val="auto"/>
        </w:rPr>
        <w:t>Director Notification</w:t>
      </w:r>
      <w:r>
        <w:rPr>
          <w:rFonts w:ascii="Arial" w:cs="Arial" w:eastAsia="Arial" w:hAnsi="Arial"/>
          <w:sz w:val="14"/>
          <w:szCs w:val="14"/>
          <w:color w:val="auto"/>
        </w:rPr>
        <w:t>. If the Optionee is a director of a Subsidiary of the Company or other related company in Malaysia, then the Optionee is subject to certain notification requirements under the Malaysian Companies Act, 2016.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3"/>
          <w:szCs w:val="13"/>
          <w:u w:val="single" w:color="auto"/>
          <w:color w:val="auto"/>
        </w:rPr>
        <w:t>Data Privacy</w:t>
      </w:r>
      <w:r>
        <w:rPr>
          <w:rFonts w:ascii="Arial" w:cs="Arial" w:eastAsia="Arial" w:hAnsi="Arial"/>
          <w:sz w:val="13"/>
          <w:szCs w:val="13"/>
          <w:color w:val="auto"/>
        </w:rPr>
        <w:t>. The following provision replaces the Data Privacy Information and Consent provision under the Terms and Conditions for Optionees Outside the U.S.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- 7</w:t>
      </w:r>
    </w:p>
    <w:p>
      <w:pPr>
        <w:sectPr>
          <w:pgSz w:w="11900" w:h="16838" w:orient="portrait"/>
          <w:cols w:equalWidth="0" w:num="1">
            <w:col w:w="10980"/>
          </w:cols>
          <w:pgMar w:left="320" w:top="1440" w:right="59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86">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drawing>
          <wp:anchor simplePos="0" relativeHeight="251657728" behindDoc="1" locked="0" layoutInCell="0" allowOverlap="1">
            <wp:simplePos x="0" y="0"/>
            <wp:positionH relativeFrom="page">
              <wp:posOffset>384810</wp:posOffset>
            </wp:positionH>
            <wp:positionV relativeFrom="page">
              <wp:posOffset>1499870</wp:posOffset>
            </wp:positionV>
            <wp:extent cx="6630670" cy="1460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87">
                      <a:extLst>
                        <a:ext uri="{28A0092B-C50C-407E-A947-70E740481C1C}"/>
                      </a:extLst>
                    </a:blip>
                    <a:srcRect/>
                    <a:stretch>
                      <a:fillRect/>
                    </a:stretch>
                  </pic:blipFill>
                  <pic:spPr bwMode="auto">
                    <a:xfrm>
                      <a:off x="0" y="0"/>
                      <a:ext cx="6630670" cy="1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320" w:right="40"/>
        <w:spacing w:after="0" w:line="246" w:lineRule="auto"/>
        <w:rPr>
          <w:sz w:val="20"/>
          <w:szCs w:val="20"/>
          <w:color w:val="auto"/>
        </w:rPr>
      </w:pPr>
      <w:r>
        <w:rPr>
          <w:rFonts w:ascii="Arial" w:cs="Arial" w:eastAsia="Arial" w:hAnsi="Arial"/>
          <w:sz w:val="14"/>
          <w:szCs w:val="14"/>
          <w:b w:val="1"/>
          <w:bCs w:val="1"/>
          <w:i w:val="1"/>
          <w:iCs w:val="1"/>
          <w:color w:val="auto"/>
        </w:rPr>
        <w:t>The Optionee hereby explicitly and unambiguously consents to the collection, use Pemegang Opsyen dengan ini secara eksplicit, secara sukarela dan tanpa sebarang and transfer, in electronic or other form, of his or her personal data as described in keraguan mengizinkan pengumpulan, penggunaan dan pemindahan, dalam bentuk this document by and among, as applicable, the Employer, and the Company and its elektronik atau lain-lain, data peribadinya seperti yang dinyatakan dalam dokumen ini, oleh Subsidiaries for the exclusive purpose of implementing, administering and dan di antara, sebagaimana yang berkenaan, Majikan, Syarikat, dan mana-mana Anak managing the Optionee's participation in the Plan. The Optionee understands that Syarikatnya bagi tujuan ekslusif untuk membantu dalam pelaksanaan, pentadbiran dan the Company and the Employer may hold certain personal information about the pengurusan penyertaan Pemegang Opsyen dalam Pelan. Optionee, including, but not limited to, his or her name, home address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6805295</wp:posOffset>
            </wp:positionH>
            <wp:positionV relativeFrom="paragraph">
              <wp:posOffset>-727710</wp:posOffset>
            </wp:positionV>
            <wp:extent cx="7620" cy="762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-712470</wp:posOffset>
            </wp:positionV>
            <wp:extent cx="7620" cy="762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-697865</wp:posOffset>
            </wp:positionV>
            <wp:extent cx="7620" cy="762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-683260</wp:posOffset>
            </wp:positionV>
            <wp:extent cx="7620" cy="762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-668020</wp:posOffset>
            </wp:positionV>
            <wp:extent cx="7620" cy="762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-653415</wp:posOffset>
            </wp:positionV>
            <wp:extent cx="7620" cy="762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-638175</wp:posOffset>
            </wp:positionV>
            <wp:extent cx="7620" cy="762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-623570</wp:posOffset>
            </wp:positionV>
            <wp:extent cx="7620" cy="762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-608965</wp:posOffset>
            </wp:positionV>
            <wp:extent cx="7620" cy="762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-593725</wp:posOffset>
            </wp:positionV>
            <wp:extent cx="7620" cy="762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-579120</wp:posOffset>
            </wp:positionV>
            <wp:extent cx="7620" cy="762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-563880</wp:posOffset>
            </wp:positionV>
            <wp:extent cx="7620" cy="762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-549275</wp:posOffset>
            </wp:positionV>
            <wp:extent cx="7620" cy="762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4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-534670</wp:posOffset>
            </wp:positionV>
            <wp:extent cx="7620" cy="762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4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-519430</wp:posOffset>
            </wp:positionV>
            <wp:extent cx="7620" cy="762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4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-504825</wp:posOffset>
            </wp:positionV>
            <wp:extent cx="7620" cy="762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4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-490220</wp:posOffset>
            </wp:positionV>
            <wp:extent cx="7620" cy="762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4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-474980</wp:posOffset>
            </wp:positionV>
            <wp:extent cx="7620" cy="762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4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-460375</wp:posOffset>
            </wp:positionV>
            <wp:extent cx="7620" cy="762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4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-445135</wp:posOffset>
            </wp:positionV>
            <wp:extent cx="7620" cy="762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4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-430530</wp:posOffset>
            </wp:positionV>
            <wp:extent cx="7620" cy="762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4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-415925</wp:posOffset>
            </wp:positionV>
            <wp:extent cx="7620" cy="762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4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-400685</wp:posOffset>
            </wp:positionV>
            <wp:extent cx="7620" cy="762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4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-386080</wp:posOffset>
            </wp:positionV>
            <wp:extent cx="7620" cy="762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4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-370840</wp:posOffset>
            </wp:positionV>
            <wp:extent cx="7620" cy="762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4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-356235</wp:posOffset>
            </wp:positionV>
            <wp:extent cx="7620" cy="762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4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-341630</wp:posOffset>
            </wp:positionV>
            <wp:extent cx="7620" cy="762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4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-326390</wp:posOffset>
            </wp:positionV>
            <wp:extent cx="7620" cy="762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4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-311785</wp:posOffset>
            </wp:positionV>
            <wp:extent cx="7620" cy="762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4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-297180</wp:posOffset>
            </wp:positionV>
            <wp:extent cx="7620" cy="762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4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-281940</wp:posOffset>
            </wp:positionV>
            <wp:extent cx="7620" cy="762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4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-267335</wp:posOffset>
            </wp:positionV>
            <wp:extent cx="7620" cy="762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4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-252095</wp:posOffset>
            </wp:positionV>
            <wp:extent cx="7620" cy="762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4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-237490</wp:posOffset>
            </wp:positionV>
            <wp:extent cx="7620" cy="762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4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-222885</wp:posOffset>
            </wp:positionV>
            <wp:extent cx="7620" cy="762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4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-207645</wp:posOffset>
            </wp:positionV>
            <wp:extent cx="7620" cy="762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4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-193040</wp:posOffset>
            </wp:positionV>
            <wp:extent cx="7620" cy="762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4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-177800</wp:posOffset>
            </wp:positionV>
            <wp:extent cx="7620" cy="762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4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-163195</wp:posOffset>
            </wp:positionV>
            <wp:extent cx="7620" cy="762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4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-148590</wp:posOffset>
            </wp:positionV>
            <wp:extent cx="7620" cy="762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4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-133350</wp:posOffset>
            </wp:positionV>
            <wp:extent cx="7620" cy="762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4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-118745</wp:posOffset>
            </wp:positionV>
            <wp:extent cx="7620" cy="762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4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-103505</wp:posOffset>
            </wp:positionV>
            <wp:extent cx="7620" cy="762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4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-88900</wp:posOffset>
            </wp:positionV>
            <wp:extent cx="7620" cy="762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4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-74295</wp:posOffset>
            </wp:positionV>
            <wp:extent cx="7620" cy="762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4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-59055</wp:posOffset>
            </wp:positionV>
            <wp:extent cx="7620" cy="762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4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-44450</wp:posOffset>
            </wp:positionV>
            <wp:extent cx="7620" cy="762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4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-29845</wp:posOffset>
            </wp:positionV>
            <wp:extent cx="7620" cy="762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4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-14605</wp:posOffset>
            </wp:positionV>
            <wp:extent cx="7620" cy="762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4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0</wp:posOffset>
            </wp:positionV>
            <wp:extent cx="7620" cy="762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4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-727710</wp:posOffset>
            </wp:positionV>
            <wp:extent cx="7620" cy="762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4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-712470</wp:posOffset>
            </wp:positionV>
            <wp:extent cx="7620" cy="762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4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-697865</wp:posOffset>
            </wp:positionV>
            <wp:extent cx="7620" cy="762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4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-683260</wp:posOffset>
            </wp:positionV>
            <wp:extent cx="7620" cy="762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4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-668020</wp:posOffset>
            </wp:positionV>
            <wp:extent cx="7620" cy="762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4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-653415</wp:posOffset>
            </wp:positionV>
            <wp:extent cx="7620" cy="762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4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-638175</wp:posOffset>
            </wp:positionV>
            <wp:extent cx="7620" cy="762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4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-623570</wp:posOffset>
            </wp:positionV>
            <wp:extent cx="7620" cy="762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4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-608965</wp:posOffset>
            </wp:positionV>
            <wp:extent cx="7620" cy="762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4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-593725</wp:posOffset>
            </wp:positionV>
            <wp:extent cx="7620" cy="762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4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-579120</wp:posOffset>
            </wp:positionV>
            <wp:extent cx="7620" cy="762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4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-563880</wp:posOffset>
            </wp:positionV>
            <wp:extent cx="7620" cy="762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4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-549275</wp:posOffset>
            </wp:positionV>
            <wp:extent cx="7620" cy="762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4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-534670</wp:posOffset>
            </wp:positionV>
            <wp:extent cx="7620" cy="762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4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-519430</wp:posOffset>
            </wp:positionV>
            <wp:extent cx="7620" cy="762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4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-504825</wp:posOffset>
            </wp:positionV>
            <wp:extent cx="7620" cy="762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4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-490220</wp:posOffset>
            </wp:positionV>
            <wp:extent cx="7620" cy="762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4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-474980</wp:posOffset>
            </wp:positionV>
            <wp:extent cx="7620" cy="762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4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-460375</wp:posOffset>
            </wp:positionV>
            <wp:extent cx="7620" cy="762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-445135</wp:posOffset>
            </wp:positionV>
            <wp:extent cx="7620" cy="762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-430530</wp:posOffset>
            </wp:positionV>
            <wp:extent cx="7620" cy="762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-415925</wp:posOffset>
            </wp:positionV>
            <wp:extent cx="7620" cy="762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-400685</wp:posOffset>
            </wp:positionV>
            <wp:extent cx="7620" cy="762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-386080</wp:posOffset>
            </wp:positionV>
            <wp:extent cx="7620" cy="762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-370840</wp:posOffset>
            </wp:positionV>
            <wp:extent cx="7620" cy="762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-356235</wp:posOffset>
            </wp:positionV>
            <wp:extent cx="7620" cy="762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-341630</wp:posOffset>
            </wp:positionV>
            <wp:extent cx="7620" cy="762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-326390</wp:posOffset>
            </wp:positionV>
            <wp:extent cx="7620" cy="762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-311785</wp:posOffset>
            </wp:positionV>
            <wp:extent cx="7620" cy="762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-297180</wp:posOffset>
            </wp:positionV>
            <wp:extent cx="7620" cy="762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-281940</wp:posOffset>
            </wp:positionV>
            <wp:extent cx="7620" cy="762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-267335</wp:posOffset>
            </wp:positionV>
            <wp:extent cx="7620" cy="762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-252095</wp:posOffset>
            </wp:positionV>
            <wp:extent cx="7620" cy="762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-237490</wp:posOffset>
            </wp:positionV>
            <wp:extent cx="7620" cy="762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-222885</wp:posOffset>
            </wp:positionV>
            <wp:extent cx="7620" cy="762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-207645</wp:posOffset>
            </wp:positionV>
            <wp:extent cx="7620" cy="762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-193040</wp:posOffset>
            </wp:positionV>
            <wp:extent cx="7620" cy="762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-177800</wp:posOffset>
            </wp:positionV>
            <wp:extent cx="7620" cy="762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-163195</wp:posOffset>
            </wp:positionV>
            <wp:extent cx="7620" cy="762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-148590</wp:posOffset>
            </wp:positionV>
            <wp:extent cx="7620" cy="762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-133350</wp:posOffset>
            </wp:positionV>
            <wp:extent cx="7620" cy="762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-118745</wp:posOffset>
            </wp:positionV>
            <wp:extent cx="7620" cy="762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-103505</wp:posOffset>
            </wp:positionV>
            <wp:extent cx="7620" cy="762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-88900</wp:posOffset>
            </wp:positionV>
            <wp:extent cx="7620" cy="762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-74295</wp:posOffset>
            </wp:positionV>
            <wp:extent cx="7620" cy="762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-59055</wp:posOffset>
            </wp:positionV>
            <wp:extent cx="7620" cy="762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-44450</wp:posOffset>
            </wp:positionV>
            <wp:extent cx="7620" cy="762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-29845</wp:posOffset>
            </wp:positionV>
            <wp:extent cx="7620" cy="762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-14605</wp:posOffset>
            </wp:positionV>
            <wp:extent cx="7620" cy="762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0</wp:posOffset>
            </wp:positionV>
            <wp:extent cx="7620" cy="762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-727710</wp:posOffset>
            </wp:positionV>
            <wp:extent cx="7620" cy="762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-712470</wp:posOffset>
            </wp:positionV>
            <wp:extent cx="7620" cy="762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-697865</wp:posOffset>
            </wp:positionV>
            <wp:extent cx="7620" cy="762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-683260</wp:posOffset>
            </wp:positionV>
            <wp:extent cx="7620" cy="762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-668020</wp:posOffset>
            </wp:positionV>
            <wp:extent cx="7620" cy="762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-653415</wp:posOffset>
            </wp:positionV>
            <wp:extent cx="7620" cy="762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-638175</wp:posOffset>
            </wp:positionV>
            <wp:extent cx="7620" cy="762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-623570</wp:posOffset>
            </wp:positionV>
            <wp:extent cx="7620" cy="762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-608965</wp:posOffset>
            </wp:positionV>
            <wp:extent cx="7620" cy="762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-593725</wp:posOffset>
            </wp:positionV>
            <wp:extent cx="7620" cy="762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-579120</wp:posOffset>
            </wp:positionV>
            <wp:extent cx="7620" cy="762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-563880</wp:posOffset>
            </wp:positionV>
            <wp:extent cx="7620" cy="762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-549275</wp:posOffset>
            </wp:positionV>
            <wp:extent cx="7620" cy="762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5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-534670</wp:posOffset>
            </wp:positionV>
            <wp:extent cx="7620" cy="762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5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-519430</wp:posOffset>
            </wp:positionV>
            <wp:extent cx="7620" cy="762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5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-504825</wp:posOffset>
            </wp:positionV>
            <wp:extent cx="7620" cy="762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5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-490220</wp:posOffset>
            </wp:positionV>
            <wp:extent cx="7620" cy="762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5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-474980</wp:posOffset>
            </wp:positionV>
            <wp:extent cx="7620" cy="762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5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-460375</wp:posOffset>
            </wp:positionV>
            <wp:extent cx="7620" cy="762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5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-445135</wp:posOffset>
            </wp:positionV>
            <wp:extent cx="7620" cy="762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5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-430530</wp:posOffset>
            </wp:positionV>
            <wp:extent cx="7620" cy="762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5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-415925</wp:posOffset>
            </wp:positionV>
            <wp:extent cx="7620" cy="762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5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-400685</wp:posOffset>
            </wp:positionV>
            <wp:extent cx="7620" cy="762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5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-386080</wp:posOffset>
            </wp:positionV>
            <wp:extent cx="7620" cy="762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5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-370840</wp:posOffset>
            </wp:positionV>
            <wp:extent cx="7620" cy="762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5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-356235</wp:posOffset>
            </wp:positionV>
            <wp:extent cx="7620" cy="762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5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-341630</wp:posOffset>
            </wp:positionV>
            <wp:extent cx="7620" cy="762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5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-326390</wp:posOffset>
            </wp:positionV>
            <wp:extent cx="7620" cy="762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5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-311785</wp:posOffset>
            </wp:positionV>
            <wp:extent cx="7620" cy="762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5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-297180</wp:posOffset>
            </wp:positionV>
            <wp:extent cx="7620" cy="762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5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-281940</wp:posOffset>
            </wp:positionV>
            <wp:extent cx="7620" cy="762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5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-267335</wp:posOffset>
            </wp:positionV>
            <wp:extent cx="7620" cy="762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5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-252095</wp:posOffset>
            </wp:positionV>
            <wp:extent cx="7620" cy="762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5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-237490</wp:posOffset>
            </wp:positionV>
            <wp:extent cx="7620" cy="762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5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-222885</wp:posOffset>
            </wp:positionV>
            <wp:extent cx="7620" cy="762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5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-207645</wp:posOffset>
            </wp:positionV>
            <wp:extent cx="7620" cy="762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5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-193040</wp:posOffset>
            </wp:positionV>
            <wp:extent cx="7620" cy="762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5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-177800</wp:posOffset>
            </wp:positionV>
            <wp:extent cx="7620" cy="762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5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-163195</wp:posOffset>
            </wp:positionV>
            <wp:extent cx="7620" cy="762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5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-148590</wp:posOffset>
            </wp:positionV>
            <wp:extent cx="7620" cy="762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5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-133350</wp:posOffset>
            </wp:positionV>
            <wp:extent cx="7620" cy="762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5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-118745</wp:posOffset>
            </wp:positionV>
            <wp:extent cx="7620" cy="762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5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-103505</wp:posOffset>
            </wp:positionV>
            <wp:extent cx="7620" cy="762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5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-88900</wp:posOffset>
            </wp:positionV>
            <wp:extent cx="7620" cy="762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5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-74295</wp:posOffset>
            </wp:positionV>
            <wp:extent cx="7620" cy="762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5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-59055</wp:posOffset>
            </wp:positionV>
            <wp:extent cx="7620" cy="762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5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-44450</wp:posOffset>
            </wp:positionV>
            <wp:extent cx="7620" cy="762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5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-29845</wp:posOffset>
            </wp:positionV>
            <wp:extent cx="7620" cy="762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5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-14605</wp:posOffset>
            </wp:positionV>
            <wp:extent cx="7620" cy="762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5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0</wp:posOffset>
            </wp:positionV>
            <wp:extent cx="7620" cy="762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537">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jc w:val="both"/>
        <w:ind w:left="320"/>
        <w:spacing w:after="0" w:line="284" w:lineRule="auto"/>
        <w:rPr>
          <w:sz w:val="20"/>
          <w:szCs w:val="20"/>
          <w:color w:val="auto"/>
        </w:rPr>
      </w:pPr>
      <w:r>
        <w:rPr>
          <w:rFonts w:ascii="Arial" w:cs="Arial" w:eastAsia="Arial" w:hAnsi="Arial"/>
          <w:sz w:val="12"/>
          <w:szCs w:val="12"/>
          <w:b w:val="1"/>
          <w:bCs w:val="1"/>
          <w:i w:val="1"/>
          <w:iCs w:val="1"/>
          <w:color w:val="auto"/>
        </w:rPr>
        <w:t>telephone number, date of birth, social insurance number or other identification Pemegang Opsyen memahami bahawa Syarikat dan Majikan mungkin memegang maklumat number, salary, nationality, job title, any shares of stock or directorships held in the peribadi tertentu tentang Pemegang Opsyen, termasuk, tetapi tidak terhad kepada, namanya , Company, details of all options or any other entitlement to shares of stock awarded, alamat rumah dan nombor telefon, tarikh lahir, nombor insurans sosial atau nombor canceled, exercised, vested, unvested or outstanding in the Optionee's favor, for the pengenalan lain, gaji, kewarganegaraan, jawatan, apa-apa syer dalam saham atau jawatan purpose of implementing, administering and managing the Plan (“Data”). The pengarah yang dipegang dalam Syarikat, butir-butir semua opsyen atau apa-apa hak lain source of the Data is the Employer as well as information the Optionee is providing untuk syer dalam saham yang dianugerahkan, dibatalkan, dilaksanakan, terletak hak, tidak to the Company and the Employer in connection with the Option. The Optionee diletak hak ataupun yang belum dijelaskan bagi faedah Pemegang Opsyen, untuk tujuan understands that Data may be transferred to Fidelity or any other third parties as eksklusif bagi melaksanakan, mentadbir dan menguruskan Pelan (“Data”). Sumber Data may be selected by the Company in the future, which are assisting in the adalah daripada Majikan dan juga daripada maklumat yang dibekalkan oleh Pemegang implementation, administration and management of the Plan, that these recipients Opsyen kepada Syarikat dan Majikan berkenaan dengan Opysen. Pemegang Opysen juga may be located in the Optionee’s country or elsewhere and that the recipients' memahami bahawa Data mungkin dipindahkan kepada Fidelity atau mana-mana pihak country (e.g., the United States) may have different data privacy laws and ketiga yang mungkin dipilih oleh Syarikat pada masa depan, yang membantu dalam protections than the Optionee's country. The Optionee understands that he or she pelaksanaan, pentadbiran dan pengurusan Pelan, bahawa penerima-penerima ini mungkin may request a list with the names and addresses of any potential recipients of the berada di negara Pemegang Opsyen atau di tempat lain, dan bahawa negara penerima Data by contacting his or her local human resources representative. The Optionee (contohnya, Amerika Syarikat) mungkin mempunyai undang-undang privasi data dan authorizes the Company, Fidelity and any other possible recipients which may assist perlindungan yang berbeza daripada negara Pemegang Opsyen. Pemegang Opsyen the Company (presently or in the future) with implementing, administering and memahami bahawa dia boleh meminta senarai nama dan alamat mana-mana penerima Data managing the Plan to receive, possess, use, retain and transfer the Data, in dengan menghubungi wakil sumber manusia tempatannya. Pemegang Opsyen memberi electronic or other form, for the sole purpose of implementing, administering and kuasa kepada Syarikat, Fidelity, dan mana-mana penerima lain yang mungkin membantu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6805295</wp:posOffset>
            </wp:positionH>
            <wp:positionV relativeFrom="paragraph">
              <wp:posOffset>-1957070</wp:posOffset>
            </wp:positionV>
            <wp:extent cx="7620" cy="762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5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-1941830</wp:posOffset>
            </wp:positionV>
            <wp:extent cx="7620" cy="762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5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-1927225</wp:posOffset>
            </wp:positionV>
            <wp:extent cx="7620" cy="762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5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-1912620</wp:posOffset>
            </wp:positionV>
            <wp:extent cx="7620" cy="762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5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-1897380</wp:posOffset>
            </wp:positionV>
            <wp:extent cx="7620" cy="762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5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-1882775</wp:posOffset>
            </wp:positionV>
            <wp:extent cx="7620" cy="762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5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-1867535</wp:posOffset>
            </wp:positionV>
            <wp:extent cx="7620" cy="762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5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-1852930</wp:posOffset>
            </wp:positionV>
            <wp:extent cx="7620" cy="762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5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-1838325</wp:posOffset>
            </wp:positionV>
            <wp:extent cx="7620" cy="762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5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-1823085</wp:posOffset>
            </wp:positionV>
            <wp:extent cx="7620" cy="762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5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-1808480</wp:posOffset>
            </wp:positionV>
            <wp:extent cx="7620" cy="762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5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-1793240</wp:posOffset>
            </wp:positionV>
            <wp:extent cx="7620" cy="762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5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-1778635</wp:posOffset>
            </wp:positionV>
            <wp:extent cx="7620" cy="762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5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-1764030</wp:posOffset>
            </wp:positionV>
            <wp:extent cx="7620" cy="762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5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-1748790</wp:posOffset>
            </wp:positionV>
            <wp:extent cx="7620" cy="762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5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-1734185</wp:posOffset>
            </wp:positionV>
            <wp:extent cx="7620" cy="762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5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-1719580</wp:posOffset>
            </wp:positionV>
            <wp:extent cx="7620" cy="762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5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-1704340</wp:posOffset>
            </wp:positionV>
            <wp:extent cx="7620" cy="762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5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-1689735</wp:posOffset>
            </wp:positionV>
            <wp:extent cx="7620" cy="762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5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-1674495</wp:posOffset>
            </wp:positionV>
            <wp:extent cx="7620" cy="762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-1659890</wp:posOffset>
            </wp:positionV>
            <wp:extent cx="7620" cy="762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-1645285</wp:posOffset>
            </wp:positionV>
            <wp:extent cx="7620" cy="762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-1630045</wp:posOffset>
            </wp:positionV>
            <wp:extent cx="7620" cy="762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-1615440</wp:posOffset>
            </wp:positionV>
            <wp:extent cx="7620" cy="762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-1600200</wp:posOffset>
            </wp:positionV>
            <wp:extent cx="7620" cy="762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-1585595</wp:posOffset>
            </wp:positionV>
            <wp:extent cx="7620" cy="762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-1570990</wp:posOffset>
            </wp:positionV>
            <wp:extent cx="7620" cy="762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-1555750</wp:posOffset>
            </wp:positionV>
            <wp:extent cx="7620" cy="762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-1541145</wp:posOffset>
            </wp:positionV>
            <wp:extent cx="7620" cy="762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-1525905</wp:posOffset>
            </wp:positionV>
            <wp:extent cx="7620" cy="762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-1511300</wp:posOffset>
            </wp:positionV>
            <wp:extent cx="7620" cy="762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-1496695</wp:posOffset>
            </wp:positionV>
            <wp:extent cx="7620" cy="762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-1481455</wp:posOffset>
            </wp:positionV>
            <wp:extent cx="7620" cy="762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-1466850</wp:posOffset>
            </wp:positionV>
            <wp:extent cx="7620" cy="762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-1452245</wp:posOffset>
            </wp:positionV>
            <wp:extent cx="7620" cy="762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-1437005</wp:posOffset>
            </wp:positionV>
            <wp:extent cx="7620" cy="762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-1422400</wp:posOffset>
            </wp:positionV>
            <wp:extent cx="7620" cy="762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-1407160</wp:posOffset>
            </wp:positionV>
            <wp:extent cx="7620" cy="762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-1392555</wp:posOffset>
            </wp:positionV>
            <wp:extent cx="7620" cy="762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-1377950</wp:posOffset>
            </wp:positionV>
            <wp:extent cx="7620" cy="762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-1362710</wp:posOffset>
            </wp:positionV>
            <wp:extent cx="7620" cy="762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-1348105</wp:posOffset>
            </wp:positionV>
            <wp:extent cx="7620" cy="762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-1332865</wp:posOffset>
            </wp:positionV>
            <wp:extent cx="7620" cy="762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-1318260</wp:posOffset>
            </wp:positionV>
            <wp:extent cx="7620" cy="762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-1303655</wp:posOffset>
            </wp:positionV>
            <wp:extent cx="7620" cy="762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-1288415</wp:posOffset>
            </wp:positionV>
            <wp:extent cx="7620" cy="762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-1273810</wp:posOffset>
            </wp:positionV>
            <wp:extent cx="7620" cy="762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-1259205</wp:posOffset>
            </wp:positionV>
            <wp:extent cx="7620" cy="762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-1243965</wp:posOffset>
            </wp:positionV>
            <wp:extent cx="7620" cy="762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-1229360</wp:posOffset>
            </wp:positionV>
            <wp:extent cx="7620" cy="762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-1214120</wp:posOffset>
            </wp:positionV>
            <wp:extent cx="7620" cy="762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-1199515</wp:posOffset>
            </wp:positionV>
            <wp:extent cx="7620" cy="762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-1184910</wp:posOffset>
            </wp:positionV>
            <wp:extent cx="7620" cy="762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-1169670</wp:posOffset>
            </wp:positionV>
            <wp:extent cx="7620" cy="762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-1155065</wp:posOffset>
            </wp:positionV>
            <wp:extent cx="7620" cy="762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-1139825</wp:posOffset>
            </wp:positionV>
            <wp:extent cx="7620" cy="762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-1125220</wp:posOffset>
            </wp:positionV>
            <wp:extent cx="7620" cy="762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-1110615</wp:posOffset>
            </wp:positionV>
            <wp:extent cx="7620" cy="762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-1095375</wp:posOffset>
            </wp:positionV>
            <wp:extent cx="7620" cy="762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-1080770</wp:posOffset>
            </wp:positionV>
            <wp:extent cx="7620" cy="762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-1065530</wp:posOffset>
            </wp:positionV>
            <wp:extent cx="7620" cy="762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-1050925</wp:posOffset>
            </wp:positionV>
            <wp:extent cx="7620" cy="762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-1036320</wp:posOffset>
            </wp:positionV>
            <wp:extent cx="7620" cy="762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6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-1021080</wp:posOffset>
            </wp:positionV>
            <wp:extent cx="7620" cy="762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6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-1006475</wp:posOffset>
            </wp:positionV>
            <wp:extent cx="7620" cy="762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6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-991870</wp:posOffset>
            </wp:positionV>
            <wp:extent cx="7620" cy="762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6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-976630</wp:posOffset>
            </wp:positionV>
            <wp:extent cx="7620" cy="762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6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-962025</wp:posOffset>
            </wp:positionV>
            <wp:extent cx="7620" cy="762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6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-946785</wp:posOffset>
            </wp:positionV>
            <wp:extent cx="7620" cy="762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6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-932180</wp:posOffset>
            </wp:positionV>
            <wp:extent cx="7620" cy="762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6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-917575</wp:posOffset>
            </wp:positionV>
            <wp:extent cx="7620" cy="762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6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-902335</wp:posOffset>
            </wp:positionV>
            <wp:extent cx="7620" cy="762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6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-887730</wp:posOffset>
            </wp:positionV>
            <wp:extent cx="7620" cy="762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6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-872490</wp:posOffset>
            </wp:positionV>
            <wp:extent cx="7620" cy="762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6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-857885</wp:posOffset>
            </wp:positionV>
            <wp:extent cx="7620" cy="762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6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-843280</wp:posOffset>
            </wp:positionV>
            <wp:extent cx="7620" cy="762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6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-828040</wp:posOffset>
            </wp:positionV>
            <wp:extent cx="7620" cy="762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6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-813435</wp:posOffset>
            </wp:positionV>
            <wp:extent cx="7620" cy="762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6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-798830</wp:posOffset>
            </wp:positionV>
            <wp:extent cx="7620" cy="762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6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-783590</wp:posOffset>
            </wp:positionV>
            <wp:extent cx="7620" cy="762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6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-768985</wp:posOffset>
            </wp:positionV>
            <wp:extent cx="7620" cy="762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6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-753745</wp:posOffset>
            </wp:positionV>
            <wp:extent cx="7620" cy="762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6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-739140</wp:posOffset>
            </wp:positionV>
            <wp:extent cx="7620" cy="762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6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-724535</wp:posOffset>
            </wp:positionV>
            <wp:extent cx="7620" cy="762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6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-709295</wp:posOffset>
            </wp:positionV>
            <wp:extent cx="7620" cy="762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6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-694690</wp:posOffset>
            </wp:positionV>
            <wp:extent cx="7620" cy="762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6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-679450</wp:posOffset>
            </wp:positionV>
            <wp:extent cx="7620" cy="762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6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-664845</wp:posOffset>
            </wp:positionV>
            <wp:extent cx="7620" cy="762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6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-650240</wp:posOffset>
            </wp:positionV>
            <wp:extent cx="7620" cy="762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6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-635000</wp:posOffset>
            </wp:positionV>
            <wp:extent cx="7620" cy="762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6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-620395</wp:posOffset>
            </wp:positionV>
            <wp:extent cx="7620" cy="762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6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-605155</wp:posOffset>
            </wp:positionV>
            <wp:extent cx="7620" cy="762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6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-590550</wp:posOffset>
            </wp:positionV>
            <wp:extent cx="7620" cy="762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6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-575945</wp:posOffset>
            </wp:positionV>
            <wp:extent cx="7620" cy="762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6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-560705</wp:posOffset>
            </wp:positionV>
            <wp:extent cx="7620" cy="762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6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-546100</wp:posOffset>
            </wp:positionV>
            <wp:extent cx="7620" cy="762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6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-531495</wp:posOffset>
            </wp:positionV>
            <wp:extent cx="7620" cy="762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6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-516255</wp:posOffset>
            </wp:positionV>
            <wp:extent cx="7620" cy="762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6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-501650</wp:posOffset>
            </wp:positionV>
            <wp:extent cx="7620" cy="762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6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-486410</wp:posOffset>
            </wp:positionV>
            <wp:extent cx="7620" cy="762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6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-471805</wp:posOffset>
            </wp:positionV>
            <wp:extent cx="7620" cy="762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6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-457200</wp:posOffset>
            </wp:positionV>
            <wp:extent cx="7620" cy="762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6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-441960</wp:posOffset>
            </wp:positionV>
            <wp:extent cx="7620" cy="762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6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-427355</wp:posOffset>
            </wp:positionV>
            <wp:extent cx="7620" cy="762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6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-412115</wp:posOffset>
            </wp:positionV>
            <wp:extent cx="7620" cy="762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6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-397510</wp:posOffset>
            </wp:positionV>
            <wp:extent cx="7620" cy="762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6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-382905</wp:posOffset>
            </wp:positionV>
            <wp:extent cx="7620" cy="762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6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-367665</wp:posOffset>
            </wp:positionV>
            <wp:extent cx="7620" cy="762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6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-353060</wp:posOffset>
            </wp:positionV>
            <wp:extent cx="7620" cy="762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6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-338455</wp:posOffset>
            </wp:positionV>
            <wp:extent cx="7620" cy="762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6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-323215</wp:posOffset>
            </wp:positionV>
            <wp:extent cx="7620" cy="762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6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-308610</wp:posOffset>
            </wp:positionV>
            <wp:extent cx="7620" cy="762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6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-293370</wp:posOffset>
            </wp:positionV>
            <wp:extent cx="7620" cy="762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6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-278765</wp:posOffset>
            </wp:positionV>
            <wp:extent cx="7620" cy="762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6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-264160</wp:posOffset>
            </wp:positionV>
            <wp:extent cx="7620" cy="762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6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-248920</wp:posOffset>
            </wp:positionV>
            <wp:extent cx="7620" cy="762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6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-234315</wp:posOffset>
            </wp:positionV>
            <wp:extent cx="7620" cy="762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6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-219075</wp:posOffset>
            </wp:positionV>
            <wp:extent cx="7620" cy="762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6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-204470</wp:posOffset>
            </wp:positionV>
            <wp:extent cx="7620" cy="762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6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-189865</wp:posOffset>
            </wp:positionV>
            <wp:extent cx="7620" cy="762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6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-174625</wp:posOffset>
            </wp:positionV>
            <wp:extent cx="7620" cy="762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-160020</wp:posOffset>
            </wp:positionV>
            <wp:extent cx="7620" cy="762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-144780</wp:posOffset>
            </wp:positionV>
            <wp:extent cx="7620" cy="762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-130175</wp:posOffset>
            </wp:positionV>
            <wp:extent cx="7620" cy="762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-115570</wp:posOffset>
            </wp:positionV>
            <wp:extent cx="7620" cy="762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-100330</wp:posOffset>
            </wp:positionV>
            <wp:extent cx="7620" cy="762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-85725</wp:posOffset>
            </wp:positionV>
            <wp:extent cx="7620" cy="762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-71120</wp:posOffset>
            </wp:positionV>
            <wp:extent cx="7620" cy="762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-55880</wp:posOffset>
            </wp:positionV>
            <wp:extent cx="7620" cy="762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-41275</wp:posOffset>
            </wp:positionV>
            <wp:extent cx="7620" cy="762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-26035</wp:posOffset>
            </wp:positionV>
            <wp:extent cx="7620" cy="762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-11430</wp:posOffset>
            </wp:positionV>
            <wp:extent cx="7620" cy="762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2540</wp:posOffset>
            </wp:positionV>
            <wp:extent cx="7620" cy="762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-1957070</wp:posOffset>
            </wp:positionV>
            <wp:extent cx="7620" cy="762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-1941830</wp:posOffset>
            </wp:positionV>
            <wp:extent cx="7620" cy="762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-1927225</wp:posOffset>
            </wp:positionV>
            <wp:extent cx="7620" cy="762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-1912620</wp:posOffset>
            </wp:positionV>
            <wp:extent cx="7620" cy="762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-1897380</wp:posOffset>
            </wp:positionV>
            <wp:extent cx="7620" cy="762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-1882775</wp:posOffset>
            </wp:positionV>
            <wp:extent cx="7620" cy="762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-1867535</wp:posOffset>
            </wp:positionV>
            <wp:extent cx="7620" cy="762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-1852930</wp:posOffset>
            </wp:positionV>
            <wp:extent cx="7620" cy="762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-1838325</wp:posOffset>
            </wp:positionV>
            <wp:extent cx="7620" cy="762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-1823085</wp:posOffset>
            </wp:positionV>
            <wp:extent cx="7620" cy="762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-1808480</wp:posOffset>
            </wp:positionV>
            <wp:extent cx="7620" cy="762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-1793240</wp:posOffset>
            </wp:positionV>
            <wp:extent cx="7620" cy="762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-1778635</wp:posOffset>
            </wp:positionV>
            <wp:extent cx="7620" cy="762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-1764030</wp:posOffset>
            </wp:positionV>
            <wp:extent cx="7620" cy="762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-1748790</wp:posOffset>
            </wp:positionV>
            <wp:extent cx="7620" cy="762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-1734185</wp:posOffset>
            </wp:positionV>
            <wp:extent cx="7620" cy="762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-1719580</wp:posOffset>
            </wp:positionV>
            <wp:extent cx="7620" cy="762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-1704340</wp:posOffset>
            </wp:positionV>
            <wp:extent cx="7620" cy="762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-1689735</wp:posOffset>
            </wp:positionV>
            <wp:extent cx="7620" cy="762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-1674495</wp:posOffset>
            </wp:positionV>
            <wp:extent cx="7620" cy="762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-1659890</wp:posOffset>
            </wp:positionV>
            <wp:extent cx="7620" cy="762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-1645285</wp:posOffset>
            </wp:positionV>
            <wp:extent cx="7620" cy="762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-1630045</wp:posOffset>
            </wp:positionV>
            <wp:extent cx="7620" cy="762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-1615440</wp:posOffset>
            </wp:positionV>
            <wp:extent cx="7620" cy="762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-1600200</wp:posOffset>
            </wp:positionV>
            <wp:extent cx="7620" cy="762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-1585595</wp:posOffset>
            </wp:positionV>
            <wp:extent cx="7620" cy="762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-1570990</wp:posOffset>
            </wp:positionV>
            <wp:extent cx="7620" cy="762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-1555750</wp:posOffset>
            </wp:positionV>
            <wp:extent cx="7620" cy="762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-1541145</wp:posOffset>
            </wp:positionV>
            <wp:extent cx="7620" cy="762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-1525905</wp:posOffset>
            </wp:positionV>
            <wp:extent cx="7620" cy="762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7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-1511300</wp:posOffset>
            </wp:positionV>
            <wp:extent cx="7620" cy="762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7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-1496695</wp:posOffset>
            </wp:positionV>
            <wp:extent cx="7620" cy="762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7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-1481455</wp:posOffset>
            </wp:positionV>
            <wp:extent cx="7620" cy="762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7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-1466850</wp:posOffset>
            </wp:positionV>
            <wp:extent cx="7620" cy="762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7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-1452245</wp:posOffset>
            </wp:positionV>
            <wp:extent cx="7620" cy="762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7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-1437005</wp:posOffset>
            </wp:positionV>
            <wp:extent cx="7620" cy="762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7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-1422400</wp:posOffset>
            </wp:positionV>
            <wp:extent cx="7620" cy="762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7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-1407160</wp:posOffset>
            </wp:positionV>
            <wp:extent cx="7620" cy="762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7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-1392555</wp:posOffset>
            </wp:positionV>
            <wp:extent cx="7620" cy="762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7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-1377950</wp:posOffset>
            </wp:positionV>
            <wp:extent cx="7620" cy="762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7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-1362710</wp:posOffset>
            </wp:positionV>
            <wp:extent cx="7620" cy="762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7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-1348105</wp:posOffset>
            </wp:positionV>
            <wp:extent cx="7620" cy="762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7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-1332865</wp:posOffset>
            </wp:positionV>
            <wp:extent cx="7620" cy="762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7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-1318260</wp:posOffset>
            </wp:positionV>
            <wp:extent cx="7620" cy="762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7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-1303655</wp:posOffset>
            </wp:positionV>
            <wp:extent cx="7620" cy="762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7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-1288415</wp:posOffset>
            </wp:positionV>
            <wp:extent cx="7620" cy="762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7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-1273810</wp:posOffset>
            </wp:positionV>
            <wp:extent cx="7620" cy="762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7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-1259205</wp:posOffset>
            </wp:positionV>
            <wp:extent cx="7620" cy="762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7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-1243965</wp:posOffset>
            </wp:positionV>
            <wp:extent cx="7620" cy="762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7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-1229360</wp:posOffset>
            </wp:positionV>
            <wp:extent cx="7620" cy="762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7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-1214120</wp:posOffset>
            </wp:positionV>
            <wp:extent cx="7620" cy="762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7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-1199515</wp:posOffset>
            </wp:positionV>
            <wp:extent cx="7620" cy="762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7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-1184910</wp:posOffset>
            </wp:positionV>
            <wp:extent cx="7620" cy="762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7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-1169670</wp:posOffset>
            </wp:positionV>
            <wp:extent cx="7620" cy="762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7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-1155065</wp:posOffset>
            </wp:positionV>
            <wp:extent cx="7620" cy="762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7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-1139825</wp:posOffset>
            </wp:positionV>
            <wp:extent cx="7620" cy="762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7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-1125220</wp:posOffset>
            </wp:positionV>
            <wp:extent cx="7620" cy="762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7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-1110615</wp:posOffset>
            </wp:positionV>
            <wp:extent cx="7620" cy="762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7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-1095375</wp:posOffset>
            </wp:positionV>
            <wp:extent cx="7620" cy="762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7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-1080770</wp:posOffset>
            </wp:positionV>
            <wp:extent cx="7620" cy="762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7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-1065530</wp:posOffset>
            </wp:positionV>
            <wp:extent cx="7620" cy="762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7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-1050925</wp:posOffset>
            </wp:positionV>
            <wp:extent cx="7620" cy="762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7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-1036320</wp:posOffset>
            </wp:positionV>
            <wp:extent cx="7620" cy="762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7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-1021080</wp:posOffset>
            </wp:positionV>
            <wp:extent cx="7620" cy="762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7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-1006475</wp:posOffset>
            </wp:positionV>
            <wp:extent cx="7620" cy="762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7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-991870</wp:posOffset>
            </wp:positionV>
            <wp:extent cx="7620" cy="762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7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-976630</wp:posOffset>
            </wp:positionV>
            <wp:extent cx="7620" cy="762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7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-962025</wp:posOffset>
            </wp:positionV>
            <wp:extent cx="7620" cy="762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7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-946785</wp:posOffset>
            </wp:positionV>
            <wp:extent cx="7620" cy="762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7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-932180</wp:posOffset>
            </wp:positionV>
            <wp:extent cx="7620" cy="762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7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-917575</wp:posOffset>
            </wp:positionV>
            <wp:extent cx="7620" cy="762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7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-902335</wp:posOffset>
            </wp:positionV>
            <wp:extent cx="7620" cy="762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7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-887730</wp:posOffset>
            </wp:positionV>
            <wp:extent cx="7620" cy="762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7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-872490</wp:posOffset>
            </wp:positionV>
            <wp:extent cx="7620" cy="762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7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-857885</wp:posOffset>
            </wp:positionV>
            <wp:extent cx="7620" cy="762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7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-843280</wp:posOffset>
            </wp:positionV>
            <wp:extent cx="7620" cy="762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7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-828040</wp:posOffset>
            </wp:positionV>
            <wp:extent cx="7620" cy="762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7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-813435</wp:posOffset>
            </wp:positionV>
            <wp:extent cx="7620" cy="762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7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-798830</wp:posOffset>
            </wp:positionV>
            <wp:extent cx="7620" cy="762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7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-783590</wp:posOffset>
            </wp:positionV>
            <wp:extent cx="7620" cy="762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7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-768985</wp:posOffset>
            </wp:positionV>
            <wp:extent cx="7620" cy="762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7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-753745</wp:posOffset>
            </wp:positionV>
            <wp:extent cx="7620" cy="762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7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-739140</wp:posOffset>
            </wp:positionV>
            <wp:extent cx="7620" cy="762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7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-724535</wp:posOffset>
            </wp:positionV>
            <wp:extent cx="7620" cy="762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7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-709295</wp:posOffset>
            </wp:positionV>
            <wp:extent cx="7620" cy="762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7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-694690</wp:posOffset>
            </wp:positionV>
            <wp:extent cx="7620" cy="762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7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-679450</wp:posOffset>
            </wp:positionV>
            <wp:extent cx="7620" cy="762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7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-664845</wp:posOffset>
            </wp:positionV>
            <wp:extent cx="7620" cy="762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-650240</wp:posOffset>
            </wp:positionV>
            <wp:extent cx="7620" cy="762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-635000</wp:posOffset>
            </wp:positionV>
            <wp:extent cx="7620" cy="762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-620395</wp:posOffset>
            </wp:positionV>
            <wp:extent cx="7620" cy="762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-605155</wp:posOffset>
            </wp:positionV>
            <wp:extent cx="7620" cy="762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-590550</wp:posOffset>
            </wp:positionV>
            <wp:extent cx="7620" cy="762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-575945</wp:posOffset>
            </wp:positionV>
            <wp:extent cx="7620" cy="762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-560705</wp:posOffset>
            </wp:positionV>
            <wp:extent cx="7620" cy="762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-546100</wp:posOffset>
            </wp:positionV>
            <wp:extent cx="7620" cy="762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-531495</wp:posOffset>
            </wp:positionV>
            <wp:extent cx="7620" cy="762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-516255</wp:posOffset>
            </wp:positionV>
            <wp:extent cx="7620" cy="762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-501650</wp:posOffset>
            </wp:positionV>
            <wp:extent cx="7620" cy="762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-486410</wp:posOffset>
            </wp:positionV>
            <wp:extent cx="7620" cy="762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-471805</wp:posOffset>
            </wp:positionV>
            <wp:extent cx="7620" cy="762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-457200</wp:posOffset>
            </wp:positionV>
            <wp:extent cx="7620" cy="762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-441960</wp:posOffset>
            </wp:positionV>
            <wp:extent cx="7620" cy="762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-427355</wp:posOffset>
            </wp:positionV>
            <wp:extent cx="7620" cy="762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-412115</wp:posOffset>
            </wp:positionV>
            <wp:extent cx="7620" cy="762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-397510</wp:posOffset>
            </wp:positionV>
            <wp:extent cx="7620" cy="762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-382905</wp:posOffset>
            </wp:positionV>
            <wp:extent cx="7620" cy="762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-367665</wp:posOffset>
            </wp:positionV>
            <wp:extent cx="7620" cy="762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-353060</wp:posOffset>
            </wp:positionV>
            <wp:extent cx="7620" cy="762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-338455</wp:posOffset>
            </wp:positionV>
            <wp:extent cx="7620" cy="762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-323215</wp:posOffset>
            </wp:positionV>
            <wp:extent cx="7620" cy="762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-308610</wp:posOffset>
            </wp:positionV>
            <wp:extent cx="7620" cy="762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-293370</wp:posOffset>
            </wp:positionV>
            <wp:extent cx="7620" cy="762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-278765</wp:posOffset>
            </wp:positionV>
            <wp:extent cx="7620" cy="762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-264160</wp:posOffset>
            </wp:positionV>
            <wp:extent cx="7620" cy="762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-248920</wp:posOffset>
            </wp:positionV>
            <wp:extent cx="7620" cy="762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-234315</wp:posOffset>
            </wp:positionV>
            <wp:extent cx="7620" cy="762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-219075</wp:posOffset>
            </wp:positionV>
            <wp:extent cx="7620" cy="762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-204470</wp:posOffset>
            </wp:positionV>
            <wp:extent cx="7620" cy="762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-189865</wp:posOffset>
            </wp:positionV>
            <wp:extent cx="7620" cy="762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-174625</wp:posOffset>
            </wp:positionV>
            <wp:extent cx="7620" cy="762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-160020</wp:posOffset>
            </wp:positionV>
            <wp:extent cx="7620" cy="762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-144780</wp:posOffset>
            </wp:positionV>
            <wp:extent cx="7620" cy="762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-130175</wp:posOffset>
            </wp:positionV>
            <wp:extent cx="7620" cy="762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-115570</wp:posOffset>
            </wp:positionV>
            <wp:extent cx="7620" cy="762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-100330</wp:posOffset>
            </wp:positionV>
            <wp:extent cx="7620" cy="762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-85725</wp:posOffset>
            </wp:positionV>
            <wp:extent cx="7620" cy="762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-71120</wp:posOffset>
            </wp:positionV>
            <wp:extent cx="7620" cy="762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-55880</wp:posOffset>
            </wp:positionV>
            <wp:extent cx="7620" cy="762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-41275</wp:posOffset>
            </wp:positionV>
            <wp:extent cx="7620" cy="762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8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-26035</wp:posOffset>
            </wp:positionV>
            <wp:extent cx="7620" cy="762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8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-11430</wp:posOffset>
            </wp:positionV>
            <wp:extent cx="7620" cy="762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8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2540</wp:posOffset>
            </wp:positionV>
            <wp:extent cx="7620" cy="762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8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-1957070</wp:posOffset>
            </wp:positionV>
            <wp:extent cx="7620" cy="762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8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-1941830</wp:posOffset>
            </wp:positionV>
            <wp:extent cx="7620" cy="762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8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-1927225</wp:posOffset>
            </wp:positionV>
            <wp:extent cx="7620" cy="762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8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-1912620</wp:posOffset>
            </wp:positionV>
            <wp:extent cx="7620" cy="762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8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-1897380</wp:posOffset>
            </wp:positionV>
            <wp:extent cx="7620" cy="762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8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-1882775</wp:posOffset>
            </wp:positionV>
            <wp:extent cx="7620" cy="762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8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-1867535</wp:posOffset>
            </wp:positionV>
            <wp:extent cx="7620" cy="762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8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-1852930</wp:posOffset>
            </wp:positionV>
            <wp:extent cx="7620" cy="762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8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-1838325</wp:posOffset>
            </wp:positionV>
            <wp:extent cx="7620" cy="762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8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-1823085</wp:posOffset>
            </wp:positionV>
            <wp:extent cx="7620" cy="762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8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-1808480</wp:posOffset>
            </wp:positionV>
            <wp:extent cx="7620" cy="762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8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-1793240</wp:posOffset>
            </wp:positionV>
            <wp:extent cx="7620" cy="762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8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-1778635</wp:posOffset>
            </wp:positionV>
            <wp:extent cx="7620" cy="762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8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-1764030</wp:posOffset>
            </wp:positionV>
            <wp:extent cx="7620" cy="762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8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-1748790</wp:posOffset>
            </wp:positionV>
            <wp:extent cx="7620" cy="762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8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-1734185</wp:posOffset>
            </wp:positionV>
            <wp:extent cx="7620" cy="762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8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-1719580</wp:posOffset>
            </wp:positionV>
            <wp:extent cx="7620" cy="762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8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-1704340</wp:posOffset>
            </wp:positionV>
            <wp:extent cx="7620" cy="762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8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-1689735</wp:posOffset>
            </wp:positionV>
            <wp:extent cx="7620" cy="762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8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-1674495</wp:posOffset>
            </wp:positionV>
            <wp:extent cx="7620" cy="762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8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-1659890</wp:posOffset>
            </wp:positionV>
            <wp:extent cx="7620" cy="762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8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-1645285</wp:posOffset>
            </wp:positionV>
            <wp:extent cx="7620" cy="762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8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-1630045</wp:posOffset>
            </wp:positionV>
            <wp:extent cx="7620" cy="762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8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-1615440</wp:posOffset>
            </wp:positionV>
            <wp:extent cx="7620" cy="762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8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-1600200</wp:posOffset>
            </wp:positionV>
            <wp:extent cx="7620" cy="762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8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-1585595</wp:posOffset>
            </wp:positionV>
            <wp:extent cx="7620" cy="762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8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-1570990</wp:posOffset>
            </wp:positionV>
            <wp:extent cx="7620" cy="762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8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-1555750</wp:posOffset>
            </wp:positionV>
            <wp:extent cx="7620" cy="762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8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-1541145</wp:posOffset>
            </wp:positionV>
            <wp:extent cx="7620" cy="762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8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-1525905</wp:posOffset>
            </wp:positionV>
            <wp:extent cx="7620" cy="762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8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-1511300</wp:posOffset>
            </wp:positionV>
            <wp:extent cx="7620" cy="762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8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-1496695</wp:posOffset>
            </wp:positionV>
            <wp:extent cx="7620" cy="762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8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-1481455</wp:posOffset>
            </wp:positionV>
            <wp:extent cx="7620" cy="762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8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-1466850</wp:posOffset>
            </wp:positionV>
            <wp:extent cx="7620" cy="762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8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-1452245</wp:posOffset>
            </wp:positionV>
            <wp:extent cx="7620" cy="762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8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-1437005</wp:posOffset>
            </wp:positionV>
            <wp:extent cx="7620" cy="762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8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-1422400</wp:posOffset>
            </wp:positionV>
            <wp:extent cx="7620" cy="762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8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-1407160</wp:posOffset>
            </wp:positionV>
            <wp:extent cx="7620" cy="762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8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-1392555</wp:posOffset>
            </wp:positionV>
            <wp:extent cx="7620" cy="762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8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-1377950</wp:posOffset>
            </wp:positionV>
            <wp:extent cx="7620" cy="762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8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-1362710</wp:posOffset>
            </wp:positionV>
            <wp:extent cx="7620" cy="762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8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-1348105</wp:posOffset>
            </wp:positionV>
            <wp:extent cx="7620" cy="762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8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-1332865</wp:posOffset>
            </wp:positionV>
            <wp:extent cx="7620" cy="762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8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-1318260</wp:posOffset>
            </wp:positionV>
            <wp:extent cx="7620" cy="762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8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-1303655</wp:posOffset>
            </wp:positionV>
            <wp:extent cx="7620" cy="762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8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-1288415</wp:posOffset>
            </wp:positionV>
            <wp:extent cx="7620" cy="762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8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-1273810</wp:posOffset>
            </wp:positionV>
            <wp:extent cx="7620" cy="762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8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-1259205</wp:posOffset>
            </wp:positionV>
            <wp:extent cx="7620" cy="762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8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-1243965</wp:posOffset>
            </wp:positionV>
            <wp:extent cx="7620" cy="762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8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-1229360</wp:posOffset>
            </wp:positionV>
            <wp:extent cx="7620" cy="762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8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-1214120</wp:posOffset>
            </wp:positionV>
            <wp:extent cx="7620" cy="762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8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-1199515</wp:posOffset>
            </wp:positionV>
            <wp:extent cx="7620" cy="762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8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-1184910</wp:posOffset>
            </wp:positionV>
            <wp:extent cx="7620" cy="762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8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-1169670</wp:posOffset>
            </wp:positionV>
            <wp:extent cx="7620" cy="762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8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-1155065</wp:posOffset>
            </wp:positionV>
            <wp:extent cx="7620" cy="762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8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-1139825</wp:posOffset>
            </wp:positionV>
            <wp:extent cx="7620" cy="762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-1125220</wp:posOffset>
            </wp:positionV>
            <wp:extent cx="7620" cy="762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-1110615</wp:posOffset>
            </wp:positionV>
            <wp:extent cx="7620" cy="762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-1095375</wp:posOffset>
            </wp:positionV>
            <wp:extent cx="7620" cy="762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-1080770</wp:posOffset>
            </wp:positionV>
            <wp:extent cx="7620" cy="762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-1065530</wp:posOffset>
            </wp:positionV>
            <wp:extent cx="7620" cy="762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-1050925</wp:posOffset>
            </wp:positionV>
            <wp:extent cx="7620" cy="762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-1036320</wp:posOffset>
            </wp:positionV>
            <wp:extent cx="7620" cy="762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-1021080</wp:posOffset>
            </wp:positionV>
            <wp:extent cx="7620" cy="762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-1006475</wp:posOffset>
            </wp:positionV>
            <wp:extent cx="7620" cy="762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-991870</wp:posOffset>
            </wp:positionV>
            <wp:extent cx="7620" cy="762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-976630</wp:posOffset>
            </wp:positionV>
            <wp:extent cx="7620" cy="762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-962025</wp:posOffset>
            </wp:positionV>
            <wp:extent cx="7620" cy="762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-946785</wp:posOffset>
            </wp:positionV>
            <wp:extent cx="7620" cy="762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-932180</wp:posOffset>
            </wp:positionV>
            <wp:extent cx="7620" cy="762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-917575</wp:posOffset>
            </wp:positionV>
            <wp:extent cx="7620" cy="762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-902335</wp:posOffset>
            </wp:positionV>
            <wp:extent cx="7620" cy="762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-887730</wp:posOffset>
            </wp:positionV>
            <wp:extent cx="7620" cy="762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-872490</wp:posOffset>
            </wp:positionV>
            <wp:extent cx="7620" cy="762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-857885</wp:posOffset>
            </wp:positionV>
            <wp:extent cx="7620" cy="762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-843280</wp:posOffset>
            </wp:positionV>
            <wp:extent cx="7620" cy="762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-828040</wp:posOffset>
            </wp:positionV>
            <wp:extent cx="7620" cy="762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-813435</wp:posOffset>
            </wp:positionV>
            <wp:extent cx="7620" cy="762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-798830</wp:posOffset>
            </wp:positionV>
            <wp:extent cx="7620" cy="762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-783590</wp:posOffset>
            </wp:positionV>
            <wp:extent cx="7620" cy="762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-768985</wp:posOffset>
            </wp:positionV>
            <wp:extent cx="7620" cy="762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-753745</wp:posOffset>
            </wp:positionV>
            <wp:extent cx="7620" cy="762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-739140</wp:posOffset>
            </wp:positionV>
            <wp:extent cx="7620" cy="762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-724535</wp:posOffset>
            </wp:positionV>
            <wp:extent cx="7620" cy="762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-709295</wp:posOffset>
            </wp:positionV>
            <wp:extent cx="7620" cy="762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-694690</wp:posOffset>
            </wp:positionV>
            <wp:extent cx="7620" cy="762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-679450</wp:posOffset>
            </wp:positionV>
            <wp:extent cx="7620" cy="762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-664845</wp:posOffset>
            </wp:positionV>
            <wp:extent cx="7620" cy="762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-650240</wp:posOffset>
            </wp:positionV>
            <wp:extent cx="7620" cy="762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-635000</wp:posOffset>
            </wp:positionV>
            <wp:extent cx="7620" cy="762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-620395</wp:posOffset>
            </wp:positionV>
            <wp:extent cx="7620" cy="762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-605155</wp:posOffset>
            </wp:positionV>
            <wp:extent cx="7620" cy="762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-590550</wp:posOffset>
            </wp:positionV>
            <wp:extent cx="7620" cy="762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-575945</wp:posOffset>
            </wp:positionV>
            <wp:extent cx="7620" cy="762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-560705</wp:posOffset>
            </wp:positionV>
            <wp:extent cx="7620" cy="762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-546100</wp:posOffset>
            </wp:positionV>
            <wp:extent cx="7620" cy="762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-531495</wp:posOffset>
            </wp:positionV>
            <wp:extent cx="7620" cy="762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9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-516255</wp:posOffset>
            </wp:positionV>
            <wp:extent cx="7620" cy="762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9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-501650</wp:posOffset>
            </wp:positionV>
            <wp:extent cx="7620" cy="762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9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-486410</wp:posOffset>
            </wp:positionV>
            <wp:extent cx="7620" cy="762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9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-471805</wp:posOffset>
            </wp:positionV>
            <wp:extent cx="7620" cy="762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9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-457200</wp:posOffset>
            </wp:positionV>
            <wp:extent cx="7620" cy="762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9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-441960</wp:posOffset>
            </wp:positionV>
            <wp:extent cx="7620" cy="762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9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-427355</wp:posOffset>
            </wp:positionV>
            <wp:extent cx="7620" cy="762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9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-412115</wp:posOffset>
            </wp:positionV>
            <wp:extent cx="7620" cy="762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9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-397510</wp:posOffset>
            </wp:positionV>
            <wp:extent cx="7620" cy="762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9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-382905</wp:posOffset>
            </wp:positionV>
            <wp:extent cx="7620" cy="762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9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-367665</wp:posOffset>
            </wp:positionV>
            <wp:extent cx="7620" cy="762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9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-353060</wp:posOffset>
            </wp:positionV>
            <wp:extent cx="7620" cy="762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9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-338455</wp:posOffset>
            </wp:positionV>
            <wp:extent cx="7620" cy="762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9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-323215</wp:posOffset>
            </wp:positionV>
            <wp:extent cx="7620" cy="762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9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-308610</wp:posOffset>
            </wp:positionV>
            <wp:extent cx="7620" cy="762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9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-293370</wp:posOffset>
            </wp:positionV>
            <wp:extent cx="7620" cy="762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9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-278765</wp:posOffset>
            </wp:positionV>
            <wp:extent cx="7620" cy="762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9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-264160</wp:posOffset>
            </wp:positionV>
            <wp:extent cx="7620" cy="762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9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-248920</wp:posOffset>
            </wp:positionV>
            <wp:extent cx="7620" cy="762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9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-234315</wp:posOffset>
            </wp:positionV>
            <wp:extent cx="7620" cy="762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9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-219075</wp:posOffset>
            </wp:positionV>
            <wp:extent cx="7620" cy="762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9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-204470</wp:posOffset>
            </wp:positionV>
            <wp:extent cx="7620" cy="762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9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-189865</wp:posOffset>
            </wp:positionV>
            <wp:extent cx="7620" cy="762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9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-174625</wp:posOffset>
            </wp:positionV>
            <wp:extent cx="7620" cy="762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9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-160020</wp:posOffset>
            </wp:positionV>
            <wp:extent cx="7620" cy="762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9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-144780</wp:posOffset>
            </wp:positionV>
            <wp:extent cx="7620" cy="762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9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-130175</wp:posOffset>
            </wp:positionV>
            <wp:extent cx="7620" cy="762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9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-115570</wp:posOffset>
            </wp:positionV>
            <wp:extent cx="7620" cy="762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9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-100330</wp:posOffset>
            </wp:positionV>
            <wp:extent cx="7620" cy="762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9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-85725</wp:posOffset>
            </wp:positionV>
            <wp:extent cx="7620" cy="762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9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-71120</wp:posOffset>
            </wp:positionV>
            <wp:extent cx="7620" cy="762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9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-55880</wp:posOffset>
            </wp:positionV>
            <wp:extent cx="7620" cy="762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9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-41275</wp:posOffset>
            </wp:positionV>
            <wp:extent cx="7620" cy="762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9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-26035</wp:posOffset>
            </wp:positionV>
            <wp:extent cx="7620" cy="762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9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-11430</wp:posOffset>
            </wp:positionV>
            <wp:extent cx="7620" cy="762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9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2540</wp:posOffset>
            </wp:positionV>
            <wp:extent cx="7620" cy="762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936">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60"/>
        </w:trPr>
        <w:tc>
          <w:tcPr>
            <w:tcW w:w="6500" w:type="dxa"/>
            <w:vAlign w:val="bottom"/>
            <w:gridSpan w:val="2"/>
          </w:tcPr>
          <w:p>
            <w:pPr>
              <w:spacing w:after="0" w:line="160" w:lineRule="exact"/>
              <w:rPr>
                <w:sz w:val="20"/>
                <w:szCs w:val="20"/>
                <w:color w:val="auto"/>
              </w:rPr>
            </w:pPr>
            <w:r>
              <w:rPr>
                <w:rFonts w:ascii="Arial" w:cs="Arial" w:eastAsia="Arial" w:hAnsi="Arial"/>
                <w:sz w:val="14"/>
                <w:szCs w:val="14"/>
                <w:b w:val="1"/>
                <w:bCs w:val="1"/>
                <w:i w:val="1"/>
                <w:iCs w:val="1"/>
                <w:color w:val="auto"/>
                <w:w w:val="92"/>
              </w:rPr>
              <w:t>managing his or her participation in the Plan, including any requisite transfer of Syarikat (masa sekarang</w:t>
            </w:r>
          </w:p>
        </w:tc>
        <w:tc>
          <w:tcPr>
            <w:tcW w:w="3880" w:type="dxa"/>
            <w:vAlign w:val="bottom"/>
            <w:gridSpan w:val="2"/>
          </w:tcPr>
          <w:p>
            <w:pPr>
              <w:jc w:val="right"/>
              <w:spacing w:after="0" w:line="160" w:lineRule="exact"/>
              <w:rPr>
                <w:sz w:val="20"/>
                <w:szCs w:val="20"/>
                <w:color w:val="auto"/>
              </w:rPr>
            </w:pPr>
            <w:r>
              <w:rPr>
                <w:rFonts w:ascii="Arial" w:cs="Arial" w:eastAsia="Arial" w:hAnsi="Arial"/>
                <w:sz w:val="14"/>
                <w:szCs w:val="14"/>
                <w:b w:val="1"/>
                <w:bCs w:val="1"/>
                <w:i w:val="1"/>
                <w:iCs w:val="1"/>
                <w:color w:val="auto"/>
                <w:w w:val="96"/>
              </w:rPr>
              <w:t>atau pada masa depan) untuk melaksanakan, mentadbir dan</w:t>
            </w:r>
          </w:p>
        </w:tc>
      </w:tr>
      <w:tr>
        <w:trPr>
          <w:trHeight w:val="164"/>
        </w:trPr>
        <w:tc>
          <w:tcPr>
            <w:tcW w:w="650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94"/>
              </w:rPr>
              <w:t>such Data as may be required to a broker or other third party with whom the menguruskan  penyertaan</w:t>
            </w:r>
          </w:p>
        </w:tc>
        <w:tc>
          <w:tcPr>
            <w:tcW w:w="2140" w:type="dxa"/>
            <w:vAlign w:val="bottom"/>
          </w:tcPr>
          <w:p>
            <w:pPr>
              <w:ind w:left="80"/>
              <w:spacing w:after="0"/>
              <w:rPr>
                <w:sz w:val="20"/>
                <w:szCs w:val="20"/>
                <w:color w:val="auto"/>
              </w:rPr>
            </w:pPr>
            <w:r>
              <w:rPr>
                <w:rFonts w:ascii="Arial" w:cs="Arial" w:eastAsia="Arial" w:hAnsi="Arial"/>
                <w:sz w:val="14"/>
                <w:szCs w:val="14"/>
                <w:b w:val="1"/>
                <w:bCs w:val="1"/>
                <w:i w:val="1"/>
                <w:iCs w:val="1"/>
                <w:color w:val="auto"/>
                <w:w w:val="91"/>
              </w:rPr>
              <w:t>Pemegang  Opsyen  dalam  Pelan</w:t>
            </w:r>
          </w:p>
        </w:tc>
        <w:tc>
          <w:tcPr>
            <w:tcW w:w="174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93"/>
              </w:rPr>
              <w:t>untuk  menerima,  memiliki,</w:t>
            </w:r>
          </w:p>
        </w:tc>
      </w:tr>
      <w:tr>
        <w:trPr>
          <w:trHeight w:val="199"/>
        </w:trPr>
        <w:tc>
          <w:tcPr>
            <w:tcW w:w="4760" w:type="dxa"/>
            <w:vAlign w:val="bottom"/>
          </w:tcPr>
          <w:p>
            <w:pPr>
              <w:spacing w:after="0"/>
              <w:rPr>
                <w:sz w:val="20"/>
                <w:szCs w:val="20"/>
                <w:color w:val="auto"/>
              </w:rPr>
            </w:pPr>
            <w:r>
              <w:rPr>
                <w:rFonts w:ascii="Arial" w:cs="Arial" w:eastAsia="Arial" w:hAnsi="Arial"/>
                <w:sz w:val="14"/>
                <w:szCs w:val="14"/>
                <w:b w:val="1"/>
                <w:bCs w:val="1"/>
                <w:i w:val="1"/>
                <w:iCs w:val="1"/>
                <w:color w:val="auto"/>
                <w:w w:val="88"/>
              </w:rPr>
              <w:t>Optionee may elect to deposit any Shares acquired upon exercise of this Option.</w:t>
            </w:r>
          </w:p>
        </w:tc>
        <w:tc>
          <w:tcPr>
            <w:tcW w:w="3880" w:type="dxa"/>
            <w:vAlign w:val="bottom"/>
            <w:gridSpan w:val="2"/>
          </w:tcPr>
          <w:p>
            <w:pPr>
              <w:ind w:left="160"/>
              <w:spacing w:after="0"/>
              <w:rPr>
                <w:sz w:val="20"/>
                <w:szCs w:val="20"/>
                <w:color w:val="auto"/>
              </w:rPr>
            </w:pPr>
            <w:r>
              <w:rPr>
                <w:rFonts w:ascii="Arial" w:cs="Arial" w:eastAsia="Arial" w:hAnsi="Arial"/>
                <w:sz w:val="14"/>
                <w:szCs w:val="14"/>
                <w:b w:val="1"/>
                <w:bCs w:val="1"/>
                <w:i w:val="1"/>
                <w:iCs w:val="1"/>
                <w:color w:val="auto"/>
                <w:w w:val="92"/>
              </w:rPr>
              <w:t>menggunakan, mengekalkan dan memindahkan Data, dalam</w:t>
            </w:r>
          </w:p>
        </w:tc>
        <w:tc>
          <w:tcPr>
            <w:tcW w:w="174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94"/>
              </w:rPr>
              <w:t>bentuk elektronik atau lain-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6805295</wp:posOffset>
            </wp:positionH>
            <wp:positionV relativeFrom="paragraph">
              <wp:posOffset>-313690</wp:posOffset>
            </wp:positionV>
            <wp:extent cx="7620" cy="762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9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-298450</wp:posOffset>
            </wp:positionV>
            <wp:extent cx="7620" cy="762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9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-283845</wp:posOffset>
            </wp:positionV>
            <wp:extent cx="7620" cy="762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9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-269240</wp:posOffset>
            </wp:positionV>
            <wp:extent cx="7620" cy="762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9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-254000</wp:posOffset>
            </wp:positionV>
            <wp:extent cx="7620" cy="762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9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-239395</wp:posOffset>
            </wp:positionV>
            <wp:extent cx="7620" cy="762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9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-224155</wp:posOffset>
            </wp:positionV>
            <wp:extent cx="7620" cy="762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9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-209550</wp:posOffset>
            </wp:positionV>
            <wp:extent cx="7620" cy="762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9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-194945</wp:posOffset>
            </wp:positionV>
            <wp:extent cx="7620" cy="762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9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-179705</wp:posOffset>
            </wp:positionV>
            <wp:extent cx="7620" cy="762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9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-165100</wp:posOffset>
            </wp:positionV>
            <wp:extent cx="7620" cy="762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9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-149860</wp:posOffset>
            </wp:positionV>
            <wp:extent cx="7620" cy="762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9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-135255</wp:posOffset>
            </wp:positionV>
            <wp:extent cx="7620" cy="762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9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-120650</wp:posOffset>
            </wp:positionV>
            <wp:extent cx="7620" cy="762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9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-105410</wp:posOffset>
            </wp:positionV>
            <wp:extent cx="7620" cy="762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9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-90805</wp:posOffset>
            </wp:positionV>
            <wp:extent cx="7620" cy="762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9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-76200</wp:posOffset>
            </wp:positionV>
            <wp:extent cx="7620" cy="762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9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-60960</wp:posOffset>
            </wp:positionV>
            <wp:extent cx="7620" cy="762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9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-46355</wp:posOffset>
            </wp:positionV>
            <wp:extent cx="7620" cy="762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9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-31115</wp:posOffset>
            </wp:positionV>
            <wp:extent cx="7620" cy="762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9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-16510</wp:posOffset>
            </wp:positionV>
            <wp:extent cx="7620" cy="762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9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-1905</wp:posOffset>
            </wp:positionV>
            <wp:extent cx="7620" cy="762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9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-313690</wp:posOffset>
            </wp:positionV>
            <wp:extent cx="7620" cy="762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-298450</wp:posOffset>
            </wp:positionV>
            <wp:extent cx="7620" cy="762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-283845</wp:posOffset>
            </wp:positionV>
            <wp:extent cx="7620" cy="762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-269240</wp:posOffset>
            </wp:positionV>
            <wp:extent cx="7620" cy="762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-254000</wp:posOffset>
            </wp:positionV>
            <wp:extent cx="7620" cy="762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-239395</wp:posOffset>
            </wp:positionV>
            <wp:extent cx="7620" cy="762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-224155</wp:posOffset>
            </wp:positionV>
            <wp:extent cx="7620" cy="762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-209550</wp:posOffset>
            </wp:positionV>
            <wp:extent cx="7620" cy="762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-194945</wp:posOffset>
            </wp:positionV>
            <wp:extent cx="7620" cy="762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-179705</wp:posOffset>
            </wp:positionV>
            <wp:extent cx="7620" cy="762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-165100</wp:posOffset>
            </wp:positionV>
            <wp:extent cx="7620" cy="762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-149860</wp:posOffset>
            </wp:positionV>
            <wp:extent cx="7620" cy="762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-135255</wp:posOffset>
            </wp:positionV>
            <wp:extent cx="7620" cy="762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-120650</wp:posOffset>
            </wp:positionV>
            <wp:extent cx="7620" cy="762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-105410</wp:posOffset>
            </wp:positionV>
            <wp:extent cx="7620" cy="762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-90805</wp:posOffset>
            </wp:positionV>
            <wp:extent cx="7620" cy="762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-76200</wp:posOffset>
            </wp:positionV>
            <wp:extent cx="7620" cy="762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-60960</wp:posOffset>
            </wp:positionV>
            <wp:extent cx="7620" cy="762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-46355</wp:posOffset>
            </wp:positionV>
            <wp:extent cx="7620" cy="762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-31115</wp:posOffset>
            </wp:positionV>
            <wp:extent cx="7620" cy="762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-16510</wp:posOffset>
            </wp:positionV>
            <wp:extent cx="7620" cy="762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-1905</wp:posOffset>
            </wp:positionV>
            <wp:extent cx="7620" cy="762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-313690</wp:posOffset>
            </wp:positionV>
            <wp:extent cx="7620" cy="762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-298450</wp:posOffset>
            </wp:positionV>
            <wp:extent cx="7620" cy="762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-283845</wp:posOffset>
            </wp:positionV>
            <wp:extent cx="7620" cy="762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-269240</wp:posOffset>
            </wp:positionV>
            <wp:extent cx="7620" cy="762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-254000</wp:posOffset>
            </wp:positionV>
            <wp:extent cx="7620" cy="762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-239395</wp:posOffset>
            </wp:positionV>
            <wp:extent cx="7620" cy="762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-224155</wp:posOffset>
            </wp:positionV>
            <wp:extent cx="7620" cy="762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-209550</wp:posOffset>
            </wp:positionV>
            <wp:extent cx="7620" cy="762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-194945</wp:posOffset>
            </wp:positionV>
            <wp:extent cx="7620" cy="762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-179705</wp:posOffset>
            </wp:positionV>
            <wp:extent cx="7620" cy="762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-165100</wp:posOffset>
            </wp:positionV>
            <wp:extent cx="7620" cy="762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-149860</wp:posOffset>
            </wp:positionV>
            <wp:extent cx="7620" cy="762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-135255</wp:posOffset>
            </wp:positionV>
            <wp:extent cx="7620" cy="762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-120650</wp:posOffset>
            </wp:positionV>
            <wp:extent cx="7620" cy="762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-105410</wp:posOffset>
            </wp:positionV>
            <wp:extent cx="7620" cy="762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-90805</wp:posOffset>
            </wp:positionV>
            <wp:extent cx="7620" cy="762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-76200</wp:posOffset>
            </wp:positionV>
            <wp:extent cx="7620" cy="762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-60960</wp:posOffset>
            </wp:positionV>
            <wp:extent cx="7620" cy="762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-46355</wp:posOffset>
            </wp:positionV>
            <wp:extent cx="7620" cy="762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-31115</wp:posOffset>
            </wp:positionV>
            <wp:extent cx="7620" cy="762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20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-16510</wp:posOffset>
            </wp:positionV>
            <wp:extent cx="7620" cy="762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20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-1905</wp:posOffset>
            </wp:positionV>
            <wp:extent cx="7620" cy="762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2002">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jc w:val="both"/>
        <w:ind w:left="5240"/>
        <w:spacing w:after="0" w:line="245" w:lineRule="auto"/>
        <w:rPr>
          <w:sz w:val="20"/>
          <w:szCs w:val="20"/>
          <w:color w:val="auto"/>
        </w:rPr>
      </w:pPr>
      <w:r>
        <w:rPr>
          <w:rFonts w:ascii="Arial" w:cs="Arial" w:eastAsia="Arial" w:hAnsi="Arial"/>
          <w:sz w:val="14"/>
          <w:szCs w:val="14"/>
          <w:b w:val="1"/>
          <w:bCs w:val="1"/>
          <w:i w:val="1"/>
          <w:iCs w:val="1"/>
          <w:color w:val="auto"/>
        </w:rPr>
        <w:t>lain, semata-mata dengan tujuan untuk melaksanakan, mentadbir dan menguruskan penyertaan Pemegang Opsyen dalam Pelan, termasuk apa-apa pemindahan Data yang diperlukan kepada broker atau pihak ketiga dengan siapa Pemegang Opsyen mungkin pilih untuk mendepositkan apa-apa Saham yang diperolehi di atas pelaksanaan Opsyen ini. Pemegang Opsyen memahami bahawa Data akan dipegang hanya untuk tempoh yang diperlukan untuk melaksanakan, mentadbir dan menguruskan penyertaannya dalam Pelan tersebut.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9525</wp:posOffset>
            </wp:positionV>
            <wp:extent cx="7620" cy="762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20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9525</wp:posOffset>
            </wp:positionV>
            <wp:extent cx="7620" cy="762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20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9525</wp:posOffset>
            </wp:positionV>
            <wp:extent cx="7620" cy="762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20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9525</wp:posOffset>
            </wp:positionV>
            <wp:extent cx="7620" cy="762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20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9525</wp:posOffset>
            </wp:positionV>
            <wp:extent cx="7620" cy="762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20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9525</wp:posOffset>
            </wp:positionV>
            <wp:extent cx="7620" cy="762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20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9525</wp:posOffset>
            </wp:positionV>
            <wp:extent cx="7620" cy="762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20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9525</wp:posOffset>
            </wp:positionV>
            <wp:extent cx="7620" cy="762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20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9525</wp:posOffset>
            </wp:positionV>
            <wp:extent cx="7620" cy="762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20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9525</wp:posOffset>
            </wp:positionV>
            <wp:extent cx="7620" cy="762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20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3478530</wp:posOffset>
            </wp:positionH>
            <wp:positionV relativeFrom="paragraph">
              <wp:posOffset>9525</wp:posOffset>
            </wp:positionV>
            <wp:extent cx="7620" cy="762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20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9525</wp:posOffset>
            </wp:positionV>
            <wp:extent cx="7620" cy="762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20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9525</wp:posOffset>
            </wp:positionV>
            <wp:extent cx="7620" cy="762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20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3522980</wp:posOffset>
            </wp:positionH>
            <wp:positionV relativeFrom="paragraph">
              <wp:posOffset>9525</wp:posOffset>
            </wp:positionV>
            <wp:extent cx="7620" cy="762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20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9525</wp:posOffset>
            </wp:positionV>
            <wp:extent cx="7620" cy="762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20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3552825</wp:posOffset>
            </wp:positionH>
            <wp:positionV relativeFrom="paragraph">
              <wp:posOffset>9525</wp:posOffset>
            </wp:positionV>
            <wp:extent cx="7620" cy="762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20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9525</wp:posOffset>
            </wp:positionV>
            <wp:extent cx="7620" cy="762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20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3582670</wp:posOffset>
            </wp:positionH>
            <wp:positionV relativeFrom="paragraph">
              <wp:posOffset>9525</wp:posOffset>
            </wp:positionV>
            <wp:extent cx="7620" cy="762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20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9525</wp:posOffset>
            </wp:positionV>
            <wp:extent cx="7620" cy="762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20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9525</wp:posOffset>
            </wp:positionV>
            <wp:extent cx="7620" cy="762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20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9525</wp:posOffset>
            </wp:positionV>
            <wp:extent cx="7620" cy="762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20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9525</wp:posOffset>
            </wp:positionV>
            <wp:extent cx="7620" cy="762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20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9525</wp:posOffset>
            </wp:positionV>
            <wp:extent cx="7620" cy="762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20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9525</wp:posOffset>
            </wp:positionV>
            <wp:extent cx="7620" cy="762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20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3686175</wp:posOffset>
            </wp:positionH>
            <wp:positionV relativeFrom="paragraph">
              <wp:posOffset>9525</wp:posOffset>
            </wp:positionV>
            <wp:extent cx="7620" cy="762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20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9525</wp:posOffset>
            </wp:positionV>
            <wp:extent cx="7620" cy="762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20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3716020</wp:posOffset>
            </wp:positionH>
            <wp:positionV relativeFrom="paragraph">
              <wp:posOffset>9525</wp:posOffset>
            </wp:positionV>
            <wp:extent cx="7620" cy="762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20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9525</wp:posOffset>
            </wp:positionV>
            <wp:extent cx="7620" cy="762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20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3745865</wp:posOffset>
            </wp:positionH>
            <wp:positionV relativeFrom="paragraph">
              <wp:posOffset>9525</wp:posOffset>
            </wp:positionV>
            <wp:extent cx="7620" cy="762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20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3760470</wp:posOffset>
            </wp:positionH>
            <wp:positionV relativeFrom="paragraph">
              <wp:posOffset>9525</wp:posOffset>
            </wp:positionV>
            <wp:extent cx="7620" cy="762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20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9525</wp:posOffset>
            </wp:positionV>
            <wp:extent cx="7620" cy="762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20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9525</wp:posOffset>
            </wp:positionV>
            <wp:extent cx="7620" cy="762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20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3804920</wp:posOffset>
            </wp:positionH>
            <wp:positionV relativeFrom="paragraph">
              <wp:posOffset>9525</wp:posOffset>
            </wp:positionV>
            <wp:extent cx="7620" cy="762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20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9525</wp:posOffset>
            </wp:positionV>
            <wp:extent cx="7620" cy="762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20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3834765</wp:posOffset>
            </wp:positionH>
            <wp:positionV relativeFrom="paragraph">
              <wp:posOffset>9525</wp:posOffset>
            </wp:positionV>
            <wp:extent cx="7620" cy="762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20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9525</wp:posOffset>
            </wp:positionV>
            <wp:extent cx="7620" cy="762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20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3864610</wp:posOffset>
            </wp:positionH>
            <wp:positionV relativeFrom="paragraph">
              <wp:posOffset>9525</wp:posOffset>
            </wp:positionV>
            <wp:extent cx="7620" cy="762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20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9525</wp:posOffset>
            </wp:positionV>
            <wp:extent cx="7620" cy="762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20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9525</wp:posOffset>
            </wp:positionV>
            <wp:extent cx="7620" cy="762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20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9525</wp:posOffset>
            </wp:positionV>
            <wp:extent cx="7620" cy="762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20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9525</wp:posOffset>
            </wp:positionV>
            <wp:extent cx="7620" cy="762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20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9525</wp:posOffset>
            </wp:positionV>
            <wp:extent cx="7620" cy="762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20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9525</wp:posOffset>
            </wp:positionV>
            <wp:extent cx="7620" cy="762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20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9525</wp:posOffset>
            </wp:positionV>
            <wp:extent cx="7620" cy="762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20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9525</wp:posOffset>
            </wp:positionV>
            <wp:extent cx="7620" cy="762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20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3997960</wp:posOffset>
            </wp:positionH>
            <wp:positionV relativeFrom="paragraph">
              <wp:posOffset>9525</wp:posOffset>
            </wp:positionV>
            <wp:extent cx="7620" cy="762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20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4013200</wp:posOffset>
            </wp:positionH>
            <wp:positionV relativeFrom="paragraph">
              <wp:posOffset>9525</wp:posOffset>
            </wp:positionV>
            <wp:extent cx="7620" cy="762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20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9525</wp:posOffset>
            </wp:positionV>
            <wp:extent cx="7620" cy="762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20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9525</wp:posOffset>
            </wp:positionV>
            <wp:extent cx="7620" cy="762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20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9525</wp:posOffset>
            </wp:positionV>
            <wp:extent cx="7620" cy="762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20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9525</wp:posOffset>
            </wp:positionV>
            <wp:extent cx="7620" cy="762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20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9525</wp:posOffset>
            </wp:positionV>
            <wp:extent cx="7620" cy="762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20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9525</wp:posOffset>
            </wp:positionV>
            <wp:extent cx="7620" cy="762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20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4116705</wp:posOffset>
            </wp:positionH>
            <wp:positionV relativeFrom="paragraph">
              <wp:posOffset>9525</wp:posOffset>
            </wp:positionV>
            <wp:extent cx="7620" cy="762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20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9525</wp:posOffset>
            </wp:positionV>
            <wp:extent cx="7620" cy="762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20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9525</wp:posOffset>
            </wp:positionV>
            <wp:extent cx="7620" cy="762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20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4161790</wp:posOffset>
            </wp:positionH>
            <wp:positionV relativeFrom="paragraph">
              <wp:posOffset>9525</wp:posOffset>
            </wp:positionV>
            <wp:extent cx="7620" cy="762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4176395</wp:posOffset>
            </wp:positionH>
            <wp:positionV relativeFrom="paragraph">
              <wp:posOffset>9525</wp:posOffset>
            </wp:positionV>
            <wp:extent cx="7620" cy="762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4191000</wp:posOffset>
            </wp:positionH>
            <wp:positionV relativeFrom="paragraph">
              <wp:posOffset>9525</wp:posOffset>
            </wp:positionV>
            <wp:extent cx="7620" cy="762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9525</wp:posOffset>
            </wp:positionV>
            <wp:extent cx="7620" cy="762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4220845</wp:posOffset>
            </wp:positionH>
            <wp:positionV relativeFrom="paragraph">
              <wp:posOffset>9525</wp:posOffset>
            </wp:positionV>
            <wp:extent cx="7620" cy="762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4236085</wp:posOffset>
            </wp:positionH>
            <wp:positionV relativeFrom="paragraph">
              <wp:posOffset>9525</wp:posOffset>
            </wp:positionV>
            <wp:extent cx="7620" cy="762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9525</wp:posOffset>
            </wp:positionV>
            <wp:extent cx="7620" cy="762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9525</wp:posOffset>
            </wp:positionV>
            <wp:extent cx="7620" cy="762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9525</wp:posOffset>
            </wp:positionV>
            <wp:extent cx="7620" cy="762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9525</wp:posOffset>
            </wp:positionV>
            <wp:extent cx="7620" cy="762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9525</wp:posOffset>
            </wp:positionV>
            <wp:extent cx="7620" cy="762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9525</wp:posOffset>
            </wp:positionV>
            <wp:extent cx="7620" cy="762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9525</wp:posOffset>
            </wp:positionV>
            <wp:extent cx="7620" cy="762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9525</wp:posOffset>
            </wp:positionV>
            <wp:extent cx="7620" cy="762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9525</wp:posOffset>
            </wp:positionV>
            <wp:extent cx="7620" cy="762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9525</wp:posOffset>
            </wp:positionV>
            <wp:extent cx="7620" cy="762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4399280</wp:posOffset>
            </wp:positionH>
            <wp:positionV relativeFrom="paragraph">
              <wp:posOffset>9525</wp:posOffset>
            </wp:positionV>
            <wp:extent cx="7620" cy="762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4413885</wp:posOffset>
            </wp:positionH>
            <wp:positionV relativeFrom="paragraph">
              <wp:posOffset>9525</wp:posOffset>
            </wp:positionV>
            <wp:extent cx="7620" cy="762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9525</wp:posOffset>
            </wp:positionV>
            <wp:extent cx="7620" cy="762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4443730</wp:posOffset>
            </wp:positionH>
            <wp:positionV relativeFrom="paragraph">
              <wp:posOffset>9525</wp:posOffset>
            </wp:positionV>
            <wp:extent cx="7620" cy="762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9525</wp:posOffset>
            </wp:positionV>
            <wp:extent cx="7620" cy="762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4473575</wp:posOffset>
            </wp:positionH>
            <wp:positionV relativeFrom="paragraph">
              <wp:posOffset>9525</wp:posOffset>
            </wp:positionV>
            <wp:extent cx="7620" cy="762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9525</wp:posOffset>
            </wp:positionV>
            <wp:extent cx="7620" cy="762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4503420</wp:posOffset>
            </wp:positionH>
            <wp:positionV relativeFrom="paragraph">
              <wp:posOffset>9525</wp:posOffset>
            </wp:positionV>
            <wp:extent cx="7620" cy="762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4518025</wp:posOffset>
            </wp:positionH>
            <wp:positionV relativeFrom="paragraph">
              <wp:posOffset>9525</wp:posOffset>
            </wp:positionV>
            <wp:extent cx="7620" cy="762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9525</wp:posOffset>
            </wp:positionV>
            <wp:extent cx="7620" cy="762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4547870</wp:posOffset>
            </wp:positionH>
            <wp:positionV relativeFrom="paragraph">
              <wp:posOffset>9525</wp:posOffset>
            </wp:positionV>
            <wp:extent cx="7620" cy="762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4562475</wp:posOffset>
            </wp:positionH>
            <wp:positionV relativeFrom="paragraph">
              <wp:posOffset>9525</wp:posOffset>
            </wp:positionV>
            <wp:extent cx="7620" cy="762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9525</wp:posOffset>
            </wp:positionV>
            <wp:extent cx="7620" cy="762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4592320</wp:posOffset>
            </wp:positionH>
            <wp:positionV relativeFrom="paragraph">
              <wp:posOffset>9525</wp:posOffset>
            </wp:positionV>
            <wp:extent cx="7620" cy="762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4606925</wp:posOffset>
            </wp:positionH>
            <wp:positionV relativeFrom="paragraph">
              <wp:posOffset>9525</wp:posOffset>
            </wp:positionV>
            <wp:extent cx="7620" cy="762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9525</wp:posOffset>
            </wp:positionV>
            <wp:extent cx="7620" cy="762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4636770</wp:posOffset>
            </wp:positionH>
            <wp:positionV relativeFrom="paragraph">
              <wp:posOffset>9525</wp:posOffset>
            </wp:positionV>
            <wp:extent cx="7620" cy="762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9525</wp:posOffset>
            </wp:positionV>
            <wp:extent cx="7620" cy="762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9525</wp:posOffset>
            </wp:positionV>
            <wp:extent cx="7620" cy="762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9525</wp:posOffset>
            </wp:positionV>
            <wp:extent cx="7620" cy="762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4696460</wp:posOffset>
            </wp:positionH>
            <wp:positionV relativeFrom="paragraph">
              <wp:posOffset>9525</wp:posOffset>
            </wp:positionV>
            <wp:extent cx="7620" cy="762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9525</wp:posOffset>
            </wp:positionV>
            <wp:extent cx="7620" cy="762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9525</wp:posOffset>
            </wp:positionV>
            <wp:extent cx="7620" cy="762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4740910</wp:posOffset>
            </wp:positionH>
            <wp:positionV relativeFrom="paragraph">
              <wp:posOffset>9525</wp:posOffset>
            </wp:positionV>
            <wp:extent cx="7620" cy="762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9525</wp:posOffset>
            </wp:positionV>
            <wp:extent cx="7620" cy="762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4770755</wp:posOffset>
            </wp:positionH>
            <wp:positionV relativeFrom="paragraph">
              <wp:posOffset>9525</wp:posOffset>
            </wp:positionV>
            <wp:extent cx="7620" cy="762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1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4785360</wp:posOffset>
            </wp:positionH>
            <wp:positionV relativeFrom="paragraph">
              <wp:posOffset>9525</wp:posOffset>
            </wp:positionV>
            <wp:extent cx="7620" cy="762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1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9525</wp:posOffset>
            </wp:positionV>
            <wp:extent cx="7620" cy="762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1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9525</wp:posOffset>
            </wp:positionV>
            <wp:extent cx="7620" cy="762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1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9525</wp:posOffset>
            </wp:positionV>
            <wp:extent cx="7620" cy="762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1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4844415</wp:posOffset>
            </wp:positionH>
            <wp:positionV relativeFrom="paragraph">
              <wp:posOffset>9525</wp:posOffset>
            </wp:positionV>
            <wp:extent cx="7620" cy="762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1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9525</wp:posOffset>
            </wp:positionV>
            <wp:extent cx="7620" cy="762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1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9525</wp:posOffset>
            </wp:positionV>
            <wp:extent cx="7620" cy="762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1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4889500</wp:posOffset>
            </wp:positionH>
            <wp:positionV relativeFrom="paragraph">
              <wp:posOffset>9525</wp:posOffset>
            </wp:positionV>
            <wp:extent cx="7620" cy="762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1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9525</wp:posOffset>
            </wp:positionV>
            <wp:extent cx="7620" cy="762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1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4918710</wp:posOffset>
            </wp:positionH>
            <wp:positionV relativeFrom="paragraph">
              <wp:posOffset>9525</wp:posOffset>
            </wp:positionV>
            <wp:extent cx="7620" cy="762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1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9525</wp:posOffset>
            </wp:positionV>
            <wp:extent cx="7620" cy="762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1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9525</wp:posOffset>
            </wp:positionV>
            <wp:extent cx="7620" cy="762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1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4963795</wp:posOffset>
            </wp:positionH>
            <wp:positionV relativeFrom="paragraph">
              <wp:posOffset>9525</wp:posOffset>
            </wp:positionV>
            <wp:extent cx="7620" cy="762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1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9525</wp:posOffset>
            </wp:positionV>
            <wp:extent cx="7620" cy="762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1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9525</wp:posOffset>
            </wp:positionV>
            <wp:extent cx="7620" cy="762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1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9525</wp:posOffset>
            </wp:positionV>
            <wp:extent cx="7620" cy="762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1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9525</wp:posOffset>
            </wp:positionV>
            <wp:extent cx="7620" cy="762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1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9525</wp:posOffset>
            </wp:positionV>
            <wp:extent cx="7620" cy="762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1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9525</wp:posOffset>
            </wp:positionV>
            <wp:extent cx="7620" cy="762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1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9525</wp:posOffset>
            </wp:positionV>
            <wp:extent cx="7620" cy="762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1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9525</wp:posOffset>
            </wp:positionV>
            <wp:extent cx="7620" cy="762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1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9525</wp:posOffset>
            </wp:positionV>
            <wp:extent cx="7620" cy="762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1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9525</wp:posOffset>
            </wp:positionV>
            <wp:extent cx="7620" cy="762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1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9525</wp:posOffset>
            </wp:positionV>
            <wp:extent cx="7620" cy="762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1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5141595</wp:posOffset>
            </wp:positionH>
            <wp:positionV relativeFrom="paragraph">
              <wp:posOffset>9525</wp:posOffset>
            </wp:positionV>
            <wp:extent cx="7620" cy="762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1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9525</wp:posOffset>
            </wp:positionV>
            <wp:extent cx="7620" cy="762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1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5171440</wp:posOffset>
            </wp:positionH>
            <wp:positionV relativeFrom="paragraph">
              <wp:posOffset>9525</wp:posOffset>
            </wp:positionV>
            <wp:extent cx="7620" cy="762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1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9525</wp:posOffset>
            </wp:positionV>
            <wp:extent cx="7620" cy="762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1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5201285</wp:posOffset>
            </wp:positionH>
            <wp:positionV relativeFrom="paragraph">
              <wp:posOffset>9525</wp:posOffset>
            </wp:positionV>
            <wp:extent cx="7620" cy="762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1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9525</wp:posOffset>
            </wp:positionV>
            <wp:extent cx="7620" cy="762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1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5231130</wp:posOffset>
            </wp:positionH>
            <wp:positionV relativeFrom="paragraph">
              <wp:posOffset>9525</wp:posOffset>
            </wp:positionV>
            <wp:extent cx="7620" cy="762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1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9525</wp:posOffset>
            </wp:positionV>
            <wp:extent cx="7620" cy="762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1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9525</wp:posOffset>
            </wp:positionV>
            <wp:extent cx="7620" cy="762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1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5275580</wp:posOffset>
            </wp:positionH>
            <wp:positionV relativeFrom="paragraph">
              <wp:posOffset>9525</wp:posOffset>
            </wp:positionV>
            <wp:extent cx="7620" cy="762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1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9525</wp:posOffset>
            </wp:positionV>
            <wp:extent cx="7620" cy="762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1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9525</wp:posOffset>
            </wp:positionV>
            <wp:extent cx="7620" cy="762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1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9525</wp:posOffset>
            </wp:positionV>
            <wp:extent cx="7620" cy="762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1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9525</wp:posOffset>
            </wp:positionV>
            <wp:extent cx="7620" cy="762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1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9525</wp:posOffset>
            </wp:positionV>
            <wp:extent cx="7620" cy="762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1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5364480</wp:posOffset>
            </wp:positionH>
            <wp:positionV relativeFrom="paragraph">
              <wp:posOffset>9525</wp:posOffset>
            </wp:positionV>
            <wp:extent cx="7620" cy="762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1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9525</wp:posOffset>
            </wp:positionV>
            <wp:extent cx="7620" cy="762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1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9525</wp:posOffset>
            </wp:positionV>
            <wp:extent cx="7620" cy="762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1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5408930</wp:posOffset>
            </wp:positionH>
            <wp:positionV relativeFrom="paragraph">
              <wp:posOffset>9525</wp:posOffset>
            </wp:positionV>
            <wp:extent cx="7620" cy="762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1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5424170</wp:posOffset>
            </wp:positionH>
            <wp:positionV relativeFrom="paragraph">
              <wp:posOffset>9525</wp:posOffset>
            </wp:positionV>
            <wp:extent cx="7620" cy="762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1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9525</wp:posOffset>
            </wp:positionV>
            <wp:extent cx="7620" cy="762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1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5453380</wp:posOffset>
            </wp:positionH>
            <wp:positionV relativeFrom="paragraph">
              <wp:posOffset>9525</wp:posOffset>
            </wp:positionV>
            <wp:extent cx="7620" cy="762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1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5468620</wp:posOffset>
            </wp:positionH>
            <wp:positionV relativeFrom="paragraph">
              <wp:posOffset>9525</wp:posOffset>
            </wp:positionV>
            <wp:extent cx="7620" cy="762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1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9525</wp:posOffset>
            </wp:positionV>
            <wp:extent cx="7620" cy="762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1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9525</wp:posOffset>
            </wp:positionV>
            <wp:extent cx="7620" cy="762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1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9525</wp:posOffset>
            </wp:positionV>
            <wp:extent cx="7620" cy="762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1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9525</wp:posOffset>
            </wp:positionV>
            <wp:extent cx="7620" cy="762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1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9525</wp:posOffset>
            </wp:positionV>
            <wp:extent cx="7620" cy="762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1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9525</wp:posOffset>
            </wp:positionV>
            <wp:extent cx="7620" cy="762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1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9525</wp:posOffset>
            </wp:positionV>
            <wp:extent cx="7620" cy="762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1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9525</wp:posOffset>
            </wp:positionV>
            <wp:extent cx="7620" cy="762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1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9525</wp:posOffset>
            </wp:positionV>
            <wp:extent cx="7620" cy="762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1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5617210</wp:posOffset>
            </wp:positionH>
            <wp:positionV relativeFrom="paragraph">
              <wp:posOffset>9525</wp:posOffset>
            </wp:positionV>
            <wp:extent cx="7620" cy="762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1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9525</wp:posOffset>
            </wp:positionV>
            <wp:extent cx="7620" cy="762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1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5646420</wp:posOffset>
            </wp:positionH>
            <wp:positionV relativeFrom="paragraph">
              <wp:posOffset>9525</wp:posOffset>
            </wp:positionV>
            <wp:extent cx="7620" cy="762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5661660</wp:posOffset>
            </wp:positionH>
            <wp:positionV relativeFrom="paragraph">
              <wp:posOffset>9525</wp:posOffset>
            </wp:positionV>
            <wp:extent cx="7620" cy="762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9525</wp:posOffset>
            </wp:positionV>
            <wp:extent cx="7620" cy="762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5691505</wp:posOffset>
            </wp:positionH>
            <wp:positionV relativeFrom="paragraph">
              <wp:posOffset>9525</wp:posOffset>
            </wp:positionV>
            <wp:extent cx="7620" cy="762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9525</wp:posOffset>
            </wp:positionV>
            <wp:extent cx="7620" cy="762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5720715</wp:posOffset>
            </wp:positionH>
            <wp:positionV relativeFrom="paragraph">
              <wp:posOffset>9525</wp:posOffset>
            </wp:positionV>
            <wp:extent cx="7620" cy="762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9525</wp:posOffset>
            </wp:positionV>
            <wp:extent cx="7620" cy="762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9525</wp:posOffset>
            </wp:positionV>
            <wp:extent cx="7620" cy="762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9525</wp:posOffset>
            </wp:positionV>
            <wp:extent cx="7620" cy="762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5780405</wp:posOffset>
            </wp:positionH>
            <wp:positionV relativeFrom="paragraph">
              <wp:posOffset>9525</wp:posOffset>
            </wp:positionV>
            <wp:extent cx="7620" cy="762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9525</wp:posOffset>
            </wp:positionV>
            <wp:extent cx="7620" cy="762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9525</wp:posOffset>
            </wp:positionV>
            <wp:extent cx="7620" cy="762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9525</wp:posOffset>
            </wp:positionV>
            <wp:extent cx="7620" cy="762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5839460</wp:posOffset>
            </wp:positionH>
            <wp:positionV relativeFrom="paragraph">
              <wp:posOffset>9525</wp:posOffset>
            </wp:positionV>
            <wp:extent cx="7620" cy="762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5854700</wp:posOffset>
            </wp:positionH>
            <wp:positionV relativeFrom="paragraph">
              <wp:posOffset>9525</wp:posOffset>
            </wp:positionV>
            <wp:extent cx="7620" cy="762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9525</wp:posOffset>
            </wp:positionV>
            <wp:extent cx="7620" cy="762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5884545</wp:posOffset>
            </wp:positionH>
            <wp:positionV relativeFrom="paragraph">
              <wp:posOffset>9525</wp:posOffset>
            </wp:positionV>
            <wp:extent cx="7620" cy="762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5899150</wp:posOffset>
            </wp:positionH>
            <wp:positionV relativeFrom="paragraph">
              <wp:posOffset>9525</wp:posOffset>
            </wp:positionV>
            <wp:extent cx="7620" cy="762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9525</wp:posOffset>
            </wp:positionV>
            <wp:extent cx="7620" cy="762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9525</wp:posOffset>
            </wp:positionV>
            <wp:extent cx="7620" cy="762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9525</wp:posOffset>
            </wp:positionV>
            <wp:extent cx="7620" cy="762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9525</wp:posOffset>
            </wp:positionV>
            <wp:extent cx="7620" cy="762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5973445</wp:posOffset>
            </wp:positionH>
            <wp:positionV relativeFrom="paragraph">
              <wp:posOffset>9525</wp:posOffset>
            </wp:positionV>
            <wp:extent cx="7620" cy="762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5988050</wp:posOffset>
            </wp:positionH>
            <wp:positionV relativeFrom="paragraph">
              <wp:posOffset>9525</wp:posOffset>
            </wp:positionV>
            <wp:extent cx="7620" cy="762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9525</wp:posOffset>
            </wp:positionV>
            <wp:extent cx="7620" cy="762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6017895</wp:posOffset>
            </wp:positionH>
            <wp:positionV relativeFrom="paragraph">
              <wp:posOffset>9525</wp:posOffset>
            </wp:positionV>
            <wp:extent cx="7620" cy="762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6032500</wp:posOffset>
            </wp:positionH>
            <wp:positionV relativeFrom="paragraph">
              <wp:posOffset>9525</wp:posOffset>
            </wp:positionV>
            <wp:extent cx="7620" cy="762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6047740</wp:posOffset>
            </wp:positionH>
            <wp:positionV relativeFrom="paragraph">
              <wp:posOffset>9525</wp:posOffset>
            </wp:positionV>
            <wp:extent cx="7620" cy="762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6062345</wp:posOffset>
            </wp:positionH>
            <wp:positionV relativeFrom="paragraph">
              <wp:posOffset>9525</wp:posOffset>
            </wp:positionV>
            <wp:extent cx="7620" cy="762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9525</wp:posOffset>
            </wp:positionV>
            <wp:extent cx="7620" cy="762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9525</wp:posOffset>
            </wp:positionV>
            <wp:extent cx="7620" cy="762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9525</wp:posOffset>
            </wp:positionV>
            <wp:extent cx="7620" cy="762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6122035</wp:posOffset>
            </wp:positionH>
            <wp:positionV relativeFrom="paragraph">
              <wp:posOffset>9525</wp:posOffset>
            </wp:positionV>
            <wp:extent cx="7620" cy="762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9525</wp:posOffset>
            </wp:positionV>
            <wp:extent cx="7620" cy="762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9525</wp:posOffset>
            </wp:positionV>
            <wp:extent cx="7620" cy="762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6166485</wp:posOffset>
            </wp:positionH>
            <wp:positionV relativeFrom="paragraph">
              <wp:posOffset>9525</wp:posOffset>
            </wp:positionV>
            <wp:extent cx="7620" cy="762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9525</wp:posOffset>
            </wp:positionV>
            <wp:extent cx="7620" cy="762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6196330</wp:posOffset>
            </wp:positionH>
            <wp:positionV relativeFrom="paragraph">
              <wp:posOffset>9525</wp:posOffset>
            </wp:positionV>
            <wp:extent cx="7620" cy="762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6210935</wp:posOffset>
            </wp:positionH>
            <wp:positionV relativeFrom="paragraph">
              <wp:posOffset>9525</wp:posOffset>
            </wp:positionV>
            <wp:extent cx="7620" cy="762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6225540</wp:posOffset>
            </wp:positionH>
            <wp:positionV relativeFrom="paragraph">
              <wp:posOffset>9525</wp:posOffset>
            </wp:positionV>
            <wp:extent cx="7620" cy="762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6240780</wp:posOffset>
            </wp:positionH>
            <wp:positionV relativeFrom="paragraph">
              <wp:posOffset>9525</wp:posOffset>
            </wp:positionV>
            <wp:extent cx="7620" cy="762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9525</wp:posOffset>
            </wp:positionV>
            <wp:extent cx="7620" cy="762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2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6270625</wp:posOffset>
            </wp:positionH>
            <wp:positionV relativeFrom="paragraph">
              <wp:posOffset>9525</wp:posOffset>
            </wp:positionV>
            <wp:extent cx="7620" cy="762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2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6285230</wp:posOffset>
            </wp:positionH>
            <wp:positionV relativeFrom="paragraph">
              <wp:posOffset>9525</wp:posOffset>
            </wp:positionV>
            <wp:extent cx="7620" cy="762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2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9525</wp:posOffset>
            </wp:positionV>
            <wp:extent cx="7620" cy="762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2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9525</wp:posOffset>
            </wp:positionV>
            <wp:extent cx="7620" cy="762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2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6329680</wp:posOffset>
            </wp:positionH>
            <wp:positionV relativeFrom="paragraph">
              <wp:posOffset>9525</wp:posOffset>
            </wp:positionV>
            <wp:extent cx="7620" cy="762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2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6344920</wp:posOffset>
            </wp:positionH>
            <wp:positionV relativeFrom="paragraph">
              <wp:posOffset>9525</wp:posOffset>
            </wp:positionV>
            <wp:extent cx="7620" cy="762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2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9525</wp:posOffset>
            </wp:positionV>
            <wp:extent cx="7620" cy="762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2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9525</wp:posOffset>
            </wp:positionV>
            <wp:extent cx="7620" cy="762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2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9525</wp:posOffset>
            </wp:positionV>
            <wp:extent cx="7620" cy="762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2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9525</wp:posOffset>
            </wp:positionV>
            <wp:extent cx="7620" cy="762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2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6418580</wp:posOffset>
            </wp:positionH>
            <wp:positionV relativeFrom="paragraph">
              <wp:posOffset>9525</wp:posOffset>
            </wp:positionV>
            <wp:extent cx="7620" cy="762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2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6433820</wp:posOffset>
            </wp:positionH>
            <wp:positionV relativeFrom="paragraph">
              <wp:posOffset>9525</wp:posOffset>
            </wp:positionV>
            <wp:extent cx="7620" cy="762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2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6448425</wp:posOffset>
            </wp:positionH>
            <wp:positionV relativeFrom="paragraph">
              <wp:posOffset>9525</wp:posOffset>
            </wp:positionV>
            <wp:extent cx="7620" cy="762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2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6463665</wp:posOffset>
            </wp:positionH>
            <wp:positionV relativeFrom="paragraph">
              <wp:posOffset>9525</wp:posOffset>
            </wp:positionV>
            <wp:extent cx="7620" cy="762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2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9525</wp:posOffset>
            </wp:positionV>
            <wp:extent cx="7620" cy="762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2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9525</wp:posOffset>
            </wp:positionV>
            <wp:extent cx="7620" cy="762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2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6508115</wp:posOffset>
            </wp:positionH>
            <wp:positionV relativeFrom="paragraph">
              <wp:posOffset>9525</wp:posOffset>
            </wp:positionV>
            <wp:extent cx="7620" cy="762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2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9525</wp:posOffset>
            </wp:positionV>
            <wp:extent cx="7620" cy="762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2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9525</wp:posOffset>
            </wp:positionV>
            <wp:extent cx="7620" cy="762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2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6552565</wp:posOffset>
            </wp:positionH>
            <wp:positionV relativeFrom="paragraph">
              <wp:posOffset>9525</wp:posOffset>
            </wp:positionV>
            <wp:extent cx="7620" cy="762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2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6567170</wp:posOffset>
            </wp:positionH>
            <wp:positionV relativeFrom="paragraph">
              <wp:posOffset>9525</wp:posOffset>
            </wp:positionV>
            <wp:extent cx="7620" cy="762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2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6582410</wp:posOffset>
            </wp:positionH>
            <wp:positionV relativeFrom="paragraph">
              <wp:posOffset>9525</wp:posOffset>
            </wp:positionV>
            <wp:extent cx="7620" cy="762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2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9525</wp:posOffset>
            </wp:positionV>
            <wp:extent cx="7620" cy="762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2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6612255</wp:posOffset>
            </wp:positionH>
            <wp:positionV relativeFrom="paragraph">
              <wp:posOffset>9525</wp:posOffset>
            </wp:positionV>
            <wp:extent cx="7620" cy="762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2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6626860</wp:posOffset>
            </wp:positionH>
            <wp:positionV relativeFrom="paragraph">
              <wp:posOffset>9525</wp:posOffset>
            </wp:positionV>
            <wp:extent cx="7620" cy="762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2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6641465</wp:posOffset>
            </wp:positionH>
            <wp:positionV relativeFrom="paragraph">
              <wp:posOffset>9525</wp:posOffset>
            </wp:positionV>
            <wp:extent cx="7620" cy="762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2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6656705</wp:posOffset>
            </wp:positionH>
            <wp:positionV relativeFrom="paragraph">
              <wp:posOffset>9525</wp:posOffset>
            </wp:positionV>
            <wp:extent cx="7620" cy="762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2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9525</wp:posOffset>
            </wp:positionV>
            <wp:extent cx="7620" cy="762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2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6685915</wp:posOffset>
            </wp:positionH>
            <wp:positionV relativeFrom="paragraph">
              <wp:posOffset>9525</wp:posOffset>
            </wp:positionV>
            <wp:extent cx="7620" cy="762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2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6701155</wp:posOffset>
            </wp:positionH>
            <wp:positionV relativeFrom="paragraph">
              <wp:posOffset>9525</wp:posOffset>
            </wp:positionV>
            <wp:extent cx="7620" cy="762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2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6715760</wp:posOffset>
            </wp:positionH>
            <wp:positionV relativeFrom="paragraph">
              <wp:posOffset>9525</wp:posOffset>
            </wp:positionV>
            <wp:extent cx="7620" cy="762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2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9525</wp:posOffset>
            </wp:positionV>
            <wp:extent cx="7620" cy="762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2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9525</wp:posOffset>
            </wp:positionV>
            <wp:extent cx="7620" cy="762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2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9525</wp:posOffset>
            </wp:positionV>
            <wp:extent cx="7620" cy="762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2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6775450</wp:posOffset>
            </wp:positionH>
            <wp:positionV relativeFrom="paragraph">
              <wp:posOffset>9525</wp:posOffset>
            </wp:positionV>
            <wp:extent cx="7620" cy="762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2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9525</wp:posOffset>
            </wp:positionV>
            <wp:extent cx="7620" cy="762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2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-717550</wp:posOffset>
            </wp:positionV>
            <wp:extent cx="7620" cy="762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2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-702310</wp:posOffset>
            </wp:positionV>
            <wp:extent cx="7620" cy="762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2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-687705</wp:posOffset>
            </wp:positionV>
            <wp:extent cx="7620" cy="762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2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-672465</wp:posOffset>
            </wp:positionV>
            <wp:extent cx="7620" cy="762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2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-657860</wp:posOffset>
            </wp:positionV>
            <wp:extent cx="7620" cy="762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2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-643255</wp:posOffset>
            </wp:positionV>
            <wp:extent cx="7620" cy="762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2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-628015</wp:posOffset>
            </wp:positionV>
            <wp:extent cx="7620" cy="762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-613410</wp:posOffset>
            </wp:positionV>
            <wp:extent cx="7620" cy="762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2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-598805</wp:posOffset>
            </wp:positionV>
            <wp:extent cx="7620" cy="762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2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-583565</wp:posOffset>
            </wp:positionV>
            <wp:extent cx="7620" cy="762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2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-568960</wp:posOffset>
            </wp:positionV>
            <wp:extent cx="7620" cy="762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2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-553720</wp:posOffset>
            </wp:positionV>
            <wp:extent cx="7620" cy="762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2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-539115</wp:posOffset>
            </wp:positionV>
            <wp:extent cx="7620" cy="762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2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-524510</wp:posOffset>
            </wp:positionV>
            <wp:extent cx="7620" cy="762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2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-509270</wp:posOffset>
            </wp:positionV>
            <wp:extent cx="7620" cy="762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2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-494665</wp:posOffset>
            </wp:positionV>
            <wp:extent cx="7620" cy="762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2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-479425</wp:posOffset>
            </wp:positionV>
            <wp:extent cx="7620" cy="762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2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-464820</wp:posOffset>
            </wp:positionV>
            <wp:extent cx="7620" cy="762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2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-450215</wp:posOffset>
            </wp:positionV>
            <wp:extent cx="7620" cy="762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2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-434975</wp:posOffset>
            </wp:positionV>
            <wp:extent cx="7620" cy="762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2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-420370</wp:posOffset>
            </wp:positionV>
            <wp:extent cx="7620" cy="762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2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-405765</wp:posOffset>
            </wp:positionV>
            <wp:extent cx="7620" cy="762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2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-390525</wp:posOffset>
            </wp:positionV>
            <wp:extent cx="7620" cy="762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-375920</wp:posOffset>
            </wp:positionV>
            <wp:extent cx="7620" cy="762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-360680</wp:posOffset>
            </wp:positionV>
            <wp:extent cx="7620" cy="762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-346075</wp:posOffset>
            </wp:positionV>
            <wp:extent cx="7620" cy="762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-331470</wp:posOffset>
            </wp:positionV>
            <wp:extent cx="7620" cy="762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-316230</wp:posOffset>
            </wp:positionV>
            <wp:extent cx="7620" cy="762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-301625</wp:posOffset>
            </wp:positionV>
            <wp:extent cx="7620" cy="762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-286385</wp:posOffset>
            </wp:positionV>
            <wp:extent cx="7620" cy="762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-271780</wp:posOffset>
            </wp:positionV>
            <wp:extent cx="7620" cy="762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-257175</wp:posOffset>
            </wp:positionV>
            <wp:extent cx="7620" cy="762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-241935</wp:posOffset>
            </wp:positionV>
            <wp:extent cx="7620" cy="762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-227330</wp:posOffset>
            </wp:positionV>
            <wp:extent cx="7620" cy="762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-212090</wp:posOffset>
            </wp:positionV>
            <wp:extent cx="7620" cy="762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-197485</wp:posOffset>
            </wp:positionV>
            <wp:extent cx="7620" cy="762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-182880</wp:posOffset>
            </wp:positionV>
            <wp:extent cx="7620" cy="762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-167640</wp:posOffset>
            </wp:positionV>
            <wp:extent cx="7620" cy="762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-153035</wp:posOffset>
            </wp:positionV>
            <wp:extent cx="7620" cy="762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-138430</wp:posOffset>
            </wp:positionV>
            <wp:extent cx="7620" cy="762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-123190</wp:posOffset>
            </wp:positionV>
            <wp:extent cx="7620" cy="762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-108585</wp:posOffset>
            </wp:positionV>
            <wp:extent cx="7620" cy="762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-93345</wp:posOffset>
            </wp:positionV>
            <wp:extent cx="7620" cy="762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-78740</wp:posOffset>
            </wp:positionV>
            <wp:extent cx="7620" cy="762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-64135</wp:posOffset>
            </wp:positionV>
            <wp:extent cx="7620" cy="762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-48895</wp:posOffset>
            </wp:positionV>
            <wp:extent cx="7620" cy="762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-34290</wp:posOffset>
            </wp:positionV>
            <wp:extent cx="7620" cy="762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-19050</wp:posOffset>
            </wp:positionV>
            <wp:extent cx="7620" cy="762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-4445</wp:posOffset>
            </wp:positionV>
            <wp:extent cx="7620" cy="762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6805295</wp:posOffset>
            </wp:positionH>
            <wp:positionV relativeFrom="paragraph">
              <wp:posOffset>9525</wp:posOffset>
            </wp:positionV>
            <wp:extent cx="7620" cy="762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9525</wp:posOffset>
            </wp:positionV>
            <wp:extent cx="7620" cy="762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9525</wp:posOffset>
            </wp:positionV>
            <wp:extent cx="7620" cy="762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226060</wp:posOffset>
            </wp:positionH>
            <wp:positionV relativeFrom="paragraph">
              <wp:posOffset>9525</wp:posOffset>
            </wp:positionV>
            <wp:extent cx="7620" cy="762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240665</wp:posOffset>
            </wp:positionH>
            <wp:positionV relativeFrom="paragraph">
              <wp:posOffset>9525</wp:posOffset>
            </wp:positionV>
            <wp:extent cx="7620" cy="762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255905</wp:posOffset>
            </wp:positionH>
            <wp:positionV relativeFrom="paragraph">
              <wp:posOffset>9525</wp:posOffset>
            </wp:positionV>
            <wp:extent cx="7620" cy="762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9525</wp:posOffset>
            </wp:positionV>
            <wp:extent cx="7620" cy="762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9525</wp:posOffset>
            </wp:positionV>
            <wp:extent cx="7620" cy="762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300355</wp:posOffset>
            </wp:positionH>
            <wp:positionV relativeFrom="paragraph">
              <wp:posOffset>9525</wp:posOffset>
            </wp:positionV>
            <wp:extent cx="7620" cy="762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9525</wp:posOffset>
            </wp:positionV>
            <wp:extent cx="7620" cy="762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9525</wp:posOffset>
            </wp:positionV>
            <wp:extent cx="7620" cy="762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344805</wp:posOffset>
            </wp:positionH>
            <wp:positionV relativeFrom="paragraph">
              <wp:posOffset>9525</wp:posOffset>
            </wp:positionV>
            <wp:extent cx="7620" cy="762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9525</wp:posOffset>
            </wp:positionV>
            <wp:extent cx="7620" cy="762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374650</wp:posOffset>
            </wp:positionH>
            <wp:positionV relativeFrom="paragraph">
              <wp:posOffset>9525</wp:posOffset>
            </wp:positionV>
            <wp:extent cx="7620" cy="762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389255</wp:posOffset>
            </wp:positionH>
            <wp:positionV relativeFrom="paragraph">
              <wp:posOffset>9525</wp:posOffset>
            </wp:positionV>
            <wp:extent cx="7620" cy="762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3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9525</wp:posOffset>
            </wp:positionV>
            <wp:extent cx="7620" cy="762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3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419100</wp:posOffset>
            </wp:positionH>
            <wp:positionV relativeFrom="paragraph">
              <wp:posOffset>9525</wp:posOffset>
            </wp:positionV>
            <wp:extent cx="7620" cy="762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3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9525</wp:posOffset>
            </wp:positionV>
            <wp:extent cx="7620" cy="762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3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9525</wp:posOffset>
            </wp:positionV>
            <wp:extent cx="7620" cy="762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3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9525</wp:posOffset>
            </wp:positionV>
            <wp:extent cx="7620" cy="762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3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478790</wp:posOffset>
            </wp:positionH>
            <wp:positionV relativeFrom="paragraph">
              <wp:posOffset>9525</wp:posOffset>
            </wp:positionV>
            <wp:extent cx="7620" cy="762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3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9525</wp:posOffset>
            </wp:positionV>
            <wp:extent cx="7620" cy="762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3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9525</wp:posOffset>
            </wp:positionV>
            <wp:extent cx="7620" cy="762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3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9525</wp:posOffset>
            </wp:positionV>
            <wp:extent cx="7620" cy="762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3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9525</wp:posOffset>
            </wp:positionV>
            <wp:extent cx="7620" cy="762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3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9525</wp:posOffset>
            </wp:positionV>
            <wp:extent cx="7620" cy="762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3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9525</wp:posOffset>
            </wp:positionV>
            <wp:extent cx="7620" cy="762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3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9525</wp:posOffset>
            </wp:positionV>
            <wp:extent cx="7620" cy="762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3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9525</wp:posOffset>
            </wp:positionV>
            <wp:extent cx="7620" cy="762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3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9525</wp:posOffset>
            </wp:positionV>
            <wp:extent cx="7620" cy="762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3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9525</wp:posOffset>
            </wp:positionV>
            <wp:extent cx="7620" cy="762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3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9525</wp:posOffset>
            </wp:positionV>
            <wp:extent cx="7620" cy="762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3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9525</wp:posOffset>
            </wp:positionV>
            <wp:extent cx="7620" cy="762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3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9525</wp:posOffset>
            </wp:positionV>
            <wp:extent cx="7620" cy="762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3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9525</wp:posOffset>
            </wp:positionV>
            <wp:extent cx="7620" cy="762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3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701040</wp:posOffset>
            </wp:positionH>
            <wp:positionV relativeFrom="paragraph">
              <wp:posOffset>9525</wp:posOffset>
            </wp:positionV>
            <wp:extent cx="7620" cy="762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3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9525</wp:posOffset>
            </wp:positionV>
            <wp:extent cx="7620" cy="762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3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9525</wp:posOffset>
            </wp:positionV>
            <wp:extent cx="7620" cy="762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3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9525</wp:posOffset>
            </wp:positionV>
            <wp:extent cx="7620" cy="762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3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9525</wp:posOffset>
            </wp:positionV>
            <wp:extent cx="7620" cy="762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3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9525</wp:posOffset>
            </wp:positionV>
            <wp:extent cx="7620" cy="762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3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9525</wp:posOffset>
            </wp:positionV>
            <wp:extent cx="7620" cy="762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3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805180</wp:posOffset>
            </wp:positionH>
            <wp:positionV relativeFrom="paragraph">
              <wp:posOffset>9525</wp:posOffset>
            </wp:positionV>
            <wp:extent cx="7620" cy="762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3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9525</wp:posOffset>
            </wp:positionV>
            <wp:extent cx="7620" cy="762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3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9525</wp:posOffset>
            </wp:positionV>
            <wp:extent cx="7620" cy="762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3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9525</wp:posOffset>
            </wp:positionV>
            <wp:extent cx="7620" cy="762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3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864870</wp:posOffset>
            </wp:positionH>
            <wp:positionV relativeFrom="paragraph">
              <wp:posOffset>9525</wp:posOffset>
            </wp:positionV>
            <wp:extent cx="7620" cy="762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3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9525</wp:posOffset>
            </wp:positionV>
            <wp:extent cx="7620" cy="762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3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9525</wp:posOffset>
            </wp:positionV>
            <wp:extent cx="7620" cy="762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3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909320</wp:posOffset>
            </wp:positionH>
            <wp:positionV relativeFrom="paragraph">
              <wp:posOffset>9525</wp:posOffset>
            </wp:positionV>
            <wp:extent cx="7620" cy="762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3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923925</wp:posOffset>
            </wp:positionH>
            <wp:positionV relativeFrom="paragraph">
              <wp:posOffset>9525</wp:posOffset>
            </wp:positionV>
            <wp:extent cx="7620" cy="762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3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9525</wp:posOffset>
            </wp:positionV>
            <wp:extent cx="7620" cy="762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3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9525</wp:posOffset>
            </wp:positionV>
            <wp:extent cx="7620" cy="762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3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968375</wp:posOffset>
            </wp:positionH>
            <wp:positionV relativeFrom="paragraph">
              <wp:posOffset>9525</wp:posOffset>
            </wp:positionV>
            <wp:extent cx="7620" cy="762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3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983615</wp:posOffset>
            </wp:positionH>
            <wp:positionV relativeFrom="paragraph">
              <wp:posOffset>9525</wp:posOffset>
            </wp:positionV>
            <wp:extent cx="7620" cy="762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3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9525</wp:posOffset>
            </wp:positionV>
            <wp:extent cx="7620" cy="762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3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1013460</wp:posOffset>
            </wp:positionH>
            <wp:positionV relativeFrom="paragraph">
              <wp:posOffset>9525</wp:posOffset>
            </wp:positionV>
            <wp:extent cx="7620" cy="762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3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1028065</wp:posOffset>
            </wp:positionH>
            <wp:positionV relativeFrom="paragraph">
              <wp:posOffset>9525</wp:posOffset>
            </wp:positionV>
            <wp:extent cx="7620" cy="762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3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9525</wp:posOffset>
            </wp:positionV>
            <wp:extent cx="7620" cy="762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3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9525</wp:posOffset>
            </wp:positionV>
            <wp:extent cx="7620" cy="762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3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1072515</wp:posOffset>
            </wp:positionH>
            <wp:positionV relativeFrom="paragraph">
              <wp:posOffset>9525</wp:posOffset>
            </wp:positionV>
            <wp:extent cx="7620" cy="762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3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1087755</wp:posOffset>
            </wp:positionH>
            <wp:positionV relativeFrom="paragraph">
              <wp:posOffset>9525</wp:posOffset>
            </wp:positionV>
            <wp:extent cx="7620" cy="762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3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9525</wp:posOffset>
            </wp:positionV>
            <wp:extent cx="7620" cy="762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3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1116965</wp:posOffset>
            </wp:positionH>
            <wp:positionV relativeFrom="paragraph">
              <wp:posOffset>9525</wp:posOffset>
            </wp:positionV>
            <wp:extent cx="7620" cy="762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3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1132205</wp:posOffset>
            </wp:positionH>
            <wp:positionV relativeFrom="paragraph">
              <wp:posOffset>9525</wp:posOffset>
            </wp:positionV>
            <wp:extent cx="7620" cy="762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3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1146810</wp:posOffset>
            </wp:positionH>
            <wp:positionV relativeFrom="paragraph">
              <wp:posOffset>9525</wp:posOffset>
            </wp:positionV>
            <wp:extent cx="7620" cy="762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3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9525</wp:posOffset>
            </wp:positionV>
            <wp:extent cx="7620" cy="762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3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9525</wp:posOffset>
            </wp:positionV>
            <wp:extent cx="7620" cy="762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3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1191260</wp:posOffset>
            </wp:positionH>
            <wp:positionV relativeFrom="paragraph">
              <wp:posOffset>9525</wp:posOffset>
            </wp:positionV>
            <wp:extent cx="7620" cy="762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3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9525</wp:posOffset>
            </wp:positionV>
            <wp:extent cx="7620" cy="762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3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1221105</wp:posOffset>
            </wp:positionH>
            <wp:positionV relativeFrom="paragraph">
              <wp:posOffset>9525</wp:posOffset>
            </wp:positionV>
            <wp:extent cx="7620" cy="762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3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1235710</wp:posOffset>
            </wp:positionH>
            <wp:positionV relativeFrom="paragraph">
              <wp:posOffset>9525</wp:posOffset>
            </wp:positionV>
            <wp:extent cx="7620" cy="762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3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1250950</wp:posOffset>
            </wp:positionH>
            <wp:positionV relativeFrom="paragraph">
              <wp:posOffset>9525</wp:posOffset>
            </wp:positionV>
            <wp:extent cx="7620" cy="762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3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9525</wp:posOffset>
            </wp:positionV>
            <wp:extent cx="7620" cy="762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1280795</wp:posOffset>
            </wp:positionH>
            <wp:positionV relativeFrom="paragraph">
              <wp:posOffset>9525</wp:posOffset>
            </wp:positionV>
            <wp:extent cx="7620" cy="762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1295400</wp:posOffset>
            </wp:positionH>
            <wp:positionV relativeFrom="paragraph">
              <wp:posOffset>9525</wp:posOffset>
            </wp:positionV>
            <wp:extent cx="7620" cy="762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1310005</wp:posOffset>
            </wp:positionH>
            <wp:positionV relativeFrom="paragraph">
              <wp:posOffset>9525</wp:posOffset>
            </wp:positionV>
            <wp:extent cx="7620" cy="762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9525</wp:posOffset>
            </wp:positionV>
            <wp:extent cx="7620" cy="762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1339850</wp:posOffset>
            </wp:positionH>
            <wp:positionV relativeFrom="paragraph">
              <wp:posOffset>9525</wp:posOffset>
            </wp:positionV>
            <wp:extent cx="7620" cy="762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1354455</wp:posOffset>
            </wp:positionH>
            <wp:positionV relativeFrom="paragraph">
              <wp:posOffset>9525</wp:posOffset>
            </wp:positionV>
            <wp:extent cx="7620" cy="762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1369695</wp:posOffset>
            </wp:positionH>
            <wp:positionV relativeFrom="paragraph">
              <wp:posOffset>9525</wp:posOffset>
            </wp:positionV>
            <wp:extent cx="7620" cy="762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9525</wp:posOffset>
            </wp:positionV>
            <wp:extent cx="7620" cy="762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9525</wp:posOffset>
            </wp:positionV>
            <wp:extent cx="7620" cy="762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9525</wp:posOffset>
            </wp:positionV>
            <wp:extent cx="7620" cy="762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9525</wp:posOffset>
            </wp:positionV>
            <wp:extent cx="7620" cy="762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9525</wp:posOffset>
            </wp:positionV>
            <wp:extent cx="7620" cy="762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9525</wp:posOffset>
            </wp:positionV>
            <wp:extent cx="7620" cy="762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1473835</wp:posOffset>
            </wp:positionH>
            <wp:positionV relativeFrom="paragraph">
              <wp:posOffset>9525</wp:posOffset>
            </wp:positionV>
            <wp:extent cx="7620" cy="762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9525</wp:posOffset>
            </wp:positionV>
            <wp:extent cx="7620" cy="762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1503045</wp:posOffset>
            </wp:positionH>
            <wp:positionV relativeFrom="paragraph">
              <wp:posOffset>9525</wp:posOffset>
            </wp:positionV>
            <wp:extent cx="7620" cy="762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9525</wp:posOffset>
            </wp:positionV>
            <wp:extent cx="7620" cy="762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1532890</wp:posOffset>
            </wp:positionH>
            <wp:positionV relativeFrom="paragraph">
              <wp:posOffset>9525</wp:posOffset>
            </wp:positionV>
            <wp:extent cx="7620" cy="762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9525</wp:posOffset>
            </wp:positionV>
            <wp:extent cx="7620" cy="762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1562735</wp:posOffset>
            </wp:positionH>
            <wp:positionV relativeFrom="paragraph">
              <wp:posOffset>9525</wp:posOffset>
            </wp:positionV>
            <wp:extent cx="7620" cy="762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1577340</wp:posOffset>
            </wp:positionH>
            <wp:positionV relativeFrom="paragraph">
              <wp:posOffset>9525</wp:posOffset>
            </wp:positionV>
            <wp:extent cx="7620" cy="762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1592580</wp:posOffset>
            </wp:positionH>
            <wp:positionV relativeFrom="paragraph">
              <wp:posOffset>9525</wp:posOffset>
            </wp:positionV>
            <wp:extent cx="7620" cy="762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1607185</wp:posOffset>
            </wp:positionH>
            <wp:positionV relativeFrom="paragraph">
              <wp:posOffset>9525</wp:posOffset>
            </wp:positionV>
            <wp:extent cx="7620" cy="762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9525</wp:posOffset>
            </wp:positionV>
            <wp:extent cx="7620" cy="762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9525</wp:posOffset>
            </wp:positionV>
            <wp:extent cx="7620" cy="762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9525</wp:posOffset>
            </wp:positionV>
            <wp:extent cx="7620" cy="762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9525</wp:posOffset>
            </wp:positionV>
            <wp:extent cx="7620" cy="762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1681480</wp:posOffset>
            </wp:positionH>
            <wp:positionV relativeFrom="paragraph">
              <wp:posOffset>9525</wp:posOffset>
            </wp:positionV>
            <wp:extent cx="7620" cy="762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1696085</wp:posOffset>
            </wp:positionH>
            <wp:positionV relativeFrom="paragraph">
              <wp:posOffset>9525</wp:posOffset>
            </wp:positionV>
            <wp:extent cx="7620" cy="762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9525</wp:posOffset>
            </wp:positionV>
            <wp:extent cx="7620" cy="762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9525</wp:posOffset>
            </wp:positionV>
            <wp:extent cx="7620" cy="762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9525</wp:posOffset>
            </wp:positionV>
            <wp:extent cx="7620" cy="762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1755775</wp:posOffset>
            </wp:positionH>
            <wp:positionV relativeFrom="paragraph">
              <wp:posOffset>9525</wp:posOffset>
            </wp:positionV>
            <wp:extent cx="7620" cy="762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9525</wp:posOffset>
            </wp:positionV>
            <wp:extent cx="7620" cy="762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9525</wp:posOffset>
            </wp:positionV>
            <wp:extent cx="7620" cy="762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9525</wp:posOffset>
            </wp:positionV>
            <wp:extent cx="7620" cy="762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9525</wp:posOffset>
            </wp:positionV>
            <wp:extent cx="7620" cy="762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9525</wp:posOffset>
            </wp:positionV>
            <wp:extent cx="7620" cy="762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1844675</wp:posOffset>
            </wp:positionH>
            <wp:positionV relativeFrom="paragraph">
              <wp:posOffset>9525</wp:posOffset>
            </wp:positionV>
            <wp:extent cx="7620" cy="762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1859915</wp:posOffset>
            </wp:positionH>
            <wp:positionV relativeFrom="paragraph">
              <wp:posOffset>9525</wp:posOffset>
            </wp:positionV>
            <wp:extent cx="7620" cy="762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9525</wp:posOffset>
            </wp:positionV>
            <wp:extent cx="7620" cy="762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4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9525</wp:posOffset>
            </wp:positionV>
            <wp:extent cx="7620" cy="762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4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1904365</wp:posOffset>
            </wp:positionH>
            <wp:positionV relativeFrom="paragraph">
              <wp:posOffset>9525</wp:posOffset>
            </wp:positionV>
            <wp:extent cx="7620" cy="762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4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9525</wp:posOffset>
            </wp:positionV>
            <wp:extent cx="7620" cy="762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4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9525</wp:posOffset>
            </wp:positionV>
            <wp:extent cx="7620" cy="762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4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9525</wp:posOffset>
            </wp:positionV>
            <wp:extent cx="7620" cy="762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4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9525</wp:posOffset>
            </wp:positionV>
            <wp:extent cx="7620" cy="762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4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1978660</wp:posOffset>
            </wp:positionH>
            <wp:positionV relativeFrom="paragraph">
              <wp:posOffset>9525</wp:posOffset>
            </wp:positionV>
            <wp:extent cx="7620" cy="762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4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9525</wp:posOffset>
            </wp:positionV>
            <wp:extent cx="7620" cy="762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4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2008505</wp:posOffset>
            </wp:positionH>
            <wp:positionV relativeFrom="paragraph">
              <wp:posOffset>9525</wp:posOffset>
            </wp:positionV>
            <wp:extent cx="7620" cy="762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4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9525</wp:posOffset>
            </wp:positionV>
            <wp:extent cx="7620" cy="762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4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9525</wp:posOffset>
            </wp:positionV>
            <wp:extent cx="7620" cy="762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4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9525</wp:posOffset>
            </wp:positionV>
            <wp:extent cx="7620" cy="762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4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2067560</wp:posOffset>
            </wp:positionH>
            <wp:positionV relativeFrom="paragraph">
              <wp:posOffset>9525</wp:posOffset>
            </wp:positionV>
            <wp:extent cx="7620" cy="762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4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9525</wp:posOffset>
            </wp:positionV>
            <wp:extent cx="7620" cy="762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4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9525</wp:posOffset>
            </wp:positionV>
            <wp:extent cx="7620" cy="762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4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2112010</wp:posOffset>
            </wp:positionH>
            <wp:positionV relativeFrom="paragraph">
              <wp:posOffset>9525</wp:posOffset>
            </wp:positionV>
            <wp:extent cx="7620" cy="762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4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2127250</wp:posOffset>
            </wp:positionH>
            <wp:positionV relativeFrom="paragraph">
              <wp:posOffset>9525</wp:posOffset>
            </wp:positionV>
            <wp:extent cx="7620" cy="762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4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9525</wp:posOffset>
            </wp:positionV>
            <wp:extent cx="7620" cy="762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4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9525</wp:posOffset>
            </wp:positionV>
            <wp:extent cx="7620" cy="762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4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9525</wp:posOffset>
            </wp:positionV>
            <wp:extent cx="7620" cy="762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4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9525</wp:posOffset>
            </wp:positionV>
            <wp:extent cx="7620" cy="762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4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9525</wp:posOffset>
            </wp:positionV>
            <wp:extent cx="7620" cy="762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4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9525</wp:posOffset>
            </wp:positionV>
            <wp:extent cx="7620" cy="762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4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2230755</wp:posOffset>
            </wp:positionH>
            <wp:positionV relativeFrom="paragraph">
              <wp:posOffset>9525</wp:posOffset>
            </wp:positionV>
            <wp:extent cx="7620" cy="762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4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2245995</wp:posOffset>
            </wp:positionH>
            <wp:positionV relativeFrom="paragraph">
              <wp:posOffset>9525</wp:posOffset>
            </wp:positionV>
            <wp:extent cx="7620" cy="762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4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9525</wp:posOffset>
            </wp:positionV>
            <wp:extent cx="7620" cy="762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4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9525</wp:posOffset>
            </wp:positionV>
            <wp:extent cx="7620" cy="762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4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2290445</wp:posOffset>
            </wp:positionH>
            <wp:positionV relativeFrom="paragraph">
              <wp:posOffset>9525</wp:posOffset>
            </wp:positionV>
            <wp:extent cx="7620" cy="762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4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9525</wp:posOffset>
            </wp:positionV>
            <wp:extent cx="7620" cy="762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4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9525</wp:posOffset>
            </wp:positionV>
            <wp:extent cx="7620" cy="762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4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2334895</wp:posOffset>
            </wp:positionH>
            <wp:positionV relativeFrom="paragraph">
              <wp:posOffset>9525</wp:posOffset>
            </wp:positionV>
            <wp:extent cx="7620" cy="762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4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9525</wp:posOffset>
            </wp:positionV>
            <wp:extent cx="7620" cy="762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4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9525</wp:posOffset>
            </wp:positionV>
            <wp:extent cx="7620" cy="762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4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9525</wp:posOffset>
            </wp:positionV>
            <wp:extent cx="7620" cy="762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4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9525</wp:posOffset>
            </wp:positionV>
            <wp:extent cx="7620" cy="762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4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9525</wp:posOffset>
            </wp:positionV>
            <wp:extent cx="7620" cy="762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4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9525</wp:posOffset>
            </wp:positionV>
            <wp:extent cx="7620" cy="762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4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9525</wp:posOffset>
            </wp:positionV>
            <wp:extent cx="7620" cy="762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4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9525</wp:posOffset>
            </wp:positionV>
            <wp:extent cx="7620" cy="762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4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2468880</wp:posOffset>
            </wp:positionH>
            <wp:positionV relativeFrom="paragraph">
              <wp:posOffset>9525</wp:posOffset>
            </wp:positionV>
            <wp:extent cx="7620" cy="762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4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9525</wp:posOffset>
            </wp:positionV>
            <wp:extent cx="7620" cy="762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4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2498090</wp:posOffset>
            </wp:positionH>
            <wp:positionV relativeFrom="paragraph">
              <wp:posOffset>9525</wp:posOffset>
            </wp:positionV>
            <wp:extent cx="7620" cy="762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4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2513330</wp:posOffset>
            </wp:positionH>
            <wp:positionV relativeFrom="paragraph">
              <wp:posOffset>9525</wp:posOffset>
            </wp:positionV>
            <wp:extent cx="7620" cy="762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4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9525</wp:posOffset>
            </wp:positionV>
            <wp:extent cx="7620" cy="762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4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9525</wp:posOffset>
            </wp:positionV>
            <wp:extent cx="7620" cy="762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4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2557780</wp:posOffset>
            </wp:positionH>
            <wp:positionV relativeFrom="paragraph">
              <wp:posOffset>9525</wp:posOffset>
            </wp:positionV>
            <wp:extent cx="7620" cy="762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4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9525</wp:posOffset>
            </wp:positionV>
            <wp:extent cx="7620" cy="762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4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2587625</wp:posOffset>
            </wp:positionH>
            <wp:positionV relativeFrom="paragraph">
              <wp:posOffset>9525</wp:posOffset>
            </wp:positionV>
            <wp:extent cx="7620" cy="762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4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9525</wp:posOffset>
            </wp:positionV>
            <wp:extent cx="7620" cy="762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4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9525</wp:posOffset>
            </wp:positionV>
            <wp:extent cx="7620" cy="762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4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2632075</wp:posOffset>
            </wp:positionH>
            <wp:positionV relativeFrom="paragraph">
              <wp:posOffset>9525</wp:posOffset>
            </wp:positionV>
            <wp:extent cx="7620" cy="762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4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9525</wp:posOffset>
            </wp:positionV>
            <wp:extent cx="7620" cy="762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4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9525</wp:posOffset>
            </wp:positionV>
            <wp:extent cx="7620" cy="762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4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9525</wp:posOffset>
            </wp:positionV>
            <wp:extent cx="7620" cy="762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4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2691130</wp:posOffset>
            </wp:positionH>
            <wp:positionV relativeFrom="paragraph">
              <wp:posOffset>9525</wp:posOffset>
            </wp:positionV>
            <wp:extent cx="7620" cy="762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4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9525</wp:posOffset>
            </wp:positionV>
            <wp:extent cx="7620" cy="762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4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9525</wp:posOffset>
            </wp:positionV>
            <wp:extent cx="7620" cy="762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4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9525</wp:posOffset>
            </wp:positionV>
            <wp:extent cx="7620" cy="762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4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2750820</wp:posOffset>
            </wp:positionH>
            <wp:positionV relativeFrom="paragraph">
              <wp:posOffset>9525</wp:posOffset>
            </wp:positionV>
            <wp:extent cx="7620" cy="762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9525</wp:posOffset>
            </wp:positionV>
            <wp:extent cx="7620" cy="762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2780665</wp:posOffset>
            </wp:positionH>
            <wp:positionV relativeFrom="paragraph">
              <wp:posOffset>9525</wp:posOffset>
            </wp:positionV>
            <wp:extent cx="7620" cy="762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2795270</wp:posOffset>
            </wp:positionH>
            <wp:positionV relativeFrom="paragraph">
              <wp:posOffset>9525</wp:posOffset>
            </wp:positionV>
            <wp:extent cx="7620" cy="762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2809875</wp:posOffset>
            </wp:positionH>
            <wp:positionV relativeFrom="paragraph">
              <wp:posOffset>9525</wp:posOffset>
            </wp:positionV>
            <wp:extent cx="7620" cy="762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9525</wp:posOffset>
            </wp:positionV>
            <wp:extent cx="7620" cy="762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9525</wp:posOffset>
            </wp:positionV>
            <wp:extent cx="7620" cy="762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2854960</wp:posOffset>
            </wp:positionH>
            <wp:positionV relativeFrom="paragraph">
              <wp:posOffset>9525</wp:posOffset>
            </wp:positionV>
            <wp:extent cx="7620" cy="762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9525</wp:posOffset>
            </wp:positionV>
            <wp:extent cx="7620" cy="762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9525</wp:posOffset>
            </wp:positionV>
            <wp:extent cx="7620" cy="762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2899410</wp:posOffset>
            </wp:positionH>
            <wp:positionV relativeFrom="paragraph">
              <wp:posOffset>9525</wp:posOffset>
            </wp:positionV>
            <wp:extent cx="7620" cy="762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9525</wp:posOffset>
            </wp:positionV>
            <wp:extent cx="7620" cy="762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9525</wp:posOffset>
            </wp:positionV>
            <wp:extent cx="7620" cy="762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9525</wp:posOffset>
            </wp:positionV>
            <wp:extent cx="7620" cy="762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2958465</wp:posOffset>
            </wp:positionH>
            <wp:positionV relativeFrom="paragraph">
              <wp:posOffset>9525</wp:posOffset>
            </wp:positionV>
            <wp:extent cx="7620" cy="762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2973705</wp:posOffset>
            </wp:positionH>
            <wp:positionV relativeFrom="paragraph">
              <wp:posOffset>9525</wp:posOffset>
            </wp:positionV>
            <wp:extent cx="7620" cy="762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9525</wp:posOffset>
            </wp:positionV>
            <wp:extent cx="7620" cy="762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9525</wp:posOffset>
            </wp:positionV>
            <wp:extent cx="7620" cy="762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3018155</wp:posOffset>
            </wp:positionH>
            <wp:positionV relativeFrom="paragraph">
              <wp:posOffset>9525</wp:posOffset>
            </wp:positionV>
            <wp:extent cx="7620" cy="762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3032760</wp:posOffset>
            </wp:positionH>
            <wp:positionV relativeFrom="paragraph">
              <wp:posOffset>9525</wp:posOffset>
            </wp:positionV>
            <wp:extent cx="7620" cy="762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9525</wp:posOffset>
            </wp:positionV>
            <wp:extent cx="7620" cy="762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9525</wp:posOffset>
            </wp:positionV>
            <wp:extent cx="7620" cy="762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3077210</wp:posOffset>
            </wp:positionH>
            <wp:positionV relativeFrom="paragraph">
              <wp:posOffset>9525</wp:posOffset>
            </wp:positionV>
            <wp:extent cx="7620" cy="762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9525</wp:posOffset>
            </wp:positionV>
            <wp:extent cx="7620" cy="762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3107055</wp:posOffset>
            </wp:positionH>
            <wp:positionV relativeFrom="paragraph">
              <wp:posOffset>9525</wp:posOffset>
            </wp:positionV>
            <wp:extent cx="7620" cy="762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9525</wp:posOffset>
            </wp:positionV>
            <wp:extent cx="7620" cy="762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3136900</wp:posOffset>
            </wp:positionH>
            <wp:positionV relativeFrom="paragraph">
              <wp:posOffset>9525</wp:posOffset>
            </wp:positionV>
            <wp:extent cx="7620" cy="762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9525</wp:posOffset>
            </wp:positionV>
            <wp:extent cx="7620" cy="762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9525</wp:posOffset>
            </wp:positionV>
            <wp:extent cx="7620" cy="762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9525</wp:posOffset>
            </wp:positionV>
            <wp:extent cx="7620" cy="762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9525</wp:posOffset>
            </wp:positionV>
            <wp:extent cx="7620" cy="762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9525</wp:posOffset>
            </wp:positionV>
            <wp:extent cx="7620" cy="762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9525</wp:posOffset>
            </wp:positionV>
            <wp:extent cx="7620" cy="762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9525</wp:posOffset>
            </wp:positionV>
            <wp:extent cx="7620" cy="762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9525</wp:posOffset>
            </wp:positionV>
            <wp:extent cx="7620" cy="762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9525</wp:posOffset>
            </wp:positionV>
            <wp:extent cx="7620" cy="762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9525</wp:posOffset>
            </wp:positionV>
            <wp:extent cx="7620" cy="762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3300095</wp:posOffset>
            </wp:positionH>
            <wp:positionV relativeFrom="paragraph">
              <wp:posOffset>9525</wp:posOffset>
            </wp:positionV>
            <wp:extent cx="7620" cy="762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-717550</wp:posOffset>
            </wp:positionV>
            <wp:extent cx="7620" cy="762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-702310</wp:posOffset>
            </wp:positionV>
            <wp:extent cx="7620" cy="762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-687705</wp:posOffset>
            </wp:positionV>
            <wp:extent cx="7620" cy="762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-672465</wp:posOffset>
            </wp:positionV>
            <wp:extent cx="7620" cy="762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5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-657860</wp:posOffset>
            </wp:positionV>
            <wp:extent cx="7620" cy="762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5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-643255</wp:posOffset>
            </wp:positionV>
            <wp:extent cx="7620" cy="762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5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-628015</wp:posOffset>
            </wp:positionV>
            <wp:extent cx="7620" cy="762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50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-613410</wp:posOffset>
            </wp:positionV>
            <wp:extent cx="7620" cy="762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50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-598805</wp:posOffset>
            </wp:positionV>
            <wp:extent cx="7620" cy="762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5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-583565</wp:posOffset>
            </wp:positionV>
            <wp:extent cx="7620" cy="762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5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-568960</wp:posOffset>
            </wp:positionV>
            <wp:extent cx="7620" cy="762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5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-553720</wp:posOffset>
            </wp:positionV>
            <wp:extent cx="7620" cy="762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5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-539115</wp:posOffset>
            </wp:positionV>
            <wp:extent cx="7620" cy="762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5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-524510</wp:posOffset>
            </wp:positionV>
            <wp:extent cx="7620" cy="762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5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-509270</wp:posOffset>
            </wp:positionV>
            <wp:extent cx="7620" cy="762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5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-494665</wp:posOffset>
            </wp:positionV>
            <wp:extent cx="7620" cy="762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5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-479425</wp:posOffset>
            </wp:positionV>
            <wp:extent cx="7620" cy="762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5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-464820</wp:posOffset>
            </wp:positionV>
            <wp:extent cx="7620" cy="762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5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-450215</wp:posOffset>
            </wp:positionV>
            <wp:extent cx="7620" cy="762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5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-434975</wp:posOffset>
            </wp:positionV>
            <wp:extent cx="7620" cy="762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5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-420370</wp:posOffset>
            </wp:positionV>
            <wp:extent cx="7620" cy="762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5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-405765</wp:posOffset>
            </wp:positionV>
            <wp:extent cx="7620" cy="762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5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-390525</wp:posOffset>
            </wp:positionV>
            <wp:extent cx="7620" cy="762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5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-375920</wp:posOffset>
            </wp:positionV>
            <wp:extent cx="7620" cy="762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5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-360680</wp:posOffset>
            </wp:positionV>
            <wp:extent cx="7620" cy="762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5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-346075</wp:posOffset>
            </wp:positionV>
            <wp:extent cx="7620" cy="762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52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-331470</wp:posOffset>
            </wp:positionV>
            <wp:extent cx="7620" cy="762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5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-316230</wp:posOffset>
            </wp:positionV>
            <wp:extent cx="7620" cy="762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5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-301625</wp:posOffset>
            </wp:positionV>
            <wp:extent cx="7620" cy="762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5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-286385</wp:posOffset>
            </wp:positionV>
            <wp:extent cx="7620" cy="762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52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-271780</wp:posOffset>
            </wp:positionV>
            <wp:extent cx="7620" cy="762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52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-257175</wp:posOffset>
            </wp:positionV>
            <wp:extent cx="7620" cy="762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5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-241935</wp:posOffset>
            </wp:positionV>
            <wp:extent cx="7620" cy="762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5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-227330</wp:posOffset>
            </wp:positionV>
            <wp:extent cx="7620" cy="762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53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-212090</wp:posOffset>
            </wp:positionV>
            <wp:extent cx="7620" cy="762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5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-197485</wp:posOffset>
            </wp:positionV>
            <wp:extent cx="7620" cy="762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5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-182880</wp:posOffset>
            </wp:positionV>
            <wp:extent cx="7620" cy="762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5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-167640</wp:posOffset>
            </wp:positionV>
            <wp:extent cx="7620" cy="762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53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-153035</wp:posOffset>
            </wp:positionV>
            <wp:extent cx="7620" cy="762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5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-138430</wp:posOffset>
            </wp:positionV>
            <wp:extent cx="7620" cy="762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5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-123190</wp:posOffset>
            </wp:positionV>
            <wp:extent cx="7620" cy="762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53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-108585</wp:posOffset>
            </wp:positionV>
            <wp:extent cx="7620" cy="762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5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-93345</wp:posOffset>
            </wp:positionV>
            <wp:extent cx="7620" cy="762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53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-78740</wp:posOffset>
            </wp:positionV>
            <wp:extent cx="7620" cy="762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54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-64135</wp:posOffset>
            </wp:positionV>
            <wp:extent cx="7620" cy="762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5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-48895</wp:posOffset>
            </wp:positionV>
            <wp:extent cx="7620" cy="762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5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-34290</wp:posOffset>
            </wp:positionV>
            <wp:extent cx="7620" cy="762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5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-19050</wp:posOffset>
            </wp:positionV>
            <wp:extent cx="7620" cy="762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5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-4445</wp:posOffset>
            </wp:positionV>
            <wp:extent cx="7620" cy="762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5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9525</wp:posOffset>
            </wp:positionV>
            <wp:extent cx="7620" cy="762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5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-717550</wp:posOffset>
            </wp:positionV>
            <wp:extent cx="7620" cy="762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5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-702310</wp:posOffset>
            </wp:positionV>
            <wp:extent cx="7620" cy="762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54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-687705</wp:posOffset>
            </wp:positionV>
            <wp:extent cx="7620" cy="762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5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-672465</wp:posOffset>
            </wp:positionV>
            <wp:extent cx="7620" cy="762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5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-657860</wp:posOffset>
            </wp:positionV>
            <wp:extent cx="7620" cy="762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55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-643255</wp:posOffset>
            </wp:positionV>
            <wp:extent cx="7620" cy="762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55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-628015</wp:posOffset>
            </wp:positionV>
            <wp:extent cx="7620" cy="762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5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-613410</wp:posOffset>
            </wp:positionV>
            <wp:extent cx="7620" cy="762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5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-598805</wp:posOffset>
            </wp:positionV>
            <wp:extent cx="7620" cy="762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5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-583565</wp:posOffset>
            </wp:positionV>
            <wp:extent cx="7620" cy="762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55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-568960</wp:posOffset>
            </wp:positionV>
            <wp:extent cx="7620" cy="762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55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-553720</wp:posOffset>
            </wp:positionV>
            <wp:extent cx="7620" cy="762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5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-539115</wp:posOffset>
            </wp:positionV>
            <wp:extent cx="7620" cy="762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-524510</wp:posOffset>
            </wp:positionV>
            <wp:extent cx="7620" cy="762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-509270</wp:posOffset>
            </wp:positionV>
            <wp:extent cx="7620" cy="762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-494665</wp:posOffset>
            </wp:positionV>
            <wp:extent cx="7620" cy="762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6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-479425</wp:posOffset>
            </wp:positionV>
            <wp:extent cx="7620" cy="762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-464820</wp:posOffset>
            </wp:positionV>
            <wp:extent cx="7620" cy="762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-450215</wp:posOffset>
            </wp:positionV>
            <wp:extent cx="7620" cy="762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-434975</wp:posOffset>
            </wp:positionV>
            <wp:extent cx="7620" cy="762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6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-420370</wp:posOffset>
            </wp:positionV>
            <wp:extent cx="7620" cy="762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-405765</wp:posOffset>
            </wp:positionV>
            <wp:extent cx="7620" cy="762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-390525</wp:posOffset>
            </wp:positionV>
            <wp:extent cx="7620" cy="762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6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-375920</wp:posOffset>
            </wp:positionV>
            <wp:extent cx="7620" cy="762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-360680</wp:posOffset>
            </wp:positionV>
            <wp:extent cx="7620" cy="762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-346075</wp:posOffset>
            </wp:positionV>
            <wp:extent cx="7620" cy="762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-331470</wp:posOffset>
            </wp:positionV>
            <wp:extent cx="7620" cy="762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-316230</wp:posOffset>
            </wp:positionV>
            <wp:extent cx="7620" cy="762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-301625</wp:posOffset>
            </wp:positionV>
            <wp:extent cx="7620" cy="762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-286385</wp:posOffset>
            </wp:positionV>
            <wp:extent cx="7620" cy="762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-271780</wp:posOffset>
            </wp:positionV>
            <wp:extent cx="7620" cy="762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-257175</wp:posOffset>
            </wp:positionV>
            <wp:extent cx="7620" cy="762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-241935</wp:posOffset>
            </wp:positionV>
            <wp:extent cx="7620" cy="762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-227330</wp:posOffset>
            </wp:positionV>
            <wp:extent cx="7620" cy="762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8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-212090</wp:posOffset>
            </wp:positionV>
            <wp:extent cx="7620" cy="762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8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-197485</wp:posOffset>
            </wp:positionV>
            <wp:extent cx="7620" cy="762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-182880</wp:posOffset>
            </wp:positionV>
            <wp:extent cx="7620" cy="762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-167640</wp:posOffset>
            </wp:positionV>
            <wp:extent cx="7620" cy="762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8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-153035</wp:posOffset>
            </wp:positionV>
            <wp:extent cx="7620" cy="762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-138430</wp:posOffset>
            </wp:positionV>
            <wp:extent cx="7620" cy="762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-123190</wp:posOffset>
            </wp:positionV>
            <wp:extent cx="7620" cy="762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-108585</wp:posOffset>
            </wp:positionV>
            <wp:extent cx="7620" cy="762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8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-93345</wp:posOffset>
            </wp:positionV>
            <wp:extent cx="7620" cy="762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8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-78740</wp:posOffset>
            </wp:positionV>
            <wp:extent cx="7620" cy="762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9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-64135</wp:posOffset>
            </wp:positionV>
            <wp:extent cx="7620" cy="762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-48895</wp:posOffset>
            </wp:positionV>
            <wp:extent cx="7620" cy="762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-34290</wp:posOffset>
            </wp:positionV>
            <wp:extent cx="7620" cy="762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-19050</wp:posOffset>
            </wp:positionV>
            <wp:extent cx="7620" cy="762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-4445</wp:posOffset>
            </wp:positionV>
            <wp:extent cx="7620" cy="762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9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9525</wp:posOffset>
            </wp:positionV>
            <wp:extent cx="7620" cy="762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96">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- 8</w:t>
      </w:r>
    </w:p>
    <w:p>
      <w:pPr>
        <w:sectPr>
          <w:pgSz w:w="11900" w:h="16838" w:orient="portrait"/>
          <w:cols w:equalWidth="0" w:num="1">
            <w:col w:w="10700"/>
          </w:cols>
          <w:pgMar w:left="320" w:top="1440" w:right="87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97">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drawing>
          <wp:anchor simplePos="0" relativeHeight="251657728" behindDoc="1" locked="0" layoutInCell="0" allowOverlap="1">
            <wp:simplePos x="0" y="0"/>
            <wp:positionH relativeFrom="page">
              <wp:posOffset>384810</wp:posOffset>
            </wp:positionH>
            <wp:positionV relativeFrom="page">
              <wp:posOffset>1497330</wp:posOffset>
            </wp:positionV>
            <wp:extent cx="6630670" cy="1270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98">
                      <a:extLst>
                        <a:ext uri="{28A0092B-C50C-407E-A947-70E740481C1C}"/>
                      </a:extLst>
                    </a:blip>
                    <a:srcRect/>
                    <a:stretch>
                      <a:fillRect/>
                    </a:stretch>
                  </pic:blipFill>
                  <pic:spPr bwMode="auto">
                    <a:xfrm>
                      <a:off x="0" y="0"/>
                      <a:ext cx="663067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3"/>
          <w:szCs w:val="13"/>
          <w:b w:val="1"/>
          <w:bCs w:val="1"/>
          <w:i w:val="1"/>
          <w:iCs w:val="1"/>
          <w:color w:val="auto"/>
        </w:rPr>
        <w:t>The Optionee understands that Data will be held only as long as is necessary to Pemegang Opsyen memahami bahawa dia boleh, pada bila-bila masa, melihat data, meminta</w:t>
      </w:r>
    </w:p>
    <w:p>
      <w:pPr>
        <w:spacing w:after="0" w:line="26"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implement, administer and manage the Optionee's participation in the Plan. The maklumat tambahan mengenai penyimpanan dan pemprosesan Data, meminta bahawa</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Optionee understands that he or she may, at any time, view Data, request additional pindaan-pindaan dilaksanakan ke atas Data atau menolak atau menarik balik persetujuan</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information about the storage and processing of Data, require any necessary dalam ini, dalam mana-mana kes, tanpa kos, dengan menghubungi secara bertulis wakil</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amendments to Data or refuse or withdraw the consents herein, in any case without sumber manusia tempatannya. Pemegang Opsyen memahami bahawa keengganan atau</w:t>
      </w:r>
    </w:p>
    <w:p>
      <w:pPr>
        <w:spacing w:after="0" w:line="14" w:lineRule="exact"/>
        <w:rPr>
          <w:sz w:val="20"/>
          <w:szCs w:val="20"/>
          <w:color w:val="auto"/>
        </w:rPr>
      </w:pPr>
    </w:p>
    <w:p>
      <w:pPr>
        <w:ind w:left="300"/>
        <w:spacing w:after="0"/>
        <w:tabs>
          <w:tab w:leader="none" w:pos="5920" w:val="left"/>
          <w:tab w:leader="none" w:pos="6320" w:val="left"/>
          <w:tab w:leader="none" w:pos="7340" w:val="left"/>
          <w:tab w:leader="none" w:pos="7760" w:val="left"/>
          <w:tab w:leader="none" w:pos="8620" w:val="left"/>
          <w:tab w:leader="none" w:pos="9560" w:val="left"/>
          <w:tab w:leader="none" w:pos="10020" w:val="left"/>
        </w:tabs>
        <w:rPr>
          <w:sz w:val="20"/>
          <w:szCs w:val="20"/>
          <w:color w:val="auto"/>
        </w:rPr>
      </w:pPr>
      <w:r>
        <w:rPr>
          <w:rFonts w:ascii="Arial" w:cs="Arial" w:eastAsia="Arial" w:hAnsi="Arial"/>
          <w:sz w:val="13"/>
          <w:szCs w:val="13"/>
          <w:b w:val="1"/>
          <w:bCs w:val="1"/>
          <w:i w:val="1"/>
          <w:iCs w:val="1"/>
          <w:color w:val="auto"/>
        </w:rPr>
        <w:t>cost, by contacting in writing his or her local human resources representative. The penarikan</w:t>
      </w:r>
      <w:r>
        <w:rPr>
          <w:sz w:val="20"/>
          <w:szCs w:val="20"/>
          <w:color w:val="auto"/>
        </w:rPr>
        <w:tab/>
      </w:r>
      <w:r>
        <w:rPr>
          <w:rFonts w:ascii="Arial" w:cs="Arial" w:eastAsia="Arial" w:hAnsi="Arial"/>
          <w:sz w:val="14"/>
          <w:szCs w:val="14"/>
          <w:b w:val="1"/>
          <w:bCs w:val="1"/>
          <w:i w:val="1"/>
          <w:iCs w:val="1"/>
          <w:color w:val="auto"/>
        </w:rPr>
        <w:t>balik</w:t>
        <w:tab/>
        <w:t>persetujuannya</w:t>
        <w:tab/>
        <w:t>boleh</w:t>
        <w:tab/>
        <w:t>menjejaskan</w:t>
        <w:tab/>
        <w:t>keupayaannya</w:t>
        <w:tab/>
        <w:t>untuk</w:t>
      </w:r>
      <w:r>
        <w:rPr>
          <w:sz w:val="20"/>
          <w:szCs w:val="20"/>
          <w:color w:val="auto"/>
        </w:rPr>
        <w:tab/>
      </w:r>
      <w:r>
        <w:rPr>
          <w:rFonts w:ascii="Arial" w:cs="Arial" w:eastAsia="Arial" w:hAnsi="Arial"/>
          <w:sz w:val="12"/>
          <w:szCs w:val="12"/>
          <w:b w:val="1"/>
          <w:bCs w:val="1"/>
          <w:i w:val="1"/>
          <w:iCs w:val="1"/>
          <w:color w:val="auto"/>
        </w:rPr>
        <w:t>mengambil</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Optionee understands, however, that refusing or withdrawing his or her consent may bahagian dalam Pelan. Untuk maklumat lanjut mengenai akibat keengganannya untuk</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affect the Optionee's ability to participate in the Plan. For more information on the memberikan keizinan atau penarikan balik keizinan, Pemegang Opsyen fahami bahawa dia</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consequences of a refusal to consent or withdrawal of consent, the Optionee boleh menghubungi pentadbir pelan saham serantau di Stock_Plan_Admin@Analog.com.</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understands that he or she may contact his or her regional stock plan administrator</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at Stock_Plan_Admin@Analog.com.</w:t>
      </w:r>
    </w:p>
    <w:p>
      <w:pPr>
        <w:spacing w:after="0" w:line="396"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MEXICO</w:t>
      </w:r>
    </w:p>
    <w:p>
      <w:pPr>
        <w:spacing w:after="0" w:line="217" w:lineRule="exact"/>
        <w:rPr>
          <w:sz w:val="20"/>
          <w:szCs w:val="20"/>
          <w:color w:val="auto"/>
        </w:rPr>
      </w:pPr>
    </w:p>
    <w:p>
      <w:pPr>
        <w:jc w:val="both"/>
        <w:ind w:left="280"/>
        <w:spacing w:after="0" w:line="250" w:lineRule="auto"/>
        <w:rPr>
          <w:sz w:val="20"/>
          <w:szCs w:val="20"/>
          <w:color w:val="auto"/>
        </w:rPr>
      </w:pPr>
      <w:r>
        <w:rPr>
          <w:rFonts w:ascii="Arial" w:cs="Arial" w:eastAsia="Arial" w:hAnsi="Arial"/>
          <w:sz w:val="14"/>
          <w:szCs w:val="14"/>
          <w:u w:val="single" w:color="auto"/>
          <w:color w:val="auto"/>
        </w:rPr>
        <w:t>Acknowledgment of the Agreement</w:t>
      </w:r>
      <w:r>
        <w:rPr>
          <w:rFonts w:ascii="Arial" w:cs="Arial" w:eastAsia="Arial" w:hAnsi="Arial"/>
          <w:sz w:val="14"/>
          <w:szCs w:val="14"/>
          <w:color w:val="auto"/>
        </w:rPr>
        <w:t>. By participating in the Plan, the Optionee acknowledges that he or she has received a copy of the Plan, has reviewed the Plan in its entirety and fully understands and accepts all provisions of the Plan. The Optionee further acknowledges that he or she has read and expressly approves the terms and conditions set forth in the Nature of Grant paragraph of the Agreement, in which the following is clearly described and established: (i) the Optionee’s participation in the Plan does not constitute an acquired right; (ii) the Plan and the Optionee’s participation in the Plan are offered by the Company on a wholly discretionary basis; (iii) the Optionee’s participation in the Plan is voluntary; and (iv) the Company and its Subsidiaries are not responsible for any decrease in the value of the Option granted and/or the Option Shares issued under the Plan.</w:t>
      </w:r>
    </w:p>
    <w:p>
      <w:pPr>
        <w:spacing w:after="0" w:line="120" w:lineRule="exact"/>
        <w:rPr>
          <w:sz w:val="20"/>
          <w:szCs w:val="20"/>
          <w:color w:val="auto"/>
        </w:rPr>
      </w:pPr>
    </w:p>
    <w:p>
      <w:pPr>
        <w:jc w:val="both"/>
        <w:ind w:left="280"/>
        <w:spacing w:after="0" w:line="249" w:lineRule="auto"/>
        <w:rPr>
          <w:sz w:val="20"/>
          <w:szCs w:val="20"/>
          <w:color w:val="auto"/>
        </w:rPr>
      </w:pPr>
      <w:r>
        <w:rPr>
          <w:rFonts w:ascii="Arial" w:cs="Arial" w:eastAsia="Arial" w:hAnsi="Arial"/>
          <w:sz w:val="14"/>
          <w:szCs w:val="14"/>
          <w:u w:val="single" w:color="auto"/>
          <w:color w:val="auto"/>
        </w:rPr>
        <w:t>Labor Law Policy and Acknowledgment</w:t>
      </w:r>
      <w:r>
        <w:rPr>
          <w:rFonts w:ascii="Arial" w:cs="Arial" w:eastAsia="Arial" w:hAnsi="Arial"/>
          <w:sz w:val="14"/>
          <w:szCs w:val="14"/>
          <w:color w:val="auto"/>
        </w:rPr>
        <w:t>. By participating in the Plan, the Optionee expressly recognizes that Analog Devices, Inc., with registered offices at One Analog Way, Wilmington, Massachusetts, 01887 U.S.A., is solely responsible for the administration of the Plan and that the Optionee’s participation in the Plan and acquisition of Option Shares does not constitute an employment relationship between the Optionee and the Company since the Optionee is participating in the Plan on a wholly commercial basis. Based on the foregoing, the Optionee expressly recognizes that the Plan and the benefits that the Optionee may derive from participation in the Plan do not establish any rights between the Optionee and the Company and do not form part of the employment conditions and/or benefits provided by the Company and any modification of the Plan or its termination shall not constitute a change or impairment of the terms and conditions of the Optionee’s employment.</w:t>
      </w:r>
    </w:p>
    <w:p>
      <w:pPr>
        <w:spacing w:after="0" w:line="120"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color w:val="auto"/>
        </w:rPr>
        <w:t>The Optionee further understands that the Optionee's participation in the Plan is as a result of a unilateral and discretionary decision of the Company; therefore, the Company reserves the absolute right to amend and/or discontinue the Optionee’s participation at any time without any liability to the Optionee.</w:t>
      </w:r>
    </w:p>
    <w:p>
      <w:pPr>
        <w:spacing w:after="0" w:line="106"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4"/>
          <w:szCs w:val="14"/>
          <w:color w:val="auto"/>
        </w:rPr>
        <w:t>Finally, the Optionee hereby declares that the Optionee does not reserve any action or right to bring any claim against the Company for any compensation or damages regarding any provision of the Plan or the benefits derived under the Plan, and the Optionee therefore grants a full and broad release to the Company, its Subsidiaries, branches, representation offices, its shareholders, officers, agents or legal representatives with respect to any claim that may arise.</w:t>
      </w:r>
    </w:p>
    <w:p>
      <w:pPr>
        <w:spacing w:after="0" w:line="114" w:lineRule="exact"/>
        <w:rPr>
          <w:sz w:val="20"/>
          <w:szCs w:val="20"/>
          <w:color w:val="auto"/>
        </w:rPr>
      </w:pPr>
    </w:p>
    <w:p>
      <w:pPr>
        <w:jc w:val="both"/>
        <w:ind w:left="280"/>
        <w:spacing w:after="0" w:line="250" w:lineRule="auto"/>
        <w:rPr>
          <w:sz w:val="20"/>
          <w:szCs w:val="20"/>
          <w:color w:val="auto"/>
        </w:rPr>
      </w:pPr>
      <w:r>
        <w:rPr>
          <w:rFonts w:ascii="Arial" w:cs="Arial" w:eastAsia="Arial" w:hAnsi="Arial"/>
          <w:sz w:val="14"/>
          <w:szCs w:val="14"/>
          <w:i w:val="1"/>
          <w:iCs w:val="1"/>
          <w:u w:val="single" w:color="auto"/>
          <w:color w:val="auto"/>
        </w:rPr>
        <w:t>Reconocimiento del Contrato</w:t>
      </w:r>
      <w:r>
        <w:rPr>
          <w:rFonts w:ascii="Arial" w:cs="Arial" w:eastAsia="Arial" w:hAnsi="Arial"/>
          <w:sz w:val="14"/>
          <w:szCs w:val="14"/>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 Opción ofrecida y/o las Acciones distribuidas bajo el Plan.</w:t>
      </w:r>
    </w:p>
    <w:p>
      <w:pPr>
        <w:spacing w:after="0" w:line="120"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i w:val="1"/>
          <w:iCs w:val="1"/>
          <w:u w:val="single" w:color="auto"/>
          <w:color w:val="auto"/>
        </w:rPr>
        <w:t>Política de Legislación Laboral y Reconocimiento</w:t>
      </w:r>
      <w:r>
        <w:rPr>
          <w:rFonts w:ascii="Arial" w:cs="Arial" w:eastAsia="Arial" w:hAnsi="Arial"/>
          <w:sz w:val="14"/>
          <w:szCs w:val="14"/>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- 9</w:t>
      </w:r>
    </w:p>
    <w:p>
      <w:pPr>
        <w:sectPr>
          <w:pgSz w:w="11900" w:h="16838" w:orient="portrait"/>
          <w:cols w:equalWidth="0" w:num="1">
            <w:col w:w="11260"/>
          </w:cols>
          <w:pgMar w:left="320" w:top="1440" w:right="31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99">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i w:val="1"/>
          <w:iCs w:val="1"/>
          <w:color w:val="auto"/>
        </w:rPr>
        <w:t>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14"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06" w:lineRule="exact"/>
        <w:rPr>
          <w:sz w:val="20"/>
          <w:szCs w:val="20"/>
          <w:color w:val="auto"/>
        </w:rPr>
      </w:pPr>
    </w:p>
    <w:p>
      <w:pPr>
        <w:jc w:val="both"/>
        <w:ind w:left="280" w:right="300"/>
        <w:spacing w:after="0" w:line="286" w:lineRule="auto"/>
        <w:rPr>
          <w:sz w:val="20"/>
          <w:szCs w:val="20"/>
          <w:color w:val="auto"/>
        </w:rPr>
      </w:pPr>
      <w:r>
        <w:rPr>
          <w:rFonts w:ascii="Arial" w:cs="Arial" w:eastAsia="Arial" w:hAnsi="Arial"/>
          <w:sz w:val="13"/>
          <w:szCs w:val="13"/>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NETHERLANDS</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This provision supplements Section 8 of the Agreement:</w:t>
      </w:r>
    </w:p>
    <w:p>
      <w:pPr>
        <w:spacing w:after="0" w:line="190" w:lineRule="exact"/>
        <w:rPr>
          <w:sz w:val="20"/>
          <w:szCs w:val="20"/>
          <w:color w:val="auto"/>
        </w:rPr>
      </w:pPr>
    </w:p>
    <w:p>
      <w:pPr>
        <w:jc w:val="both"/>
        <w:ind w:left="280" w:right="300"/>
        <w:spacing w:after="0" w:line="270" w:lineRule="auto"/>
        <w:rPr>
          <w:sz w:val="20"/>
          <w:szCs w:val="20"/>
          <w:color w:val="auto"/>
        </w:rPr>
      </w:pPr>
      <w:r>
        <w:rPr>
          <w:rFonts w:ascii="Arial" w:cs="Arial" w:eastAsia="Arial" w:hAnsi="Arial"/>
          <w:sz w:val="14"/>
          <w:szCs w:val="14"/>
          <w:color w:val="auto"/>
        </w:rPr>
        <w:t>By accepting the Option, the Optionee acknowledges that the Option is intended as an incentive for the Optionee to remain employed with the Employer and is not intended as remuneration for labor performed.</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NORWAY</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There are no country-specific provisions.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POLAND</w:t>
      </w:r>
    </w:p>
    <w:p>
      <w:pPr>
        <w:spacing w:after="0" w:line="217" w:lineRule="exact"/>
        <w:rPr>
          <w:sz w:val="20"/>
          <w:szCs w:val="20"/>
          <w:color w:val="auto"/>
        </w:rPr>
      </w:pPr>
    </w:p>
    <w:p>
      <w:pPr>
        <w:jc w:val="both"/>
        <w:ind w:left="280" w:right="220"/>
        <w:spacing w:after="0" w:line="257"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If the Optionee maintains bank or brokerage accounts holding cash and foreign securities (including Option Shares) outside of Poland, the Optionee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280" w:right="220"/>
        <w:spacing w:after="0" w:line="278"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Optionee understands that he or she is required to store all documents connected with any foreign exchange transactions for a period of five years, as measured from the end of the year in which such transaction occurred. The Optionee should consult with his or her personal legal advisor to determine what he or she must do to fulfill any applicable reporting/exchange control duties.</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ROMANIA</w:t>
      </w:r>
    </w:p>
    <w:p>
      <w:pPr>
        <w:spacing w:after="0" w:line="217" w:lineRule="exact"/>
        <w:rPr>
          <w:sz w:val="20"/>
          <w:szCs w:val="20"/>
          <w:color w:val="auto"/>
        </w:rPr>
      </w:pPr>
    </w:p>
    <w:p>
      <w:pPr>
        <w:jc w:val="both"/>
        <w:ind w:left="280" w:right="300"/>
        <w:spacing w:after="0" w:line="257"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SERBIA</w:t>
      </w:r>
    </w:p>
    <w:p>
      <w:pPr>
        <w:spacing w:after="0" w:line="229" w:lineRule="exact"/>
        <w:rPr>
          <w:sz w:val="20"/>
          <w:szCs w:val="20"/>
          <w:color w:val="auto"/>
        </w:rPr>
      </w:pPr>
    </w:p>
    <w:p>
      <w:pPr>
        <w:jc w:val="both"/>
        <w:ind w:left="280" w:right="280"/>
        <w:spacing w:after="0" w:line="270"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grant of Options and the issuance of any Option Shares are not subject to the regulations concerning public offers and private placements under the Law on Capital Markets.</w:t>
      </w:r>
    </w:p>
    <w:p>
      <w:pPr>
        <w:spacing w:after="0" w:line="129" w:lineRule="exact"/>
        <w:rPr>
          <w:sz w:val="20"/>
          <w:szCs w:val="20"/>
          <w:color w:val="auto"/>
        </w:rPr>
      </w:pPr>
    </w:p>
    <w:p>
      <w:pPr>
        <w:jc w:val="both"/>
        <w:ind w:left="280" w:right="300"/>
        <w:spacing w:after="0" w:line="286"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Pursuant to the Law on Foreign Exchange Transactions, the Optionee is permitted to acquire Option Shares under the Plan, but a report may need to be made of the acquisition of such Option Shares, the value of the Option Shares at exercise, and, on a quarterly basis, any changes in the value of the Option Shares. As the exchange control regulations in Serbia may change without notice, the Optionee should consult with his or her personal advisor with respect to all applicable reporting obligations.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- 10</w:t>
      </w:r>
    </w:p>
    <w:p>
      <w:pPr>
        <w:sectPr>
          <w:pgSz w:w="11900" w:h="16838" w:orient="portrait"/>
          <w:cols w:equalWidth="0" w:num="1">
            <w:col w:w="11260"/>
          </w:cols>
          <w:pgMar w:left="320" w:top="1440" w:right="319"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600">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SINGAPORE</w:t>
      </w:r>
    </w:p>
    <w:p>
      <w:pPr>
        <w:spacing w:after="0" w:line="229" w:lineRule="exact"/>
        <w:rPr>
          <w:sz w:val="20"/>
          <w:szCs w:val="20"/>
          <w:color w:val="auto"/>
        </w:rPr>
      </w:pPr>
    </w:p>
    <w:p>
      <w:pPr>
        <w:jc w:val="both"/>
        <w:ind w:left="280"/>
        <w:spacing w:after="0" w:line="278" w:lineRule="auto"/>
        <w:rPr>
          <w:sz w:val="20"/>
          <w:szCs w:val="20"/>
          <w:color w:val="auto"/>
        </w:rPr>
      </w:pPr>
      <w:r>
        <w:rPr>
          <w:rFonts w:ascii="Arial" w:cs="Arial" w:eastAsia="Arial" w:hAnsi="Arial"/>
          <w:sz w:val="13"/>
          <w:szCs w:val="13"/>
          <w:u w:val="single" w:color="auto"/>
          <w:color w:val="auto"/>
        </w:rPr>
        <w:t>Securities Law Information</w:t>
      </w:r>
      <w:r>
        <w:rPr>
          <w:rFonts w:ascii="Arial" w:cs="Arial" w:eastAsia="Arial" w:hAnsi="Arial"/>
          <w:sz w:val="13"/>
          <w:szCs w:val="13"/>
          <w:color w:val="auto"/>
        </w:rPr>
        <w:t>. The Options were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w:t>
      </w:r>
    </w:p>
    <w:p>
      <w:pPr>
        <w:spacing w:after="0" w:line="173" w:lineRule="exact"/>
        <w:rPr>
          <w:sz w:val="20"/>
          <w:szCs w:val="20"/>
          <w:color w:val="auto"/>
        </w:rPr>
      </w:pPr>
    </w:p>
    <w:p>
      <w:pPr>
        <w:jc w:val="both"/>
        <w:ind w:left="280"/>
        <w:spacing w:after="0" w:line="269" w:lineRule="auto"/>
        <w:rPr>
          <w:sz w:val="20"/>
          <w:szCs w:val="20"/>
          <w:color w:val="auto"/>
        </w:rPr>
      </w:pPr>
      <w:r>
        <w:rPr>
          <w:rFonts w:ascii="Arial" w:cs="Arial" w:eastAsia="Arial" w:hAnsi="Arial"/>
          <w:sz w:val="13"/>
          <w:szCs w:val="13"/>
          <w:u w:val="single" w:color="auto"/>
          <w:color w:val="auto"/>
        </w:rPr>
        <w:t>Director Notification</w:t>
      </w:r>
      <w:r>
        <w:rPr>
          <w:rFonts w:ascii="Arial" w:cs="Arial" w:eastAsia="Arial" w:hAnsi="Arial"/>
          <w:sz w:val="13"/>
          <w:szCs w:val="13"/>
          <w:color w:val="auto"/>
        </w:rPr>
        <w:t>. If the Optionee is a director, associate director or shadow director of a Subsidiary of the Company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(i) acquiring or disposing of any interest in the Company or any related company, or (ii) any change in a previously-disclosed interest (e.g., upon exercise of the Options or when Option Shares are subsequently sold). In addition, a notification must be made of the Optionee’s interests in the Company or any related company within two (2) business days of becoming a director, associate director, or shadow director. If the Optionee is the chief executive officer (“CEO”) of a Singapore Subsidiary and the above notification requirements are determined to apply to the CEO of a Singapore Subsidiary, the above notification requirements also may apply to the Optionee.</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SPAIN</w:t>
      </w:r>
    </w:p>
    <w:p>
      <w:pPr>
        <w:spacing w:after="0" w:line="229" w:lineRule="exact"/>
        <w:rPr>
          <w:sz w:val="20"/>
          <w:szCs w:val="20"/>
          <w:color w:val="auto"/>
        </w:rPr>
      </w:pPr>
    </w:p>
    <w:p>
      <w:pPr>
        <w:jc w:val="both"/>
        <w:ind w:left="280"/>
        <w:spacing w:after="0" w:line="269" w:lineRule="auto"/>
        <w:rPr>
          <w:sz w:val="20"/>
          <w:szCs w:val="20"/>
          <w:color w:val="auto"/>
        </w:rPr>
      </w:pPr>
      <w:r>
        <w:rPr>
          <w:rFonts w:ascii="Arial" w:cs="Arial" w:eastAsia="Arial" w:hAnsi="Arial"/>
          <w:sz w:val="13"/>
          <w:szCs w:val="13"/>
          <w:u w:val="single" w:color="auto"/>
          <w:color w:val="auto"/>
        </w:rPr>
        <w:t>No Entitlement for Claims or Compensation</w:t>
      </w:r>
      <w:r>
        <w:rPr>
          <w:rFonts w:ascii="Arial" w:cs="Arial" w:eastAsia="Arial" w:hAnsi="Arial"/>
          <w:sz w:val="13"/>
          <w:szCs w:val="13"/>
          <w:color w:val="auto"/>
        </w:rPr>
        <w:t>. In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191" w:lineRule="exact"/>
        <w:rPr>
          <w:sz w:val="20"/>
          <w:szCs w:val="20"/>
          <w:color w:val="auto"/>
        </w:rPr>
      </w:pPr>
    </w:p>
    <w:p>
      <w:pPr>
        <w:jc w:val="both"/>
        <w:ind w:left="280"/>
        <w:spacing w:after="0" w:line="268" w:lineRule="auto"/>
        <w:rPr>
          <w:sz w:val="20"/>
          <w:szCs w:val="20"/>
          <w:color w:val="auto"/>
        </w:rPr>
      </w:pPr>
      <w:r>
        <w:rPr>
          <w:rFonts w:ascii="Arial" w:cs="Arial" w:eastAsia="Arial" w:hAnsi="Arial"/>
          <w:sz w:val="13"/>
          <w:szCs w:val="13"/>
          <w:color w:val="auto"/>
        </w:rPr>
        <w:t>Further, and except as provided in Sections 3(e) and 3(g) of the Agreement in the event Optionee dies or becomes Disabled, the vesting of the Option is expressly conditioned on the Optionee’s continued rendering of service, such that if the Optionee’s employment terminates for any reason whatsoever, the Options will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(i.e., subject to a “</w:t>
      </w:r>
      <w:r>
        <w:rPr>
          <w:rFonts w:ascii="Arial" w:cs="Arial" w:eastAsia="Arial" w:hAnsi="Arial"/>
          <w:sz w:val="13"/>
          <w:szCs w:val="13"/>
          <w:i w:val="1"/>
          <w:iCs w:val="1"/>
          <w:color w:val="auto"/>
        </w:rPr>
        <w:t>despido improcedente</w:t>
      </w:r>
      <w:r>
        <w:rPr>
          <w:rFonts w:ascii="Arial" w:cs="Arial" w:eastAsia="Arial" w:hAnsi="Arial"/>
          <w:sz w:val="13"/>
          <w:szCs w:val="13"/>
          <w:color w:val="auto"/>
        </w:rPr>
        <w:t>”); (2) the Optionee is dismissed for disciplinary or objective reasons or due to a collective dismissal; (3) the Optionee terminates service due to a 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will automatically lose any rights to Options that were not vested on the date of the Optionee’s termination of employment, as described in the Plan and the Agreement. The Optionee understands that the Option grant would not be made to the Optionee but for the assumptions and conditions referred to above; thus, the Optionee acknowledges and freely accepts that should any or all of the assumptions be mistaken or should any of the conditions not be met for any reason, then any Option grant shall be null and void.</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Optionee acknowledges that he or she has read and specifically accepts the conditions referred to in Section 3 of the Agreement.</w:t>
      </w:r>
    </w:p>
    <w:p>
      <w:pPr>
        <w:spacing w:after="0" w:line="225"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u w:val="single" w:color="auto"/>
          <w:color w:val="auto"/>
        </w:rPr>
        <w:t>Securities Law Notification</w:t>
      </w:r>
      <w:r>
        <w:rPr>
          <w:rFonts w:ascii="Arial" w:cs="Arial" w:eastAsia="Arial" w:hAnsi="Arial"/>
          <w:sz w:val="14"/>
          <w:szCs w:val="14"/>
          <w:color w:val="auto"/>
        </w:rPr>
        <w:t>. The grant of Options and the Option Shares issued upon exercise of the Option are considered a private placement outside of the scope of Spanish laws on public offerings and issuances of securities. No “offer of securities to the public”, as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- 11</w:t>
      </w:r>
    </w:p>
    <w:p>
      <w:pPr>
        <w:sectPr>
          <w:pgSz w:w="11900" w:h="16838" w:orient="portrait"/>
          <w:cols w:equalWidth="0" w:num="1">
            <w:col w:w="10980"/>
          </w:cols>
          <w:pgMar w:left="320" w:top="1440" w:right="59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601">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 xml:space="preserve">defined under Spanish law, has taken place or will take place in the Spanish territory. This Agreement has not been or will it be registered with the </w:t>
      </w:r>
      <w:r>
        <w:rPr>
          <w:rFonts w:ascii="Arial" w:cs="Arial" w:eastAsia="Arial" w:hAnsi="Arial"/>
          <w:sz w:val="14"/>
          <w:szCs w:val="14"/>
          <w:i w:val="1"/>
          <w:iCs w:val="1"/>
          <w:color w:val="auto"/>
        </w:rPr>
        <w:t>Comisión Nacional del Mercado de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Valores, </w:t>
      </w:r>
      <w:r>
        <w:rPr>
          <w:rFonts w:ascii="Arial" w:cs="Arial" w:eastAsia="Arial" w:hAnsi="Arial"/>
          <w:sz w:val="14"/>
          <w:szCs w:val="14"/>
          <w:color w:val="auto"/>
        </w:rPr>
        <w:t>and does not constitute a public offering prospectus.</w:t>
      </w:r>
    </w:p>
    <w:p>
      <w:pPr>
        <w:spacing w:after="0" w:line="187" w:lineRule="exact"/>
        <w:rPr>
          <w:sz w:val="20"/>
          <w:szCs w:val="20"/>
          <w:color w:val="auto"/>
        </w:rPr>
      </w:pPr>
    </w:p>
    <w:p>
      <w:pPr>
        <w:jc w:val="both"/>
        <w:ind w:left="280"/>
        <w:spacing w:after="0" w:line="253" w:lineRule="auto"/>
        <w:rPr>
          <w:sz w:val="20"/>
          <w:szCs w:val="20"/>
          <w:color w:val="auto"/>
        </w:rPr>
      </w:pPr>
      <w:r>
        <w:rPr>
          <w:rFonts w:ascii="Arial" w:cs="Arial" w:eastAsia="Arial" w:hAnsi="Arial"/>
          <w:sz w:val="14"/>
          <w:szCs w:val="14"/>
          <w:u w:val="single" w:color="auto"/>
          <w:color w:val="auto"/>
        </w:rPr>
        <w:t>Exchange Control Notification</w:t>
      </w:r>
      <w:r>
        <w:rPr>
          <w:rFonts w:ascii="Arial" w:cs="Arial" w:eastAsia="Arial" w:hAnsi="Arial"/>
          <w:sz w:val="14"/>
          <w:szCs w:val="14"/>
          <w:color w:val="auto"/>
        </w:rPr>
        <w:t xml:space="preserve">. The Optionee acknowledges that he or she must declare any Option Shares that are acquired under the Plan to the </w:t>
      </w:r>
      <w:r>
        <w:rPr>
          <w:rFonts w:ascii="Arial" w:cs="Arial" w:eastAsia="Arial" w:hAnsi="Arial"/>
          <w:sz w:val="14"/>
          <w:szCs w:val="14"/>
          <w:i w:val="1"/>
          <w:iCs w:val="1"/>
          <w:color w:val="auto"/>
        </w:rPr>
        <w:t>Dirección General de Comercio 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Inversiones </w:t>
      </w:r>
      <w:r>
        <w:rPr>
          <w:rFonts w:ascii="Arial" w:cs="Arial" w:eastAsia="Arial" w:hAnsi="Arial"/>
          <w:sz w:val="14"/>
          <w:szCs w:val="14"/>
          <w:color w:val="auto"/>
        </w:rPr>
        <w:t>of the Ministry of Economy and Competitiveness (the “DGCI”). After the initial declaration, the declaration must be filed with the DGCI on an annual basis each January while</w:t>
      </w:r>
      <w:r>
        <w:rPr>
          <w:rFonts w:ascii="Arial" w:cs="Arial" w:eastAsia="Arial" w:hAnsi="Arial"/>
          <w:sz w:val="14"/>
          <w:szCs w:val="14"/>
          <w:i w:val="1"/>
          <w:iCs w:val="1"/>
          <w:color w:val="auto"/>
        </w:rPr>
        <w:t xml:space="preserve"> </w:t>
      </w:r>
      <w:r>
        <w:rPr>
          <w:rFonts w:ascii="Arial" w:cs="Arial" w:eastAsia="Arial" w:hAnsi="Arial"/>
          <w:sz w:val="14"/>
          <w:szCs w:val="14"/>
          <w:color w:val="auto"/>
        </w:rPr>
        <w:t>the Option Shares are owned; however, if the value of the Option Shares or the sale proceeds exceed a certain amount, a declaration must be filed within one month of the acquisition or sale, as applicable.</w:t>
      </w:r>
    </w:p>
    <w:p>
      <w:pPr>
        <w:spacing w:after="0" w:line="198" w:lineRule="exact"/>
        <w:rPr>
          <w:sz w:val="20"/>
          <w:szCs w:val="20"/>
          <w:color w:val="auto"/>
        </w:rPr>
      </w:pPr>
    </w:p>
    <w:p>
      <w:pPr>
        <w:jc w:val="both"/>
        <w:ind w:left="280" w:right="20"/>
        <w:spacing w:after="0" w:line="274" w:lineRule="auto"/>
        <w:rPr>
          <w:sz w:val="20"/>
          <w:szCs w:val="20"/>
          <w:color w:val="auto"/>
        </w:rPr>
      </w:pPr>
      <w:r>
        <w:rPr>
          <w:rFonts w:ascii="Arial" w:cs="Arial" w:eastAsia="Arial" w:hAnsi="Arial"/>
          <w:sz w:val="13"/>
          <w:szCs w:val="13"/>
          <w:u w:val="single" w:color="auto"/>
          <w:color w:val="auto"/>
        </w:rPr>
        <w:t>Foreign Asset / Account Reporting Information</w:t>
      </w:r>
      <w:r>
        <w:rPr>
          <w:rFonts w:ascii="Arial" w:cs="Arial" w:eastAsia="Arial" w:hAnsi="Arial"/>
          <w:sz w:val="13"/>
          <w:szCs w:val="13"/>
          <w:color w:val="auto"/>
        </w:rPr>
        <w:t>. To the extent that the Optionee holds assets (e.g., cash or Option Shares held in a bank or brokerage account) outside Spain with a value in excess of €50,000 per type of asset (e.g., Option Shares, cash, and so on) as of December 31 each year, the Optionee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Optionee. Accordingly, the Optionee should consult with his or her personal tax and legal advisors to ensure that he or she is properly complying with his or her reporting obligations.</w:t>
      </w:r>
    </w:p>
    <w:p>
      <w:pPr>
        <w:spacing w:after="0" w:line="187" w:lineRule="exact"/>
        <w:rPr>
          <w:sz w:val="20"/>
          <w:szCs w:val="20"/>
          <w:color w:val="auto"/>
        </w:rPr>
      </w:pPr>
    </w:p>
    <w:p>
      <w:pPr>
        <w:jc w:val="both"/>
        <w:ind w:left="280"/>
        <w:spacing w:after="0" w:line="310" w:lineRule="auto"/>
        <w:rPr>
          <w:sz w:val="20"/>
          <w:szCs w:val="20"/>
          <w:color w:val="auto"/>
        </w:rPr>
      </w:pPr>
      <w:r>
        <w:rPr>
          <w:rFonts w:ascii="Arial" w:cs="Arial" w:eastAsia="Arial" w:hAnsi="Arial"/>
          <w:sz w:val="13"/>
          <w:szCs w:val="13"/>
          <w:color w:val="auto"/>
        </w:rPr>
        <w:t>Further, the Optionee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SWEDEN</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Automatic Cashless Exercise and Sale</w:t>
      </w:r>
      <w:r>
        <w:rPr>
          <w:rFonts w:ascii="Arial" w:cs="Arial" w:eastAsia="Arial" w:hAnsi="Arial"/>
          <w:sz w:val="14"/>
          <w:szCs w:val="14"/>
          <w:color w:val="auto"/>
        </w:rPr>
        <w:t>. The grant of the Option is conditioned on the Optionee’s agreement to the below.</w:t>
      </w:r>
    </w:p>
    <w:p>
      <w:pPr>
        <w:spacing w:after="0" w:line="213" w:lineRule="exact"/>
        <w:rPr>
          <w:sz w:val="20"/>
          <w:szCs w:val="20"/>
          <w:color w:val="auto"/>
        </w:rPr>
      </w:pPr>
    </w:p>
    <w:p>
      <w:pPr>
        <w:jc w:val="both"/>
        <w:ind w:left="280"/>
        <w:spacing w:after="0" w:line="249" w:lineRule="auto"/>
        <w:rPr>
          <w:sz w:val="20"/>
          <w:szCs w:val="20"/>
          <w:color w:val="auto"/>
        </w:rPr>
      </w:pPr>
      <w:r>
        <w:rPr>
          <w:rFonts w:ascii="Arial" w:cs="Arial" w:eastAsia="Arial" w:hAnsi="Arial"/>
          <w:sz w:val="14"/>
          <w:szCs w:val="14"/>
          <w:color w:val="auto"/>
        </w:rPr>
        <w:t>The Optionee agrees that, if he or she has not previously exercised the Option to the maximum extent possible in accordance with its terms prior to the first day on which the closing price of the Common Stock on the Nasdaq Global Select Market (“Nasdaq”) equals or exceeds 200% of the Exercise Price, then the Optionee will be deemed to have exercised the Option to the maximum extent possible in accordance with its terms on such date by means of a cashless exercise in the manner described in the Plan and the Agreement and to have directed the immediate sale of all of the Option Shares thereby purchased. The Optionee hereby authorizes the Company (or its designated broker pursuant to this authorization) to effect such cashless exercise and sale transaction on the Optionee’s behalf as soon as administratively possible, and to cause to be remitted to the Optionee the net proceeds, after deduction of the Exercise Price and all Tax-Related Items required to be withheld by the Company or the Employer.</w:t>
      </w:r>
    </w:p>
    <w:p>
      <w:pPr>
        <w:spacing w:after="0" w:line="167" w:lineRule="exact"/>
        <w:rPr>
          <w:sz w:val="20"/>
          <w:szCs w:val="20"/>
          <w:color w:val="auto"/>
        </w:rPr>
      </w:pPr>
    </w:p>
    <w:p>
      <w:pPr>
        <w:jc w:val="both"/>
        <w:ind w:left="280"/>
        <w:spacing w:after="0" w:line="278" w:lineRule="auto"/>
        <w:rPr>
          <w:sz w:val="20"/>
          <w:szCs w:val="20"/>
          <w:color w:val="auto"/>
        </w:rPr>
      </w:pPr>
      <w:r>
        <w:rPr>
          <w:rFonts w:ascii="Arial" w:cs="Arial" w:eastAsia="Arial" w:hAnsi="Arial"/>
          <w:sz w:val="13"/>
          <w:szCs w:val="13"/>
          <w:color w:val="auto"/>
        </w:rPr>
        <w:t>To the extent that the Option by its terms is not exercisable on such date, the Optionee will be deemed to have exercised the Option and directed the immediate sale of all of the Option Shares thereby purchased on the first day thereafter on which it becomes exercisable on which the closing price of the Common Stock on the Nasdaq equals or exceeds 200% of the Exercise Price, and the Optionee grants the same authority to the Company as set forth in the preceding sentence. The Optionee agrees to execute and deliver any documentation which the Company’s designated broker may require in connection with this arrangement. The Company is authorized to act in this matter on behalf of the Employer.</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Authorization to Withhold</w:t>
      </w:r>
      <w:r>
        <w:rPr>
          <w:rFonts w:ascii="Arial" w:cs="Arial" w:eastAsia="Arial" w:hAnsi="Arial"/>
          <w:sz w:val="14"/>
          <w:szCs w:val="14"/>
          <w:color w:val="auto"/>
        </w:rPr>
        <w:t>. This provision supplements Section 7 of the Agreement:</w:t>
      </w:r>
    </w:p>
    <w:p>
      <w:pPr>
        <w:spacing w:after="0" w:line="225"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color w:val="auto"/>
        </w:rPr>
        <w:t>Without limiting the Company’s and the Employer’s authority to satisfy their withholding obligations for Tax-Related Items as set forth in Section 7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SWITZERLAND</w:t>
      </w:r>
    </w:p>
    <w:p>
      <w:pPr>
        <w:spacing w:after="0" w:line="194"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This Option grant is not intended to be a public offering in Switzerland and is therefore not subject to registration in Switzerland. Neither this document nor any materials relating to the Option Shares (i) constitutes a prospectus according to articles 35 et. seq. of the Swiss Federal Act on Financial Services (“FinSA”) (ii) may be publicly distributed or otherwise made publicly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- 12</w:t>
      </w:r>
    </w:p>
    <w:p>
      <w:pPr>
        <w:sectPr>
          <w:pgSz w:w="11900" w:h="16838" w:orient="portrait"/>
          <w:cols w:equalWidth="0" w:num="1">
            <w:col w:w="10980"/>
          </w:cols>
          <w:pgMar w:left="320" w:top="1440" w:right="599"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602">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color w:val="auto"/>
        </w:rPr>
        <w:t>available in Switzerland to any person other than an employee of the Company or a Subsidiary of the Company, or (iii) has been or will be filed with, approved or supervised by any Swiss regulatory authority (in particular, the Swiss Financial Supervisory Authority (FINMA)).</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TAIWAN</w:t>
      </w:r>
    </w:p>
    <w:p>
      <w:pPr>
        <w:spacing w:after="0" w:line="229" w:lineRule="exact"/>
        <w:rPr>
          <w:sz w:val="20"/>
          <w:szCs w:val="20"/>
          <w:color w:val="auto"/>
        </w:rPr>
      </w:pPr>
    </w:p>
    <w:p>
      <w:pPr>
        <w:jc w:val="both"/>
        <w:ind w:left="280"/>
        <w:spacing w:after="0" w:line="250" w:lineRule="auto"/>
        <w:rPr>
          <w:sz w:val="20"/>
          <w:szCs w:val="20"/>
          <w:color w:val="auto"/>
        </w:rPr>
      </w:pPr>
      <w:r>
        <w:rPr>
          <w:rFonts w:ascii="Arial" w:cs="Arial" w:eastAsia="Arial" w:hAnsi="Arial"/>
          <w:sz w:val="14"/>
          <w:szCs w:val="14"/>
          <w:u w:val="single" w:color="auto"/>
          <w:color w:val="auto"/>
        </w:rPr>
        <w:t>Data Privacy</w:t>
      </w:r>
      <w:r>
        <w:rPr>
          <w:rFonts w:ascii="Arial" w:cs="Arial" w:eastAsia="Arial" w:hAnsi="Arial"/>
          <w:sz w:val="14"/>
          <w:szCs w:val="14"/>
          <w:color w:val="auto"/>
        </w:rPr>
        <w:t>. The Optionee acknowledges that he or she has read and understands the terms regarding collection, processing and transfer of Data contained in the Data Privacy Information and Consent provision of the Terms and Conditions for Optionees outside the U.S. and agrees that, upon the request of the Company or the Employer, the Optionee will provide any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202"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The option and participation in the Plan is made available only to employees of the Company and the Employer. It is not a public offer of securities by a Taiwanese company. Therefore, it is exempt from registration in Taiwan.</w:t>
      </w:r>
    </w:p>
    <w:p>
      <w:pPr>
        <w:spacing w:after="0" w:line="187" w:lineRule="exact"/>
        <w:rPr>
          <w:sz w:val="20"/>
          <w:szCs w:val="20"/>
          <w:color w:val="auto"/>
        </w:rPr>
      </w:pPr>
    </w:p>
    <w:p>
      <w:pPr>
        <w:ind w:left="280"/>
        <w:spacing w:after="0"/>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Individuals may acquire foreign currency (including proceeds from the sale of Option Shares) into Taiwan up to US$5,000,000 per year without justification.</w:t>
      </w:r>
    </w:p>
    <w:p>
      <w:pPr>
        <w:spacing w:after="0" w:line="236"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color w:val="auto"/>
        </w:rPr>
        <w:t>There is no need to aggregate all remittances into Taiwan when calculating the limitation. If the transaction amount is TWD$500,000 or more in a single transaction, the Optionee must submit a Foreign Exchange Transaction Form and also provide supporting documentation to the satisfaction of the remitting bank.</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THAILAND</w:t>
      </w:r>
    </w:p>
    <w:p>
      <w:pPr>
        <w:spacing w:after="0" w:line="229" w:lineRule="exact"/>
        <w:rPr>
          <w:sz w:val="20"/>
          <w:szCs w:val="20"/>
          <w:color w:val="auto"/>
        </w:rPr>
      </w:pPr>
    </w:p>
    <w:p>
      <w:pPr>
        <w:jc w:val="both"/>
        <w:ind w:left="280" w:right="20"/>
        <w:spacing w:after="0" w:line="274" w:lineRule="auto"/>
        <w:rPr>
          <w:sz w:val="20"/>
          <w:szCs w:val="20"/>
          <w:color w:val="auto"/>
        </w:rPr>
      </w:pPr>
      <w:r>
        <w:rPr>
          <w:rFonts w:ascii="Arial" w:cs="Arial" w:eastAsia="Arial" w:hAnsi="Arial"/>
          <w:sz w:val="13"/>
          <w:szCs w:val="13"/>
          <w:u w:val="single" w:color="auto"/>
          <w:color w:val="auto"/>
        </w:rPr>
        <w:t>Exchange Control Information</w:t>
      </w:r>
      <w:r>
        <w:rPr>
          <w:rFonts w:ascii="Arial" w:cs="Arial" w:eastAsia="Arial" w:hAnsi="Arial"/>
          <w:sz w:val="13"/>
          <w:szCs w:val="13"/>
          <w:color w:val="auto"/>
        </w:rPr>
        <w:t>. If the Optionee is a Thai resident and the Optionee realizes sale proceeds equal to or in excess of a specified threshold (currently US$1,000,000) in a single transaction, the Optionee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Optionee understands he or she must specifically report the inward remittance to the Bank of Thailand on a Foreign Exchange Transaction Form. The Optionee is responsible for ensuring compliance with all exchange control laws in Thailand.</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TURKEY</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Manner of Exercising Option</w:t>
      </w:r>
      <w:r>
        <w:rPr>
          <w:rFonts w:ascii="Arial" w:cs="Arial" w:eastAsia="Arial" w:hAnsi="Arial"/>
          <w:sz w:val="14"/>
          <w:szCs w:val="14"/>
          <w:color w:val="auto"/>
        </w:rPr>
        <w:t>. This provision supplements Section 4 of the Agreement:</w:t>
      </w:r>
    </w:p>
    <w:p>
      <w:pPr>
        <w:spacing w:after="0" w:line="213" w:lineRule="exact"/>
        <w:rPr>
          <w:sz w:val="20"/>
          <w:szCs w:val="20"/>
          <w:color w:val="auto"/>
        </w:rPr>
      </w:pPr>
    </w:p>
    <w:p>
      <w:pPr>
        <w:jc w:val="both"/>
        <w:ind w:left="280"/>
        <w:spacing w:after="0" w:line="253" w:lineRule="auto"/>
        <w:rPr>
          <w:sz w:val="20"/>
          <w:szCs w:val="20"/>
          <w:color w:val="auto"/>
        </w:rPr>
      </w:pPr>
      <w:r>
        <w:rPr>
          <w:rFonts w:ascii="Arial" w:cs="Arial" w:eastAsia="Arial" w:hAnsi="Arial"/>
          <w:sz w:val="14"/>
          <w:szCs w:val="14"/>
          <w:color w:val="auto"/>
        </w:rPr>
        <w:t>Due to legal restrictions in Turkey, Optionee may be required to exercise his or her option using the cashless sell-all exercise method whereby all Option Shares subject to the exercised option will be sold immediately upon exercise and the proceeds of the sale, less the Exercise Price, any Tax-Related Items and broker's fees or commissions will be remitted to Optionee in accordance with any applicable laws and regulations. Optionee will not be permitted to acquire and hold Option Shares after exercise. The Company reserves the right to provide additional methods of exercise to Optionee depending on the development of local law.</w:t>
      </w:r>
    </w:p>
    <w:p>
      <w:pPr>
        <w:spacing w:after="0" w:line="198" w:lineRule="exact"/>
        <w:rPr>
          <w:sz w:val="20"/>
          <w:szCs w:val="20"/>
          <w:color w:val="auto"/>
        </w:rPr>
      </w:pPr>
    </w:p>
    <w:p>
      <w:pPr>
        <w:jc w:val="both"/>
        <w:ind w:left="280"/>
        <w:spacing w:after="0" w:line="270"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Under Turkish law, the Optionee is not permitted to sell any Option Shares acquired under the Plan in Turkey. The Option Shares are currently traded on the Nasdaq Global Select Market, under the ticker symbol “ADI” and the Option Shares may be sold through this exchange.</w:t>
      </w:r>
    </w:p>
    <w:p>
      <w:pPr>
        <w:spacing w:after="0" w:line="187" w:lineRule="exact"/>
        <w:rPr>
          <w:sz w:val="20"/>
          <w:szCs w:val="20"/>
          <w:color w:val="auto"/>
        </w:rPr>
      </w:pPr>
    </w:p>
    <w:p>
      <w:pPr>
        <w:jc w:val="both"/>
        <w:ind w:left="280"/>
        <w:spacing w:after="0" w:line="257" w:lineRule="auto"/>
        <w:rPr>
          <w:sz w:val="20"/>
          <w:szCs w:val="20"/>
          <w:color w:val="auto"/>
        </w:rPr>
      </w:pPr>
      <w:r>
        <w:rPr>
          <w:rFonts w:ascii="Arial" w:cs="Arial" w:eastAsia="Arial" w:hAnsi="Arial"/>
          <w:sz w:val="14"/>
          <w:szCs w:val="14"/>
          <w:u w:val="single" w:color="auto"/>
          <w:color w:val="auto"/>
        </w:rPr>
        <w:t>Exchange Control Information</w:t>
      </w:r>
      <w:r>
        <w:rPr>
          <w:rFonts w:ascii="Arial" w:cs="Arial" w:eastAsia="Arial" w:hAnsi="Arial"/>
          <w:sz w:val="14"/>
          <w:szCs w:val="14"/>
          <w:color w:val="auto"/>
        </w:rPr>
        <w:t>. The Optionee may be required to engage a Turkish financial intermediary to assist with the sale of Option Shares acquired under the Plan. As the Optionee is solely responsible for complying with any applicable financial intermediary requirements, the Optionee should consider consulting his or her personal legal advisor prior to the exercise of the Options or any sale of Option Shares to ensure compliance.</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4"/>
          <w:szCs w:val="14"/>
          <w:b w:val="1"/>
          <w:bCs w:val="1"/>
          <w:u w:val="single" w:color="auto"/>
          <w:color w:val="auto"/>
        </w:rPr>
        <w:t>UNITED KINGDOM</w:t>
      </w:r>
    </w:p>
    <w:p>
      <w:pPr>
        <w:spacing w:after="0" w:line="217"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Responsibility for Taxes</w:t>
      </w:r>
      <w:r>
        <w:rPr>
          <w:rFonts w:ascii="Arial" w:cs="Arial" w:eastAsia="Arial" w:hAnsi="Arial"/>
          <w:sz w:val="14"/>
          <w:szCs w:val="14"/>
          <w:color w:val="auto"/>
        </w:rPr>
        <w:t>. This provision supplements Section 7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- 13</w:t>
      </w:r>
    </w:p>
    <w:p>
      <w:pPr>
        <w:sectPr>
          <w:pgSz w:w="11900" w:h="16838" w:orient="portrait"/>
          <w:cols w:equalWidth="0" w:num="1">
            <w:col w:w="10980"/>
          </w:cols>
          <w:pgMar w:left="320" w:top="1440" w:right="599"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603">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280"/>
        <w:spacing w:after="0" w:line="253" w:lineRule="auto"/>
        <w:rPr>
          <w:sz w:val="20"/>
          <w:szCs w:val="20"/>
          <w:color w:val="auto"/>
        </w:rPr>
      </w:pPr>
      <w:r>
        <w:rPr>
          <w:rFonts w:ascii="Arial" w:cs="Arial" w:eastAsia="Arial" w:hAnsi="Arial"/>
          <w:sz w:val="14"/>
          <w:szCs w:val="14"/>
          <w:color w:val="auto"/>
        </w:rPr>
        <w:t>Without limitation to Section 7 of the Agreement, the Optionee agrees that the Optionee is liable for all Tax-Related Items and hereby covenants to pay all such Tax-Related Items, as and when requested by the Company or the Employer or by Her Majesty’s Revenue and Customs (“HMRC”) (or any other tax authority or any other relevant authority). The Optionee also agrees to indemnify and keep indemnified the Company and the Employer against any Tax–Related Items that they are required to pay or withhold or have paid or will pay to HMRC (or any other tax authority or any other relevant authority) on the Optionee’s behalf.</w:t>
      </w:r>
    </w:p>
    <w:p>
      <w:pPr>
        <w:spacing w:after="0" w:line="151" w:lineRule="exact"/>
        <w:rPr>
          <w:sz w:val="20"/>
          <w:szCs w:val="20"/>
          <w:color w:val="auto"/>
        </w:rPr>
      </w:pPr>
    </w:p>
    <w:p>
      <w:pPr>
        <w:jc w:val="both"/>
        <w:ind w:left="280"/>
        <w:spacing w:after="0" w:line="249" w:lineRule="auto"/>
        <w:rPr>
          <w:sz w:val="20"/>
          <w:szCs w:val="20"/>
          <w:color w:val="auto"/>
        </w:rPr>
      </w:pPr>
      <w:r>
        <w:rPr>
          <w:rFonts w:ascii="Arial" w:cs="Arial" w:eastAsia="Arial" w:hAnsi="Arial"/>
          <w:sz w:val="14"/>
          <w:szCs w:val="14"/>
          <w:color w:val="auto"/>
        </w:rPr>
        <w:t>Notwithstanding the foregoing, if the Optionee is a director or executive officer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recovered from the Optionee by any of the means referred to in Section 7 of the Agreement.</w:t>
      </w:r>
    </w:p>
    <w:p>
      <w:pPr>
        <w:spacing w:after="0" w:line="120" w:lineRule="exact"/>
        <w:rPr>
          <w:sz w:val="20"/>
          <w:szCs w:val="20"/>
          <w:color w:val="auto"/>
        </w:rPr>
      </w:pPr>
    </w:p>
    <w:p>
      <w:pPr>
        <w:jc w:val="both"/>
        <w:ind w:left="280"/>
        <w:spacing w:after="0" w:line="249" w:lineRule="auto"/>
        <w:rPr>
          <w:sz w:val="20"/>
          <w:szCs w:val="20"/>
          <w:color w:val="auto"/>
        </w:rPr>
      </w:pPr>
      <w:r>
        <w:rPr>
          <w:rFonts w:ascii="Arial" w:cs="Arial" w:eastAsia="Arial" w:hAnsi="Arial"/>
          <w:sz w:val="14"/>
          <w:szCs w:val="14"/>
          <w:u w:val="single" w:color="auto"/>
          <w:color w:val="auto"/>
        </w:rPr>
        <w:t>Joint Election</w:t>
      </w:r>
      <w:r>
        <w:rPr>
          <w:rFonts w:ascii="Arial" w:cs="Arial" w:eastAsia="Arial" w:hAnsi="Arial"/>
          <w:sz w:val="14"/>
          <w:szCs w:val="14"/>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20"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106"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i w:val="1"/>
          <w:iCs w:val="1"/>
          <w:color w:val="auto"/>
        </w:rPr>
        <w:t>The Joint Election is attached hereto as Appendix C. 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A - 14</w:t>
      </w:r>
    </w:p>
    <w:p>
      <w:pPr>
        <w:sectPr>
          <w:pgSz w:w="11900" w:h="16838" w:orient="portrait"/>
          <w:cols w:equalWidth="0" w:num="1">
            <w:col w:w="10980"/>
          </w:cols>
          <w:pgMar w:left="320" w:top="1440" w:right="599" w:bottom="1440" w:gutter="0" w:footer="0" w:header="0"/>
        </w:sectPr>
      </w:pPr>
    </w:p>
    <w:bookmarkStart w:id="171" w:name="page172"/>
    <w:bookmarkEnd w:id="171"/>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604">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4"/>
          <w:szCs w:val="14"/>
          <w:b w:val="1"/>
          <w:bCs w:val="1"/>
          <w:u w:val="single" w:color="auto"/>
          <w:color w:val="auto"/>
        </w:rPr>
        <w:t>APPENDIX B</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ANALOG DEVICES, INC.</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SPECIAL NOTICE FOR DANISH EMPLOYEES</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EMPLOYER STATEMENT</w:t>
      </w:r>
    </w:p>
    <w:p>
      <w:pPr>
        <w:spacing w:after="0" w:line="201" w:lineRule="exact"/>
        <w:rPr>
          <w:sz w:val="20"/>
          <w:szCs w:val="20"/>
          <w:color w:val="auto"/>
        </w:rPr>
      </w:pPr>
    </w:p>
    <w:p>
      <w:pPr>
        <w:jc w:val="both"/>
        <w:ind w:left="280" w:right="180"/>
        <w:spacing w:after="0" w:line="270" w:lineRule="auto"/>
        <w:rPr>
          <w:sz w:val="20"/>
          <w:szCs w:val="20"/>
          <w:color w:val="auto"/>
        </w:rPr>
      </w:pPr>
      <w:r>
        <w:rPr>
          <w:rFonts w:ascii="Arial" w:cs="Arial" w:eastAsia="Arial" w:hAnsi="Arial"/>
          <w:sz w:val="14"/>
          <w:szCs w:val="14"/>
          <w:color w:val="auto"/>
        </w:rPr>
        <w:t>If Section 3(1) of the Act on Stock Options in employment relations, as amended as of January 1, 2019 (the “Act”) applies to your stock option grant, you are entitled to receive the following information regarding Analog Devices, Inc.’s (the “Company’s”) stock option program in a separate written statement.</w:t>
      </w:r>
    </w:p>
    <w:p>
      <w:pPr>
        <w:spacing w:after="0" w:line="82" w:lineRule="exact"/>
        <w:rPr>
          <w:sz w:val="20"/>
          <w:szCs w:val="20"/>
          <w:color w:val="auto"/>
        </w:rPr>
      </w:pPr>
    </w:p>
    <w:p>
      <w:pPr>
        <w:jc w:val="both"/>
        <w:ind w:left="280" w:right="160"/>
        <w:spacing w:after="0" w:line="257" w:lineRule="auto"/>
        <w:rPr>
          <w:sz w:val="20"/>
          <w:szCs w:val="20"/>
          <w:color w:val="auto"/>
        </w:rPr>
      </w:pPr>
      <w:r>
        <w:rPr>
          <w:rFonts w:ascii="Arial" w:cs="Arial" w:eastAsia="Arial" w:hAnsi="Arial"/>
          <w:sz w:val="14"/>
          <w:szCs w:val="14"/>
          <w:color w:val="auto"/>
        </w:rPr>
        <w:t>This statement contains only the information mentioned in the Act. The other terms and conditions of your stock option grant are described in detail in the Analog Devices, Inc. Amended and Restated 1996 Stock Incentive Plan (the “Plan”), and the Global Non-Qualified Stock Option Agreement, including the country-specific appendix (the “Agreement”), which have been given to you.</w:t>
      </w:r>
    </w:p>
    <w:p>
      <w:pPr>
        <w:spacing w:after="0" w:line="75"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Time of grant of option to purchase stock</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grant date for your stock option is the date that the Company approved a grant for you.</w:t>
      </w:r>
    </w:p>
    <w:p>
      <w:pPr>
        <w:spacing w:after="0" w:line="116"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Terms or conditions for option grant</w:t>
      </w:r>
    </w:p>
    <w:p>
      <w:pPr>
        <w:spacing w:after="0" w:line="112" w:lineRule="exact"/>
        <w:rPr>
          <w:sz w:val="20"/>
          <w:szCs w:val="20"/>
          <w:color w:val="auto"/>
        </w:rPr>
      </w:pPr>
    </w:p>
    <w:p>
      <w:pPr>
        <w:jc w:val="both"/>
        <w:ind w:left="280" w:right="160"/>
        <w:spacing w:after="0" w:line="257" w:lineRule="auto"/>
        <w:rPr>
          <w:sz w:val="20"/>
          <w:szCs w:val="20"/>
          <w:color w:val="auto"/>
        </w:rPr>
      </w:pPr>
      <w:r>
        <w:rPr>
          <w:rFonts w:ascii="Arial" w:cs="Arial" w:eastAsia="Arial" w:hAnsi="Arial"/>
          <w:sz w:val="14"/>
          <w:szCs w:val="14"/>
          <w:color w:val="auto"/>
        </w:rPr>
        <w:t>The grant of stock options will be at the sole discretion of the Company. The Company has very broad powers to determine who will receive awards and when, and to set the terms of the awards. The Company may decide, in its sole discretion, not to make any grants of stock options to you in the future. Under the terms of the Plan and the Agreement, you have no entitlement or claim to receive future option grants.</w:t>
      </w:r>
    </w:p>
    <w:p>
      <w:pPr>
        <w:spacing w:after="0" w:line="87"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2"/>
          <w:szCs w:val="12"/>
          <w:b w:val="1"/>
          <w:bCs w:val="1"/>
          <w:color w:val="auto"/>
        </w:rPr>
        <w:t>Vesting date or period</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Your stock option will vest in accordance with the vesting schedule set forth in Section 1 of your Agreement.</w:t>
      </w:r>
    </w:p>
    <w:p>
      <w:pPr>
        <w:spacing w:after="0" w:line="104" w:lineRule="exact"/>
        <w:rPr>
          <w:sz w:val="20"/>
          <w:szCs w:val="20"/>
          <w:color w:val="auto"/>
        </w:rPr>
      </w:pPr>
    </w:p>
    <w:p>
      <w:pPr>
        <w:ind w:left="520" w:hanging="246"/>
        <w:spacing w:after="0"/>
        <w:tabs>
          <w:tab w:leader="none" w:pos="520" w:val="left"/>
        </w:tabs>
        <w:numPr>
          <w:ilvl w:val="0"/>
          <w:numId w:val="153"/>
        </w:numPr>
        <w:rPr>
          <w:rFonts w:ascii="Arial" w:cs="Arial" w:eastAsia="Arial" w:hAnsi="Arial"/>
          <w:sz w:val="14"/>
          <w:szCs w:val="14"/>
          <w:b w:val="1"/>
          <w:bCs w:val="1"/>
          <w:color w:val="auto"/>
        </w:rPr>
      </w:pPr>
      <w:r>
        <w:rPr>
          <w:rFonts w:ascii="Arial" w:cs="Arial" w:eastAsia="Arial" w:hAnsi="Arial"/>
          <w:sz w:val="14"/>
          <w:szCs w:val="14"/>
          <w:b w:val="1"/>
          <w:bCs w:val="1"/>
          <w:color w:val="auto"/>
        </w:rPr>
        <w:t>Exercise price</w:t>
      </w:r>
    </w:p>
    <w:p>
      <w:pPr>
        <w:spacing w:after="0" w:line="124" w:lineRule="exact"/>
        <w:rPr>
          <w:sz w:val="20"/>
          <w:szCs w:val="20"/>
          <w:color w:val="auto"/>
        </w:rPr>
      </w:pPr>
    </w:p>
    <w:p>
      <w:pPr>
        <w:ind w:left="280" w:right="180"/>
        <w:spacing w:after="0" w:line="270" w:lineRule="auto"/>
        <w:rPr>
          <w:sz w:val="20"/>
          <w:szCs w:val="20"/>
          <w:color w:val="auto"/>
        </w:rPr>
      </w:pPr>
      <w:r>
        <w:rPr>
          <w:rFonts w:ascii="Arial" w:cs="Arial" w:eastAsia="Arial" w:hAnsi="Arial"/>
          <w:sz w:val="14"/>
          <w:szCs w:val="14"/>
          <w:color w:val="auto"/>
        </w:rPr>
        <w:t>During the exercise period, the stock options can be exercised to purchase stock in the Company at the exercise price stated in the notice of grant which will be no less than 100% of the fair market value of the stock at the time of grant, as determined by the Company.</w:t>
      </w:r>
    </w:p>
    <w:p>
      <w:pPr>
        <w:spacing w:after="0" w:line="78"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4"/>
          <w:szCs w:val="14"/>
          <w:b w:val="1"/>
          <w:bCs w:val="1"/>
          <w:color w:val="auto"/>
        </w:rPr>
        <w:t>5.</w:t>
      </w:r>
      <w:r>
        <w:rPr>
          <w:sz w:val="20"/>
          <w:szCs w:val="20"/>
          <w:color w:val="auto"/>
        </w:rPr>
        <w:tab/>
      </w:r>
      <w:r>
        <w:rPr>
          <w:rFonts w:ascii="Arial" w:cs="Arial" w:eastAsia="Arial" w:hAnsi="Arial"/>
          <w:sz w:val="12"/>
          <w:szCs w:val="12"/>
          <w:b w:val="1"/>
          <w:bCs w:val="1"/>
          <w:color w:val="auto"/>
        </w:rPr>
        <w:t>Your rights upon termination of employment</w:t>
      </w:r>
    </w:p>
    <w:p>
      <w:pPr>
        <w:spacing w:after="0" w:line="112" w:lineRule="exact"/>
        <w:rPr>
          <w:sz w:val="20"/>
          <w:szCs w:val="20"/>
          <w:color w:val="auto"/>
        </w:rPr>
      </w:pPr>
    </w:p>
    <w:p>
      <w:pPr>
        <w:ind w:left="280" w:right="180"/>
        <w:spacing w:after="0" w:line="270" w:lineRule="auto"/>
        <w:rPr>
          <w:sz w:val="20"/>
          <w:szCs w:val="20"/>
          <w:color w:val="auto"/>
        </w:rPr>
      </w:pPr>
      <w:r>
        <w:rPr>
          <w:rFonts w:ascii="Arial" w:cs="Arial" w:eastAsia="Arial" w:hAnsi="Arial"/>
          <w:sz w:val="14"/>
          <w:szCs w:val="14"/>
          <w:color w:val="auto"/>
        </w:rPr>
        <w:t>In the event you terminate employment with the Company group, the vesting and exercise of your Options will be determined in accord with the terms of your Agreement. In addition, you will be ineligible to receive any additional Option grants after your termination.</w:t>
      </w:r>
    </w:p>
    <w:p>
      <w:pPr>
        <w:spacing w:after="0" w:line="78" w:lineRule="exact"/>
        <w:rPr>
          <w:sz w:val="20"/>
          <w:szCs w:val="20"/>
          <w:color w:val="auto"/>
        </w:rPr>
      </w:pPr>
    </w:p>
    <w:p>
      <w:pPr>
        <w:ind w:left="520" w:hanging="246"/>
        <w:spacing w:after="0"/>
        <w:tabs>
          <w:tab w:leader="none" w:pos="520" w:val="left"/>
        </w:tabs>
        <w:numPr>
          <w:ilvl w:val="0"/>
          <w:numId w:val="154"/>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aspects of participating in the Plan</w:t>
      </w:r>
    </w:p>
    <w:p>
      <w:pPr>
        <w:spacing w:after="0" w:line="124" w:lineRule="exact"/>
        <w:rPr>
          <w:sz w:val="20"/>
          <w:szCs w:val="20"/>
          <w:color w:val="auto"/>
        </w:rPr>
      </w:pPr>
    </w:p>
    <w:p>
      <w:pPr>
        <w:ind w:left="280" w:right="180"/>
        <w:spacing w:after="0" w:line="270" w:lineRule="auto"/>
        <w:rPr>
          <w:sz w:val="20"/>
          <w:szCs w:val="20"/>
          <w:color w:val="auto"/>
        </w:rPr>
      </w:pPr>
      <w:r>
        <w:rPr>
          <w:rFonts w:ascii="Arial" w:cs="Arial" w:eastAsia="Arial" w:hAnsi="Arial"/>
          <w:sz w:val="14"/>
          <w:szCs w:val="14"/>
          <w:color w:val="auto"/>
        </w:rPr>
        <w:t>The grant of stock options has no immediate financial consequences for you. The value of the options is not taken into account when calculating holiday allowances, pension contributions or other statutory consideration calculated on the basis of salary.</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Shares of stock are financial instruments and investing in stocks will always have financial risk. The possibility of profit at the time of exercise will not only be dependent on the Company’s financial development, but also on the general development of the stock market. In addition, before or after you exercise your options, the shares of Company stock could decrease in value even below the exercise price.</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Notice Provided By:</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Analog Devices, Inc.</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One Analog Way</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Wilmington, MA 01887</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B - 1</w:t>
      </w:r>
    </w:p>
    <w:p>
      <w:pPr>
        <w:sectPr>
          <w:pgSz w:w="11900" w:h="16838" w:orient="portrait"/>
          <w:cols w:equalWidth="0" w:num="1">
            <w:col w:w="11140"/>
          </w:cols>
          <w:pgMar w:left="320" w:top="1440" w:right="439" w:bottom="1440" w:gutter="0" w:footer="0" w:header="0"/>
        </w:sectPr>
      </w:pPr>
    </w:p>
    <w:bookmarkStart w:id="172" w:name="page173"/>
    <w:bookmarkEnd w:id="172"/>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605">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4"/>
          <w:szCs w:val="14"/>
          <w:b w:val="1"/>
          <w:bCs w:val="1"/>
          <w:u w:val="single" w:color="auto"/>
          <w:color w:val="auto"/>
        </w:rPr>
        <w:t>SÆRLIG MEDDELELSE TIL DANSKE MEDARBEJDERE</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u w:val="single" w:color="auto"/>
          <w:color w:val="auto"/>
        </w:rPr>
        <w:t>ARBEJDSGIVERERKLÆRING</w:t>
      </w:r>
    </w:p>
    <w:p>
      <w:pPr>
        <w:spacing w:after="0" w:line="283" w:lineRule="exact"/>
        <w:rPr>
          <w:sz w:val="20"/>
          <w:szCs w:val="20"/>
          <w:color w:val="auto"/>
        </w:rPr>
      </w:pPr>
    </w:p>
    <w:p>
      <w:pPr>
        <w:ind w:left="280" w:right="20"/>
        <w:spacing w:after="0" w:line="310" w:lineRule="auto"/>
        <w:rPr>
          <w:sz w:val="20"/>
          <w:szCs w:val="20"/>
          <w:color w:val="auto"/>
        </w:rPr>
      </w:pPr>
      <w:r>
        <w:rPr>
          <w:rFonts w:ascii="Arial" w:cs="Arial" w:eastAsia="Arial" w:hAnsi="Arial"/>
          <w:sz w:val="13"/>
          <w:szCs w:val="13"/>
          <w:color w:val="auto"/>
        </w:rPr>
        <w:t>Såfremt § 3, stk. 1, i lov om brug af køberet eller tegningsret m.v. i ansættelsesforhold, som ændret med virkning fra 1. januar 2019 (“Aktieoptionsloven”) finder anvendelse på din tildeling af aktieoptioner, er du berettiget til i en særskilt skriftlig erklæring at modtage følgende oplysninger om Analog Devices, Inc.’s (“Selskabets”) aktieoptionsprogram.</w:t>
      </w:r>
    </w:p>
    <w:p>
      <w:pPr>
        <w:spacing w:after="0" w:line="58" w:lineRule="exact"/>
        <w:rPr>
          <w:sz w:val="20"/>
          <w:szCs w:val="20"/>
          <w:color w:val="auto"/>
        </w:rPr>
      </w:pPr>
    </w:p>
    <w:p>
      <w:pPr>
        <w:ind w:left="280" w:right="20"/>
        <w:spacing w:after="0" w:line="356" w:lineRule="auto"/>
        <w:rPr>
          <w:sz w:val="20"/>
          <w:szCs w:val="20"/>
          <w:color w:val="auto"/>
        </w:rPr>
      </w:pPr>
      <w:r>
        <w:rPr>
          <w:rFonts w:ascii="Arial" w:cs="Arial" w:eastAsia="Arial" w:hAnsi="Arial"/>
          <w:sz w:val="12"/>
          <w:szCs w:val="12"/>
          <w:color w:val="auto"/>
        </w:rPr>
        <w:t>Denne erklæring indeholder kun de oplysninger, der er nævnt i Aktieoptionsloven. De øvrige kriterier og betingelser for din tildeling af aktieoptioner er detaljeret beskrevet i Analog Devices, Inc. Amended and Restated 1996 Stock Incentive Plan (“Planen”) og i Global Non-Qualified Stock Option Agreement inkl. det landespecifikke tillæg (“Aftalen”), som du har fået udleveret.</w:t>
      </w:r>
    </w:p>
    <w:p>
      <w:pPr>
        <w:spacing w:after="0" w:line="31" w:lineRule="exact"/>
        <w:rPr>
          <w:sz w:val="20"/>
          <w:szCs w:val="20"/>
          <w:color w:val="auto"/>
        </w:rPr>
      </w:pPr>
    </w:p>
    <w:p>
      <w:pPr>
        <w:ind w:left="280"/>
        <w:spacing w:after="0"/>
        <w:tabs>
          <w:tab w:leader="none" w:pos="500" w:val="left"/>
        </w:tabs>
        <w:rPr>
          <w:sz w:val="20"/>
          <w:szCs w:val="20"/>
          <w:color w:val="auto"/>
        </w:rPr>
      </w:pPr>
      <w:r>
        <w:rPr>
          <w:rFonts w:ascii="Arial" w:cs="Arial" w:eastAsia="Arial" w:hAnsi="Arial"/>
          <w:sz w:val="14"/>
          <w:szCs w:val="14"/>
          <w:b w:val="1"/>
          <w:bCs w:val="1"/>
          <w:color w:val="auto"/>
        </w:rPr>
        <w:t>1.</w:t>
      </w:r>
      <w:r>
        <w:rPr>
          <w:sz w:val="20"/>
          <w:szCs w:val="20"/>
          <w:color w:val="auto"/>
        </w:rPr>
        <w:tab/>
      </w:r>
      <w:r>
        <w:rPr>
          <w:rFonts w:ascii="Arial" w:cs="Arial" w:eastAsia="Arial" w:hAnsi="Arial"/>
          <w:sz w:val="12"/>
          <w:szCs w:val="12"/>
          <w:b w:val="1"/>
          <w:bCs w:val="1"/>
          <w:color w:val="auto"/>
        </w:rPr>
        <w:t>Tidspunktet for tildeling af retten til at købe aktier</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Tidspunktet for tildelingen af din aktieoption er den dato, hvor Selskabets godkendte din tildeling.</w:t>
      </w:r>
    </w:p>
    <w:p>
      <w:pPr>
        <w:spacing w:after="0" w:line="116" w:lineRule="exact"/>
        <w:rPr>
          <w:sz w:val="20"/>
          <w:szCs w:val="20"/>
          <w:color w:val="auto"/>
        </w:rPr>
      </w:pPr>
    </w:p>
    <w:p>
      <w:pPr>
        <w:ind w:left="520" w:hanging="246"/>
        <w:spacing w:after="0"/>
        <w:tabs>
          <w:tab w:leader="none" w:pos="520" w:val="left"/>
        </w:tabs>
        <w:numPr>
          <w:ilvl w:val="0"/>
          <w:numId w:val="155"/>
        </w:numPr>
        <w:rPr>
          <w:rFonts w:ascii="Arial" w:cs="Arial" w:eastAsia="Arial" w:hAnsi="Arial"/>
          <w:sz w:val="14"/>
          <w:szCs w:val="14"/>
          <w:b w:val="1"/>
          <w:bCs w:val="1"/>
          <w:color w:val="auto"/>
        </w:rPr>
      </w:pPr>
      <w:r>
        <w:rPr>
          <w:rFonts w:ascii="Arial" w:cs="Arial" w:eastAsia="Arial" w:hAnsi="Arial"/>
          <w:sz w:val="14"/>
          <w:szCs w:val="14"/>
          <w:b w:val="1"/>
          <w:bCs w:val="1"/>
          <w:color w:val="auto"/>
        </w:rPr>
        <w:t>Kriterier og betingelser for optionstildelingen</w:t>
      </w:r>
    </w:p>
    <w:p>
      <w:pPr>
        <w:spacing w:after="0" w:line="124"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4"/>
          <w:szCs w:val="14"/>
          <w:color w:val="auto"/>
        </w:rPr>
        <w:t>Tildelingen af aktieoptioner sker efter Selskabet eget skøn. Selskabet har meget vide beføjelser til at bestemme, hvem der modtager tildelinger og hvornår, og til at fastsætte betingelserne for tildelingerne. Selskabet kan frit beslutte ikke fremover at tildele dig nogen aktieoptioner. I henhold til Planen og Aftalen har du ikke nogen ret til eller noget krav på i fremtiden at få tildelt optioner.</w:t>
      </w:r>
    </w:p>
    <w:p>
      <w:pPr>
        <w:spacing w:after="0" w:line="75" w:lineRule="exact"/>
        <w:rPr>
          <w:sz w:val="20"/>
          <w:szCs w:val="20"/>
          <w:color w:val="auto"/>
        </w:rPr>
      </w:pPr>
    </w:p>
    <w:p>
      <w:pPr>
        <w:ind w:left="520" w:hanging="246"/>
        <w:spacing w:after="0"/>
        <w:tabs>
          <w:tab w:leader="none" w:pos="520" w:val="left"/>
        </w:tabs>
        <w:numPr>
          <w:ilvl w:val="0"/>
          <w:numId w:val="156"/>
        </w:numPr>
        <w:rPr>
          <w:rFonts w:ascii="Arial" w:cs="Arial" w:eastAsia="Arial" w:hAnsi="Arial"/>
          <w:sz w:val="14"/>
          <w:szCs w:val="14"/>
          <w:b w:val="1"/>
          <w:bCs w:val="1"/>
          <w:color w:val="auto"/>
        </w:rPr>
      </w:pPr>
      <w:r>
        <w:rPr>
          <w:rFonts w:ascii="Arial" w:cs="Arial" w:eastAsia="Arial" w:hAnsi="Arial"/>
          <w:sz w:val="14"/>
          <w:szCs w:val="14"/>
          <w:b w:val="1"/>
          <w:bCs w:val="1"/>
          <w:color w:val="auto"/>
        </w:rPr>
        <w:t>Modningstidspunkt eller-periode</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Din aktieoption modnes som anført i den modningsplan, der fremgår af afsnit 1 i Aftalen.</w:t>
      </w:r>
    </w:p>
    <w:p>
      <w:pPr>
        <w:spacing w:after="0" w:line="116" w:lineRule="exact"/>
        <w:rPr>
          <w:sz w:val="20"/>
          <w:szCs w:val="20"/>
          <w:color w:val="auto"/>
        </w:rPr>
      </w:pPr>
    </w:p>
    <w:p>
      <w:pPr>
        <w:ind w:left="520" w:hanging="246"/>
        <w:spacing w:after="0"/>
        <w:tabs>
          <w:tab w:leader="none" w:pos="520" w:val="left"/>
        </w:tabs>
        <w:numPr>
          <w:ilvl w:val="0"/>
          <w:numId w:val="157"/>
        </w:numPr>
        <w:rPr>
          <w:rFonts w:ascii="Arial" w:cs="Arial" w:eastAsia="Arial" w:hAnsi="Arial"/>
          <w:sz w:val="14"/>
          <w:szCs w:val="14"/>
          <w:b w:val="1"/>
          <w:bCs w:val="1"/>
          <w:color w:val="auto"/>
        </w:rPr>
      </w:pPr>
      <w:r>
        <w:rPr>
          <w:rFonts w:ascii="Arial" w:cs="Arial" w:eastAsia="Arial" w:hAnsi="Arial"/>
          <w:sz w:val="14"/>
          <w:szCs w:val="14"/>
          <w:b w:val="1"/>
          <w:bCs w:val="1"/>
          <w:color w:val="auto"/>
        </w:rPr>
        <w:t>Udnyttelseskurs</w:t>
      </w:r>
    </w:p>
    <w:p>
      <w:pPr>
        <w:spacing w:after="0" w:line="112" w:lineRule="exact"/>
        <w:rPr>
          <w:sz w:val="20"/>
          <w:szCs w:val="20"/>
          <w:color w:val="auto"/>
        </w:rPr>
      </w:pPr>
    </w:p>
    <w:p>
      <w:pPr>
        <w:ind w:left="280" w:right="20"/>
        <w:spacing w:after="0" w:line="270" w:lineRule="auto"/>
        <w:rPr>
          <w:sz w:val="20"/>
          <w:szCs w:val="20"/>
          <w:color w:val="auto"/>
        </w:rPr>
      </w:pPr>
      <w:r>
        <w:rPr>
          <w:rFonts w:ascii="Arial" w:cs="Arial" w:eastAsia="Arial" w:hAnsi="Arial"/>
          <w:sz w:val="14"/>
          <w:szCs w:val="14"/>
          <w:color w:val="auto"/>
        </w:rPr>
        <w:t>I udnyttelsesperioden kan aktieoptionerne udnyttes til køb af aktier i Selskabet til den udnyttelseskurs, som er angivet i tildelingsmeddelelsen, og som ikke vil være mindre end 100% af aktiernes markedskurs på tildelingstidspunktet som fastsat af Selskabet.</w:t>
      </w:r>
    </w:p>
    <w:p>
      <w:pPr>
        <w:spacing w:after="0" w:line="78" w:lineRule="exact"/>
        <w:rPr>
          <w:sz w:val="20"/>
          <w:szCs w:val="20"/>
          <w:color w:val="auto"/>
        </w:rPr>
      </w:pPr>
    </w:p>
    <w:p>
      <w:pPr>
        <w:ind w:left="520" w:hanging="246"/>
        <w:spacing w:after="0"/>
        <w:tabs>
          <w:tab w:leader="none" w:pos="520" w:val="left"/>
        </w:tabs>
        <w:numPr>
          <w:ilvl w:val="0"/>
          <w:numId w:val="158"/>
        </w:numPr>
        <w:rPr>
          <w:rFonts w:ascii="Arial" w:cs="Arial" w:eastAsia="Arial" w:hAnsi="Arial"/>
          <w:sz w:val="14"/>
          <w:szCs w:val="14"/>
          <w:b w:val="1"/>
          <w:bCs w:val="1"/>
          <w:color w:val="auto"/>
        </w:rPr>
      </w:pPr>
      <w:r>
        <w:rPr>
          <w:rFonts w:ascii="Arial" w:cs="Arial" w:eastAsia="Arial" w:hAnsi="Arial"/>
          <w:sz w:val="14"/>
          <w:szCs w:val="14"/>
          <w:b w:val="1"/>
          <w:bCs w:val="1"/>
          <w:color w:val="auto"/>
        </w:rPr>
        <w:t>Din retsstilling i forbindelse med fratræden</w:t>
      </w:r>
    </w:p>
    <w:p>
      <w:pPr>
        <w:spacing w:after="0" w:line="124" w:lineRule="exact"/>
        <w:rPr>
          <w:sz w:val="20"/>
          <w:szCs w:val="20"/>
          <w:color w:val="auto"/>
        </w:rPr>
      </w:pPr>
    </w:p>
    <w:p>
      <w:pPr>
        <w:ind w:left="280"/>
        <w:spacing w:after="0" w:line="270" w:lineRule="auto"/>
        <w:rPr>
          <w:sz w:val="20"/>
          <w:szCs w:val="20"/>
          <w:color w:val="auto"/>
        </w:rPr>
      </w:pPr>
      <w:r>
        <w:rPr>
          <w:rFonts w:ascii="Arial" w:cs="Arial" w:eastAsia="Arial" w:hAnsi="Arial"/>
          <w:sz w:val="14"/>
          <w:szCs w:val="14"/>
          <w:color w:val="auto"/>
        </w:rPr>
        <w:t>Hvis din ansættelse i Selskabet eller dets koncern ophører, afhænger modningen og fortabelsen af aktieoptioner af vilkårene i Aftalen. Derudover vil du ikke være berettiget til at få tildelt yderligere aktieoptioner efter din fratræden.</w:t>
      </w:r>
    </w:p>
    <w:p>
      <w:pPr>
        <w:spacing w:after="0" w:line="66" w:lineRule="exact"/>
        <w:rPr>
          <w:sz w:val="20"/>
          <w:szCs w:val="20"/>
          <w:color w:val="auto"/>
        </w:rPr>
      </w:pPr>
    </w:p>
    <w:p>
      <w:pPr>
        <w:ind w:left="520" w:hanging="246"/>
        <w:spacing w:after="0"/>
        <w:tabs>
          <w:tab w:leader="none" w:pos="520" w:val="left"/>
        </w:tabs>
        <w:numPr>
          <w:ilvl w:val="0"/>
          <w:numId w:val="159"/>
        </w:numPr>
        <w:rPr>
          <w:rFonts w:ascii="Arial" w:cs="Arial" w:eastAsia="Arial" w:hAnsi="Arial"/>
          <w:sz w:val="14"/>
          <w:szCs w:val="14"/>
          <w:b w:val="1"/>
          <w:bCs w:val="1"/>
          <w:color w:val="auto"/>
        </w:rPr>
      </w:pPr>
      <w:r>
        <w:rPr>
          <w:rFonts w:ascii="Arial" w:cs="Arial" w:eastAsia="Arial" w:hAnsi="Arial"/>
          <w:sz w:val="14"/>
          <w:szCs w:val="14"/>
          <w:b w:val="1"/>
          <w:bCs w:val="1"/>
          <w:color w:val="auto"/>
        </w:rPr>
        <w:t>Økonomiske aspekter ved at deltage i Planen</w:t>
      </w:r>
    </w:p>
    <w:p>
      <w:pPr>
        <w:spacing w:after="0" w:line="124" w:lineRule="exact"/>
        <w:rPr>
          <w:sz w:val="20"/>
          <w:szCs w:val="20"/>
          <w:color w:val="auto"/>
        </w:rPr>
      </w:pPr>
    </w:p>
    <w:p>
      <w:pPr>
        <w:jc w:val="both"/>
        <w:ind w:left="280" w:right="20"/>
        <w:spacing w:after="0" w:line="270" w:lineRule="auto"/>
        <w:rPr>
          <w:sz w:val="20"/>
          <w:szCs w:val="20"/>
          <w:color w:val="auto"/>
        </w:rPr>
      </w:pPr>
      <w:r>
        <w:rPr>
          <w:rFonts w:ascii="Arial" w:cs="Arial" w:eastAsia="Arial" w:hAnsi="Arial"/>
          <w:sz w:val="14"/>
          <w:szCs w:val="14"/>
          <w:color w:val="auto"/>
        </w:rPr>
        <w:t>Tildelingen af aktieoptioner har ingen umiddelbare økonomiske konsekvenser for dig. Værdien af optionerne indgår ikke i beregningen af feriepenge, pensionsbidrag eller øvrige lovpligtige ydelser, der beregnes på grundlag af lønnen.</w:t>
      </w:r>
    </w:p>
    <w:p>
      <w:pPr>
        <w:spacing w:after="0" w:line="82" w:lineRule="exact"/>
        <w:rPr>
          <w:sz w:val="20"/>
          <w:szCs w:val="20"/>
          <w:color w:val="auto"/>
        </w:rPr>
      </w:pPr>
    </w:p>
    <w:p>
      <w:pPr>
        <w:jc w:val="both"/>
        <w:ind w:left="280" w:right="20"/>
        <w:spacing w:after="0" w:line="257" w:lineRule="auto"/>
        <w:rPr>
          <w:sz w:val="20"/>
          <w:szCs w:val="20"/>
          <w:color w:val="auto"/>
        </w:rPr>
      </w:pPr>
      <w:r>
        <w:rPr>
          <w:rFonts w:ascii="Arial" w:cs="Arial" w:eastAsia="Arial" w:hAnsi="Arial"/>
          <w:sz w:val="14"/>
          <w:szCs w:val="14"/>
          <w:color w:val="auto"/>
        </w:rPr>
        <w:t>Aktier er finansielle instrumenter, og investering i aktier vil altid være forbundet med en økonomisk risiko. Således afhænger muligheden for at opnå en fortjeneste på udnyttelsestidspunktet ikke blot af Selskabets økonomiske udvikling, men også af den generelle udvikling på aktiemarkedet. Derudover kan Selskabets aktier både før og efter udnyttelsestidspunktet falde til en værdi, der måske endda ligger under udnyttelseskursen.</w:t>
      </w: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Meddelelse afgivet af:</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Analog Devices, Inc.</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One Analog Way</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Wilmington, MA 01887</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B - 2</w:t>
      </w:r>
    </w:p>
    <w:p>
      <w:pPr>
        <w:sectPr>
          <w:pgSz w:w="11900" w:h="16838" w:orient="portrait"/>
          <w:cols w:equalWidth="0" w:num="1">
            <w:col w:w="10980"/>
          </w:cols>
          <w:pgMar w:left="320" w:top="1440" w:right="599" w:bottom="1440" w:gutter="0" w:footer="0" w:header="0"/>
        </w:sectPr>
      </w:pPr>
    </w:p>
    <w:bookmarkStart w:id="173" w:name="page174"/>
    <w:bookmarkEnd w:id="173"/>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606">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4"/>
          <w:szCs w:val="14"/>
          <w:b w:val="1"/>
          <w:bCs w:val="1"/>
          <w:u w:val="single" w:color="auto"/>
          <w:color w:val="auto"/>
        </w:rPr>
        <w:t>APPENDIX C</w:t>
      </w:r>
    </w:p>
    <w:p>
      <w:pPr>
        <w:spacing w:after="0" w:line="213"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ANALOG DEVICES, INC.</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197"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u w:val="single" w:color="auto"/>
          <w:color w:val="auto"/>
        </w:rPr>
        <w:t>Election To Transfer the Employer’s National Insurance Liability to the Employee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Onscreen disclaimer</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If you are liable for National Insurance contributions (“NICs”) in the United Kingdom in connection with your restricted stock units or stock options (“Awards”) granted under the Analog Devices, Inc. Amended and Restated 1996 Stock Incentive Plan (the “Plan”), you are required to enter into an Election to transfer to you any liability for employer’s NICs that may arise in connection with your awards.</w:t>
      </w:r>
    </w:p>
    <w:p>
      <w:pPr>
        <w:spacing w:after="0" w:line="67" w:lineRule="exact"/>
        <w:rPr>
          <w:sz w:val="20"/>
          <w:szCs w:val="20"/>
          <w:color w:val="auto"/>
        </w:rPr>
      </w:pPr>
    </w:p>
    <w:p>
      <w:pPr>
        <w:ind w:right="460"/>
        <w:spacing w:after="0" w:line="383" w:lineRule="auto"/>
        <w:rPr>
          <w:sz w:val="20"/>
          <w:szCs w:val="20"/>
          <w:color w:val="auto"/>
        </w:rPr>
      </w:pPr>
      <w:r>
        <w:rPr>
          <w:rFonts w:ascii="Arial" w:cs="Arial" w:eastAsia="Arial" w:hAnsi="Arial"/>
          <w:sz w:val="14"/>
          <w:szCs w:val="14"/>
          <w:color w:val="auto"/>
        </w:rPr>
        <w:t xml:space="preserve">Clicking on the “ACCEPT” box indicates your acceptance of the Election. You should read the “Important Note on the Election to Transfer Employer NICs” before accepting the Election. </w:t>
      </w:r>
      <w:r>
        <w:rPr>
          <w:rFonts w:ascii="Arial" w:cs="Arial" w:eastAsia="Arial" w:hAnsi="Arial"/>
          <w:sz w:val="14"/>
          <w:szCs w:val="14"/>
          <w:b w:val="1"/>
          <w:bCs w:val="1"/>
          <w:color w:val="auto"/>
        </w:rPr>
        <w:t>Important Note on the Election to Transfer Employer NICs</w:t>
      </w:r>
    </w:p>
    <w:p>
      <w:pPr>
        <w:spacing w:after="0" w:line="1" w:lineRule="exact"/>
        <w:rPr>
          <w:sz w:val="20"/>
          <w:szCs w:val="20"/>
          <w:color w:val="auto"/>
        </w:rPr>
      </w:pPr>
    </w:p>
    <w:p>
      <w:pPr>
        <w:jc w:val="both"/>
        <w:ind w:right="20"/>
        <w:spacing w:after="0" w:line="270" w:lineRule="auto"/>
        <w:rPr>
          <w:sz w:val="20"/>
          <w:szCs w:val="20"/>
          <w:color w:val="auto"/>
        </w:rPr>
      </w:pPr>
      <w:r>
        <w:rPr>
          <w:rFonts w:ascii="Arial" w:cs="Arial" w:eastAsia="Arial" w:hAnsi="Arial"/>
          <w:sz w:val="14"/>
          <w:szCs w:val="14"/>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By entering into the Election:</w:t>
      </w:r>
    </w:p>
    <w:p>
      <w:pPr>
        <w:spacing w:after="0" w:line="96" w:lineRule="exact"/>
        <w:rPr>
          <w:sz w:val="20"/>
          <w:szCs w:val="20"/>
          <w:color w:val="auto"/>
        </w:rPr>
      </w:pPr>
    </w:p>
    <w:p>
      <w:pPr>
        <w:ind w:left="540" w:hanging="266"/>
        <w:spacing w:after="0"/>
        <w:tabs>
          <w:tab w:leader="none" w:pos="5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you agree that any employer’s NICs liability that may arise in connection with your Awards will be transferred to you;</w:t>
      </w:r>
    </w:p>
    <w:p>
      <w:pPr>
        <w:spacing w:after="0" w:line="14" w:lineRule="exact"/>
        <w:rPr>
          <w:rFonts w:ascii="Arial" w:cs="Arial" w:eastAsia="Arial" w:hAnsi="Arial"/>
          <w:sz w:val="14"/>
          <w:szCs w:val="14"/>
          <w:color w:val="auto"/>
        </w:rPr>
      </w:pPr>
    </w:p>
    <w:p>
      <w:pPr>
        <w:ind w:left="560" w:hanging="286"/>
        <w:spacing w:after="0" w:line="244" w:lineRule="auto"/>
        <w:tabs>
          <w:tab w:leader="none" w:pos="551" w:val="left"/>
        </w:tabs>
        <w:numPr>
          <w:ilvl w:val="0"/>
          <w:numId w:val="160"/>
        </w:numPr>
        <w:rPr>
          <w:rFonts w:ascii="Arial" w:cs="Arial" w:eastAsia="Arial" w:hAnsi="Arial"/>
          <w:sz w:val="14"/>
          <w:szCs w:val="14"/>
          <w:color w:val="auto"/>
        </w:rPr>
      </w:pPr>
      <w:r>
        <w:rPr>
          <w:rFonts w:ascii="Arial" w:cs="Arial" w:eastAsia="Arial" w:hAnsi="Arial"/>
          <w:sz w:val="14"/>
          <w:szCs w:val="14"/>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560" w:hanging="286"/>
        <w:spacing w:after="0" w:line="253" w:lineRule="auto"/>
        <w:tabs>
          <w:tab w:leader="none" w:pos="551" w:val="left"/>
        </w:tabs>
        <w:numPr>
          <w:ilvl w:val="0"/>
          <w:numId w:val="160"/>
        </w:numPr>
        <w:rPr>
          <w:rFonts w:ascii="Arial" w:cs="Arial" w:eastAsia="Arial" w:hAnsi="Arial"/>
          <w:sz w:val="14"/>
          <w:szCs w:val="14"/>
          <w:color w:val="auto"/>
        </w:rPr>
      </w:pPr>
      <w:r>
        <w:rPr>
          <w:rFonts w:ascii="Arial" w:cs="Arial" w:eastAsia="Arial" w:hAnsi="Arial"/>
          <w:sz w:val="14"/>
          <w:szCs w:val="14"/>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Please read the Election carefully before accepting the Election.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C - 1</w:t>
      </w:r>
    </w:p>
    <w:p>
      <w:pPr>
        <w:sectPr>
          <w:pgSz w:w="11900" w:h="16838" w:orient="portrait"/>
          <w:cols w:equalWidth="0" w:num="1">
            <w:col w:w="10980"/>
          </w:cols>
          <w:pgMar w:left="320" w:top="1440" w:right="599" w:bottom="1440" w:gutter="0" w:footer="0" w:header="0"/>
        </w:sectPr>
      </w:pPr>
    </w:p>
    <w:bookmarkStart w:id="174" w:name="page175"/>
    <w:bookmarkEnd w:id="174"/>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607">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jc w:val="center"/>
        <w:ind w:right="-285"/>
        <w:spacing w:after="0"/>
        <w:rPr>
          <w:sz w:val="20"/>
          <w:szCs w:val="20"/>
          <w:color w:val="auto"/>
        </w:rPr>
      </w:pPr>
      <w:r>
        <w:rPr>
          <w:rFonts w:ascii="Arial" w:cs="Arial" w:eastAsia="Arial" w:hAnsi="Arial"/>
          <w:sz w:val="14"/>
          <w:szCs w:val="14"/>
          <w:b w:val="1"/>
          <w:bCs w:val="1"/>
          <w:u w:val="single" w:color="auto"/>
          <w:color w:val="auto"/>
        </w:rPr>
        <w:t>APPENDIX C</w:t>
      </w:r>
    </w:p>
    <w:p>
      <w:pPr>
        <w:spacing w:after="0" w:line="96" w:lineRule="exact"/>
        <w:rPr>
          <w:sz w:val="20"/>
          <w:szCs w:val="20"/>
          <w:color w:val="auto"/>
        </w:rPr>
      </w:pPr>
    </w:p>
    <w:p>
      <w:pPr>
        <w:jc w:val="center"/>
        <w:ind w:right="-285"/>
        <w:spacing w:after="0"/>
        <w:rPr>
          <w:sz w:val="20"/>
          <w:szCs w:val="20"/>
          <w:color w:val="auto"/>
        </w:rPr>
      </w:pPr>
      <w:r>
        <w:rPr>
          <w:rFonts w:ascii="Arial" w:cs="Arial" w:eastAsia="Arial" w:hAnsi="Arial"/>
          <w:sz w:val="14"/>
          <w:szCs w:val="14"/>
          <w:b w:val="1"/>
          <w:bCs w:val="1"/>
          <w:color w:val="auto"/>
        </w:rPr>
        <w:t>ANALOG DEVICES, INC.</w:t>
      </w:r>
    </w:p>
    <w:p>
      <w:pPr>
        <w:spacing w:after="0" w:line="96" w:lineRule="exact"/>
        <w:rPr>
          <w:sz w:val="20"/>
          <w:szCs w:val="20"/>
          <w:color w:val="auto"/>
        </w:rPr>
      </w:pPr>
    </w:p>
    <w:p>
      <w:pPr>
        <w:jc w:val="center"/>
        <w:ind w:right="-285"/>
        <w:spacing w:after="0"/>
        <w:rPr>
          <w:sz w:val="20"/>
          <w:szCs w:val="20"/>
          <w:color w:val="auto"/>
        </w:rPr>
      </w:pPr>
      <w:r>
        <w:rPr>
          <w:rFonts w:ascii="Arial" w:cs="Arial" w:eastAsia="Arial" w:hAnsi="Arial"/>
          <w:sz w:val="14"/>
          <w:szCs w:val="14"/>
          <w:b w:val="1"/>
          <w:bCs w:val="1"/>
          <w:color w:val="auto"/>
        </w:rPr>
        <w:t>AMENDED AND RESTATED 1996 STOCK INCENTIVE PLAN</w:t>
      </w:r>
    </w:p>
    <w:p>
      <w:pPr>
        <w:spacing w:after="0" w:line="96" w:lineRule="exact"/>
        <w:rPr>
          <w:sz w:val="20"/>
          <w:szCs w:val="20"/>
          <w:color w:val="auto"/>
        </w:rPr>
      </w:pPr>
    </w:p>
    <w:p>
      <w:pPr>
        <w:jc w:val="center"/>
        <w:ind w:right="-285"/>
        <w:spacing w:after="0"/>
        <w:rPr>
          <w:sz w:val="20"/>
          <w:szCs w:val="20"/>
          <w:color w:val="auto"/>
        </w:rPr>
      </w:pPr>
      <w:r>
        <w:rPr>
          <w:rFonts w:ascii="Arial" w:cs="Arial" w:eastAsia="Arial" w:hAnsi="Arial"/>
          <w:sz w:val="14"/>
          <w:szCs w:val="14"/>
          <w:b w:val="1"/>
          <w:bCs w:val="1"/>
          <w:u w:val="single" w:color="auto"/>
          <w:color w:val="auto"/>
        </w:rPr>
        <w:t>Election To Transfer the Employer’s National Insurance Liability to the Employee</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4"/>
          <w:szCs w:val="14"/>
          <w:color w:val="auto"/>
        </w:rPr>
        <w:t>This Election is between:</w:t>
      </w:r>
    </w:p>
    <w:p>
      <w:pPr>
        <w:spacing w:after="0" w:line="139" w:lineRule="exact"/>
        <w:rPr>
          <w:sz w:val="20"/>
          <w:szCs w:val="20"/>
          <w:color w:val="auto"/>
        </w:rPr>
      </w:pPr>
    </w:p>
    <w:p>
      <w:pPr>
        <w:ind w:left="566" w:right="20" w:hanging="566"/>
        <w:spacing w:after="0" w:line="260" w:lineRule="auto"/>
        <w:tabs>
          <w:tab w:leader="none" w:pos="282" w:val="left"/>
        </w:tabs>
        <w:numPr>
          <w:ilvl w:val="0"/>
          <w:numId w:val="161"/>
        </w:numPr>
        <w:rPr>
          <w:rFonts w:ascii="Arial" w:cs="Arial" w:eastAsia="Arial" w:hAnsi="Arial"/>
          <w:sz w:val="14"/>
          <w:szCs w:val="14"/>
          <w:color w:val="auto"/>
        </w:rPr>
      </w:pPr>
      <w:r>
        <w:rPr>
          <w:rFonts w:ascii="Arial" w:cs="Arial" w:eastAsia="Arial" w:hAnsi="Arial"/>
          <w:sz w:val="14"/>
          <w:szCs w:val="14"/>
          <w:color w:val="auto"/>
        </w:rPr>
        <w:t>The individual who has obtained authorized access to this Election (the “</w:t>
      </w:r>
      <w:r>
        <w:rPr>
          <w:rFonts w:ascii="Arial" w:cs="Arial" w:eastAsia="Arial" w:hAnsi="Arial"/>
          <w:sz w:val="14"/>
          <w:szCs w:val="14"/>
          <w:b w:val="1"/>
          <w:bCs w:val="1"/>
          <w:color w:val="auto"/>
        </w:rPr>
        <w:t>Employee</w:t>
      </w:r>
      <w:r>
        <w:rPr>
          <w:rFonts w:ascii="Arial" w:cs="Arial" w:eastAsia="Arial" w:hAnsi="Arial"/>
          <w:sz w:val="14"/>
          <w:szCs w:val="14"/>
          <w:color w:val="auto"/>
        </w:rPr>
        <w:t>”), who is employed by one of the employing companies listed in the attached schedule (the “</w:t>
      </w:r>
      <w:r>
        <w:rPr>
          <w:rFonts w:ascii="Arial" w:cs="Arial" w:eastAsia="Arial" w:hAnsi="Arial"/>
          <w:sz w:val="14"/>
          <w:szCs w:val="14"/>
          <w:b w:val="1"/>
          <w:bCs w:val="1"/>
          <w:color w:val="auto"/>
        </w:rPr>
        <w:t>Employer</w:t>
      </w:r>
      <w:r>
        <w:rPr>
          <w:rFonts w:ascii="Arial" w:cs="Arial" w:eastAsia="Arial" w:hAnsi="Arial"/>
          <w:sz w:val="14"/>
          <w:szCs w:val="14"/>
          <w:color w:val="auto"/>
        </w:rPr>
        <w:t>”) and who is eligible to receive restricted stock units and/or stock options (“</w:t>
      </w:r>
      <w:r>
        <w:rPr>
          <w:rFonts w:ascii="Arial" w:cs="Arial" w:eastAsia="Arial" w:hAnsi="Arial"/>
          <w:sz w:val="14"/>
          <w:szCs w:val="14"/>
          <w:b w:val="1"/>
          <w:bCs w:val="1"/>
          <w:color w:val="auto"/>
        </w:rPr>
        <w:t>Awards</w:t>
      </w:r>
      <w:r>
        <w:rPr>
          <w:rFonts w:ascii="Arial" w:cs="Arial" w:eastAsia="Arial" w:hAnsi="Arial"/>
          <w:sz w:val="14"/>
          <w:szCs w:val="14"/>
          <w:color w:val="auto"/>
        </w:rPr>
        <w:t>”) pursuant to the Analog Devices, Inc. Amended and Restated 1996 Stock Incentive Plan (the “</w:t>
      </w:r>
      <w:r>
        <w:rPr>
          <w:rFonts w:ascii="Arial" w:cs="Arial" w:eastAsia="Arial" w:hAnsi="Arial"/>
          <w:sz w:val="14"/>
          <w:szCs w:val="14"/>
          <w:b w:val="1"/>
          <w:bCs w:val="1"/>
          <w:color w:val="auto"/>
        </w:rPr>
        <w:t>Plan</w:t>
      </w:r>
      <w:r>
        <w:rPr>
          <w:rFonts w:ascii="Arial" w:cs="Arial" w:eastAsia="Arial" w:hAnsi="Arial"/>
          <w:sz w:val="14"/>
          <w:szCs w:val="14"/>
          <w:color w:val="auto"/>
        </w:rPr>
        <w:t>”), and</w:t>
      </w:r>
    </w:p>
    <w:p>
      <w:pPr>
        <w:spacing w:after="0" w:line="108" w:lineRule="exact"/>
        <w:rPr>
          <w:rFonts w:ascii="Arial" w:cs="Arial" w:eastAsia="Arial" w:hAnsi="Arial"/>
          <w:sz w:val="14"/>
          <w:szCs w:val="14"/>
          <w:color w:val="auto"/>
        </w:rPr>
      </w:pPr>
    </w:p>
    <w:p>
      <w:pPr>
        <w:ind w:left="566" w:right="20" w:hanging="566"/>
        <w:spacing w:after="0" w:line="276" w:lineRule="auto"/>
        <w:tabs>
          <w:tab w:leader="none" w:pos="275" w:val="left"/>
        </w:tabs>
        <w:numPr>
          <w:ilvl w:val="0"/>
          <w:numId w:val="161"/>
        </w:numPr>
        <w:rPr>
          <w:rFonts w:ascii="Arial" w:cs="Arial" w:eastAsia="Arial" w:hAnsi="Arial"/>
          <w:sz w:val="14"/>
          <w:szCs w:val="14"/>
          <w:color w:val="auto"/>
        </w:rPr>
      </w:pPr>
      <w:r>
        <w:rPr>
          <w:rFonts w:ascii="Arial" w:cs="Arial" w:eastAsia="Arial" w:hAnsi="Arial"/>
          <w:sz w:val="14"/>
          <w:szCs w:val="14"/>
          <w:color w:val="auto"/>
        </w:rPr>
        <w:t>Analog Devices, Inc. of One Analog Way, Wilmington, Massachusetts 01887, U.S.A. (the “</w:t>
      </w:r>
      <w:r>
        <w:rPr>
          <w:rFonts w:ascii="Arial" w:cs="Arial" w:eastAsia="Arial" w:hAnsi="Arial"/>
          <w:sz w:val="14"/>
          <w:szCs w:val="14"/>
          <w:b w:val="1"/>
          <w:bCs w:val="1"/>
          <w:color w:val="auto"/>
        </w:rPr>
        <w:t>Company</w:t>
      </w:r>
      <w:r>
        <w:rPr>
          <w:rFonts w:ascii="Arial" w:cs="Arial" w:eastAsia="Arial" w:hAnsi="Arial"/>
          <w:sz w:val="14"/>
          <w:szCs w:val="14"/>
          <w:color w:val="auto"/>
        </w:rPr>
        <w:t>”), which may grant Awards under the Plans and is entering into this Election on behalf of the Employer.</w:t>
      </w:r>
    </w:p>
    <w:p>
      <w:pPr>
        <w:spacing w:after="0" w:line="97" w:lineRule="exact"/>
        <w:rPr>
          <w:sz w:val="20"/>
          <w:szCs w:val="20"/>
          <w:color w:val="auto"/>
        </w:rPr>
      </w:pPr>
    </w:p>
    <w:p>
      <w:pPr>
        <w:ind w:left="566" w:hanging="566"/>
        <w:spacing w:after="0"/>
        <w:tabs>
          <w:tab w:leader="none" w:pos="566" w:val="left"/>
        </w:tabs>
        <w:numPr>
          <w:ilvl w:val="0"/>
          <w:numId w:val="162"/>
        </w:numPr>
        <w:rPr>
          <w:rFonts w:ascii="Arial" w:cs="Arial" w:eastAsia="Arial" w:hAnsi="Arial"/>
          <w:sz w:val="14"/>
          <w:szCs w:val="14"/>
          <w:b w:val="1"/>
          <w:bCs w:val="1"/>
          <w:color w:val="auto"/>
        </w:rPr>
      </w:pPr>
      <w:r>
        <w:rPr>
          <w:rFonts w:ascii="Arial" w:cs="Arial" w:eastAsia="Arial" w:hAnsi="Arial"/>
          <w:sz w:val="14"/>
          <w:szCs w:val="14"/>
          <w:b w:val="1"/>
          <w:bCs w:val="1"/>
          <w:color w:val="auto"/>
        </w:rPr>
        <w:t>Introduction</w:t>
      </w:r>
    </w:p>
    <w:p>
      <w:pPr>
        <w:spacing w:after="0" w:line="217"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2"/>
          <w:szCs w:val="12"/>
          <w:color w:val="auto"/>
        </w:rPr>
        <w:t>This Election relates to all Awards granted to the Employee or assumed and converted under the Plan up to the termination dates of the Plan.</w:t>
      </w:r>
    </w:p>
    <w:p>
      <w:pPr>
        <w:spacing w:after="0" w:line="213"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2"/>
          <w:szCs w:val="12"/>
          <w:color w:val="auto"/>
        </w:rPr>
        <w:t>In this Election the following words and phrases have the following meanings:</w:t>
      </w:r>
    </w:p>
    <w:p>
      <w:pPr>
        <w:spacing w:after="0" w:line="209" w:lineRule="exact"/>
        <w:rPr>
          <w:sz w:val="20"/>
          <w:szCs w:val="20"/>
          <w:color w:val="auto"/>
        </w:rPr>
      </w:pPr>
    </w:p>
    <w:p>
      <w:pPr>
        <w:ind w:left="1106" w:hanging="545"/>
        <w:spacing w:after="0"/>
        <w:tabs>
          <w:tab w:leader="none" w:pos="1106" w:val="left"/>
        </w:tabs>
        <w:numPr>
          <w:ilvl w:val="0"/>
          <w:numId w:val="16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Chargeable Event</w:t>
      </w:r>
      <w:r>
        <w:rPr>
          <w:rFonts w:ascii="Arial" w:cs="Arial" w:eastAsia="Arial" w:hAnsi="Arial"/>
          <w:sz w:val="14"/>
          <w:szCs w:val="14"/>
          <w:color w:val="auto"/>
        </w:rPr>
        <w:t>” means any event giving rise to Relevant Employment Income.</w:t>
      </w:r>
    </w:p>
    <w:p>
      <w:pPr>
        <w:spacing w:after="0" w:line="213" w:lineRule="exact"/>
        <w:rPr>
          <w:rFonts w:ascii="Arial" w:cs="Arial" w:eastAsia="Arial" w:hAnsi="Arial"/>
          <w:sz w:val="14"/>
          <w:szCs w:val="14"/>
          <w:color w:val="auto"/>
        </w:rPr>
      </w:pPr>
    </w:p>
    <w:p>
      <w:pPr>
        <w:ind w:left="1126" w:hanging="565"/>
        <w:spacing w:after="0"/>
        <w:tabs>
          <w:tab w:leader="none" w:pos="1126" w:val="left"/>
        </w:tabs>
        <w:numPr>
          <w:ilvl w:val="0"/>
          <w:numId w:val="16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Relevant Employment Income</w:t>
      </w:r>
      <w:r>
        <w:rPr>
          <w:rFonts w:ascii="Arial" w:cs="Arial" w:eastAsia="Arial" w:hAnsi="Arial"/>
          <w:sz w:val="14"/>
          <w:szCs w:val="14"/>
          <w:color w:val="auto"/>
        </w:rPr>
        <w:t>” from Awards on which employer's National Insurance Contributions becomes due is defined as:</w:t>
      </w:r>
    </w:p>
    <w:p>
      <w:pPr>
        <w:spacing w:after="0" w:line="217" w:lineRule="exact"/>
        <w:rPr>
          <w:rFonts w:ascii="Arial" w:cs="Arial" w:eastAsia="Arial" w:hAnsi="Arial"/>
          <w:sz w:val="14"/>
          <w:szCs w:val="14"/>
          <w:color w:val="auto"/>
        </w:rPr>
      </w:pPr>
    </w:p>
    <w:p>
      <w:pPr>
        <w:ind w:left="1666" w:hanging="544"/>
        <w:spacing w:after="0"/>
        <w:tabs>
          <w:tab w:leader="none" w:pos="1666" w:val="left"/>
        </w:tabs>
        <w:numPr>
          <w:ilvl w:val="1"/>
          <w:numId w:val="163"/>
        </w:numPr>
        <w:rPr>
          <w:rFonts w:ascii="Arial" w:cs="Arial" w:eastAsia="Arial" w:hAnsi="Arial"/>
          <w:sz w:val="14"/>
          <w:szCs w:val="14"/>
          <w:color w:val="auto"/>
        </w:rPr>
      </w:pPr>
      <w:r>
        <w:rPr>
          <w:rFonts w:ascii="Arial" w:cs="Arial" w:eastAsia="Arial" w:hAnsi="Arial"/>
          <w:sz w:val="14"/>
          <w:szCs w:val="14"/>
          <w:color w:val="auto"/>
        </w:rPr>
        <w:t>an amount that counts as employment income of the earner under section 426 ITEPA (restricted securities: charge on certain post-acquisition events);</w:t>
      </w:r>
    </w:p>
    <w:p>
      <w:pPr>
        <w:spacing w:after="0" w:line="213" w:lineRule="exact"/>
        <w:rPr>
          <w:rFonts w:ascii="Arial" w:cs="Arial" w:eastAsia="Arial" w:hAnsi="Arial"/>
          <w:sz w:val="14"/>
          <w:szCs w:val="14"/>
          <w:color w:val="auto"/>
        </w:rPr>
      </w:pPr>
    </w:p>
    <w:p>
      <w:pPr>
        <w:ind w:left="1686" w:hanging="564"/>
        <w:spacing w:after="0"/>
        <w:tabs>
          <w:tab w:leader="none" w:pos="1686" w:val="left"/>
        </w:tabs>
        <w:numPr>
          <w:ilvl w:val="1"/>
          <w:numId w:val="163"/>
        </w:numPr>
        <w:rPr>
          <w:rFonts w:ascii="Arial" w:cs="Arial" w:eastAsia="Arial" w:hAnsi="Arial"/>
          <w:sz w:val="13"/>
          <w:szCs w:val="13"/>
          <w:color w:val="auto"/>
        </w:rPr>
      </w:pPr>
      <w:r>
        <w:rPr>
          <w:rFonts w:ascii="Arial" w:cs="Arial" w:eastAsia="Arial" w:hAnsi="Arial"/>
          <w:sz w:val="13"/>
          <w:szCs w:val="13"/>
          <w:color w:val="auto"/>
        </w:rPr>
        <w:t>an amount that counts as employment income of the earner under section 438 of ITEPA (convertible securities: charge on certain post-acquisition events); or</w:t>
      </w:r>
    </w:p>
    <w:p>
      <w:pPr>
        <w:spacing w:after="0" w:line="224" w:lineRule="exact"/>
        <w:rPr>
          <w:rFonts w:ascii="Arial" w:cs="Arial" w:eastAsia="Arial" w:hAnsi="Arial"/>
          <w:sz w:val="13"/>
          <w:szCs w:val="13"/>
          <w:color w:val="auto"/>
        </w:rPr>
      </w:pPr>
    </w:p>
    <w:p>
      <w:pPr>
        <w:ind w:left="1686" w:hanging="564"/>
        <w:spacing w:after="0"/>
        <w:tabs>
          <w:tab w:leader="none" w:pos="1686" w:val="left"/>
        </w:tabs>
        <w:numPr>
          <w:ilvl w:val="1"/>
          <w:numId w:val="163"/>
        </w:numPr>
        <w:rPr>
          <w:rFonts w:ascii="Arial" w:cs="Arial" w:eastAsia="Arial" w:hAnsi="Arial"/>
          <w:sz w:val="14"/>
          <w:szCs w:val="14"/>
          <w:color w:val="auto"/>
        </w:rPr>
      </w:pPr>
      <w:r>
        <w:rPr>
          <w:rFonts w:ascii="Arial" w:cs="Arial" w:eastAsia="Arial" w:hAnsi="Arial"/>
          <w:sz w:val="14"/>
          <w:szCs w:val="14"/>
          <w:color w:val="auto"/>
        </w:rPr>
        <w:t>any gain that is treated as remuneration derived from the earner's employment by virtue of section 4(4)(a) SSCBA, including without limitation:</w:t>
      </w:r>
    </w:p>
    <w:p>
      <w:pPr>
        <w:spacing w:after="0" w:line="213" w:lineRule="exact"/>
        <w:rPr>
          <w:rFonts w:ascii="Arial" w:cs="Arial" w:eastAsia="Arial" w:hAnsi="Arial"/>
          <w:sz w:val="14"/>
          <w:szCs w:val="14"/>
          <w:color w:val="auto"/>
        </w:rPr>
      </w:pPr>
    </w:p>
    <w:p>
      <w:pPr>
        <w:ind w:left="2246" w:hanging="563"/>
        <w:spacing w:after="0"/>
        <w:tabs>
          <w:tab w:leader="none" w:pos="2246" w:val="left"/>
        </w:tabs>
        <w:numPr>
          <w:ilvl w:val="2"/>
          <w:numId w:val="163"/>
        </w:numPr>
        <w:rPr>
          <w:rFonts w:ascii="Arial" w:cs="Arial" w:eastAsia="Arial" w:hAnsi="Arial"/>
          <w:sz w:val="14"/>
          <w:szCs w:val="14"/>
          <w:color w:val="auto"/>
        </w:rPr>
      </w:pPr>
      <w:r>
        <w:rPr>
          <w:rFonts w:ascii="Arial" w:cs="Arial" w:eastAsia="Arial" w:hAnsi="Arial"/>
          <w:sz w:val="14"/>
          <w:szCs w:val="14"/>
          <w:color w:val="auto"/>
        </w:rPr>
        <w:t>the acquisition of securities pursuant to the Awards (within the meaning of section 477(3)(a) of ITEPA);</w:t>
      </w:r>
    </w:p>
    <w:p>
      <w:pPr>
        <w:spacing w:after="0" w:line="213" w:lineRule="exact"/>
        <w:rPr>
          <w:rFonts w:ascii="Arial" w:cs="Arial" w:eastAsia="Arial" w:hAnsi="Arial"/>
          <w:sz w:val="14"/>
          <w:szCs w:val="14"/>
          <w:color w:val="auto"/>
        </w:rPr>
      </w:pPr>
    </w:p>
    <w:p>
      <w:pPr>
        <w:ind w:left="2246" w:hanging="563"/>
        <w:spacing w:after="0"/>
        <w:tabs>
          <w:tab w:leader="none" w:pos="2246" w:val="left"/>
        </w:tabs>
        <w:numPr>
          <w:ilvl w:val="2"/>
          <w:numId w:val="163"/>
        </w:numPr>
        <w:rPr>
          <w:rFonts w:ascii="Arial" w:cs="Arial" w:eastAsia="Arial" w:hAnsi="Arial"/>
          <w:sz w:val="14"/>
          <w:szCs w:val="14"/>
          <w:color w:val="auto"/>
        </w:rPr>
      </w:pPr>
      <w:r>
        <w:rPr>
          <w:rFonts w:ascii="Arial" w:cs="Arial" w:eastAsia="Arial" w:hAnsi="Arial"/>
          <w:sz w:val="14"/>
          <w:szCs w:val="14"/>
          <w:color w:val="auto"/>
        </w:rPr>
        <w:t>the assignment (if applicable) or release of the Awards in return for consideration (within the meaning of section 477(3)(b) of ITEPA);</w:t>
      </w:r>
    </w:p>
    <w:p>
      <w:pPr>
        <w:spacing w:after="0" w:line="213" w:lineRule="exact"/>
        <w:rPr>
          <w:rFonts w:ascii="Arial" w:cs="Arial" w:eastAsia="Arial" w:hAnsi="Arial"/>
          <w:sz w:val="14"/>
          <w:szCs w:val="14"/>
          <w:color w:val="auto"/>
        </w:rPr>
      </w:pPr>
    </w:p>
    <w:p>
      <w:pPr>
        <w:ind w:left="2246" w:hanging="563"/>
        <w:spacing w:after="0"/>
        <w:tabs>
          <w:tab w:leader="none" w:pos="2246" w:val="left"/>
        </w:tabs>
        <w:numPr>
          <w:ilvl w:val="2"/>
          <w:numId w:val="163"/>
        </w:numPr>
        <w:rPr>
          <w:rFonts w:ascii="Arial" w:cs="Arial" w:eastAsia="Arial" w:hAnsi="Arial"/>
          <w:sz w:val="13"/>
          <w:szCs w:val="13"/>
          <w:color w:val="auto"/>
        </w:rPr>
      </w:pPr>
      <w:r>
        <w:rPr>
          <w:rFonts w:ascii="Arial" w:cs="Arial" w:eastAsia="Arial" w:hAnsi="Arial"/>
          <w:sz w:val="13"/>
          <w:szCs w:val="13"/>
          <w:color w:val="auto"/>
        </w:rPr>
        <w:t>the receipt of a benefit in connection with the Awards, other than a benefit within (i) or (ii) above (within the meaning of section 477(3)(c) of ITEPA);</w:t>
      </w:r>
    </w:p>
    <w:p>
      <w:pPr>
        <w:spacing w:after="0" w:line="220" w:lineRule="exact"/>
        <w:rPr>
          <w:rFonts w:ascii="Arial" w:cs="Arial" w:eastAsia="Arial" w:hAnsi="Arial"/>
          <w:sz w:val="13"/>
          <w:szCs w:val="13"/>
          <w:color w:val="auto"/>
        </w:rPr>
      </w:pPr>
    </w:p>
    <w:p>
      <w:pPr>
        <w:ind w:left="1106" w:hanging="545"/>
        <w:spacing w:after="0"/>
        <w:tabs>
          <w:tab w:leader="none" w:pos="1106" w:val="left"/>
        </w:tabs>
        <w:numPr>
          <w:ilvl w:val="0"/>
          <w:numId w:val="16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ITEPA</w:t>
      </w:r>
      <w:r>
        <w:rPr>
          <w:rFonts w:ascii="Arial" w:cs="Arial" w:eastAsia="Arial" w:hAnsi="Arial"/>
          <w:sz w:val="14"/>
          <w:szCs w:val="14"/>
          <w:color w:val="auto"/>
        </w:rPr>
        <w:t>” means the Income Tax (Earnings and Pensions) Act 2003.</w:t>
      </w:r>
    </w:p>
    <w:p>
      <w:pPr>
        <w:spacing w:after="0" w:line="213" w:lineRule="exact"/>
        <w:rPr>
          <w:rFonts w:ascii="Arial" w:cs="Arial" w:eastAsia="Arial" w:hAnsi="Arial"/>
          <w:sz w:val="14"/>
          <w:szCs w:val="14"/>
          <w:color w:val="auto"/>
        </w:rPr>
      </w:pPr>
    </w:p>
    <w:p>
      <w:pPr>
        <w:ind w:left="1126" w:hanging="565"/>
        <w:spacing w:after="0"/>
        <w:tabs>
          <w:tab w:leader="none" w:pos="1126" w:val="left"/>
        </w:tabs>
        <w:numPr>
          <w:ilvl w:val="0"/>
          <w:numId w:val="16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SSCBA</w:t>
      </w:r>
      <w:r>
        <w:rPr>
          <w:rFonts w:ascii="Arial" w:cs="Arial" w:eastAsia="Arial" w:hAnsi="Arial"/>
          <w:sz w:val="14"/>
          <w:szCs w:val="14"/>
          <w:color w:val="auto"/>
        </w:rPr>
        <w:t>” means the Social Security Contributions and Benefits Act 1992.</w:t>
      </w:r>
    </w:p>
    <w:p>
      <w:pPr>
        <w:spacing w:after="0" w:line="217" w:lineRule="exact"/>
        <w:rPr>
          <w:sz w:val="20"/>
          <w:szCs w:val="20"/>
          <w:color w:val="auto"/>
        </w:rPr>
      </w:pPr>
    </w:p>
    <w:p>
      <w:pPr>
        <w:ind w:left="566" w:hanging="560"/>
        <w:spacing w:after="0" w:line="270" w:lineRule="auto"/>
        <w:tabs>
          <w:tab w:leader="none" w:pos="546"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76" w:lineRule="exact"/>
        <w:rPr>
          <w:sz w:val="20"/>
          <w:szCs w:val="20"/>
          <w:color w:val="auto"/>
        </w:rPr>
      </w:pPr>
    </w:p>
    <w:p>
      <w:pPr>
        <w:ind w:left="566" w:hanging="560"/>
        <w:spacing w:after="0" w:line="270" w:lineRule="auto"/>
        <w:tabs>
          <w:tab w:leader="none" w:pos="546"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76" w:lineRule="exact"/>
        <w:rPr>
          <w:sz w:val="20"/>
          <w:szCs w:val="20"/>
          <w:color w:val="auto"/>
        </w:rPr>
      </w:pPr>
    </w:p>
    <w:p>
      <w:pPr>
        <w:ind w:left="566" w:right="20" w:hanging="560"/>
        <w:spacing w:after="0" w:line="270" w:lineRule="auto"/>
        <w:tabs>
          <w:tab w:leader="none" w:pos="546"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C - 2</w:t>
      </w:r>
    </w:p>
    <w:p>
      <w:pPr>
        <w:sectPr>
          <w:pgSz w:w="11900" w:h="16838" w:orient="portrait"/>
          <w:cols w:equalWidth="0" w:num="1">
            <w:col w:w="10986"/>
          </w:cols>
          <w:pgMar w:left="314" w:top="1440" w:right="599" w:bottom="1440" w:gutter="0" w:footer="0" w:header="0"/>
        </w:sectPr>
      </w:pPr>
    </w:p>
    <w:bookmarkStart w:id="175" w:name="page176"/>
    <w:bookmarkEnd w:id="175"/>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608">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ind w:left="566" w:hanging="566"/>
        <w:spacing w:after="0"/>
        <w:tabs>
          <w:tab w:leader="none" w:pos="566" w:val="left"/>
        </w:tabs>
        <w:numPr>
          <w:ilvl w:val="0"/>
          <w:numId w:val="164"/>
        </w:numPr>
        <w:rPr>
          <w:rFonts w:ascii="Arial" w:cs="Arial" w:eastAsia="Arial" w:hAnsi="Arial"/>
          <w:sz w:val="14"/>
          <w:szCs w:val="14"/>
          <w:b w:val="1"/>
          <w:bCs w:val="1"/>
          <w:color w:val="auto"/>
        </w:rPr>
      </w:pPr>
      <w:r>
        <w:rPr>
          <w:rFonts w:ascii="Arial" w:cs="Arial" w:eastAsia="Arial" w:hAnsi="Arial"/>
          <w:sz w:val="14"/>
          <w:szCs w:val="14"/>
          <w:b w:val="1"/>
          <w:bCs w:val="1"/>
          <w:color w:val="auto"/>
        </w:rPr>
        <w:t>The Election</w:t>
      </w:r>
    </w:p>
    <w:p>
      <w:pPr>
        <w:spacing w:after="0" w:line="217" w:lineRule="exact"/>
        <w:rPr>
          <w:rFonts w:ascii="Arial" w:cs="Arial" w:eastAsia="Arial" w:hAnsi="Arial"/>
          <w:sz w:val="14"/>
          <w:szCs w:val="14"/>
          <w:b w:val="1"/>
          <w:bCs w:val="1"/>
          <w:color w:val="auto"/>
        </w:rPr>
      </w:pPr>
    </w:p>
    <w:p>
      <w:pPr>
        <w:jc w:val="both"/>
        <w:ind w:left="566" w:right="300"/>
        <w:spacing w:after="0" w:line="257" w:lineRule="auto"/>
        <w:rPr>
          <w:rFonts w:ascii="Arial" w:cs="Arial" w:eastAsia="Arial" w:hAnsi="Arial"/>
          <w:sz w:val="14"/>
          <w:szCs w:val="14"/>
          <w:b w:val="1"/>
          <w:bCs w:val="1"/>
          <w:color w:val="auto"/>
        </w:rPr>
      </w:pPr>
      <w:r>
        <w:rPr>
          <w:rFonts w:ascii="Arial" w:cs="Arial" w:eastAsia="Arial" w:hAnsi="Arial"/>
          <w:sz w:val="14"/>
          <w:szCs w:val="14"/>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pacing w:after="0" w:line="180" w:lineRule="exact"/>
        <w:rPr>
          <w:rFonts w:ascii="Arial" w:cs="Arial" w:eastAsia="Arial" w:hAnsi="Arial"/>
          <w:sz w:val="14"/>
          <w:szCs w:val="14"/>
          <w:b w:val="1"/>
          <w:bCs w:val="1"/>
          <w:color w:val="auto"/>
        </w:rPr>
      </w:pPr>
    </w:p>
    <w:p>
      <w:pPr>
        <w:ind w:left="566" w:hanging="566"/>
        <w:spacing w:after="0"/>
        <w:tabs>
          <w:tab w:leader="none" w:pos="566" w:val="left"/>
        </w:tabs>
        <w:numPr>
          <w:ilvl w:val="0"/>
          <w:numId w:val="164"/>
        </w:numPr>
        <w:rPr>
          <w:rFonts w:ascii="Arial" w:cs="Arial" w:eastAsia="Arial" w:hAnsi="Arial"/>
          <w:sz w:val="14"/>
          <w:szCs w:val="14"/>
          <w:b w:val="1"/>
          <w:bCs w:val="1"/>
          <w:color w:val="auto"/>
        </w:rPr>
      </w:pPr>
      <w:r>
        <w:rPr>
          <w:rFonts w:ascii="Arial" w:cs="Arial" w:eastAsia="Arial" w:hAnsi="Arial"/>
          <w:sz w:val="14"/>
          <w:szCs w:val="14"/>
          <w:b w:val="1"/>
          <w:bCs w:val="1"/>
          <w:color w:val="auto"/>
        </w:rPr>
        <w:t>Payment of the Employer’s Liability</w:t>
      </w:r>
    </w:p>
    <w:p>
      <w:pPr>
        <w:spacing w:after="0" w:line="217" w:lineRule="exact"/>
        <w:rPr>
          <w:sz w:val="20"/>
          <w:szCs w:val="20"/>
          <w:color w:val="auto"/>
        </w:rPr>
      </w:pPr>
    </w:p>
    <w:p>
      <w:pPr>
        <w:ind w:left="566" w:right="300" w:hanging="560"/>
        <w:spacing w:after="0" w:line="270" w:lineRule="auto"/>
        <w:tabs>
          <w:tab w:leader="none" w:pos="546"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The Employee hereby authorizes the Company and/or the Employer to collect the Employer’s Liability in respect of any Relevant Employment Income from the Employee at any time after the Chargeable Event:</w:t>
      </w:r>
    </w:p>
    <w:p>
      <w:pPr>
        <w:spacing w:after="0" w:line="176" w:lineRule="exact"/>
        <w:rPr>
          <w:sz w:val="20"/>
          <w:szCs w:val="20"/>
          <w:color w:val="auto"/>
        </w:rPr>
      </w:pPr>
    </w:p>
    <w:p>
      <w:pPr>
        <w:ind w:left="826" w:hanging="265"/>
        <w:spacing w:after="0"/>
        <w:tabs>
          <w:tab w:leader="none" w:pos="826" w:val="left"/>
        </w:tabs>
        <w:numPr>
          <w:ilvl w:val="0"/>
          <w:numId w:val="165"/>
        </w:numPr>
        <w:rPr>
          <w:rFonts w:ascii="Arial" w:cs="Arial" w:eastAsia="Arial" w:hAnsi="Arial"/>
          <w:sz w:val="14"/>
          <w:szCs w:val="14"/>
          <w:color w:val="auto"/>
        </w:rPr>
      </w:pPr>
      <w:r>
        <w:rPr>
          <w:rFonts w:ascii="Arial" w:cs="Arial" w:eastAsia="Arial" w:hAnsi="Arial"/>
          <w:sz w:val="14"/>
          <w:szCs w:val="14"/>
          <w:color w:val="auto"/>
        </w:rPr>
        <w:t>by deduction from salary or any other payment payable to the Employee at any time on or after the date of the Chargeable Event; and/or</w:t>
      </w:r>
    </w:p>
    <w:p>
      <w:pPr>
        <w:spacing w:after="0" w:line="96" w:lineRule="exact"/>
        <w:rPr>
          <w:rFonts w:ascii="Arial" w:cs="Arial" w:eastAsia="Arial" w:hAnsi="Arial"/>
          <w:sz w:val="14"/>
          <w:szCs w:val="14"/>
          <w:color w:val="auto"/>
        </w:rPr>
      </w:pPr>
    </w:p>
    <w:p>
      <w:pPr>
        <w:ind w:left="866" w:hanging="305"/>
        <w:spacing w:after="0"/>
        <w:tabs>
          <w:tab w:leader="none" w:pos="866" w:val="left"/>
        </w:tabs>
        <w:numPr>
          <w:ilvl w:val="0"/>
          <w:numId w:val="165"/>
        </w:numPr>
        <w:rPr>
          <w:rFonts w:ascii="Arial" w:cs="Arial" w:eastAsia="Arial" w:hAnsi="Arial"/>
          <w:sz w:val="14"/>
          <w:szCs w:val="14"/>
          <w:color w:val="auto"/>
        </w:rPr>
      </w:pPr>
      <w:r>
        <w:rPr>
          <w:rFonts w:ascii="Arial" w:cs="Arial" w:eastAsia="Arial" w:hAnsi="Arial"/>
          <w:sz w:val="14"/>
          <w:szCs w:val="14"/>
          <w:color w:val="auto"/>
        </w:rPr>
        <w:t>directly from the Employee by payment in cash or cleared funds; and/or</w:t>
      </w:r>
    </w:p>
    <w:p>
      <w:pPr>
        <w:spacing w:after="0" w:line="96" w:lineRule="exact"/>
        <w:rPr>
          <w:rFonts w:ascii="Arial" w:cs="Arial" w:eastAsia="Arial" w:hAnsi="Arial"/>
          <w:sz w:val="14"/>
          <w:szCs w:val="14"/>
          <w:color w:val="auto"/>
        </w:rPr>
      </w:pPr>
    </w:p>
    <w:p>
      <w:pPr>
        <w:ind w:left="906" w:hanging="345"/>
        <w:spacing w:after="0"/>
        <w:tabs>
          <w:tab w:leader="none" w:pos="906" w:val="left"/>
        </w:tabs>
        <w:numPr>
          <w:ilvl w:val="0"/>
          <w:numId w:val="165"/>
        </w:numPr>
        <w:rPr>
          <w:rFonts w:ascii="Arial" w:cs="Arial" w:eastAsia="Arial" w:hAnsi="Arial"/>
          <w:sz w:val="14"/>
          <w:szCs w:val="14"/>
          <w:color w:val="auto"/>
        </w:rPr>
      </w:pPr>
      <w:r>
        <w:rPr>
          <w:rFonts w:ascii="Arial" w:cs="Arial" w:eastAsia="Arial" w:hAnsi="Arial"/>
          <w:sz w:val="14"/>
          <w:szCs w:val="14"/>
          <w:color w:val="auto"/>
        </w:rPr>
        <w:t>by arranging, on behalf of the Employee, for the sale of some of the securities which the Employee is entitled to receive in respect of the Awards; and/or</w:t>
      </w:r>
    </w:p>
    <w:p>
      <w:pPr>
        <w:spacing w:after="0" w:line="96" w:lineRule="exact"/>
        <w:rPr>
          <w:rFonts w:ascii="Arial" w:cs="Arial" w:eastAsia="Arial" w:hAnsi="Arial"/>
          <w:sz w:val="14"/>
          <w:szCs w:val="14"/>
          <w:color w:val="auto"/>
        </w:rPr>
      </w:pPr>
    </w:p>
    <w:p>
      <w:pPr>
        <w:ind w:left="906" w:hanging="345"/>
        <w:spacing w:after="0"/>
        <w:tabs>
          <w:tab w:leader="none" w:pos="906" w:val="left"/>
        </w:tabs>
        <w:numPr>
          <w:ilvl w:val="0"/>
          <w:numId w:val="165"/>
        </w:numPr>
        <w:rPr>
          <w:rFonts w:ascii="Arial" w:cs="Arial" w:eastAsia="Arial" w:hAnsi="Arial"/>
          <w:sz w:val="14"/>
          <w:szCs w:val="14"/>
          <w:color w:val="auto"/>
        </w:rPr>
      </w:pPr>
      <w:r>
        <w:rPr>
          <w:rFonts w:ascii="Arial" w:cs="Arial" w:eastAsia="Arial" w:hAnsi="Arial"/>
          <w:sz w:val="14"/>
          <w:szCs w:val="14"/>
          <w:color w:val="auto"/>
        </w:rPr>
        <w:t>by any other means specified in the applicable award agreement.</w:t>
      </w:r>
    </w:p>
    <w:p>
      <w:pPr>
        <w:spacing w:after="0" w:line="96" w:lineRule="exact"/>
        <w:rPr>
          <w:sz w:val="20"/>
          <w:szCs w:val="20"/>
          <w:color w:val="auto"/>
        </w:rPr>
      </w:pPr>
    </w:p>
    <w:p>
      <w:pPr>
        <w:jc w:val="both"/>
        <w:ind w:left="566" w:right="300" w:hanging="560"/>
        <w:spacing w:after="0" w:line="270" w:lineRule="auto"/>
        <w:tabs>
          <w:tab w:leader="none" w:pos="546"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The Company hereby reserves for itself and the Employer the right to withhold the transfer of any securities in respect of the Awards to the Employee until full payment of the Employer’s Liability is received.</w:t>
      </w:r>
    </w:p>
    <w:p>
      <w:pPr>
        <w:spacing w:after="0" w:line="176" w:lineRule="exact"/>
        <w:rPr>
          <w:sz w:val="20"/>
          <w:szCs w:val="20"/>
          <w:color w:val="auto"/>
        </w:rPr>
      </w:pPr>
    </w:p>
    <w:p>
      <w:pPr>
        <w:jc w:val="both"/>
        <w:ind w:left="566" w:right="300" w:hanging="560"/>
        <w:spacing w:after="0" w:line="257" w:lineRule="auto"/>
        <w:tabs>
          <w:tab w:leader="none" w:pos="546"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0" w:lineRule="exact"/>
        <w:rPr>
          <w:sz w:val="20"/>
          <w:szCs w:val="20"/>
          <w:color w:val="auto"/>
        </w:rPr>
      </w:pPr>
    </w:p>
    <w:p>
      <w:pPr>
        <w:ind w:left="566" w:hanging="566"/>
        <w:spacing w:after="0"/>
        <w:tabs>
          <w:tab w:leader="none" w:pos="566" w:val="left"/>
        </w:tabs>
        <w:numPr>
          <w:ilvl w:val="0"/>
          <w:numId w:val="166"/>
        </w:numPr>
        <w:rPr>
          <w:rFonts w:ascii="Arial" w:cs="Arial" w:eastAsia="Arial" w:hAnsi="Arial"/>
          <w:sz w:val="14"/>
          <w:szCs w:val="14"/>
          <w:b w:val="1"/>
          <w:bCs w:val="1"/>
          <w:color w:val="auto"/>
        </w:rPr>
      </w:pPr>
      <w:r>
        <w:rPr>
          <w:rFonts w:ascii="Arial" w:cs="Arial" w:eastAsia="Arial" w:hAnsi="Arial"/>
          <w:sz w:val="14"/>
          <w:szCs w:val="14"/>
          <w:b w:val="1"/>
          <w:bCs w:val="1"/>
          <w:color w:val="auto"/>
        </w:rPr>
        <w:t>Duration of Election</w:t>
      </w:r>
    </w:p>
    <w:p>
      <w:pPr>
        <w:spacing w:after="0" w:line="217" w:lineRule="exact"/>
        <w:rPr>
          <w:sz w:val="20"/>
          <w:szCs w:val="20"/>
          <w:color w:val="auto"/>
        </w:rPr>
      </w:pPr>
    </w:p>
    <w:p>
      <w:pPr>
        <w:ind w:left="566" w:right="280" w:hanging="560"/>
        <w:spacing w:after="0" w:line="270" w:lineRule="auto"/>
        <w:tabs>
          <w:tab w:leader="none" w:pos="546"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76"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3"/>
          <w:szCs w:val="13"/>
          <w:color w:val="auto"/>
        </w:rPr>
        <w:t>This Election will continue in effect until the earliest of the following:</w:t>
      </w:r>
    </w:p>
    <w:p>
      <w:pPr>
        <w:spacing w:after="0" w:line="213" w:lineRule="exact"/>
        <w:rPr>
          <w:sz w:val="20"/>
          <w:szCs w:val="20"/>
          <w:color w:val="auto"/>
        </w:rPr>
      </w:pPr>
    </w:p>
    <w:p>
      <w:pPr>
        <w:ind w:left="826" w:hanging="265"/>
        <w:spacing w:after="0"/>
        <w:tabs>
          <w:tab w:leader="none" w:pos="826"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Employee and the Company agree in writing that it should cease to have effect;</w:t>
      </w:r>
    </w:p>
    <w:p>
      <w:pPr>
        <w:spacing w:after="0" w:line="143" w:lineRule="exact"/>
        <w:rPr>
          <w:rFonts w:ascii="Arial" w:cs="Arial" w:eastAsia="Arial" w:hAnsi="Arial"/>
          <w:sz w:val="14"/>
          <w:szCs w:val="14"/>
          <w:color w:val="auto"/>
        </w:rPr>
      </w:pPr>
    </w:p>
    <w:p>
      <w:pPr>
        <w:ind w:left="906" w:hanging="345"/>
        <w:spacing w:after="0"/>
        <w:tabs>
          <w:tab w:leader="none" w:pos="906" w:val="left"/>
        </w:tabs>
        <w:numPr>
          <w:ilvl w:val="0"/>
          <w:numId w:val="167"/>
        </w:numPr>
        <w:rPr>
          <w:rFonts w:ascii="Arial" w:cs="Arial" w:eastAsia="Arial" w:hAnsi="Arial"/>
          <w:sz w:val="14"/>
          <w:szCs w:val="14"/>
          <w:color w:val="auto"/>
        </w:rPr>
      </w:pPr>
      <w:r>
        <w:rPr>
          <w:rFonts w:ascii="Arial" w:cs="Arial" w:eastAsia="Arial" w:hAnsi="Arial"/>
          <w:sz w:val="14"/>
          <w:szCs w:val="14"/>
          <w:color w:val="auto"/>
        </w:rPr>
        <w:t>on the date the Company serves written notice on the Employee terminating its effect;</w:t>
      </w:r>
    </w:p>
    <w:p>
      <w:pPr>
        <w:spacing w:after="0" w:line="143" w:lineRule="exact"/>
        <w:rPr>
          <w:rFonts w:ascii="Arial" w:cs="Arial" w:eastAsia="Arial" w:hAnsi="Arial"/>
          <w:sz w:val="14"/>
          <w:szCs w:val="14"/>
          <w:color w:val="auto"/>
        </w:rPr>
      </w:pPr>
    </w:p>
    <w:p>
      <w:pPr>
        <w:ind w:left="946" w:hanging="385"/>
        <w:spacing w:after="0"/>
        <w:tabs>
          <w:tab w:leader="none" w:pos="946" w:val="left"/>
        </w:tabs>
        <w:numPr>
          <w:ilvl w:val="0"/>
          <w:numId w:val="167"/>
        </w:numPr>
        <w:rPr>
          <w:rFonts w:ascii="Arial" w:cs="Arial" w:eastAsia="Arial" w:hAnsi="Arial"/>
          <w:sz w:val="14"/>
          <w:szCs w:val="14"/>
          <w:color w:val="auto"/>
        </w:rPr>
      </w:pPr>
      <w:r>
        <w:rPr>
          <w:rFonts w:ascii="Arial" w:cs="Arial" w:eastAsia="Arial" w:hAnsi="Arial"/>
          <w:sz w:val="14"/>
          <w:szCs w:val="14"/>
          <w:color w:val="auto"/>
        </w:rPr>
        <w:t>on the date HM Revenue &amp; Customs withdraws approval of this Election; or</w:t>
      </w:r>
    </w:p>
    <w:p>
      <w:pPr>
        <w:spacing w:after="0" w:line="143" w:lineRule="exact"/>
        <w:rPr>
          <w:rFonts w:ascii="Arial" w:cs="Arial" w:eastAsia="Arial" w:hAnsi="Arial"/>
          <w:sz w:val="14"/>
          <w:szCs w:val="14"/>
          <w:color w:val="auto"/>
        </w:rPr>
      </w:pPr>
    </w:p>
    <w:p>
      <w:pPr>
        <w:ind w:left="1126" w:right="20" w:hanging="565"/>
        <w:spacing w:after="0" w:line="270" w:lineRule="auto"/>
        <w:tabs>
          <w:tab w:leader="none" w:pos="998" w:val="left"/>
        </w:tabs>
        <w:numPr>
          <w:ilvl w:val="0"/>
          <w:numId w:val="167"/>
        </w:numPr>
        <w:rPr>
          <w:rFonts w:ascii="Arial" w:cs="Arial" w:eastAsia="Arial" w:hAnsi="Arial"/>
          <w:sz w:val="14"/>
          <w:szCs w:val="14"/>
          <w:color w:val="auto"/>
        </w:rPr>
      </w:pPr>
      <w:r>
        <w:rPr>
          <w:rFonts w:ascii="Arial" w:cs="Arial" w:eastAsia="Arial" w:hAnsi="Arial"/>
          <w:sz w:val="14"/>
          <w:szCs w:val="14"/>
          <w:color w:val="auto"/>
        </w:rPr>
        <w:t>after due payment of the Employer’s Liability in respect of the entirety of the Awards to which this Election relates or could relate, such that the Election ceases to have effect in accordance with its terms.</w:t>
      </w:r>
    </w:p>
    <w:p>
      <w:pPr>
        <w:spacing w:after="0" w:line="106" w:lineRule="exact"/>
        <w:rPr>
          <w:sz w:val="20"/>
          <w:szCs w:val="20"/>
          <w:color w:val="auto"/>
        </w:rPr>
      </w:pPr>
    </w:p>
    <w:p>
      <w:pPr>
        <w:ind w:left="6"/>
        <w:spacing w:after="0"/>
        <w:tabs>
          <w:tab w:leader="none" w:pos="546"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2"/>
          <w:szCs w:val="12"/>
          <w:color w:val="auto"/>
        </w:rPr>
        <w:t>This Election will continue in force regardless of whether the Employee ceases to be an employee of the Employer.</w:t>
      </w:r>
    </w:p>
    <w:p>
      <w:pPr>
        <w:spacing w:after="0" w:line="213" w:lineRule="exact"/>
        <w:rPr>
          <w:sz w:val="20"/>
          <w:szCs w:val="20"/>
          <w:color w:val="auto"/>
        </w:rPr>
      </w:pPr>
    </w:p>
    <w:p>
      <w:pPr>
        <w:jc w:val="both"/>
        <w:ind w:left="566" w:hanging="560"/>
        <w:spacing w:after="0" w:line="257" w:lineRule="auto"/>
        <w:tabs>
          <w:tab w:leader="none" w:pos="546"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4"/>
          <w:szCs w:val="14"/>
          <w:b w:val="1"/>
          <w:bCs w:val="1"/>
          <w:u w:val="single" w:color="auto"/>
          <w:color w:val="auto"/>
        </w:rPr>
        <w:t>Acceptance by the Employee</w:t>
      </w:r>
    </w:p>
    <w:p>
      <w:pPr>
        <w:spacing w:after="0" w:line="100" w:lineRule="exact"/>
        <w:rPr>
          <w:sz w:val="20"/>
          <w:szCs w:val="20"/>
          <w:color w:val="auto"/>
        </w:rPr>
      </w:pPr>
    </w:p>
    <w:p>
      <w:pPr>
        <w:ind w:left="6"/>
        <w:spacing w:after="0"/>
        <w:rPr>
          <w:sz w:val="20"/>
          <w:szCs w:val="20"/>
          <w:color w:val="auto"/>
        </w:rPr>
      </w:pPr>
      <w:r>
        <w:rPr>
          <w:rFonts w:ascii="Arial" w:cs="Arial" w:eastAsia="Arial" w:hAnsi="Arial"/>
          <w:sz w:val="14"/>
          <w:szCs w:val="14"/>
          <w:color w:val="auto"/>
        </w:rPr>
        <w:t>The Employee acknowledges that, by clicking on the “ACCEPT” box, the Employee agrees to be bound by the terms of this Election.</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4"/>
          <w:szCs w:val="14"/>
          <w:b w:val="1"/>
          <w:bCs w:val="1"/>
          <w:u w:val="single" w:color="auto"/>
          <w:color w:val="auto"/>
        </w:rPr>
        <w:t>Acceptance by Analog Devices, Inc.</w:t>
      </w:r>
    </w:p>
    <w:p>
      <w:pPr>
        <w:spacing w:after="0" w:line="100" w:lineRule="exact"/>
        <w:rPr>
          <w:sz w:val="20"/>
          <w:szCs w:val="20"/>
          <w:color w:val="auto"/>
        </w:rPr>
      </w:pPr>
    </w:p>
    <w:p>
      <w:pPr>
        <w:jc w:val="both"/>
        <w:ind w:left="6"/>
        <w:spacing w:after="0" w:line="270" w:lineRule="auto"/>
        <w:rPr>
          <w:sz w:val="20"/>
          <w:szCs w:val="20"/>
          <w:color w:val="auto"/>
        </w:rPr>
      </w:pPr>
      <w:r>
        <w:rPr>
          <w:rFonts w:ascii="Arial" w:cs="Arial" w:eastAsia="Arial" w:hAnsi="Arial"/>
          <w:sz w:val="14"/>
          <w:szCs w:val="14"/>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4"/>
          <w:szCs w:val="14"/>
          <w:color w:val="auto"/>
        </w:rPr>
        <w:t>Signature for and on behalf of 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
        <w:spacing w:after="0"/>
        <w:tabs>
          <w:tab w:leader="none" w:pos="1006"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C - 3</w:t>
      </w:r>
    </w:p>
    <w:p>
      <w:pPr>
        <w:sectPr>
          <w:pgSz w:w="11900" w:h="16838" w:orient="portrait"/>
          <w:cols w:equalWidth="0" w:num="1">
            <w:col w:w="11266"/>
          </w:cols>
          <w:pgMar w:left="314" w:top="1440" w:right="319" w:bottom="1440" w:gutter="0" w:footer="0" w:header="0"/>
        </w:sectPr>
      </w:pPr>
    </w:p>
    <w:bookmarkStart w:id="176" w:name="page177"/>
    <w:bookmarkEnd w:id="176"/>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609">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tbl>
      <w:tblPr>
        <w:tblLayout w:type="fixed"/>
        <w:tblInd w:w="860" w:type="dxa"/>
        <w:tblCellMar>
          <w:top w:w="0" w:type="dxa"/>
          <w:left w:w="0" w:type="dxa"/>
          <w:bottom w:w="0" w:type="dxa"/>
          <w:right w:w="0" w:type="dxa"/>
        </w:tblCellMar>
      </w:tblPr>
      <w:tr>
        <w:trPr>
          <w:trHeight w:val="187"/>
        </w:trPr>
        <w:tc>
          <w:tcPr>
            <w:tcW w:w="420" w:type="dxa"/>
            <w:vAlign w:val="bottom"/>
          </w:tcPr>
          <w:p>
            <w:pPr>
              <w:spacing w:after="0"/>
              <w:rPr>
                <w:sz w:val="20"/>
                <w:szCs w:val="20"/>
                <w:color w:val="auto"/>
              </w:rPr>
            </w:pPr>
            <w:r>
              <w:rPr>
                <w:rFonts w:ascii="Arial" w:cs="Arial" w:eastAsia="Arial" w:hAnsi="Arial"/>
                <w:sz w:val="14"/>
                <w:szCs w:val="14"/>
                <w:color w:val="auto"/>
              </w:rPr>
              <w:t>By:</w:t>
            </w: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Richard P. Ahern</w:t>
            </w:r>
          </w:p>
        </w:tc>
      </w:tr>
      <w:tr>
        <w:trPr>
          <w:trHeight w:val="194"/>
        </w:trPr>
        <w:tc>
          <w:tcPr>
            <w:tcW w:w="420" w:type="dxa"/>
            <w:vAlign w:val="bottom"/>
          </w:tcPr>
          <w:p>
            <w:pPr>
              <w:spacing w:after="0"/>
              <w:rPr>
                <w:sz w:val="16"/>
                <w:szCs w:val="16"/>
                <w:color w:val="auto"/>
              </w:rPr>
            </w:pPr>
          </w:p>
        </w:tc>
        <w:tc>
          <w:tcPr>
            <w:tcW w:w="5360" w:type="dxa"/>
            <w:vAlign w:val="bottom"/>
          </w:tcPr>
          <w:p>
            <w:pPr>
              <w:ind w:left="20"/>
              <w:spacing w:after="0"/>
              <w:rPr>
                <w:sz w:val="20"/>
                <w:szCs w:val="20"/>
                <w:color w:val="auto"/>
              </w:rPr>
            </w:pPr>
            <w:r>
              <w:rPr>
                <w:rFonts w:ascii="Arial" w:cs="Arial" w:eastAsia="Arial" w:hAnsi="Arial"/>
                <w:sz w:val="14"/>
                <w:szCs w:val="14"/>
                <w:color w:val="auto"/>
              </w:rPr>
              <w:t>Richard P. Ahern, Vice President, Global Total Rewards &amp; HR Services</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Date: </w:t>
      </w:r>
      <w:r>
        <w:rPr>
          <w:rFonts w:ascii="Arial" w:cs="Arial" w:eastAsia="Arial" w:hAnsi="Arial"/>
          <w:sz w:val="14"/>
          <w:szCs w:val="14"/>
          <w:color w:val="auto"/>
          <w:highlight w:val="yellow"/>
        </w:rPr>
        <w:t>Grant Date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4"/>
          <w:szCs w:val="14"/>
          <w:color w:val="auto"/>
          <w:highlight w:val="yellow"/>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C - 4</w:t>
      </w:r>
    </w:p>
    <w:p>
      <w:pPr>
        <w:sectPr>
          <w:pgSz w:w="11900" w:h="16838" w:orient="portrait"/>
          <w:cols w:equalWidth="0" w:num="1">
            <w:col w:w="10139"/>
          </w:cols>
          <w:pgMar w:left="320" w:top="1440" w:right="1440"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610">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280"/>
        <w:spacing w:after="0"/>
        <w:rPr>
          <w:sz w:val="20"/>
          <w:szCs w:val="20"/>
          <w:color w:val="auto"/>
        </w:rPr>
      </w:pPr>
      <w:r>
        <w:rPr>
          <w:rFonts w:ascii="Arial" w:cs="Arial" w:eastAsia="Arial" w:hAnsi="Arial"/>
          <w:sz w:val="14"/>
          <w:szCs w:val="14"/>
          <w:b w:val="1"/>
          <w:bCs w:val="1"/>
          <w:u w:val="single" w:color="auto"/>
          <w:color w:val="auto"/>
        </w:rPr>
        <w:t>SCHEDULE OF EMPLOYER COMPANIES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are employer companies to which this Election may apply: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For each company, provide the following details: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Analog Devices Limited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0" w:type="dxa"/>
            <w:vAlign w:val="bottom"/>
            <w:tcBorders>
              <w:right w:val="single" w:sz="8" w:color="auto"/>
            </w:tcBorders>
          </w:tcPr>
          <w:p>
            <w:pPr>
              <w:spacing w:after="0"/>
              <w:rPr>
                <w:sz w:val="18"/>
                <w:szCs w:val="18"/>
                <w:color w:val="auto"/>
              </w:rPr>
            </w:pPr>
          </w:p>
        </w:tc>
        <w:tc>
          <w:tcPr>
            <w:tcW w:w="4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15 Pressing Lane, Blyth Road, Hayes, England, UB3 1EP</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00895439</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6873689030216A</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120/A4055</w:t>
            </w:r>
          </w:p>
        </w:tc>
      </w:tr>
      <w:tr>
        <w:trPr>
          <w:trHeight w:val="556"/>
        </w:trPr>
        <w:tc>
          <w:tcPr>
            <w:tcW w:w="4600" w:type="dxa"/>
            <w:vAlign w:val="bottom"/>
            <w:gridSpan w:val="2"/>
          </w:tcPr>
          <w:p>
            <w:pPr>
              <w:spacing w:after="0"/>
              <w:rPr>
                <w:sz w:val="20"/>
                <w:szCs w:val="20"/>
                <w:color w:val="auto"/>
              </w:rPr>
            </w:pPr>
            <w:r>
              <w:rPr>
                <w:rFonts w:ascii="Arial" w:cs="Arial" w:eastAsia="Arial" w:hAnsi="Arial"/>
                <w:sz w:val="14"/>
                <w:szCs w:val="14"/>
                <w:color w:val="auto"/>
              </w:rPr>
              <w:t>Linear Technology (UK) Limited</w:t>
            </w:r>
          </w:p>
        </w:tc>
        <w:tc>
          <w:tcPr>
            <w:tcW w:w="4600" w:type="dxa"/>
            <w:vAlign w:val="bottom"/>
          </w:tcPr>
          <w:p>
            <w:pPr>
              <w:spacing w:after="0"/>
              <w:rPr>
                <w:sz w:val="24"/>
                <w:szCs w:val="24"/>
                <w:color w:val="auto"/>
              </w:rPr>
            </w:pPr>
          </w:p>
        </w:tc>
      </w:tr>
      <w:tr>
        <w:trPr>
          <w:trHeight w:val="204"/>
        </w:trPr>
        <w:tc>
          <w:tcPr>
            <w:tcW w:w="120" w:type="dxa"/>
            <w:vAlign w:val="bottom"/>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tcPr>
          <w:p>
            <w:pPr>
              <w:spacing w:after="0"/>
              <w:rPr>
                <w:sz w:val="17"/>
                <w:szCs w:val="17"/>
                <w:color w:val="auto"/>
              </w:rPr>
            </w:pPr>
          </w:p>
        </w:tc>
      </w:tr>
      <w:tr>
        <w:trPr>
          <w:trHeight w:val="194"/>
        </w:trPr>
        <w:tc>
          <w:tcPr>
            <w:tcW w:w="12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3 The Listons, Liston Road, Marlow, Buckinghamshire, SL7 1FD</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02149602</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120PA00148447</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120/L30589</w:t>
            </w:r>
          </w:p>
        </w:tc>
      </w:tr>
      <w:tr>
        <w:trPr>
          <w:trHeight w:val="545"/>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Maxim Integrated Products UK Limited</w:t>
            </w:r>
          </w:p>
        </w:tc>
        <w:tc>
          <w:tcPr>
            <w:tcW w:w="4600" w:type="dxa"/>
            <w:vAlign w:val="bottom"/>
          </w:tcPr>
          <w:p>
            <w:pPr>
              <w:spacing w:after="0"/>
              <w:rPr>
                <w:sz w:val="24"/>
                <w:szCs w:val="24"/>
                <w:color w:val="auto"/>
              </w:rPr>
            </w:pPr>
          </w:p>
        </w:tc>
      </w:tr>
      <w:tr>
        <w:trPr>
          <w:trHeight w:val="157"/>
        </w:trPr>
        <w:tc>
          <w:tcPr>
            <w:tcW w:w="120" w:type="dxa"/>
            <w:vAlign w:val="bottom"/>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4600" w:type="dxa"/>
            <w:vAlign w:val="bottom"/>
            <w:tcBorders>
              <w:bottom w:val="single" w:sz="8" w:color="auto"/>
            </w:tcBorders>
          </w:tcPr>
          <w:p>
            <w:pPr>
              <w:spacing w:after="0"/>
              <w:rPr>
                <w:sz w:val="13"/>
                <w:szCs w:val="13"/>
                <w:color w:val="auto"/>
              </w:rPr>
            </w:pPr>
          </w:p>
        </w:tc>
      </w:tr>
      <w:tr>
        <w:trPr>
          <w:trHeight w:val="194"/>
        </w:trPr>
        <w:tc>
          <w:tcPr>
            <w:tcW w:w="12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First Floor, Templeback, 10 Temple Back, Bristol, England, BS1 6FL</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01873931</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56090 07213</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577/RM581</w:t>
            </w:r>
          </w:p>
        </w:tc>
      </w:tr>
      <w:tr>
        <w:trPr>
          <w:trHeight w:val="556"/>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Calvatec</w:t>
            </w:r>
          </w:p>
        </w:tc>
        <w:tc>
          <w:tcPr>
            <w:tcW w:w="4600" w:type="dxa"/>
            <w:vAlign w:val="bottom"/>
          </w:tcPr>
          <w:p>
            <w:pPr>
              <w:spacing w:after="0"/>
              <w:rPr>
                <w:sz w:val="24"/>
                <w:szCs w:val="24"/>
                <w:color w:val="auto"/>
              </w:rPr>
            </w:pPr>
          </w:p>
        </w:tc>
      </w:tr>
      <w:tr>
        <w:trPr>
          <w:trHeight w:val="157"/>
        </w:trPr>
        <w:tc>
          <w:tcPr>
            <w:tcW w:w="120" w:type="dxa"/>
            <w:vAlign w:val="bottom"/>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4600" w:type="dxa"/>
            <w:vAlign w:val="bottom"/>
            <w:tcBorders>
              <w:bottom w:val="single" w:sz="8" w:color="auto"/>
            </w:tcBorders>
          </w:tcPr>
          <w:p>
            <w:pPr>
              <w:spacing w:after="0"/>
              <w:rPr>
                <w:sz w:val="13"/>
                <w:szCs w:val="13"/>
                <w:color w:val="auto"/>
              </w:rPr>
            </w:pPr>
          </w:p>
        </w:tc>
      </w:tr>
      <w:tr>
        <w:trPr>
          <w:trHeight w:val="194"/>
        </w:trPr>
        <w:tc>
          <w:tcPr>
            <w:tcW w:w="12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50 Lothian Road, Festival Square, Edinburgh, United Kingdom EH3 9WJ</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SC342295</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4889926696</w:t>
            </w:r>
          </w:p>
        </w:tc>
      </w:tr>
      <w:tr>
        <w:trPr>
          <w:trHeight w:val="202"/>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961/VA27993</w:t>
            </w:r>
          </w:p>
        </w:tc>
      </w:tr>
    </w:tbl>
    <w:p>
      <w:pPr>
        <w:spacing w:after="0" w:line="3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Phyworks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C - 5</w:t>
      </w:r>
    </w:p>
    <w:p>
      <w:pPr>
        <w:sectPr>
          <w:pgSz w:w="11900" w:h="16838" w:orient="portrait"/>
          <w:cols w:equalWidth="0" w:num="1">
            <w:col w:w="10159"/>
          </w:cols>
          <w:pgMar w:left="300" w:top="1440" w:right="1440" w:bottom="1440" w:gutter="0" w:footer="0" w:header="0"/>
        </w:sectPr>
      </w:pPr>
    </w:p>
    <w:bookmarkStart w:id="178" w:name="page179"/>
    <w:bookmarkEnd w:id="178"/>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88900</wp:posOffset>
            </wp:positionV>
            <wp:extent cx="1136015" cy="35623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611">
                      <a:clrChange>
                        <a:clrFrom>
                          <a:srgbClr val="FFFFFF"/>
                        </a:clrFrom>
                        <a:clrTo>
                          <a:srgbClr val="FFFFFF">
                            <a:alpha val="0"/>
                          </a:srgbClr>
                        </a:clrTo>
                      </a:clrChange>
                      <a:extLst>
                        <a:ext uri="{28A0092B-C50C-407E-A947-70E740481C1C}"/>
                      </a:extLst>
                    </a:blip>
                    <a:srcRect/>
                    <a:stretch>
                      <a:fillRect/>
                    </a:stretch>
                  </pic:blipFill>
                  <pic:spPr bwMode="auto">
                    <a:xfrm>
                      <a:off x="0" y="0"/>
                      <a:ext cx="1136015" cy="3562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100" w:type="dxa"/>
            <w:vAlign w:val="bottom"/>
            <w:tcBorders>
              <w:right w:val="single" w:sz="8" w:color="auto"/>
            </w:tcBorders>
          </w:tcPr>
          <w:p>
            <w:pPr>
              <w:spacing w:after="0"/>
              <w:rPr>
                <w:sz w:val="18"/>
                <w:szCs w:val="18"/>
                <w:color w:val="auto"/>
              </w:rPr>
            </w:pPr>
          </w:p>
        </w:tc>
        <w:tc>
          <w:tcPr>
            <w:tcW w:w="4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First Floor, Templeback, 10 Temple Back, Bristol, England, BS1 6FL</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04075331</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1086827375</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w:t>
            </w:r>
          </w:p>
        </w:tc>
      </w:tr>
      <w:tr>
        <w:trPr>
          <w:trHeight w:val="556"/>
        </w:trPr>
        <w:tc>
          <w:tcPr>
            <w:tcW w:w="4580" w:type="dxa"/>
            <w:vAlign w:val="bottom"/>
            <w:gridSpan w:val="2"/>
          </w:tcPr>
          <w:p>
            <w:pPr>
              <w:spacing w:after="0"/>
              <w:rPr>
                <w:sz w:val="20"/>
                <w:szCs w:val="20"/>
                <w:color w:val="auto"/>
              </w:rPr>
            </w:pPr>
            <w:r>
              <w:rPr>
                <w:rFonts w:ascii="Arial" w:cs="Arial" w:eastAsia="Arial" w:hAnsi="Arial"/>
                <w:sz w:val="14"/>
                <w:szCs w:val="14"/>
                <w:color w:val="auto"/>
              </w:rPr>
              <w:t>Maxim Integrated Products International Sales Limited UK Establishment</w:t>
            </w:r>
          </w:p>
        </w:tc>
        <w:tc>
          <w:tcPr>
            <w:tcW w:w="4600" w:type="dxa"/>
            <w:vAlign w:val="bottom"/>
          </w:tcPr>
          <w:p>
            <w:pPr>
              <w:spacing w:after="0"/>
              <w:rPr>
                <w:sz w:val="24"/>
                <w:szCs w:val="24"/>
                <w:color w:val="auto"/>
              </w:rPr>
            </w:pPr>
          </w:p>
        </w:tc>
      </w:tr>
      <w:tr>
        <w:trPr>
          <w:trHeight w:val="157"/>
        </w:trPr>
        <w:tc>
          <w:tcPr>
            <w:tcW w:w="100" w:type="dxa"/>
            <w:vAlign w:val="bottom"/>
          </w:tcPr>
          <w:p>
            <w:pPr>
              <w:spacing w:after="0"/>
              <w:rPr>
                <w:sz w:val="13"/>
                <w:szCs w:val="13"/>
                <w:color w:val="auto"/>
              </w:rPr>
            </w:pPr>
          </w:p>
        </w:tc>
        <w:tc>
          <w:tcPr>
            <w:tcW w:w="4480" w:type="dxa"/>
            <w:vAlign w:val="bottom"/>
            <w:tcBorders>
              <w:bottom w:val="single" w:sz="8" w:color="auto"/>
            </w:tcBorders>
          </w:tcPr>
          <w:p>
            <w:pPr>
              <w:spacing w:after="0"/>
              <w:rPr>
                <w:sz w:val="13"/>
                <w:szCs w:val="13"/>
                <w:color w:val="auto"/>
              </w:rPr>
            </w:pPr>
          </w:p>
        </w:tc>
        <w:tc>
          <w:tcPr>
            <w:tcW w:w="4600" w:type="dxa"/>
            <w:vAlign w:val="bottom"/>
            <w:tcBorders>
              <w:bottom w:val="single" w:sz="8" w:color="auto"/>
            </w:tcBorders>
          </w:tcPr>
          <w:p>
            <w:pPr>
              <w:spacing w:after="0"/>
              <w:rPr>
                <w:sz w:val="13"/>
                <w:szCs w:val="13"/>
                <w:color w:val="auto"/>
              </w:rPr>
            </w:pPr>
          </w:p>
        </w:tc>
      </w:tr>
      <w:tr>
        <w:trPr>
          <w:trHeight w:val="194"/>
        </w:trPr>
        <w:tc>
          <w:tcPr>
            <w:tcW w:w="100" w:type="dxa"/>
            <w:vAlign w:val="bottom"/>
            <w:tcBorders>
              <w:right w:val="single" w:sz="8" w:color="auto"/>
            </w:tcBorders>
          </w:tcPr>
          <w:p>
            <w:pPr>
              <w:spacing w:after="0"/>
              <w:rPr>
                <w:sz w:val="16"/>
                <w:szCs w:val="16"/>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Registered Office:</w:t>
            </w:r>
          </w:p>
        </w:tc>
        <w:tc>
          <w:tcPr>
            <w:tcW w:w="4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612 Reading Road, Wokingham, Winnersh, RG41 5HE</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Registration Number:</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BR014351</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 Tax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27787 13294</w:t>
            </w:r>
          </w:p>
        </w:tc>
      </w:tr>
      <w:tr>
        <w:trPr>
          <w:trHeight w:val="202"/>
        </w:trPr>
        <w:tc>
          <w:tcPr>
            <w:tcW w:w="10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PAYE Reference:</w:t>
            </w:r>
          </w:p>
        </w:tc>
        <w:tc>
          <w:tcPr>
            <w:tcW w:w="4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color w:val="auto"/>
        </w:rPr>
        <w:t>VERSION 6/21</w:t>
      </w:r>
      <w:r>
        <w:rPr>
          <w:sz w:val="20"/>
          <w:szCs w:val="20"/>
          <w:color w:val="auto"/>
        </w:rPr>
        <w:tab/>
      </w:r>
      <w:r>
        <w:rPr>
          <w:rFonts w:ascii="Arial" w:cs="Arial" w:eastAsia="Arial" w:hAnsi="Arial"/>
          <w:sz w:val="13"/>
          <w:szCs w:val="13"/>
          <w:color w:val="auto"/>
        </w:rPr>
        <w:t>APPENDIX C - 2</w:t>
      </w:r>
    </w:p>
    <w:p>
      <w:pPr>
        <w:sectPr>
          <w:pgSz w:w="11900" w:h="16838" w:orient="portrait"/>
          <w:cols w:equalWidth="0" w:num="1">
            <w:col w:w="10139"/>
          </w:cols>
          <w:pgMar w:left="320" w:top="1440" w:right="1440" w:bottom="1440" w:gutter="0" w:footer="0" w:header="0"/>
        </w:sectPr>
      </w:pPr>
    </w:p>
    <w:bookmarkStart w:id="179" w:name="page180"/>
    <w:bookmarkEnd w:id="179"/>
    <w:p>
      <w:pPr>
        <w:jc w:val="right"/>
        <w:spacing w:after="0"/>
        <w:rPr>
          <w:sz w:val="20"/>
          <w:szCs w:val="20"/>
          <w:color w:val="auto"/>
        </w:rPr>
      </w:pPr>
      <w:r>
        <w:rPr>
          <w:rFonts w:ascii="Arial" w:cs="Arial" w:eastAsia="Arial" w:hAnsi="Arial"/>
          <w:sz w:val="16"/>
          <w:szCs w:val="16"/>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u w:val="single" w:color="auto"/>
          <w:color w:val="auto"/>
        </w:rPr>
        <w:t>Fiscal 2022 First and Second Fiscal Quarters 2022 Executive Performance Incentive Plan</w:t>
      </w:r>
    </w:p>
    <w:p>
      <w:pPr>
        <w:spacing w:after="0" w:line="218" w:lineRule="exact"/>
        <w:rPr>
          <w:sz w:val="20"/>
          <w:szCs w:val="20"/>
          <w:color w:val="auto"/>
        </w:rPr>
      </w:pPr>
    </w:p>
    <w:p>
      <w:pPr>
        <w:ind w:left="6" w:right="180" w:firstLine="760"/>
        <w:spacing w:after="0" w:line="249" w:lineRule="auto"/>
        <w:rPr>
          <w:sz w:val="20"/>
          <w:szCs w:val="20"/>
          <w:color w:val="auto"/>
        </w:rPr>
      </w:pPr>
      <w:r>
        <w:rPr>
          <w:rFonts w:ascii="Arial" w:cs="Arial" w:eastAsia="Arial" w:hAnsi="Arial"/>
          <w:sz w:val="19"/>
          <w:szCs w:val="19"/>
          <w:color w:val="auto"/>
        </w:rPr>
        <w:t>On September 8, 2021, the Compensation Committee of the Board of Directors of Analog Devices, Inc. (the “Company”) approved the terms of the Fiscal 2022 First and Second Fiscal Quarters Executive Performance Incentive Plan (the “First Half FY 2022 Executive Performance Incentive Plan”). All executive officers and other senior management selected by the Chief Executive Officer will participate in the First Half Fiscal 2022 Executive Performance Incentive Plan. Bonus payments under the First Half Fiscal 2022 Executive Performance Incentive Plan are calculated and paid as follows:</w:t>
      </w:r>
    </w:p>
    <w:p>
      <w:pPr>
        <w:spacing w:after="0" w:line="188" w:lineRule="exact"/>
        <w:rPr>
          <w:sz w:val="20"/>
          <w:szCs w:val="20"/>
          <w:color w:val="auto"/>
        </w:rPr>
      </w:pPr>
    </w:p>
    <w:p>
      <w:pPr>
        <w:ind w:left="286" w:hanging="286"/>
        <w:spacing w:after="0"/>
        <w:tabs>
          <w:tab w:leader="none" w:pos="28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participant’s Bonus Target is obtained by multiplying his or her Base Salary by his or her Individual Target Bonus Percentage:</w:t>
      </w:r>
    </w:p>
    <w:p>
      <w:pPr>
        <w:spacing w:after="0" w:line="225" w:lineRule="exact"/>
        <w:rPr>
          <w:rFonts w:ascii="Arial" w:cs="Arial" w:eastAsia="Arial" w:hAnsi="Arial"/>
          <w:sz w:val="18"/>
          <w:szCs w:val="18"/>
          <w:color w:val="auto"/>
        </w:rPr>
      </w:pPr>
    </w:p>
    <w:p>
      <w:pPr>
        <w:ind w:left="846" w:hanging="285"/>
        <w:spacing w:after="0"/>
        <w:tabs>
          <w:tab w:leader="none" w:pos="846" w:val="left"/>
        </w:tabs>
        <w:numPr>
          <w:ilvl w:val="1"/>
          <w:numId w:val="168"/>
        </w:numPr>
        <w:rPr>
          <w:rFonts w:ascii="Arial" w:cs="Arial" w:eastAsia="Arial" w:hAnsi="Arial"/>
          <w:sz w:val="19"/>
          <w:szCs w:val="19"/>
          <w:color w:val="auto"/>
        </w:rPr>
      </w:pPr>
      <w:r>
        <w:rPr>
          <w:rFonts w:ascii="Arial" w:cs="Arial" w:eastAsia="Arial" w:hAnsi="Arial"/>
          <w:sz w:val="19"/>
          <w:szCs w:val="19"/>
          <w:color w:val="auto"/>
        </w:rPr>
        <w:t>Base Salary – the individual’s base pay during the applicable bonus period.</w:t>
      </w:r>
    </w:p>
    <w:p>
      <w:pPr>
        <w:spacing w:after="0" w:line="19" w:lineRule="exact"/>
        <w:rPr>
          <w:rFonts w:ascii="Arial" w:cs="Arial" w:eastAsia="Arial" w:hAnsi="Arial"/>
          <w:sz w:val="19"/>
          <w:szCs w:val="19"/>
          <w:color w:val="auto"/>
        </w:rPr>
      </w:pPr>
    </w:p>
    <w:p>
      <w:pPr>
        <w:ind w:left="846" w:right="300" w:hanging="285"/>
        <w:spacing w:after="0" w:line="248" w:lineRule="auto"/>
        <w:tabs>
          <w:tab w:leader="none" w:pos="842" w:val="left"/>
        </w:tabs>
        <w:numPr>
          <w:ilvl w:val="1"/>
          <w:numId w:val="168"/>
        </w:numPr>
        <w:rPr>
          <w:rFonts w:ascii="Arial" w:cs="Arial" w:eastAsia="Arial" w:hAnsi="Arial"/>
          <w:sz w:val="19"/>
          <w:szCs w:val="19"/>
          <w:color w:val="auto"/>
        </w:rPr>
      </w:pPr>
      <w:r>
        <w:rPr>
          <w:rFonts w:ascii="Arial" w:cs="Arial" w:eastAsia="Arial" w:hAnsi="Arial"/>
          <w:sz w:val="19"/>
          <w:szCs w:val="19"/>
          <w:color w:val="auto"/>
        </w:rPr>
        <w:t>Individual Target Bonus Percentage — a percentage of the individual’s Base Salary, determined individually for each participant by the Compensation Committee and ranging from 50% to 160%.</w:t>
      </w:r>
    </w:p>
    <w:p>
      <w:pPr>
        <w:spacing w:after="0" w:line="187" w:lineRule="exact"/>
        <w:rPr>
          <w:rFonts w:ascii="Arial" w:cs="Arial" w:eastAsia="Arial" w:hAnsi="Arial"/>
          <w:sz w:val="19"/>
          <w:szCs w:val="19"/>
          <w:color w:val="auto"/>
        </w:rPr>
      </w:pPr>
    </w:p>
    <w:p>
      <w:pPr>
        <w:ind w:left="286" w:right="40" w:hanging="286"/>
        <w:spacing w:after="0" w:line="269" w:lineRule="auto"/>
        <w:tabs>
          <w:tab w:leader="none" w:pos="286" w:val="left"/>
        </w:tabs>
        <w:numPr>
          <w:ilvl w:val="0"/>
          <w:numId w:val="168"/>
        </w:numPr>
        <w:rPr>
          <w:rFonts w:ascii="Arial" w:cs="Arial" w:eastAsia="Arial" w:hAnsi="Arial"/>
          <w:sz w:val="17"/>
          <w:szCs w:val="17"/>
          <w:color w:val="auto"/>
        </w:rPr>
      </w:pPr>
      <w:r>
        <w:rPr>
          <w:rFonts w:ascii="Arial" w:cs="Arial" w:eastAsia="Arial" w:hAnsi="Arial"/>
          <w:sz w:val="17"/>
          <w:szCs w:val="17"/>
          <w:color w:val="auto"/>
        </w:rPr>
        <w:t>Each participant’s Bonus Target is then multiplied by the Bonus Payout Factor. The Bonus Payout Factor is equal to (A) 50% of the Bonus Payout Factor (as shown in the table below) based on the Company’s operating profit before tax (OPBT) as a percentage of revenue for the applicable quarter plus (B) 50% of the Bonus Payout Factor (as shown in the table below) based on the Company’s revenue growth for the applicable quarter compared to the same quarter in the prior fiscal year.</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For purposes of the First Half FY 2022 Executive Performance Incentive Plan, revenue will be measured on a sell-in basis (commonly referred to as POA revenue). The calculations of revenue growth and OPBT as a percentage of revenue are adjustable by the Compensation Committee in its sole discretion to take account of special items, including but not limited to: restructuring-related expense, acquisition- or disposition-related items, non-recurring royalty payments or receipts, and other similar non-cash or non-recurring items. If OPBT is equal to or less than 36% of revenue for the applicable quarter, the Bonus Payout Factor shall be zero for that quarter, even if the Company has revenue growth for that quarter. The Bonus Payout Factor can range from 0% to 300%.</w:t>
      </w:r>
    </w:p>
    <w:p>
      <w:pPr>
        <w:spacing w:after="0" w:line="174" w:lineRule="exact"/>
        <w:rPr>
          <w:sz w:val="20"/>
          <w:szCs w:val="20"/>
          <w:color w:val="auto"/>
        </w:rPr>
      </w:pPr>
    </w:p>
    <w:p>
      <w:pPr>
        <w:ind w:left="766"/>
        <w:spacing w:after="0"/>
        <w:rPr>
          <w:sz w:val="20"/>
          <w:szCs w:val="20"/>
          <w:color w:val="auto"/>
        </w:rPr>
      </w:pPr>
      <w:r>
        <w:rPr>
          <w:rFonts w:ascii="Arial" w:cs="Arial" w:eastAsia="Arial" w:hAnsi="Arial"/>
          <w:sz w:val="19"/>
          <w:szCs w:val="19"/>
          <w:color w:val="auto"/>
        </w:rPr>
        <w:t>The following Bonus Payout Factor tables apply under the First Half Fiscal 2022 Executive Performance Incentive Plan:</w:t>
      </w:r>
    </w:p>
    <w:p>
      <w:pPr>
        <w:spacing w:after="0" w:line="249" w:lineRule="exact"/>
        <w:rPr>
          <w:sz w:val="20"/>
          <w:szCs w:val="20"/>
          <w:color w:val="auto"/>
        </w:rPr>
      </w:pPr>
    </w:p>
    <w:tbl>
      <w:tblPr>
        <w:tblLayout w:type="fixed"/>
        <w:tblInd w:w="2346" w:type="dxa"/>
        <w:tblCellMar>
          <w:top w:w="0" w:type="dxa"/>
          <w:left w:w="0" w:type="dxa"/>
          <w:bottom w:w="0" w:type="dxa"/>
          <w:right w:w="0" w:type="dxa"/>
        </w:tblCellMar>
      </w:tblPr>
      <w:tr>
        <w:trPr>
          <w:trHeight w:val="24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w w:val="89"/>
              </w:rPr>
              <w:t>50% of Bonus Based on OPBT/Revenue</w:t>
            </w:r>
          </w:p>
        </w:tc>
        <w:tc>
          <w:tcPr>
            <w:tcW w:w="360" w:type="dxa"/>
            <w:vAlign w:val="bottom"/>
          </w:tcPr>
          <w:p>
            <w:pPr>
              <w:spacing w:after="0"/>
              <w:rPr>
                <w:sz w:val="20"/>
                <w:szCs w:val="20"/>
                <w:color w:val="auto"/>
              </w:rPr>
            </w:pPr>
          </w:p>
        </w:tc>
        <w:tc>
          <w:tcPr>
            <w:tcW w:w="3120" w:type="dxa"/>
            <w:vAlign w:val="bottom"/>
            <w:tcBorders>
              <w:bottom w:val="single" w:sz="8" w:color="auto"/>
            </w:tcBorders>
          </w:tcPr>
          <w:p>
            <w:pPr>
              <w:ind w:left="760"/>
              <w:spacing w:after="0"/>
              <w:rPr>
                <w:sz w:val="20"/>
                <w:szCs w:val="20"/>
                <w:color w:val="auto"/>
              </w:rPr>
            </w:pPr>
            <w:r>
              <w:rPr>
                <w:rFonts w:ascii="Arial" w:cs="Arial" w:eastAsia="Arial" w:hAnsi="Arial"/>
                <w:sz w:val="19"/>
                <w:szCs w:val="19"/>
                <w:color w:val="auto"/>
              </w:rPr>
              <w:t>Bonus Payout Factor</w:t>
            </w:r>
          </w:p>
        </w:tc>
      </w:tr>
      <w:tr>
        <w:trPr>
          <w:trHeight w:val="238"/>
        </w:trPr>
        <w:tc>
          <w:tcPr>
            <w:tcW w:w="3100" w:type="dxa"/>
            <w:vAlign w:val="bottom"/>
            <w:shd w:val="clear" w:color="auto" w:fill="CCEEFF"/>
          </w:tcPr>
          <w:p>
            <w:pPr>
              <w:jc w:val="center"/>
              <w:ind w:right="86"/>
              <w:spacing w:after="0"/>
              <w:rPr>
                <w:sz w:val="20"/>
                <w:szCs w:val="20"/>
                <w:color w:val="auto"/>
              </w:rPr>
            </w:pPr>
            <w:r>
              <w:rPr>
                <w:rFonts w:ascii="Arial" w:cs="Arial" w:eastAsia="Arial" w:hAnsi="Arial"/>
                <w:sz w:val="19"/>
                <w:szCs w:val="19"/>
                <w:color w:val="auto"/>
                <w:w w:val="90"/>
              </w:rPr>
              <w:t>≤36%</w:t>
            </w:r>
          </w:p>
        </w:tc>
        <w:tc>
          <w:tcPr>
            <w:tcW w:w="360" w:type="dxa"/>
            <w:vAlign w:val="bottom"/>
          </w:tcPr>
          <w:p>
            <w:pPr>
              <w:spacing w:after="0"/>
              <w:rPr>
                <w:sz w:val="20"/>
                <w:szCs w:val="20"/>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0%</w:t>
            </w:r>
          </w:p>
        </w:tc>
      </w:tr>
      <w:tr>
        <w:trPr>
          <w:trHeight w:val="244"/>
        </w:trPr>
        <w:tc>
          <w:tcPr>
            <w:tcW w:w="3100" w:type="dxa"/>
            <w:vAlign w:val="bottom"/>
          </w:tcPr>
          <w:p>
            <w:pPr>
              <w:jc w:val="center"/>
              <w:ind w:right="106"/>
              <w:spacing w:after="0"/>
              <w:rPr>
                <w:sz w:val="20"/>
                <w:szCs w:val="20"/>
                <w:color w:val="auto"/>
              </w:rPr>
            </w:pPr>
            <w:r>
              <w:rPr>
                <w:rFonts w:ascii="Arial" w:cs="Arial" w:eastAsia="Arial" w:hAnsi="Arial"/>
                <w:sz w:val="19"/>
                <w:szCs w:val="19"/>
                <w:color w:val="auto"/>
                <w:w w:val="89"/>
              </w:rPr>
              <w:t>39%</w:t>
            </w:r>
          </w:p>
        </w:tc>
        <w:tc>
          <w:tcPr>
            <w:tcW w:w="3480" w:type="dxa"/>
            <w:vAlign w:val="bottom"/>
            <w:gridSpan w:val="2"/>
          </w:tcPr>
          <w:p>
            <w:pPr>
              <w:jc w:val="center"/>
              <w:ind w:left="266"/>
              <w:spacing w:after="0"/>
              <w:rPr>
                <w:sz w:val="20"/>
                <w:szCs w:val="20"/>
                <w:color w:val="auto"/>
              </w:rPr>
            </w:pPr>
            <w:r>
              <w:rPr>
                <w:rFonts w:ascii="Arial" w:cs="Arial" w:eastAsia="Arial" w:hAnsi="Arial"/>
                <w:sz w:val="19"/>
                <w:szCs w:val="19"/>
                <w:color w:val="auto"/>
                <w:w w:val="90"/>
              </w:rPr>
              <w:t>100%</w:t>
            </w:r>
          </w:p>
        </w:tc>
      </w:tr>
      <w:tr>
        <w:trPr>
          <w:trHeight w:val="247"/>
        </w:trPr>
        <w:tc>
          <w:tcPr>
            <w:tcW w:w="3100" w:type="dxa"/>
            <w:vAlign w:val="bottom"/>
            <w:shd w:val="clear" w:color="auto" w:fill="CCEEFF"/>
          </w:tcPr>
          <w:p>
            <w:pPr>
              <w:jc w:val="center"/>
              <w:ind w:right="106"/>
              <w:spacing w:after="0"/>
              <w:rPr>
                <w:sz w:val="20"/>
                <w:szCs w:val="20"/>
                <w:color w:val="auto"/>
              </w:rPr>
            </w:pPr>
            <w:r>
              <w:rPr>
                <w:rFonts w:ascii="Arial" w:cs="Arial" w:eastAsia="Arial" w:hAnsi="Arial"/>
                <w:sz w:val="19"/>
                <w:szCs w:val="19"/>
                <w:color w:val="auto"/>
                <w:w w:val="89"/>
              </w:rPr>
              <w:t>42%</w:t>
            </w:r>
          </w:p>
        </w:tc>
        <w:tc>
          <w:tcPr>
            <w:tcW w:w="360" w:type="dxa"/>
            <w:vAlign w:val="bottom"/>
          </w:tcPr>
          <w:p>
            <w:pPr>
              <w:spacing w:after="0"/>
              <w:rPr>
                <w:sz w:val="21"/>
                <w:szCs w:val="21"/>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0"/>
              </w:rPr>
              <w:t>200%</w:t>
            </w:r>
          </w:p>
        </w:tc>
      </w:tr>
      <w:tr>
        <w:trPr>
          <w:trHeight w:val="243"/>
        </w:trPr>
        <w:tc>
          <w:tcPr>
            <w:tcW w:w="3100" w:type="dxa"/>
            <w:vAlign w:val="bottom"/>
          </w:tcPr>
          <w:p>
            <w:pPr>
              <w:jc w:val="center"/>
              <w:ind w:right="86"/>
              <w:spacing w:after="0"/>
              <w:rPr>
                <w:sz w:val="20"/>
                <w:szCs w:val="20"/>
                <w:color w:val="auto"/>
              </w:rPr>
            </w:pPr>
            <w:r>
              <w:rPr>
                <w:rFonts w:ascii="Arial" w:cs="Arial" w:eastAsia="Arial" w:hAnsi="Arial"/>
                <w:sz w:val="19"/>
                <w:szCs w:val="19"/>
                <w:color w:val="auto"/>
                <w:w w:val="90"/>
              </w:rPr>
              <w:t>≥45%</w:t>
            </w:r>
          </w:p>
        </w:tc>
        <w:tc>
          <w:tcPr>
            <w:tcW w:w="3480" w:type="dxa"/>
            <w:vAlign w:val="bottom"/>
            <w:gridSpan w:val="2"/>
          </w:tcPr>
          <w:p>
            <w:pPr>
              <w:jc w:val="center"/>
              <w:ind w:left="266"/>
              <w:spacing w:after="0"/>
              <w:rPr>
                <w:sz w:val="20"/>
                <w:szCs w:val="20"/>
                <w:color w:val="auto"/>
              </w:rPr>
            </w:pPr>
            <w:r>
              <w:rPr>
                <w:rFonts w:ascii="Arial" w:cs="Arial" w:eastAsia="Arial" w:hAnsi="Arial"/>
                <w:sz w:val="19"/>
                <w:szCs w:val="19"/>
                <w:color w:val="auto"/>
                <w:w w:val="90"/>
              </w:rPr>
              <w:t>300%</w:t>
            </w:r>
          </w:p>
        </w:tc>
      </w:tr>
    </w:tbl>
    <w:p>
      <w:pPr>
        <w:sectPr>
          <w:pgSz w:w="11900" w:h="16838" w:orient="portrait"/>
          <w:cols w:equalWidth="0" w:num="1">
            <w:col w:w="11266"/>
          </w:cols>
          <w:pgMar w:left="314" w:top="334" w:right="319" w:bottom="1440" w:gutter="0" w:footer="0" w:header="0"/>
        </w:sectPr>
      </w:pPr>
    </w:p>
    <w:bookmarkStart w:id="180" w:name="page181"/>
    <w:bookmarkEnd w:id="180"/>
    <w:p>
      <w:pPr>
        <w:spacing w:after="0" w:line="1" w:lineRule="exact"/>
        <w:rPr>
          <w:sz w:val="20"/>
          <w:szCs w:val="20"/>
          <w:color w:val="auto"/>
        </w:rPr>
      </w:pPr>
    </w:p>
    <w:tbl>
      <w:tblPr>
        <w:tblLayout w:type="fixed"/>
        <w:tblInd w:w="2346" w:type="dxa"/>
        <w:tblCellMar>
          <w:top w:w="0" w:type="dxa"/>
          <w:left w:w="0" w:type="dxa"/>
          <w:bottom w:w="0" w:type="dxa"/>
          <w:right w:w="0" w:type="dxa"/>
        </w:tblCellMar>
      </w:tblPr>
      <w:tr>
        <w:trPr>
          <w:trHeight w:val="218"/>
        </w:trPr>
        <w:tc>
          <w:tcPr>
            <w:tcW w:w="3100" w:type="dxa"/>
            <w:vAlign w:val="bottom"/>
          </w:tcPr>
          <w:p>
            <w:pPr>
              <w:jc w:val="center"/>
              <w:spacing w:after="0"/>
              <w:rPr>
                <w:sz w:val="20"/>
                <w:szCs w:val="20"/>
                <w:color w:val="auto"/>
              </w:rPr>
            </w:pPr>
            <w:r>
              <w:rPr>
                <w:rFonts w:ascii="Arial" w:cs="Arial" w:eastAsia="Arial" w:hAnsi="Arial"/>
                <w:sz w:val="19"/>
                <w:szCs w:val="19"/>
                <w:color w:val="auto"/>
                <w:w w:val="87"/>
              </w:rPr>
              <w:t>50% of Bonus Based on Revenue</w:t>
            </w:r>
          </w:p>
        </w:tc>
        <w:tc>
          <w:tcPr>
            <w:tcW w:w="36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40"/>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4"/>
              </w:rPr>
              <w:t>Growth</w:t>
            </w:r>
          </w:p>
        </w:tc>
        <w:tc>
          <w:tcPr>
            <w:tcW w:w="360" w:type="dxa"/>
            <w:vAlign w:val="bottom"/>
          </w:tcPr>
          <w:p>
            <w:pPr>
              <w:spacing w:after="0"/>
              <w:rPr>
                <w:sz w:val="20"/>
                <w:szCs w:val="20"/>
                <w:color w:val="auto"/>
              </w:rPr>
            </w:pPr>
          </w:p>
        </w:tc>
        <w:tc>
          <w:tcPr>
            <w:tcW w:w="3120" w:type="dxa"/>
            <w:vAlign w:val="bottom"/>
            <w:tcBorders>
              <w:bottom w:val="single" w:sz="8" w:color="auto"/>
            </w:tcBorders>
          </w:tcPr>
          <w:p>
            <w:pPr>
              <w:ind w:left="760"/>
              <w:spacing w:after="0"/>
              <w:rPr>
                <w:sz w:val="20"/>
                <w:szCs w:val="20"/>
                <w:color w:val="auto"/>
              </w:rPr>
            </w:pPr>
            <w:r>
              <w:rPr>
                <w:rFonts w:ascii="Arial" w:cs="Arial" w:eastAsia="Arial" w:hAnsi="Arial"/>
                <w:sz w:val="19"/>
                <w:szCs w:val="19"/>
                <w:color w:val="auto"/>
              </w:rPr>
              <w:t>Bonus Payout Factor</w:t>
            </w:r>
          </w:p>
        </w:tc>
      </w:tr>
      <w:tr>
        <w:trPr>
          <w:trHeight w:val="238"/>
        </w:trPr>
        <w:tc>
          <w:tcPr>
            <w:tcW w:w="3100" w:type="dxa"/>
            <w:vAlign w:val="bottom"/>
            <w:shd w:val="clear" w:color="auto" w:fill="CCEEFF"/>
          </w:tcPr>
          <w:p>
            <w:pPr>
              <w:jc w:val="center"/>
              <w:ind w:right="86"/>
              <w:spacing w:after="0"/>
              <w:rPr>
                <w:sz w:val="20"/>
                <w:szCs w:val="20"/>
                <w:color w:val="auto"/>
              </w:rPr>
            </w:pPr>
            <w:r>
              <w:rPr>
                <w:rFonts w:ascii="Arial" w:cs="Arial" w:eastAsia="Arial" w:hAnsi="Arial"/>
                <w:sz w:val="19"/>
                <w:szCs w:val="19"/>
                <w:color w:val="auto"/>
                <w:w w:val="94"/>
              </w:rPr>
              <w:t>≤0%</w:t>
            </w:r>
          </w:p>
        </w:tc>
        <w:tc>
          <w:tcPr>
            <w:tcW w:w="360" w:type="dxa"/>
            <w:vAlign w:val="bottom"/>
          </w:tcPr>
          <w:p>
            <w:pPr>
              <w:spacing w:after="0"/>
              <w:rPr>
                <w:sz w:val="20"/>
                <w:szCs w:val="20"/>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0%</w:t>
            </w:r>
          </w:p>
        </w:tc>
      </w:tr>
      <w:tr>
        <w:trPr>
          <w:trHeight w:val="244"/>
        </w:trPr>
        <w:tc>
          <w:tcPr>
            <w:tcW w:w="3100" w:type="dxa"/>
            <w:vAlign w:val="bottom"/>
          </w:tcPr>
          <w:p>
            <w:pPr>
              <w:jc w:val="center"/>
              <w:ind w:right="106"/>
              <w:spacing w:after="0"/>
              <w:rPr>
                <w:sz w:val="20"/>
                <w:szCs w:val="20"/>
                <w:color w:val="auto"/>
              </w:rPr>
            </w:pPr>
            <w:r>
              <w:rPr>
                <w:rFonts w:ascii="Arial" w:cs="Arial" w:eastAsia="Arial" w:hAnsi="Arial"/>
                <w:sz w:val="19"/>
                <w:szCs w:val="19"/>
                <w:color w:val="auto"/>
                <w:w w:val="94"/>
              </w:rPr>
              <w:t>5%</w:t>
            </w:r>
          </w:p>
        </w:tc>
        <w:tc>
          <w:tcPr>
            <w:tcW w:w="3480" w:type="dxa"/>
            <w:vAlign w:val="bottom"/>
            <w:gridSpan w:val="2"/>
          </w:tcPr>
          <w:p>
            <w:pPr>
              <w:jc w:val="center"/>
              <w:ind w:left="266"/>
              <w:spacing w:after="0"/>
              <w:rPr>
                <w:sz w:val="20"/>
                <w:szCs w:val="20"/>
                <w:color w:val="auto"/>
              </w:rPr>
            </w:pPr>
            <w:r>
              <w:rPr>
                <w:rFonts w:ascii="Arial" w:cs="Arial" w:eastAsia="Arial" w:hAnsi="Arial"/>
                <w:sz w:val="19"/>
                <w:szCs w:val="19"/>
                <w:color w:val="auto"/>
                <w:w w:val="90"/>
              </w:rPr>
              <w:t>100%</w:t>
            </w:r>
          </w:p>
        </w:tc>
      </w:tr>
      <w:tr>
        <w:trPr>
          <w:trHeight w:val="247"/>
        </w:trPr>
        <w:tc>
          <w:tcPr>
            <w:tcW w:w="3100" w:type="dxa"/>
            <w:vAlign w:val="bottom"/>
            <w:shd w:val="clear" w:color="auto" w:fill="CCEEFF"/>
          </w:tcPr>
          <w:p>
            <w:pPr>
              <w:jc w:val="center"/>
              <w:ind w:right="106"/>
              <w:spacing w:after="0"/>
              <w:rPr>
                <w:sz w:val="20"/>
                <w:szCs w:val="20"/>
                <w:color w:val="auto"/>
              </w:rPr>
            </w:pPr>
            <w:r>
              <w:rPr>
                <w:rFonts w:ascii="Arial" w:cs="Arial" w:eastAsia="Arial" w:hAnsi="Arial"/>
                <w:sz w:val="19"/>
                <w:szCs w:val="19"/>
                <w:color w:val="auto"/>
                <w:w w:val="89"/>
              </w:rPr>
              <w:t>10%</w:t>
            </w:r>
          </w:p>
        </w:tc>
        <w:tc>
          <w:tcPr>
            <w:tcW w:w="360" w:type="dxa"/>
            <w:vAlign w:val="bottom"/>
          </w:tcPr>
          <w:p>
            <w:pPr>
              <w:spacing w:after="0"/>
              <w:rPr>
                <w:sz w:val="21"/>
                <w:szCs w:val="21"/>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0"/>
              </w:rPr>
              <w:t>200%</w:t>
            </w:r>
          </w:p>
        </w:tc>
      </w:tr>
      <w:tr>
        <w:trPr>
          <w:trHeight w:val="243"/>
        </w:trPr>
        <w:tc>
          <w:tcPr>
            <w:tcW w:w="3100" w:type="dxa"/>
            <w:vAlign w:val="bottom"/>
          </w:tcPr>
          <w:p>
            <w:pPr>
              <w:jc w:val="center"/>
              <w:ind w:right="86"/>
              <w:spacing w:after="0"/>
              <w:rPr>
                <w:sz w:val="20"/>
                <w:szCs w:val="20"/>
                <w:color w:val="auto"/>
              </w:rPr>
            </w:pPr>
            <w:r>
              <w:rPr>
                <w:rFonts w:ascii="Arial" w:cs="Arial" w:eastAsia="Arial" w:hAnsi="Arial"/>
                <w:sz w:val="19"/>
                <w:szCs w:val="19"/>
                <w:color w:val="auto"/>
                <w:w w:val="90"/>
              </w:rPr>
              <w:t>≥15%</w:t>
            </w:r>
          </w:p>
        </w:tc>
        <w:tc>
          <w:tcPr>
            <w:tcW w:w="3480" w:type="dxa"/>
            <w:vAlign w:val="bottom"/>
            <w:gridSpan w:val="2"/>
          </w:tcPr>
          <w:p>
            <w:pPr>
              <w:jc w:val="center"/>
              <w:ind w:left="266"/>
              <w:spacing w:after="0"/>
              <w:rPr>
                <w:sz w:val="20"/>
                <w:szCs w:val="20"/>
                <w:color w:val="auto"/>
              </w:rPr>
            </w:pPr>
            <w:r>
              <w:rPr>
                <w:rFonts w:ascii="Arial" w:cs="Arial" w:eastAsia="Arial" w:hAnsi="Arial"/>
                <w:sz w:val="19"/>
                <w:szCs w:val="19"/>
                <w:color w:val="auto"/>
                <w:w w:val="90"/>
              </w:rPr>
              <w:t>300%</w:t>
            </w:r>
          </w:p>
        </w:tc>
      </w:tr>
    </w:tbl>
    <w:p>
      <w:pPr>
        <w:spacing w:after="0" w:line="77" w:lineRule="exact"/>
        <w:rPr>
          <w:sz w:val="20"/>
          <w:szCs w:val="20"/>
          <w:color w:val="auto"/>
        </w:rPr>
      </w:pPr>
    </w:p>
    <w:p>
      <w:pPr>
        <w:ind w:left="6" w:right="140" w:firstLine="754"/>
        <w:spacing w:after="0" w:line="223" w:lineRule="auto"/>
        <w:tabs>
          <w:tab w:leader="none" w:pos="857" w:val="left"/>
        </w:tabs>
        <w:numPr>
          <w:ilvl w:val="0"/>
          <w:numId w:val="169"/>
        </w:numPr>
        <w:rPr>
          <w:rFonts w:ascii="Arial" w:cs="Arial" w:eastAsia="Arial" w:hAnsi="Arial"/>
          <w:sz w:val="24"/>
          <w:szCs w:val="24"/>
          <w:color w:val="auto"/>
          <w:vertAlign w:val="superscript"/>
        </w:rPr>
      </w:pPr>
      <w:r>
        <w:rPr>
          <w:rFonts w:ascii="Arial" w:cs="Arial" w:eastAsia="Arial" w:hAnsi="Arial"/>
          <w:sz w:val="19"/>
          <w:szCs w:val="19"/>
          <w:color w:val="auto"/>
        </w:rPr>
        <w:t>In order to facilitate a comparison of fiscal quarters for purposes of the revenue growth element of the plan, all 14-week quarters will be normalized to a 13-week quarter.</w:t>
      </w:r>
    </w:p>
    <w:p>
      <w:pPr>
        <w:spacing w:after="0" w:line="195" w:lineRule="exact"/>
        <w:rPr>
          <w:sz w:val="20"/>
          <w:szCs w:val="20"/>
          <w:color w:val="auto"/>
        </w:rPr>
      </w:pPr>
    </w:p>
    <w:p>
      <w:pPr>
        <w:ind w:left="6" w:right="20" w:firstLine="760"/>
        <w:spacing w:after="0" w:line="264" w:lineRule="auto"/>
        <w:rPr>
          <w:sz w:val="20"/>
          <w:szCs w:val="20"/>
          <w:color w:val="auto"/>
        </w:rPr>
      </w:pPr>
      <w:r>
        <w:rPr>
          <w:rFonts w:ascii="Arial" w:cs="Arial" w:eastAsia="Arial" w:hAnsi="Arial"/>
          <w:sz w:val="18"/>
          <w:szCs w:val="18"/>
          <w:color w:val="auto"/>
        </w:rPr>
        <w:t>The Bonus Payout Factor is determined quarterly and will be linearly interpolated between the values specified in the tables above. For example, if OPBT for a quarter is 40.5% of revenue (which would result in a Bonus Payout Factor of 150% for that element) and revenue growth for the quarter compared to the same quarter in the prior fiscal year was 2.5% (which would result in a Bonus Payout Factor of 50% for that element), then the Bonus Payout Factor for the quarter would be 100% which is the sum of 50% of the OPBT factor of 150% and 50% of the revenue growth factor of 50%. The Bonus Payout Factor is calculated in the same manner under the Company’s First and Second Fiscal Quarters 2022 Analog Devices Performance Incentive Plan for all eligible employees.</w:t>
      </w:r>
    </w:p>
    <w:p>
      <w:pPr>
        <w:spacing w:after="0" w:line="177" w:lineRule="exact"/>
        <w:rPr>
          <w:sz w:val="20"/>
          <w:szCs w:val="20"/>
          <w:color w:val="auto"/>
        </w:rPr>
      </w:pPr>
    </w:p>
    <w:p>
      <w:pPr>
        <w:ind w:left="6" w:right="60" w:firstLine="760"/>
        <w:spacing w:after="0" w:line="325" w:lineRule="auto"/>
        <w:rPr>
          <w:sz w:val="20"/>
          <w:szCs w:val="20"/>
          <w:color w:val="auto"/>
        </w:rPr>
      </w:pPr>
      <w:r>
        <w:rPr>
          <w:rFonts w:ascii="Arial" w:cs="Arial" w:eastAsia="Arial" w:hAnsi="Arial"/>
          <w:sz w:val="17"/>
          <w:szCs w:val="17"/>
          <w:color w:val="auto"/>
        </w:rPr>
        <w:t>A participant’s bonus for a quarter shall be equal to the product obtained by multiplying a participant’s Bonus Target for the quarter by the Bonus Payout Factor for that quarter. Each participant’s Bonus Payment can range from zero to three times his or her Bonus Target.</w:t>
      </w:r>
    </w:p>
    <w:p>
      <w:pPr>
        <w:spacing w:after="0" w:line="125" w:lineRule="exact"/>
        <w:rPr>
          <w:sz w:val="20"/>
          <w:szCs w:val="20"/>
          <w:color w:val="auto"/>
        </w:rPr>
      </w:pPr>
    </w:p>
    <w:p>
      <w:pPr>
        <w:ind w:left="286" w:right="40" w:hanging="286"/>
        <w:spacing w:after="0" w:line="255" w:lineRule="auto"/>
        <w:tabs>
          <w:tab w:leader="none" w:pos="28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First Half 2022 Executive Performance Incentive Plan is a discretionary plan, and the Compensation Committee reserves the right to modify it or reduce a Bonus Payout Factor (including the right not to make bonus payments at all) or terminate it at any time, with or without notice, subject to and in accordance with applicable local law.</w:t>
      </w:r>
    </w:p>
    <w:p>
      <w:pPr>
        <w:spacing w:after="0" w:line="180" w:lineRule="exact"/>
        <w:rPr>
          <w:rFonts w:ascii="Arial" w:cs="Arial" w:eastAsia="Arial" w:hAnsi="Arial"/>
          <w:sz w:val="19"/>
          <w:szCs w:val="19"/>
          <w:color w:val="auto"/>
        </w:rPr>
      </w:pPr>
    </w:p>
    <w:p>
      <w:pPr>
        <w:ind w:left="286" w:right="220" w:hanging="286"/>
        <w:spacing w:after="0" w:line="294" w:lineRule="auto"/>
        <w:tabs>
          <w:tab w:leader="none" w:pos="28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First Half Fiscal 2022 bonus payments, if any, under the First Half 2022 Executive Performance Incentive Plan will be calculated at the end of each fiscal quarter and distributed after the first half of fiscal year 2022, and will be paid on or before June 30, 2022.</w:t>
      </w:r>
    </w:p>
    <w:p>
      <w:pPr>
        <w:spacing w:after="0" w:line="147" w:lineRule="exact"/>
        <w:rPr>
          <w:rFonts w:ascii="Arial" w:cs="Arial" w:eastAsia="Arial" w:hAnsi="Arial"/>
          <w:sz w:val="18"/>
          <w:szCs w:val="18"/>
          <w:color w:val="auto"/>
        </w:rPr>
      </w:pPr>
    </w:p>
    <w:p>
      <w:pPr>
        <w:ind w:left="286" w:right="100" w:hanging="286"/>
        <w:spacing w:after="0" w:line="266" w:lineRule="auto"/>
        <w:tabs>
          <w:tab w:leader="none" w:pos="28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Participants are eligible for a bonus payment beginning with their first full day of employment, so long as they remain actively employed by the Company on the applicable bonus payment date.</w:t>
      </w:r>
    </w:p>
    <w:p>
      <w:pPr>
        <w:spacing w:after="0" w:line="170" w:lineRule="exact"/>
        <w:rPr>
          <w:rFonts w:ascii="Arial" w:cs="Arial" w:eastAsia="Arial" w:hAnsi="Arial"/>
          <w:sz w:val="19"/>
          <w:szCs w:val="19"/>
          <w:color w:val="auto"/>
        </w:rPr>
      </w:pPr>
    </w:p>
    <w:p>
      <w:pPr>
        <w:ind w:left="286" w:hanging="286"/>
        <w:spacing w:after="0" w:line="251" w:lineRule="auto"/>
        <w:tabs>
          <w:tab w:leader="none" w:pos="28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the Company is required pursuant to the listing standards of any national securities exchange or association on which the Company's securities are listed or otherwise by applicable law or regulation to develop and implement a policy providing for the recovery from a participant of any payment under the First Half Fiscal 2022 Executive Performance Incentive Plan, the payment will be subject to recovery in accordance with such clawback policy.</w:t>
      </w:r>
    </w:p>
    <w:p>
      <w:pPr>
        <w:sectPr>
          <w:pgSz w:w="11900" w:h="16838" w:orient="portrait"/>
          <w:cols w:equalWidth="0" w:num="1">
            <w:col w:w="11166"/>
          </w:cols>
          <w:pgMar w:left="314" w:top="1270" w:right="4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7"/>
          <w:szCs w:val="17"/>
          <w:b w:val="1"/>
          <w:bCs w:val="1"/>
          <w:color w:val="auto"/>
        </w:rPr>
        <w:t>Exhibit 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400" w:type="dxa"/>
            <w:vAlign w:val="bottom"/>
            <w:gridSpan w:val="3"/>
          </w:tcPr>
          <w:p>
            <w:pPr>
              <w:jc w:val="center"/>
              <w:ind w:right="2860"/>
              <w:spacing w:after="0"/>
              <w:rPr>
                <w:sz w:val="20"/>
                <w:szCs w:val="20"/>
                <w:color w:val="auto"/>
              </w:rPr>
            </w:pPr>
            <w:r>
              <w:rPr>
                <w:rFonts w:ascii="Arial" w:cs="Arial" w:eastAsia="Arial" w:hAnsi="Arial"/>
                <w:sz w:val="17"/>
                <w:szCs w:val="17"/>
                <w:b w:val="1"/>
                <w:bCs w:val="1"/>
                <w:color w:val="auto"/>
              </w:rPr>
              <w:t>SUBSIDIARIES OF ANALOG DEVICES, INC.</w:t>
            </w:r>
          </w:p>
        </w:tc>
      </w:tr>
      <w:tr>
        <w:trPr>
          <w:trHeight w:val="223"/>
        </w:trPr>
        <w:tc>
          <w:tcPr>
            <w:tcW w:w="1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400" w:type="dxa"/>
            <w:vAlign w:val="bottom"/>
            <w:gridSpan w:val="3"/>
          </w:tcPr>
          <w:p>
            <w:pPr>
              <w:jc w:val="center"/>
              <w:ind w:right="2860"/>
              <w:spacing w:after="0"/>
              <w:rPr>
                <w:sz w:val="20"/>
                <w:szCs w:val="20"/>
                <w:color w:val="auto"/>
              </w:rPr>
            </w:pPr>
            <w:r>
              <w:rPr>
                <w:rFonts w:ascii="Arial" w:cs="Arial" w:eastAsia="Arial" w:hAnsi="Arial"/>
                <w:sz w:val="17"/>
                <w:szCs w:val="17"/>
                <w:b w:val="1"/>
                <w:bCs w:val="1"/>
                <w:color w:val="auto"/>
                <w:w w:val="90"/>
              </w:rPr>
              <w:t>As of October 30, 2021</w:t>
            </w:r>
          </w:p>
        </w:tc>
      </w:tr>
      <w:tr>
        <w:trPr>
          <w:trHeight w:val="406"/>
        </w:trPr>
        <w:tc>
          <w:tcPr>
            <w:tcW w:w="3860" w:type="dxa"/>
            <w:vAlign w:val="bottom"/>
            <w:gridSpan w:val="2"/>
          </w:tcPr>
          <w:p>
            <w:pPr>
              <w:spacing w:after="0"/>
              <w:rPr>
                <w:sz w:val="20"/>
                <w:szCs w:val="20"/>
                <w:color w:val="auto"/>
              </w:rPr>
            </w:pPr>
            <w:r>
              <w:rPr>
                <w:rFonts w:ascii="Arial" w:cs="Arial" w:eastAsia="Arial" w:hAnsi="Arial"/>
                <w:sz w:val="17"/>
                <w:szCs w:val="17"/>
                <w:b w:val="1"/>
                <w:bCs w:val="1"/>
                <w:color w:val="auto"/>
              </w:rPr>
              <w:t>Name of Subsidiary</w:t>
            </w:r>
          </w:p>
        </w:tc>
        <w:tc>
          <w:tcPr>
            <w:tcW w:w="416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Arial" w:cs="Arial" w:eastAsia="Arial" w:hAnsi="Arial"/>
                <w:sz w:val="17"/>
                <w:szCs w:val="17"/>
                <w:b w:val="1"/>
                <w:bCs w:val="1"/>
                <w:color w:val="auto"/>
                <w:w w:val="94"/>
              </w:rPr>
              <w:t>State or Other Jurisdiction of</w:t>
            </w:r>
          </w:p>
        </w:tc>
      </w:tr>
      <w:tr>
        <w:trPr>
          <w:trHeight w:val="144"/>
        </w:trPr>
        <w:tc>
          <w:tcPr>
            <w:tcW w:w="1460" w:type="dxa"/>
            <w:vAlign w:val="bottom"/>
            <w:tcBorders>
              <w:top w:val="single" w:sz="8" w:color="auto"/>
            </w:tcBorders>
          </w:tcPr>
          <w:p>
            <w:pPr>
              <w:spacing w:after="0"/>
              <w:rPr>
                <w:sz w:val="12"/>
                <w:szCs w:val="12"/>
                <w:color w:val="auto"/>
              </w:rPr>
            </w:pPr>
          </w:p>
        </w:tc>
        <w:tc>
          <w:tcPr>
            <w:tcW w:w="24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16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6"/>
                <w:szCs w:val="16"/>
                <w:b w:val="1"/>
                <w:bCs w:val="1"/>
                <w:color w:val="auto"/>
                <w:w w:val="94"/>
              </w:rPr>
              <w:t>Incorporation or Organization</w:t>
            </w:r>
          </w:p>
        </w:tc>
        <w:tc>
          <w:tcPr>
            <w:tcW w:w="80" w:type="dxa"/>
            <w:vAlign w:val="bottom"/>
            <w:tcBorders>
              <w:bottom w:val="single" w:sz="8" w:color="auto"/>
            </w:tcBorders>
          </w:tcPr>
          <w:p>
            <w:pPr>
              <w:spacing w:after="0"/>
              <w:rPr>
                <w:sz w:val="12"/>
                <w:szCs w:val="12"/>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7"/>
                <w:szCs w:val="17"/>
                <w:color w:val="auto"/>
              </w:rPr>
              <w:t>9164-4187 Quebec Inc (dba "Amadis")</w:t>
            </w:r>
          </w:p>
        </w:tc>
        <w:tc>
          <w:tcPr>
            <w:tcW w:w="4160" w:type="dxa"/>
            <w:vAlign w:val="bottom"/>
          </w:tcPr>
          <w:p>
            <w:pPr>
              <w:spacing w:after="0"/>
              <w:rPr>
                <w:sz w:val="19"/>
                <w:szCs w:val="19"/>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Canada</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Acuitas Silicon Limited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Ireland</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Ad Cooperative LLC</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AD Jersey International Unlimited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Jersey</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AD Jersey Technology Unlimited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Jersey</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ADI Micromachines, Inc.</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(China) Co. Ltd.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China</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(Finland) OY</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Finland</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(Hangzhou) Co., Ltd.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China</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(Phils.) Inc.</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Philippines</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(Shanghai) Co., Ltd.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China</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A.B.</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Sweden</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A/S</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Denmark</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Australia Pty. Ltd.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Australia</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Bermuda Ltd.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Bermuda</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Canada, Ltd.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Canada</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Cooperatief U.A.</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Netherlands</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Federal LLC</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Gen. Trias, Inc.</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Philippines</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Holdings, B.V.</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Netherlands</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India Private Limited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India</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International Unlimited Company</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Ireland</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International, Inc.</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MA</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Israel, Ltd.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Israel</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Korea, Ltd.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Korea, Republic Of</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Limited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United Kingdom</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Limited Egypt LLC</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Egypt</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LLC</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México, S. de R.L. de C.V.</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Mexico</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w w:val="93"/>
              </w:rPr>
              <w:t>Analog Devices Mikroelektronik Sanayi Ve Ticaret Ltd.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Turkey</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Nederland, B.V.</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Netherlands</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Norway AS</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Norway</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Pty. Ltd.</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Australia</w:t>
            </w:r>
          </w:p>
        </w:tc>
      </w:tr>
      <w:tr>
        <w:trPr>
          <w:trHeight w:val="210"/>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Realty Holdings, Inc.</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Philippines</w:t>
            </w:r>
          </w:p>
        </w:tc>
      </w:tr>
      <w:tr>
        <w:trPr>
          <w:trHeight w:val="217"/>
        </w:trPr>
        <w:tc>
          <w:tcPr>
            <w:tcW w:w="3860" w:type="dxa"/>
            <w:vAlign w:val="bottom"/>
            <w:gridSpan w:val="2"/>
          </w:tcPr>
          <w:p>
            <w:pPr>
              <w:spacing w:after="0"/>
              <w:rPr>
                <w:sz w:val="20"/>
                <w:szCs w:val="20"/>
                <w:color w:val="auto"/>
              </w:rPr>
            </w:pPr>
            <w:r>
              <w:rPr>
                <w:rFonts w:ascii="Arial" w:cs="Arial" w:eastAsia="Arial" w:hAnsi="Arial"/>
                <w:sz w:val="17"/>
                <w:szCs w:val="17"/>
                <w:color w:val="auto"/>
              </w:rPr>
              <w:t>Analog Devices S.L.U.</w:t>
            </w:r>
          </w:p>
        </w:tc>
        <w:tc>
          <w:tcPr>
            <w:tcW w:w="416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7"/>
                <w:szCs w:val="17"/>
                <w:color w:val="auto"/>
              </w:rPr>
              <w:t>Spain</w:t>
            </w:r>
          </w:p>
        </w:tc>
      </w:tr>
    </w:tbl>
    <w:p>
      <w:pPr>
        <w:sectPr>
          <w:pgSz w:w="11900" w:h="16838" w:orient="portrait"/>
          <w:cols w:equalWidth="0" w:num="1">
            <w:col w:w="11260"/>
          </w:cols>
          <w:pgMar w:left="320" w:top="1242" w:right="319" w:bottom="1440" w:gutter="0" w:footer="0" w:header="0"/>
        </w:sectPr>
      </w:pPr>
    </w:p>
    <w:bookmarkStart w:id="182" w:name="page183"/>
    <w:bookmarkEnd w:id="1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Name of Subsidiary</w:t>
            </w:r>
          </w:p>
        </w:tc>
        <w:tc>
          <w:tcPr>
            <w:tcW w:w="2240" w:type="dxa"/>
            <w:vAlign w:val="bottom"/>
            <w:gridSpan w:val="2"/>
          </w:tcPr>
          <w:p>
            <w:pPr>
              <w:spacing w:after="0"/>
              <w:rPr>
                <w:sz w:val="20"/>
                <w:szCs w:val="20"/>
                <w:color w:val="auto"/>
              </w:rPr>
            </w:pPr>
            <w:r>
              <w:rPr>
                <w:rFonts w:ascii="Arial" w:cs="Arial" w:eastAsia="Arial" w:hAnsi="Arial"/>
                <w:sz w:val="17"/>
                <w:szCs w:val="17"/>
                <w:b w:val="1"/>
                <w:bCs w:val="1"/>
                <w:color w:val="auto"/>
                <w:w w:val="94"/>
              </w:rPr>
              <w:t>State or Other Jurisdiction of</w:t>
            </w:r>
          </w:p>
        </w:tc>
      </w:tr>
      <w:tr>
        <w:trPr>
          <w:trHeight w:val="144"/>
        </w:trPr>
        <w:tc>
          <w:tcPr>
            <w:tcW w:w="1460" w:type="dxa"/>
            <w:vAlign w:val="bottom"/>
            <w:tcBorders>
              <w:top w:val="single" w:sz="8" w:color="auto"/>
            </w:tcBorders>
          </w:tcPr>
          <w:p>
            <w:pPr>
              <w:spacing w:after="0"/>
              <w:rPr>
                <w:sz w:val="12"/>
                <w:szCs w:val="12"/>
                <w:color w:val="auto"/>
              </w:rPr>
            </w:pPr>
          </w:p>
        </w:tc>
        <w:tc>
          <w:tcPr>
            <w:tcW w:w="6560" w:type="dxa"/>
            <w:vAlign w:val="bottom"/>
          </w:tcPr>
          <w:p>
            <w:pPr>
              <w:spacing w:after="0"/>
              <w:rPr>
                <w:sz w:val="12"/>
                <w:szCs w:val="12"/>
                <w:color w:val="auto"/>
              </w:rPr>
            </w:pPr>
          </w:p>
        </w:tc>
        <w:tc>
          <w:tcPr>
            <w:tcW w:w="216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6"/>
                <w:szCs w:val="16"/>
                <w:b w:val="1"/>
                <w:bCs w:val="1"/>
                <w:color w:val="auto"/>
                <w:w w:val="94"/>
              </w:rPr>
              <w:t>Incorporation or Organization</w:t>
            </w:r>
          </w:p>
        </w:tc>
        <w:tc>
          <w:tcPr>
            <w:tcW w:w="80" w:type="dxa"/>
            <w:vAlign w:val="bottom"/>
            <w:tcBorders>
              <w:bottom w:val="single" w:sz="8" w:color="auto"/>
            </w:tcBorders>
          </w:tcPr>
          <w:p>
            <w:pPr>
              <w:spacing w:after="0"/>
              <w:rPr>
                <w:sz w:val="12"/>
                <w:szCs w:val="12"/>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7"/>
                <w:szCs w:val="17"/>
                <w:color w:val="auto"/>
              </w:rPr>
              <w:t>Analog Devices Sdn Bhd</w:t>
            </w:r>
          </w:p>
        </w:tc>
        <w:tc>
          <w:tcPr>
            <w:tcW w:w="2240" w:type="dxa"/>
            <w:vAlign w:val="bottom"/>
            <w:gridSpan w:val="2"/>
          </w:tcPr>
          <w:p>
            <w:pPr>
              <w:spacing w:after="0"/>
              <w:rPr>
                <w:sz w:val="20"/>
                <w:szCs w:val="20"/>
                <w:color w:val="auto"/>
              </w:rPr>
            </w:pPr>
            <w:r>
              <w:rPr>
                <w:rFonts w:ascii="Arial" w:cs="Arial" w:eastAsia="Arial" w:hAnsi="Arial"/>
                <w:sz w:val="17"/>
                <w:szCs w:val="17"/>
                <w:color w:val="auto"/>
              </w:rPr>
              <w:t>Malaysia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Analog Devices SP. Z o.o.</w:t>
            </w:r>
          </w:p>
        </w:tc>
        <w:tc>
          <w:tcPr>
            <w:tcW w:w="2240" w:type="dxa"/>
            <w:vAlign w:val="bottom"/>
            <w:gridSpan w:val="2"/>
          </w:tcPr>
          <w:p>
            <w:pPr>
              <w:spacing w:after="0"/>
              <w:rPr>
                <w:sz w:val="20"/>
                <w:szCs w:val="20"/>
                <w:color w:val="auto"/>
              </w:rPr>
            </w:pPr>
            <w:r>
              <w:rPr>
                <w:rFonts w:ascii="Arial" w:cs="Arial" w:eastAsia="Arial" w:hAnsi="Arial"/>
                <w:sz w:val="17"/>
                <w:szCs w:val="17"/>
                <w:color w:val="auto"/>
              </w:rPr>
              <w:t>Poland</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Analog Devices Srl</w:t>
            </w:r>
          </w:p>
        </w:tc>
        <w:tc>
          <w:tcPr>
            <w:tcW w:w="2240" w:type="dxa"/>
            <w:vAlign w:val="bottom"/>
            <w:gridSpan w:val="2"/>
          </w:tcPr>
          <w:p>
            <w:pPr>
              <w:spacing w:after="0"/>
              <w:rPr>
                <w:sz w:val="20"/>
                <w:szCs w:val="20"/>
                <w:color w:val="auto"/>
              </w:rPr>
            </w:pPr>
            <w:r>
              <w:rPr>
                <w:rFonts w:ascii="Arial" w:cs="Arial" w:eastAsia="Arial" w:hAnsi="Arial"/>
                <w:sz w:val="17"/>
                <w:szCs w:val="17"/>
                <w:color w:val="auto"/>
              </w:rPr>
              <w:t>Italy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Analog Devices Taiwan, Ltd.</w:t>
            </w:r>
          </w:p>
        </w:tc>
        <w:tc>
          <w:tcPr>
            <w:tcW w:w="2240" w:type="dxa"/>
            <w:vAlign w:val="bottom"/>
            <w:gridSpan w:val="2"/>
          </w:tcPr>
          <w:p>
            <w:pPr>
              <w:spacing w:after="0"/>
              <w:rPr>
                <w:sz w:val="20"/>
                <w:szCs w:val="20"/>
                <w:color w:val="auto"/>
              </w:rPr>
            </w:pPr>
            <w:r>
              <w:rPr>
                <w:rFonts w:ascii="Arial" w:cs="Arial" w:eastAsia="Arial" w:hAnsi="Arial"/>
                <w:sz w:val="17"/>
                <w:szCs w:val="17"/>
                <w:color w:val="auto"/>
              </w:rPr>
              <w:t>Taiwan, Province Of China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Analog Devices, GmbH</w:t>
            </w:r>
          </w:p>
        </w:tc>
        <w:tc>
          <w:tcPr>
            <w:tcW w:w="2240" w:type="dxa"/>
            <w:vAlign w:val="bottom"/>
            <w:gridSpan w:val="2"/>
          </w:tcPr>
          <w:p>
            <w:pPr>
              <w:spacing w:after="0"/>
              <w:rPr>
                <w:sz w:val="20"/>
                <w:szCs w:val="20"/>
                <w:color w:val="auto"/>
              </w:rPr>
            </w:pPr>
            <w:r>
              <w:rPr>
                <w:rFonts w:ascii="Arial" w:cs="Arial" w:eastAsia="Arial" w:hAnsi="Arial"/>
                <w:sz w:val="17"/>
                <w:szCs w:val="17"/>
                <w:color w:val="auto"/>
              </w:rPr>
              <w:t>Austria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Analog Devices, GmbH</w:t>
            </w:r>
          </w:p>
        </w:tc>
        <w:tc>
          <w:tcPr>
            <w:tcW w:w="2240" w:type="dxa"/>
            <w:vAlign w:val="bottom"/>
            <w:gridSpan w:val="2"/>
          </w:tcPr>
          <w:p>
            <w:pPr>
              <w:spacing w:after="0"/>
              <w:rPr>
                <w:sz w:val="20"/>
                <w:szCs w:val="20"/>
                <w:color w:val="auto"/>
              </w:rPr>
            </w:pPr>
            <w:r>
              <w:rPr>
                <w:rFonts w:ascii="Arial" w:cs="Arial" w:eastAsia="Arial" w:hAnsi="Arial"/>
                <w:sz w:val="17"/>
                <w:szCs w:val="17"/>
                <w:color w:val="auto"/>
              </w:rPr>
              <w:t>Germany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Analog Devices,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MA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Analog Devices, K.K.</w:t>
            </w:r>
          </w:p>
        </w:tc>
        <w:tc>
          <w:tcPr>
            <w:tcW w:w="2240" w:type="dxa"/>
            <w:vAlign w:val="bottom"/>
            <w:gridSpan w:val="2"/>
          </w:tcPr>
          <w:p>
            <w:pPr>
              <w:spacing w:after="0"/>
              <w:rPr>
                <w:sz w:val="20"/>
                <w:szCs w:val="20"/>
                <w:color w:val="auto"/>
              </w:rPr>
            </w:pPr>
            <w:r>
              <w:rPr>
                <w:rFonts w:ascii="Arial" w:cs="Arial" w:eastAsia="Arial" w:hAnsi="Arial"/>
                <w:sz w:val="17"/>
                <w:szCs w:val="17"/>
                <w:color w:val="auto"/>
              </w:rPr>
              <w:t>Japan</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Analog Devices, SAS</w:t>
            </w:r>
          </w:p>
        </w:tc>
        <w:tc>
          <w:tcPr>
            <w:tcW w:w="2240" w:type="dxa"/>
            <w:vAlign w:val="bottom"/>
            <w:gridSpan w:val="2"/>
          </w:tcPr>
          <w:p>
            <w:pPr>
              <w:spacing w:after="0"/>
              <w:rPr>
                <w:sz w:val="20"/>
                <w:szCs w:val="20"/>
                <w:color w:val="auto"/>
              </w:rPr>
            </w:pPr>
            <w:r>
              <w:rPr>
                <w:rFonts w:ascii="Arial" w:cs="Arial" w:eastAsia="Arial" w:hAnsi="Arial"/>
                <w:sz w:val="17"/>
                <w:szCs w:val="17"/>
                <w:color w:val="auto"/>
              </w:rPr>
              <w:t>France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Bedrock Automation Platforms,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Calvatec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England &amp; Wales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Cambridge Analog Technologies,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Electric Motors Test, S.L.</w:t>
            </w:r>
          </w:p>
        </w:tc>
        <w:tc>
          <w:tcPr>
            <w:tcW w:w="2240" w:type="dxa"/>
            <w:vAlign w:val="bottom"/>
            <w:gridSpan w:val="2"/>
          </w:tcPr>
          <w:p>
            <w:pPr>
              <w:spacing w:after="0"/>
              <w:rPr>
                <w:sz w:val="20"/>
                <w:szCs w:val="20"/>
                <w:color w:val="auto"/>
              </w:rPr>
            </w:pPr>
            <w:r>
              <w:rPr>
                <w:rFonts w:ascii="Arial" w:cs="Arial" w:eastAsia="Arial" w:hAnsi="Arial"/>
                <w:sz w:val="17"/>
                <w:szCs w:val="17"/>
                <w:color w:val="auto"/>
              </w:rPr>
              <w:t>Spain</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Hittite Microwave Holding LLC</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Hittite Microwave India Private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India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Hittite Microwave LLC</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Hittite Microwave SARL</w:t>
            </w:r>
          </w:p>
        </w:tc>
        <w:tc>
          <w:tcPr>
            <w:tcW w:w="2240" w:type="dxa"/>
            <w:vAlign w:val="bottom"/>
            <w:gridSpan w:val="2"/>
          </w:tcPr>
          <w:p>
            <w:pPr>
              <w:spacing w:after="0"/>
              <w:rPr>
                <w:sz w:val="20"/>
                <w:szCs w:val="20"/>
                <w:color w:val="auto"/>
              </w:rPr>
            </w:pPr>
            <w:r>
              <w:rPr>
                <w:rFonts w:ascii="Arial" w:cs="Arial" w:eastAsia="Arial" w:hAnsi="Arial"/>
                <w:sz w:val="17"/>
                <w:szCs w:val="17"/>
                <w:color w:val="auto"/>
              </w:rPr>
              <w:t>France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HMC Netherlands, C.V.</w:t>
            </w:r>
          </w:p>
        </w:tc>
        <w:tc>
          <w:tcPr>
            <w:tcW w:w="2240" w:type="dxa"/>
            <w:vAlign w:val="bottom"/>
            <w:gridSpan w:val="2"/>
          </w:tcPr>
          <w:p>
            <w:pPr>
              <w:spacing w:after="0"/>
              <w:rPr>
                <w:sz w:val="20"/>
                <w:szCs w:val="20"/>
                <w:color w:val="auto"/>
              </w:rPr>
            </w:pPr>
            <w:r>
              <w:rPr>
                <w:rFonts w:ascii="Arial" w:cs="Arial" w:eastAsia="Arial" w:hAnsi="Arial"/>
                <w:sz w:val="17"/>
                <w:szCs w:val="17"/>
                <w:color w:val="auto"/>
              </w:rPr>
              <w:t>Netherlands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Icron Technologies Corporation</w:t>
            </w:r>
          </w:p>
        </w:tc>
        <w:tc>
          <w:tcPr>
            <w:tcW w:w="2240" w:type="dxa"/>
            <w:vAlign w:val="bottom"/>
            <w:gridSpan w:val="2"/>
          </w:tcPr>
          <w:p>
            <w:pPr>
              <w:spacing w:after="0"/>
              <w:rPr>
                <w:sz w:val="20"/>
                <w:szCs w:val="20"/>
                <w:color w:val="auto"/>
              </w:rPr>
            </w:pPr>
            <w:r>
              <w:rPr>
                <w:rFonts w:ascii="Arial" w:cs="Arial" w:eastAsia="Arial" w:hAnsi="Arial"/>
                <w:sz w:val="17"/>
                <w:szCs w:val="17"/>
                <w:color w:val="auto"/>
              </w:rPr>
              <w:t>Canada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Innova Card</w:t>
            </w:r>
          </w:p>
        </w:tc>
        <w:tc>
          <w:tcPr>
            <w:tcW w:w="2240" w:type="dxa"/>
            <w:vAlign w:val="bottom"/>
            <w:gridSpan w:val="2"/>
          </w:tcPr>
          <w:p>
            <w:pPr>
              <w:spacing w:after="0"/>
              <w:rPr>
                <w:sz w:val="20"/>
                <w:szCs w:val="20"/>
                <w:color w:val="auto"/>
              </w:rPr>
            </w:pPr>
            <w:r>
              <w:rPr>
                <w:rFonts w:ascii="Arial" w:cs="Arial" w:eastAsia="Arial" w:hAnsi="Arial"/>
                <w:sz w:val="17"/>
                <w:szCs w:val="17"/>
                <w:color w:val="auto"/>
              </w:rPr>
              <w:t>France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Innovasic,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L&amp;L Engineering, LLC</w:t>
            </w:r>
          </w:p>
        </w:tc>
        <w:tc>
          <w:tcPr>
            <w:tcW w:w="2240" w:type="dxa"/>
            <w:vAlign w:val="bottom"/>
            <w:gridSpan w:val="2"/>
          </w:tcPr>
          <w:p>
            <w:pPr>
              <w:spacing w:after="0"/>
              <w:rPr>
                <w:sz w:val="20"/>
                <w:szCs w:val="20"/>
                <w:color w:val="auto"/>
              </w:rPr>
            </w:pPr>
            <w:r>
              <w:rPr>
                <w:rFonts w:ascii="Arial" w:cs="Arial" w:eastAsia="Arial" w:hAnsi="Arial"/>
                <w:sz w:val="17"/>
                <w:szCs w:val="17"/>
                <w:color w:val="auto"/>
              </w:rPr>
              <w:t>New Hampshire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(Israel) Ltd.</w:t>
            </w:r>
          </w:p>
        </w:tc>
        <w:tc>
          <w:tcPr>
            <w:tcW w:w="2240" w:type="dxa"/>
            <w:vAlign w:val="bottom"/>
            <w:gridSpan w:val="2"/>
          </w:tcPr>
          <w:p>
            <w:pPr>
              <w:spacing w:after="0"/>
              <w:rPr>
                <w:sz w:val="20"/>
                <w:szCs w:val="20"/>
                <w:color w:val="auto"/>
              </w:rPr>
            </w:pPr>
            <w:r>
              <w:rPr>
                <w:rFonts w:ascii="Arial" w:cs="Arial" w:eastAsia="Arial" w:hAnsi="Arial"/>
                <w:sz w:val="17"/>
                <w:szCs w:val="17"/>
                <w:color w:val="auto"/>
              </w:rPr>
              <w:t>Israel</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(U.K.)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United Kingdom</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Canada Corp.</w:t>
            </w:r>
          </w:p>
        </w:tc>
        <w:tc>
          <w:tcPr>
            <w:tcW w:w="2240" w:type="dxa"/>
            <w:vAlign w:val="bottom"/>
            <w:gridSpan w:val="2"/>
          </w:tcPr>
          <w:p>
            <w:pPr>
              <w:spacing w:after="0"/>
              <w:rPr>
                <w:sz w:val="20"/>
                <w:szCs w:val="20"/>
                <w:color w:val="auto"/>
              </w:rPr>
            </w:pPr>
            <w:r>
              <w:rPr>
                <w:rFonts w:ascii="Arial" w:cs="Arial" w:eastAsia="Arial" w:hAnsi="Arial"/>
                <w:sz w:val="17"/>
                <w:szCs w:val="17"/>
                <w:color w:val="auto"/>
              </w:rPr>
              <w:t>Canada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Corporation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Hong Kong</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GK</w:t>
            </w:r>
          </w:p>
        </w:tc>
        <w:tc>
          <w:tcPr>
            <w:tcW w:w="2240" w:type="dxa"/>
            <w:vAlign w:val="bottom"/>
            <w:gridSpan w:val="2"/>
          </w:tcPr>
          <w:p>
            <w:pPr>
              <w:spacing w:after="0"/>
              <w:rPr>
                <w:sz w:val="20"/>
                <w:szCs w:val="20"/>
                <w:color w:val="auto"/>
              </w:rPr>
            </w:pPr>
            <w:r>
              <w:rPr>
                <w:rFonts w:ascii="Arial" w:cs="Arial" w:eastAsia="Arial" w:hAnsi="Arial"/>
                <w:sz w:val="17"/>
                <w:szCs w:val="17"/>
                <w:color w:val="auto"/>
              </w:rPr>
              <w:t>Japan</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Holding Company</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Holding LLC</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KK</w:t>
            </w:r>
          </w:p>
        </w:tc>
        <w:tc>
          <w:tcPr>
            <w:tcW w:w="2240" w:type="dxa"/>
            <w:vAlign w:val="bottom"/>
            <w:gridSpan w:val="2"/>
          </w:tcPr>
          <w:p>
            <w:pPr>
              <w:spacing w:after="0"/>
              <w:rPr>
                <w:sz w:val="20"/>
                <w:szCs w:val="20"/>
                <w:color w:val="auto"/>
              </w:rPr>
            </w:pPr>
            <w:r>
              <w:rPr>
                <w:rFonts w:ascii="Arial" w:cs="Arial" w:eastAsia="Arial" w:hAnsi="Arial"/>
                <w:sz w:val="17"/>
                <w:szCs w:val="17"/>
                <w:color w:val="auto"/>
              </w:rPr>
              <w:t>Japan</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PTE Ltd</w:t>
            </w:r>
          </w:p>
        </w:tc>
        <w:tc>
          <w:tcPr>
            <w:tcW w:w="2240" w:type="dxa"/>
            <w:vAlign w:val="bottom"/>
            <w:gridSpan w:val="2"/>
          </w:tcPr>
          <w:p>
            <w:pPr>
              <w:spacing w:after="0"/>
              <w:rPr>
                <w:sz w:val="20"/>
                <w:szCs w:val="20"/>
                <w:color w:val="auto"/>
              </w:rPr>
            </w:pPr>
            <w:r>
              <w:rPr>
                <w:rFonts w:ascii="Arial" w:cs="Arial" w:eastAsia="Arial" w:hAnsi="Arial"/>
                <w:sz w:val="17"/>
                <w:szCs w:val="17"/>
                <w:color w:val="auto"/>
              </w:rPr>
              <w:t>Singapore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S.A.R.L.</w:t>
            </w:r>
          </w:p>
        </w:tc>
        <w:tc>
          <w:tcPr>
            <w:tcW w:w="2240" w:type="dxa"/>
            <w:vAlign w:val="bottom"/>
            <w:gridSpan w:val="2"/>
          </w:tcPr>
          <w:p>
            <w:pPr>
              <w:spacing w:after="0"/>
              <w:rPr>
                <w:sz w:val="20"/>
                <w:szCs w:val="20"/>
                <w:color w:val="auto"/>
              </w:rPr>
            </w:pPr>
            <w:r>
              <w:rPr>
                <w:rFonts w:ascii="Arial" w:cs="Arial" w:eastAsia="Arial" w:hAnsi="Arial"/>
                <w:sz w:val="17"/>
                <w:szCs w:val="17"/>
                <w:color w:val="auto"/>
              </w:rPr>
              <w:t>France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Semiconductor India Private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India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Linear Technology Taiwan Corporation</w:t>
            </w:r>
          </w:p>
        </w:tc>
        <w:tc>
          <w:tcPr>
            <w:tcW w:w="2240" w:type="dxa"/>
            <w:vAlign w:val="bottom"/>
            <w:gridSpan w:val="2"/>
          </w:tcPr>
          <w:p>
            <w:pPr>
              <w:spacing w:after="0"/>
              <w:rPr>
                <w:sz w:val="20"/>
                <w:szCs w:val="20"/>
                <w:color w:val="auto"/>
              </w:rPr>
            </w:pPr>
            <w:r>
              <w:rPr>
                <w:rFonts w:ascii="Arial" w:cs="Arial" w:eastAsia="Arial" w:hAnsi="Arial"/>
                <w:sz w:val="17"/>
                <w:szCs w:val="17"/>
                <w:color w:val="auto"/>
              </w:rPr>
              <w:t>Taiwan, Province Of China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Lyric Semiconductor,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Lyric Semiconductor,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Magneto Corp.</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(I.P.) Enterprise Solutions Corporation</w:t>
            </w:r>
          </w:p>
        </w:tc>
        <w:tc>
          <w:tcPr>
            <w:tcW w:w="2240" w:type="dxa"/>
            <w:vAlign w:val="bottom"/>
            <w:gridSpan w:val="2"/>
          </w:tcPr>
          <w:p>
            <w:pPr>
              <w:spacing w:after="0"/>
              <w:rPr>
                <w:sz w:val="20"/>
                <w:szCs w:val="20"/>
                <w:color w:val="auto"/>
              </w:rPr>
            </w:pPr>
            <w:r>
              <w:rPr>
                <w:rFonts w:ascii="Arial" w:cs="Arial" w:eastAsia="Arial" w:hAnsi="Arial"/>
                <w:sz w:val="17"/>
                <w:szCs w:val="17"/>
                <w:color w:val="auto"/>
              </w:rPr>
              <w:t>Philippines</w:t>
            </w:r>
          </w:p>
        </w:tc>
      </w:tr>
      <w:tr>
        <w:trPr>
          <w:trHeight w:val="217"/>
        </w:trPr>
        <w:tc>
          <w:tcPr>
            <w:tcW w:w="8020" w:type="dxa"/>
            <w:vAlign w:val="bottom"/>
            <w:gridSpan w:val="2"/>
          </w:tcPr>
          <w:p>
            <w:pPr>
              <w:spacing w:after="0"/>
              <w:rPr>
                <w:sz w:val="20"/>
                <w:szCs w:val="20"/>
                <w:color w:val="auto"/>
              </w:rPr>
            </w:pPr>
            <w:r>
              <w:rPr>
                <w:rFonts w:ascii="Arial" w:cs="Arial" w:eastAsia="Arial" w:hAnsi="Arial"/>
                <w:sz w:val="17"/>
                <w:szCs w:val="17"/>
                <w:color w:val="auto"/>
              </w:rPr>
              <w:t>Maxim Dallas (Shanghai) Semiconductor Trading Co. Ltd.</w:t>
            </w:r>
          </w:p>
        </w:tc>
        <w:tc>
          <w:tcPr>
            <w:tcW w:w="2240" w:type="dxa"/>
            <w:vAlign w:val="bottom"/>
            <w:gridSpan w:val="2"/>
          </w:tcPr>
          <w:p>
            <w:pPr>
              <w:spacing w:after="0"/>
              <w:rPr>
                <w:sz w:val="20"/>
                <w:szCs w:val="20"/>
                <w:color w:val="auto"/>
              </w:rPr>
            </w:pPr>
            <w:r>
              <w:rPr>
                <w:rFonts w:ascii="Arial" w:cs="Arial" w:eastAsia="Arial" w:hAnsi="Arial"/>
                <w:sz w:val="17"/>
                <w:szCs w:val="17"/>
                <w:color w:val="auto"/>
              </w:rPr>
              <w:t>China</w:t>
            </w:r>
          </w:p>
        </w:tc>
      </w:tr>
    </w:tbl>
    <w:p>
      <w:pPr>
        <w:sectPr>
          <w:pgSz w:w="11900" w:h="16838" w:orient="portrait"/>
          <w:cols w:equalWidth="0" w:num="1">
            <w:col w:w="10260"/>
          </w:cols>
          <w:pgMar w:left="320" w:top="1265" w:right="1319"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Name of Subsidiary</w:t>
            </w:r>
          </w:p>
        </w:tc>
        <w:tc>
          <w:tcPr>
            <w:tcW w:w="2240" w:type="dxa"/>
            <w:vAlign w:val="bottom"/>
            <w:gridSpan w:val="2"/>
          </w:tcPr>
          <w:p>
            <w:pPr>
              <w:spacing w:after="0"/>
              <w:rPr>
                <w:sz w:val="20"/>
                <w:szCs w:val="20"/>
                <w:color w:val="auto"/>
              </w:rPr>
            </w:pPr>
            <w:r>
              <w:rPr>
                <w:rFonts w:ascii="Arial" w:cs="Arial" w:eastAsia="Arial" w:hAnsi="Arial"/>
                <w:sz w:val="17"/>
                <w:szCs w:val="17"/>
                <w:b w:val="1"/>
                <w:bCs w:val="1"/>
                <w:color w:val="auto"/>
                <w:w w:val="94"/>
              </w:rPr>
              <w:t>State or Other Jurisdiction of</w:t>
            </w:r>
          </w:p>
        </w:tc>
      </w:tr>
      <w:tr>
        <w:trPr>
          <w:trHeight w:val="144"/>
        </w:trPr>
        <w:tc>
          <w:tcPr>
            <w:tcW w:w="1460" w:type="dxa"/>
            <w:vAlign w:val="bottom"/>
            <w:tcBorders>
              <w:top w:val="single" w:sz="8" w:color="auto"/>
            </w:tcBorders>
          </w:tcPr>
          <w:p>
            <w:pPr>
              <w:spacing w:after="0"/>
              <w:rPr>
                <w:sz w:val="12"/>
                <w:szCs w:val="12"/>
                <w:color w:val="auto"/>
              </w:rPr>
            </w:pPr>
          </w:p>
        </w:tc>
        <w:tc>
          <w:tcPr>
            <w:tcW w:w="6560" w:type="dxa"/>
            <w:vAlign w:val="bottom"/>
          </w:tcPr>
          <w:p>
            <w:pPr>
              <w:spacing w:after="0"/>
              <w:rPr>
                <w:sz w:val="12"/>
                <w:szCs w:val="12"/>
                <w:color w:val="auto"/>
              </w:rPr>
            </w:pPr>
          </w:p>
        </w:tc>
        <w:tc>
          <w:tcPr>
            <w:tcW w:w="216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6"/>
                <w:szCs w:val="16"/>
                <w:b w:val="1"/>
                <w:bCs w:val="1"/>
                <w:color w:val="auto"/>
                <w:w w:val="94"/>
              </w:rPr>
              <w:t>Incorporation or Organization</w:t>
            </w:r>
          </w:p>
        </w:tc>
        <w:tc>
          <w:tcPr>
            <w:tcW w:w="80" w:type="dxa"/>
            <w:vAlign w:val="bottom"/>
            <w:tcBorders>
              <w:bottom w:val="single" w:sz="8" w:color="auto"/>
            </w:tcBorders>
          </w:tcPr>
          <w:p>
            <w:pPr>
              <w:spacing w:after="0"/>
              <w:rPr>
                <w:sz w:val="12"/>
                <w:szCs w:val="12"/>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7"/>
                <w:szCs w:val="17"/>
                <w:color w:val="auto"/>
              </w:rPr>
              <w:t>Maxim Dallas (Shanghai) Semiconductor Trading Co., Ltd. Beijing Haidian Branch</w:t>
            </w:r>
          </w:p>
        </w:tc>
        <w:tc>
          <w:tcPr>
            <w:tcW w:w="2240" w:type="dxa"/>
            <w:vAlign w:val="bottom"/>
            <w:gridSpan w:val="2"/>
          </w:tcPr>
          <w:p>
            <w:pPr>
              <w:spacing w:after="0"/>
              <w:rPr>
                <w:sz w:val="20"/>
                <w:szCs w:val="20"/>
                <w:color w:val="auto"/>
              </w:rPr>
            </w:pPr>
            <w:r>
              <w:rPr>
                <w:rFonts w:ascii="Arial" w:cs="Arial" w:eastAsia="Arial" w:hAnsi="Arial"/>
                <w:sz w:val="17"/>
                <w:szCs w:val="17"/>
                <w:color w:val="auto"/>
              </w:rPr>
              <w:t>China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Dallas (Shanghai) Semiconductor Trading Co., Ltd. Shenzhen Branch</w:t>
            </w:r>
          </w:p>
        </w:tc>
        <w:tc>
          <w:tcPr>
            <w:tcW w:w="2240" w:type="dxa"/>
            <w:vAlign w:val="bottom"/>
            <w:gridSpan w:val="2"/>
          </w:tcPr>
          <w:p>
            <w:pPr>
              <w:spacing w:after="0"/>
              <w:rPr>
                <w:sz w:val="20"/>
                <w:szCs w:val="20"/>
                <w:color w:val="auto"/>
              </w:rPr>
            </w:pPr>
            <w:r>
              <w:rPr>
                <w:rFonts w:ascii="Arial" w:cs="Arial" w:eastAsia="Arial" w:hAnsi="Arial"/>
                <w:sz w:val="17"/>
                <w:szCs w:val="17"/>
                <w:color w:val="auto"/>
              </w:rPr>
              <w:t>China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France SARL</w:t>
            </w:r>
          </w:p>
        </w:tc>
        <w:tc>
          <w:tcPr>
            <w:tcW w:w="2240" w:type="dxa"/>
            <w:vAlign w:val="bottom"/>
            <w:gridSpan w:val="2"/>
          </w:tcPr>
          <w:p>
            <w:pPr>
              <w:spacing w:after="0"/>
              <w:rPr>
                <w:sz w:val="20"/>
                <w:szCs w:val="20"/>
                <w:color w:val="auto"/>
              </w:rPr>
            </w:pPr>
            <w:r>
              <w:rPr>
                <w:rFonts w:ascii="Arial" w:cs="Arial" w:eastAsia="Arial" w:hAnsi="Arial"/>
                <w:sz w:val="17"/>
                <w:szCs w:val="17"/>
                <w:color w:val="auto"/>
              </w:rPr>
              <w:t>France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Gesellschaft fur elektronische integrierte Bausteine GmbH</w:t>
            </w:r>
          </w:p>
        </w:tc>
        <w:tc>
          <w:tcPr>
            <w:tcW w:w="2240" w:type="dxa"/>
            <w:vAlign w:val="bottom"/>
            <w:gridSpan w:val="2"/>
          </w:tcPr>
          <w:p>
            <w:pPr>
              <w:spacing w:after="0"/>
              <w:rPr>
                <w:sz w:val="20"/>
                <w:szCs w:val="20"/>
                <w:color w:val="auto"/>
              </w:rPr>
            </w:pPr>
            <w:r>
              <w:rPr>
                <w:rFonts w:ascii="Arial" w:cs="Arial" w:eastAsia="Arial" w:hAnsi="Arial"/>
                <w:sz w:val="17"/>
                <w:szCs w:val="17"/>
                <w:color w:val="auto"/>
              </w:rPr>
              <w:t>Germany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Holding Company Ltd.</w:t>
            </w:r>
          </w:p>
        </w:tc>
        <w:tc>
          <w:tcPr>
            <w:tcW w:w="2240" w:type="dxa"/>
            <w:vAlign w:val="bottom"/>
            <w:gridSpan w:val="2"/>
          </w:tcPr>
          <w:p>
            <w:pPr>
              <w:spacing w:after="0"/>
              <w:rPr>
                <w:sz w:val="20"/>
                <w:szCs w:val="20"/>
                <w:color w:val="auto"/>
              </w:rPr>
            </w:pPr>
            <w:r>
              <w:rPr>
                <w:rFonts w:ascii="Arial" w:cs="Arial" w:eastAsia="Arial" w:hAnsi="Arial"/>
                <w:sz w:val="17"/>
                <w:szCs w:val="17"/>
                <w:color w:val="auto"/>
              </w:rPr>
              <w:t>Cayman Islands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India Integrated Circuit Design Private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India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Acquisition GmbH</w:t>
            </w:r>
          </w:p>
        </w:tc>
        <w:tc>
          <w:tcPr>
            <w:tcW w:w="2240" w:type="dxa"/>
            <w:vAlign w:val="bottom"/>
            <w:gridSpan w:val="2"/>
          </w:tcPr>
          <w:p>
            <w:pPr>
              <w:spacing w:after="0"/>
              <w:rPr>
                <w:sz w:val="20"/>
                <w:szCs w:val="20"/>
                <w:color w:val="auto"/>
              </w:rPr>
            </w:pPr>
            <w:r>
              <w:rPr>
                <w:rFonts w:ascii="Arial" w:cs="Arial" w:eastAsia="Arial" w:hAnsi="Arial"/>
                <w:sz w:val="17"/>
                <w:szCs w:val="17"/>
                <w:color w:val="auto"/>
              </w:rPr>
              <w:t>Germany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GmbH</w:t>
            </w:r>
          </w:p>
        </w:tc>
        <w:tc>
          <w:tcPr>
            <w:tcW w:w="2240" w:type="dxa"/>
            <w:vAlign w:val="bottom"/>
            <w:gridSpan w:val="2"/>
          </w:tcPr>
          <w:p>
            <w:pPr>
              <w:spacing w:after="0"/>
              <w:rPr>
                <w:sz w:val="20"/>
                <w:szCs w:val="20"/>
                <w:color w:val="auto"/>
              </w:rPr>
            </w:pPr>
            <w:r>
              <w:rPr>
                <w:rFonts w:ascii="Arial" w:cs="Arial" w:eastAsia="Arial" w:hAnsi="Arial"/>
                <w:sz w:val="17"/>
                <w:szCs w:val="17"/>
                <w:color w:val="auto"/>
              </w:rPr>
              <w:t>Austria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(Thailand) Co., Ltd.</w:t>
            </w:r>
          </w:p>
        </w:tc>
        <w:tc>
          <w:tcPr>
            <w:tcW w:w="2240" w:type="dxa"/>
            <w:vAlign w:val="bottom"/>
            <w:gridSpan w:val="2"/>
          </w:tcPr>
          <w:p>
            <w:pPr>
              <w:spacing w:after="0"/>
              <w:rPr>
                <w:sz w:val="20"/>
                <w:szCs w:val="20"/>
                <w:color w:val="auto"/>
              </w:rPr>
            </w:pPr>
            <w:r>
              <w:rPr>
                <w:rFonts w:ascii="Arial" w:cs="Arial" w:eastAsia="Arial" w:hAnsi="Arial"/>
                <w:sz w:val="17"/>
                <w:szCs w:val="17"/>
                <w:color w:val="auto"/>
              </w:rPr>
              <w:t>Thailand</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Asia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Hong Kong</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GmbH (Austria)</w:t>
            </w:r>
          </w:p>
        </w:tc>
        <w:tc>
          <w:tcPr>
            <w:tcW w:w="2240" w:type="dxa"/>
            <w:vAlign w:val="bottom"/>
            <w:gridSpan w:val="2"/>
          </w:tcPr>
          <w:p>
            <w:pPr>
              <w:spacing w:after="0"/>
              <w:rPr>
                <w:sz w:val="20"/>
                <w:szCs w:val="20"/>
                <w:color w:val="auto"/>
              </w:rPr>
            </w:pPr>
            <w:r>
              <w:rPr>
                <w:rFonts w:ascii="Arial" w:cs="Arial" w:eastAsia="Arial" w:hAnsi="Arial"/>
                <w:sz w:val="17"/>
                <w:szCs w:val="17"/>
                <w:color w:val="auto"/>
              </w:rPr>
              <w:t>Austria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GmbH (Germany)</w:t>
            </w:r>
          </w:p>
        </w:tc>
        <w:tc>
          <w:tcPr>
            <w:tcW w:w="2240" w:type="dxa"/>
            <w:vAlign w:val="bottom"/>
            <w:gridSpan w:val="2"/>
          </w:tcPr>
          <w:p>
            <w:pPr>
              <w:spacing w:after="0"/>
              <w:rPr>
                <w:sz w:val="20"/>
                <w:szCs w:val="20"/>
                <w:color w:val="auto"/>
              </w:rPr>
            </w:pPr>
            <w:r>
              <w:rPr>
                <w:rFonts w:ascii="Arial" w:cs="Arial" w:eastAsia="Arial" w:hAnsi="Arial"/>
                <w:sz w:val="17"/>
                <w:szCs w:val="17"/>
                <w:color w:val="auto"/>
              </w:rPr>
              <w:t>Germany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India Sales Private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India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Ireland</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Ireland Ltd, Filial Sweden</w:t>
            </w:r>
          </w:p>
        </w:tc>
        <w:tc>
          <w:tcPr>
            <w:tcW w:w="2240" w:type="dxa"/>
            <w:vAlign w:val="bottom"/>
            <w:gridSpan w:val="2"/>
          </w:tcPr>
          <w:p>
            <w:pPr>
              <w:spacing w:after="0"/>
              <w:rPr>
                <w:sz w:val="20"/>
                <w:szCs w:val="20"/>
                <w:color w:val="auto"/>
              </w:rPr>
            </w:pPr>
            <w:r>
              <w:rPr>
                <w:rFonts w:ascii="Arial" w:cs="Arial" w:eastAsia="Arial" w:hAnsi="Arial"/>
                <w:sz w:val="17"/>
                <w:szCs w:val="17"/>
                <w:color w:val="auto"/>
              </w:rPr>
              <w:t>Sweden</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Japan GK</w:t>
            </w:r>
          </w:p>
        </w:tc>
        <w:tc>
          <w:tcPr>
            <w:tcW w:w="2240" w:type="dxa"/>
            <w:vAlign w:val="bottom"/>
            <w:gridSpan w:val="2"/>
          </w:tcPr>
          <w:p>
            <w:pPr>
              <w:spacing w:after="0"/>
              <w:rPr>
                <w:sz w:val="20"/>
                <w:szCs w:val="20"/>
                <w:color w:val="auto"/>
              </w:rPr>
            </w:pPr>
            <w:r>
              <w:rPr>
                <w:rFonts w:ascii="Arial" w:cs="Arial" w:eastAsia="Arial" w:hAnsi="Arial"/>
                <w:sz w:val="17"/>
                <w:szCs w:val="17"/>
                <w:color w:val="auto"/>
              </w:rPr>
              <w:t>Japan</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Ireland</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 France Branch Office</w:t>
            </w:r>
          </w:p>
        </w:tc>
        <w:tc>
          <w:tcPr>
            <w:tcW w:w="2240" w:type="dxa"/>
            <w:vAlign w:val="bottom"/>
            <w:gridSpan w:val="2"/>
          </w:tcPr>
          <w:p>
            <w:pPr>
              <w:spacing w:after="0"/>
              <w:rPr>
                <w:sz w:val="20"/>
                <w:szCs w:val="20"/>
                <w:color w:val="auto"/>
              </w:rPr>
            </w:pPr>
            <w:r>
              <w:rPr>
                <w:rFonts w:ascii="Arial" w:cs="Arial" w:eastAsia="Arial" w:hAnsi="Arial"/>
                <w:sz w:val="17"/>
                <w:szCs w:val="17"/>
                <w:color w:val="auto"/>
              </w:rPr>
              <w:t>France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 Italian Branch Office</w:t>
            </w:r>
          </w:p>
        </w:tc>
        <w:tc>
          <w:tcPr>
            <w:tcW w:w="2240" w:type="dxa"/>
            <w:vAlign w:val="bottom"/>
            <w:gridSpan w:val="2"/>
          </w:tcPr>
          <w:p>
            <w:pPr>
              <w:spacing w:after="0"/>
              <w:rPr>
                <w:sz w:val="20"/>
                <w:szCs w:val="20"/>
                <w:color w:val="auto"/>
              </w:rPr>
            </w:pPr>
            <w:r>
              <w:rPr>
                <w:rFonts w:ascii="Arial" w:cs="Arial" w:eastAsia="Arial" w:hAnsi="Arial"/>
                <w:sz w:val="17"/>
                <w:szCs w:val="17"/>
                <w:color w:val="auto"/>
              </w:rPr>
              <w:t>Italy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 Singapore Branch</w:t>
            </w:r>
          </w:p>
        </w:tc>
        <w:tc>
          <w:tcPr>
            <w:tcW w:w="2240" w:type="dxa"/>
            <w:vAlign w:val="bottom"/>
            <w:gridSpan w:val="2"/>
          </w:tcPr>
          <w:p>
            <w:pPr>
              <w:spacing w:after="0"/>
              <w:rPr>
                <w:sz w:val="20"/>
                <w:szCs w:val="20"/>
                <w:color w:val="auto"/>
              </w:rPr>
            </w:pPr>
            <w:r>
              <w:rPr>
                <w:rFonts w:ascii="Arial" w:cs="Arial" w:eastAsia="Arial" w:hAnsi="Arial"/>
                <w:sz w:val="17"/>
                <w:szCs w:val="17"/>
                <w:color w:val="auto"/>
              </w:rPr>
              <w:t>Singapore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 Türkiye Istanbul rtibat Bürosu</w:t>
            </w:r>
          </w:p>
        </w:tc>
        <w:tc>
          <w:tcPr>
            <w:tcW w:w="2240" w:type="dxa"/>
            <w:vAlign w:val="bottom"/>
            <w:gridSpan w:val="2"/>
          </w:tcPr>
          <w:p>
            <w:pPr>
              <w:spacing w:after="0"/>
              <w:rPr>
                <w:sz w:val="20"/>
                <w:szCs w:val="20"/>
                <w:color w:val="auto"/>
              </w:rPr>
            </w:pPr>
            <w:r>
              <w:rPr>
                <w:rFonts w:ascii="Arial" w:cs="Arial" w:eastAsia="Arial" w:hAnsi="Arial"/>
                <w:sz w:val="17"/>
                <w:szCs w:val="17"/>
                <w:color w:val="auto"/>
              </w:rPr>
              <w:t>Turkey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 UK Branch Office</w:t>
            </w:r>
          </w:p>
        </w:tc>
        <w:tc>
          <w:tcPr>
            <w:tcW w:w="2240" w:type="dxa"/>
            <w:vAlign w:val="bottom"/>
            <w:gridSpan w:val="2"/>
          </w:tcPr>
          <w:p>
            <w:pPr>
              <w:spacing w:after="0"/>
              <w:rPr>
                <w:sz w:val="20"/>
                <w:szCs w:val="20"/>
                <w:color w:val="auto"/>
              </w:rPr>
            </w:pPr>
            <w:r>
              <w:rPr>
                <w:rFonts w:ascii="Arial" w:cs="Arial" w:eastAsia="Arial" w:hAnsi="Arial"/>
                <w:sz w:val="17"/>
                <w:szCs w:val="17"/>
                <w:color w:val="auto"/>
              </w:rPr>
              <w:t>United Kingdom</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 Dublin (Ireland), Zurich Branch</w:t>
            </w:r>
          </w:p>
        </w:tc>
        <w:tc>
          <w:tcPr>
            <w:tcW w:w="2240" w:type="dxa"/>
            <w:vAlign w:val="bottom"/>
            <w:gridSpan w:val="2"/>
          </w:tcPr>
          <w:p>
            <w:pPr>
              <w:spacing w:after="0"/>
              <w:rPr>
                <w:sz w:val="20"/>
                <w:szCs w:val="20"/>
                <w:color w:val="auto"/>
              </w:rPr>
            </w:pPr>
            <w:r>
              <w:rPr>
                <w:rFonts w:ascii="Arial" w:cs="Arial" w:eastAsia="Arial" w:hAnsi="Arial"/>
                <w:sz w:val="17"/>
                <w:szCs w:val="17"/>
                <w:color w:val="auto"/>
              </w:rPr>
              <w:t>Switzerland</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 Korean Branch</w:t>
            </w:r>
          </w:p>
        </w:tc>
        <w:tc>
          <w:tcPr>
            <w:tcW w:w="2240" w:type="dxa"/>
            <w:vAlign w:val="bottom"/>
            <w:gridSpan w:val="2"/>
          </w:tcPr>
          <w:p>
            <w:pPr>
              <w:spacing w:after="0"/>
              <w:rPr>
                <w:sz w:val="20"/>
                <w:szCs w:val="20"/>
                <w:color w:val="auto"/>
              </w:rPr>
            </w:pPr>
            <w:r>
              <w:rPr>
                <w:rFonts w:ascii="Arial" w:cs="Arial" w:eastAsia="Arial" w:hAnsi="Arial"/>
                <w:sz w:val="17"/>
                <w:szCs w:val="17"/>
                <w:color w:val="auto"/>
              </w:rPr>
              <w:t>Korea, Republic Of</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 Philippines Branch Office</w:t>
            </w:r>
          </w:p>
        </w:tc>
        <w:tc>
          <w:tcPr>
            <w:tcW w:w="2240" w:type="dxa"/>
            <w:vAlign w:val="bottom"/>
            <w:gridSpan w:val="2"/>
          </w:tcPr>
          <w:p>
            <w:pPr>
              <w:spacing w:after="0"/>
              <w:rPr>
                <w:sz w:val="20"/>
                <w:szCs w:val="20"/>
                <w:color w:val="auto"/>
              </w:rPr>
            </w:pPr>
            <w:r>
              <w:rPr>
                <w:rFonts w:ascii="Arial" w:cs="Arial" w:eastAsia="Arial" w:hAnsi="Arial"/>
                <w:sz w:val="17"/>
                <w:szCs w:val="17"/>
                <w:color w:val="auto"/>
              </w:rPr>
              <w:t>Philippines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 Russian Sales Branch</w:t>
            </w:r>
          </w:p>
        </w:tc>
        <w:tc>
          <w:tcPr>
            <w:tcW w:w="2240" w:type="dxa"/>
            <w:vAlign w:val="bottom"/>
            <w:gridSpan w:val="2"/>
          </w:tcPr>
          <w:p>
            <w:pPr>
              <w:spacing w:after="0"/>
              <w:rPr>
                <w:sz w:val="20"/>
                <w:szCs w:val="20"/>
                <w:color w:val="auto"/>
              </w:rPr>
            </w:pPr>
            <w:r>
              <w:rPr>
                <w:rFonts w:ascii="Arial" w:cs="Arial" w:eastAsia="Arial" w:hAnsi="Arial"/>
                <w:sz w:val="17"/>
                <w:szCs w:val="17"/>
                <w:color w:val="auto"/>
              </w:rPr>
              <w:t>Russian Federation</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International Sales Limited, Taiwan Branch (Ireland)</w:t>
            </w:r>
          </w:p>
        </w:tc>
        <w:tc>
          <w:tcPr>
            <w:tcW w:w="2240" w:type="dxa"/>
            <w:vAlign w:val="bottom"/>
            <w:gridSpan w:val="2"/>
          </w:tcPr>
          <w:p>
            <w:pPr>
              <w:spacing w:after="0"/>
              <w:rPr>
                <w:sz w:val="20"/>
                <w:szCs w:val="20"/>
                <w:color w:val="auto"/>
              </w:rPr>
            </w:pPr>
            <w:r>
              <w:rPr>
                <w:rFonts w:ascii="Arial" w:cs="Arial" w:eastAsia="Arial" w:hAnsi="Arial"/>
                <w:sz w:val="17"/>
                <w:szCs w:val="17"/>
                <w:color w:val="auto"/>
              </w:rPr>
              <w:t>Taiwan, Province Of China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Korea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Korea, Republic Of</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UK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England &amp; Wales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UK Limited Italian Branch</w:t>
            </w:r>
          </w:p>
        </w:tc>
        <w:tc>
          <w:tcPr>
            <w:tcW w:w="2240" w:type="dxa"/>
            <w:vAlign w:val="bottom"/>
            <w:gridSpan w:val="2"/>
          </w:tcPr>
          <w:p>
            <w:pPr>
              <w:spacing w:after="0"/>
              <w:rPr>
                <w:sz w:val="20"/>
                <w:szCs w:val="20"/>
                <w:color w:val="auto"/>
              </w:rPr>
            </w:pPr>
            <w:r>
              <w:rPr>
                <w:rFonts w:ascii="Arial" w:cs="Arial" w:eastAsia="Arial" w:hAnsi="Arial"/>
                <w:sz w:val="17"/>
                <w:szCs w:val="17"/>
                <w:color w:val="auto"/>
              </w:rPr>
              <w:t>Italy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Integrated Products, Inc. Singapore Branch Office</w:t>
            </w:r>
          </w:p>
        </w:tc>
        <w:tc>
          <w:tcPr>
            <w:tcW w:w="2240" w:type="dxa"/>
            <w:vAlign w:val="bottom"/>
            <w:gridSpan w:val="2"/>
          </w:tcPr>
          <w:p>
            <w:pPr>
              <w:spacing w:after="0"/>
              <w:rPr>
                <w:sz w:val="20"/>
                <w:szCs w:val="20"/>
                <w:color w:val="auto"/>
              </w:rPr>
            </w:pPr>
            <w:r>
              <w:rPr>
                <w:rFonts w:ascii="Arial" w:cs="Arial" w:eastAsia="Arial" w:hAnsi="Arial"/>
                <w:sz w:val="17"/>
                <w:szCs w:val="17"/>
                <w:color w:val="auto"/>
              </w:rPr>
              <w:t>Singapore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International Holding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17"/>
        </w:trPr>
        <w:tc>
          <w:tcPr>
            <w:tcW w:w="8020" w:type="dxa"/>
            <w:vAlign w:val="bottom"/>
            <w:gridSpan w:val="2"/>
          </w:tcPr>
          <w:p>
            <w:pPr>
              <w:spacing w:after="0"/>
              <w:rPr>
                <w:sz w:val="20"/>
                <w:szCs w:val="20"/>
                <w:color w:val="auto"/>
              </w:rPr>
            </w:pPr>
            <w:r>
              <w:rPr>
                <w:rFonts w:ascii="Arial" w:cs="Arial" w:eastAsia="Arial" w:hAnsi="Arial"/>
                <w:sz w:val="17"/>
                <w:szCs w:val="17"/>
                <w:color w:val="auto"/>
              </w:rPr>
              <w:t>Maxim Island Holdings Corporation</w:t>
            </w:r>
          </w:p>
        </w:tc>
        <w:tc>
          <w:tcPr>
            <w:tcW w:w="2240" w:type="dxa"/>
            <w:vAlign w:val="bottom"/>
            <w:gridSpan w:val="2"/>
          </w:tcPr>
          <w:p>
            <w:pPr>
              <w:spacing w:after="0"/>
              <w:rPr>
                <w:sz w:val="20"/>
                <w:szCs w:val="20"/>
                <w:color w:val="auto"/>
              </w:rPr>
            </w:pPr>
            <w:r>
              <w:rPr>
                <w:rFonts w:ascii="Arial" w:cs="Arial" w:eastAsia="Arial" w:hAnsi="Arial"/>
                <w:sz w:val="17"/>
                <w:szCs w:val="17"/>
                <w:color w:val="auto"/>
              </w:rPr>
              <w:t>British Columbia</w:t>
            </w:r>
          </w:p>
        </w:tc>
      </w:tr>
    </w:tbl>
    <w:p>
      <w:pPr>
        <w:sectPr>
          <w:pgSz w:w="11900" w:h="16838" w:orient="portrait"/>
          <w:cols w:equalWidth="0" w:num="1">
            <w:col w:w="10260"/>
          </w:cols>
          <w:pgMar w:left="320" w:top="1265" w:right="1319" w:bottom="1440" w:gutter="0" w:footer="0" w:header="0"/>
        </w:sectPr>
      </w:pPr>
    </w:p>
    <w:bookmarkStart w:id="184" w:name="page185"/>
    <w:bookmarkEnd w:id="1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gridSpan w:val="2"/>
          </w:tcPr>
          <w:p>
            <w:pPr>
              <w:spacing w:after="0"/>
              <w:rPr>
                <w:sz w:val="20"/>
                <w:szCs w:val="20"/>
                <w:color w:val="auto"/>
              </w:rPr>
            </w:pPr>
            <w:r>
              <w:rPr>
                <w:rFonts w:ascii="Arial" w:cs="Arial" w:eastAsia="Arial" w:hAnsi="Arial"/>
                <w:sz w:val="17"/>
                <w:szCs w:val="17"/>
                <w:b w:val="1"/>
                <w:bCs w:val="1"/>
                <w:color w:val="auto"/>
              </w:rPr>
              <w:t>Name of Subsidiary</w:t>
            </w:r>
          </w:p>
        </w:tc>
        <w:tc>
          <w:tcPr>
            <w:tcW w:w="2240" w:type="dxa"/>
            <w:vAlign w:val="bottom"/>
            <w:gridSpan w:val="2"/>
          </w:tcPr>
          <w:p>
            <w:pPr>
              <w:spacing w:after="0"/>
              <w:rPr>
                <w:sz w:val="20"/>
                <w:szCs w:val="20"/>
                <w:color w:val="auto"/>
              </w:rPr>
            </w:pPr>
            <w:r>
              <w:rPr>
                <w:rFonts w:ascii="Arial" w:cs="Arial" w:eastAsia="Arial" w:hAnsi="Arial"/>
                <w:sz w:val="17"/>
                <w:szCs w:val="17"/>
                <w:b w:val="1"/>
                <w:bCs w:val="1"/>
                <w:color w:val="auto"/>
                <w:w w:val="94"/>
              </w:rPr>
              <w:t>State or Other Jurisdiction of</w:t>
            </w:r>
          </w:p>
        </w:tc>
      </w:tr>
      <w:tr>
        <w:trPr>
          <w:trHeight w:val="144"/>
        </w:trPr>
        <w:tc>
          <w:tcPr>
            <w:tcW w:w="1460" w:type="dxa"/>
            <w:vAlign w:val="bottom"/>
            <w:tcBorders>
              <w:top w:val="single" w:sz="8" w:color="auto"/>
            </w:tcBorders>
          </w:tcPr>
          <w:p>
            <w:pPr>
              <w:spacing w:after="0"/>
              <w:rPr>
                <w:sz w:val="12"/>
                <w:szCs w:val="12"/>
                <w:color w:val="auto"/>
              </w:rPr>
            </w:pPr>
          </w:p>
        </w:tc>
        <w:tc>
          <w:tcPr>
            <w:tcW w:w="6560" w:type="dxa"/>
            <w:vAlign w:val="bottom"/>
          </w:tcPr>
          <w:p>
            <w:pPr>
              <w:spacing w:after="0"/>
              <w:rPr>
                <w:sz w:val="12"/>
                <w:szCs w:val="12"/>
                <w:color w:val="auto"/>
              </w:rPr>
            </w:pPr>
          </w:p>
        </w:tc>
        <w:tc>
          <w:tcPr>
            <w:tcW w:w="216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6"/>
                <w:szCs w:val="16"/>
                <w:b w:val="1"/>
                <w:bCs w:val="1"/>
                <w:color w:val="auto"/>
                <w:w w:val="94"/>
              </w:rPr>
              <w:t>Incorporation or Organization</w:t>
            </w:r>
          </w:p>
        </w:tc>
        <w:tc>
          <w:tcPr>
            <w:tcW w:w="80" w:type="dxa"/>
            <w:vAlign w:val="bottom"/>
            <w:tcBorders>
              <w:bottom w:val="single" w:sz="8" w:color="auto"/>
            </w:tcBorders>
          </w:tcPr>
          <w:p>
            <w:pPr>
              <w:spacing w:after="0"/>
              <w:rPr>
                <w:sz w:val="12"/>
                <w:szCs w:val="12"/>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7"/>
                <w:szCs w:val="17"/>
                <w:color w:val="auto"/>
              </w:rPr>
              <w:t>Maxim Japan Co., Ltd</w:t>
            </w:r>
          </w:p>
        </w:tc>
        <w:tc>
          <w:tcPr>
            <w:tcW w:w="2240" w:type="dxa"/>
            <w:vAlign w:val="bottom"/>
            <w:gridSpan w:val="2"/>
          </w:tcPr>
          <w:p>
            <w:pPr>
              <w:spacing w:after="0"/>
              <w:rPr>
                <w:sz w:val="20"/>
                <w:szCs w:val="20"/>
                <w:color w:val="auto"/>
              </w:rPr>
            </w:pPr>
            <w:r>
              <w:rPr>
                <w:rFonts w:ascii="Arial" w:cs="Arial" w:eastAsia="Arial" w:hAnsi="Arial"/>
                <w:sz w:val="17"/>
                <w:szCs w:val="17"/>
                <w:color w:val="auto"/>
              </w:rPr>
              <w:t>Japan</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Mikroelektronik Tasarim ve Gelistirme Ltd. Sti</w:t>
            </w:r>
          </w:p>
        </w:tc>
        <w:tc>
          <w:tcPr>
            <w:tcW w:w="2240" w:type="dxa"/>
            <w:vAlign w:val="bottom"/>
            <w:gridSpan w:val="2"/>
          </w:tcPr>
          <w:p>
            <w:pPr>
              <w:spacing w:after="0"/>
              <w:rPr>
                <w:sz w:val="20"/>
                <w:szCs w:val="20"/>
                <w:color w:val="auto"/>
              </w:rPr>
            </w:pPr>
            <w:r>
              <w:rPr>
                <w:rFonts w:ascii="Arial" w:cs="Arial" w:eastAsia="Arial" w:hAnsi="Arial"/>
                <w:sz w:val="17"/>
                <w:szCs w:val="17"/>
                <w:color w:val="auto"/>
              </w:rPr>
              <w:t>Turkey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Phil. Holding Corporation</w:t>
            </w:r>
          </w:p>
        </w:tc>
        <w:tc>
          <w:tcPr>
            <w:tcW w:w="2240" w:type="dxa"/>
            <w:vAlign w:val="bottom"/>
            <w:gridSpan w:val="2"/>
          </w:tcPr>
          <w:p>
            <w:pPr>
              <w:spacing w:after="0"/>
              <w:rPr>
                <w:sz w:val="20"/>
                <w:szCs w:val="20"/>
                <w:color w:val="auto"/>
              </w:rPr>
            </w:pPr>
            <w:r>
              <w:rPr>
                <w:rFonts w:ascii="Arial" w:cs="Arial" w:eastAsia="Arial" w:hAnsi="Arial"/>
                <w:sz w:val="17"/>
                <w:szCs w:val="17"/>
                <w:color w:val="auto"/>
              </w:rPr>
              <w:t>Philippines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Phil. Land, Corporation</w:t>
            </w:r>
          </w:p>
        </w:tc>
        <w:tc>
          <w:tcPr>
            <w:tcW w:w="2240" w:type="dxa"/>
            <w:vAlign w:val="bottom"/>
            <w:gridSpan w:val="2"/>
          </w:tcPr>
          <w:p>
            <w:pPr>
              <w:spacing w:after="0"/>
              <w:rPr>
                <w:sz w:val="20"/>
                <w:szCs w:val="20"/>
                <w:color w:val="auto"/>
              </w:rPr>
            </w:pPr>
            <w:r>
              <w:rPr>
                <w:rFonts w:ascii="Arial" w:cs="Arial" w:eastAsia="Arial" w:hAnsi="Arial"/>
                <w:sz w:val="17"/>
                <w:szCs w:val="17"/>
                <w:color w:val="auto"/>
              </w:rPr>
              <w:t>Philippines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Phil. Operating Corporation</w:t>
            </w:r>
          </w:p>
        </w:tc>
        <w:tc>
          <w:tcPr>
            <w:tcW w:w="2240" w:type="dxa"/>
            <w:vAlign w:val="bottom"/>
            <w:gridSpan w:val="2"/>
          </w:tcPr>
          <w:p>
            <w:pPr>
              <w:spacing w:after="0"/>
              <w:rPr>
                <w:sz w:val="20"/>
                <w:szCs w:val="20"/>
                <w:color w:val="auto"/>
              </w:rPr>
            </w:pPr>
            <w:r>
              <w:rPr>
                <w:rFonts w:ascii="Arial" w:cs="Arial" w:eastAsia="Arial" w:hAnsi="Arial"/>
                <w:sz w:val="17"/>
                <w:szCs w:val="17"/>
                <w:color w:val="auto"/>
              </w:rPr>
              <w:t>Philippines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Semiconductor Corporation (Taiwan)</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Semiconductor Corporation (Taiwan), Taiwan Branch</w:t>
            </w:r>
          </w:p>
        </w:tc>
        <w:tc>
          <w:tcPr>
            <w:tcW w:w="2240" w:type="dxa"/>
            <w:vAlign w:val="bottom"/>
            <w:gridSpan w:val="2"/>
          </w:tcPr>
          <w:p>
            <w:pPr>
              <w:spacing w:after="0"/>
              <w:rPr>
                <w:sz w:val="20"/>
                <w:szCs w:val="20"/>
                <w:color w:val="auto"/>
              </w:rPr>
            </w:pPr>
            <w:r>
              <w:rPr>
                <w:rFonts w:ascii="Arial" w:cs="Arial" w:eastAsia="Arial" w:hAnsi="Arial"/>
                <w:sz w:val="17"/>
                <w:szCs w:val="17"/>
                <w:color w:val="auto"/>
              </w:rPr>
              <w:t>Taiwan, Province Of China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Maxim Technology Ltd.</w:t>
            </w:r>
          </w:p>
        </w:tc>
        <w:tc>
          <w:tcPr>
            <w:tcW w:w="2240" w:type="dxa"/>
            <w:vAlign w:val="bottom"/>
            <w:gridSpan w:val="2"/>
          </w:tcPr>
          <w:p>
            <w:pPr>
              <w:spacing w:after="0"/>
              <w:rPr>
                <w:sz w:val="20"/>
                <w:szCs w:val="20"/>
                <w:color w:val="auto"/>
              </w:rPr>
            </w:pPr>
            <w:r>
              <w:rPr>
                <w:rFonts w:ascii="Arial" w:cs="Arial" w:eastAsia="Arial" w:hAnsi="Arial"/>
                <w:sz w:val="17"/>
                <w:szCs w:val="17"/>
                <w:color w:val="auto"/>
              </w:rPr>
              <w:t>Cayman Islands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Metroic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United Kingdom</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Mobilygen Corporation</w:t>
            </w:r>
          </w:p>
        </w:tc>
        <w:tc>
          <w:tcPr>
            <w:tcW w:w="2240" w:type="dxa"/>
            <w:vAlign w:val="bottom"/>
            <w:gridSpan w:val="2"/>
          </w:tcPr>
          <w:p>
            <w:pPr>
              <w:spacing w:after="0"/>
              <w:rPr>
                <w:sz w:val="20"/>
                <w:szCs w:val="20"/>
                <w:color w:val="auto"/>
              </w:rPr>
            </w:pPr>
            <w:r>
              <w:rPr>
                <w:rFonts w:ascii="Arial" w:cs="Arial" w:eastAsia="Arial" w:hAnsi="Arial"/>
                <w:sz w:val="17"/>
                <w:szCs w:val="17"/>
                <w:color w:val="auto"/>
              </w:rPr>
              <w:t>California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Multigig,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MXIM Circuits Design Shanghai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China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Onetree Microdevices,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Onetree Microdevices,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Otosense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Phyworks Limited</w:t>
            </w:r>
          </w:p>
        </w:tc>
        <w:tc>
          <w:tcPr>
            <w:tcW w:w="2240" w:type="dxa"/>
            <w:vAlign w:val="bottom"/>
            <w:gridSpan w:val="2"/>
          </w:tcPr>
          <w:p>
            <w:pPr>
              <w:spacing w:after="0"/>
              <w:rPr>
                <w:sz w:val="20"/>
                <w:szCs w:val="20"/>
                <w:color w:val="auto"/>
              </w:rPr>
            </w:pPr>
            <w:r>
              <w:rPr>
                <w:rFonts w:ascii="Arial" w:cs="Arial" w:eastAsia="Arial" w:hAnsi="Arial"/>
                <w:sz w:val="17"/>
                <w:szCs w:val="17"/>
                <w:color w:val="auto"/>
              </w:rPr>
              <w:t>England &amp; Wales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Ruwisch &amp; Kollegen GmbH</w:t>
            </w:r>
          </w:p>
        </w:tc>
        <w:tc>
          <w:tcPr>
            <w:tcW w:w="2240" w:type="dxa"/>
            <w:vAlign w:val="bottom"/>
            <w:gridSpan w:val="2"/>
          </w:tcPr>
          <w:p>
            <w:pPr>
              <w:spacing w:after="0"/>
              <w:rPr>
                <w:sz w:val="20"/>
                <w:szCs w:val="20"/>
                <w:color w:val="auto"/>
              </w:rPr>
            </w:pPr>
            <w:r>
              <w:rPr>
                <w:rFonts w:ascii="Arial" w:cs="Arial" w:eastAsia="Arial" w:hAnsi="Arial"/>
                <w:sz w:val="17"/>
                <w:szCs w:val="17"/>
                <w:color w:val="auto"/>
              </w:rPr>
              <w:t>Germany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Scintera Networks LLC</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Security Bank Corp. (trustee of Maxim EE Retirement Plan)</w:t>
            </w:r>
          </w:p>
        </w:tc>
        <w:tc>
          <w:tcPr>
            <w:tcW w:w="2240" w:type="dxa"/>
            <w:vAlign w:val="bottom"/>
            <w:gridSpan w:val="2"/>
          </w:tcPr>
          <w:p>
            <w:pPr>
              <w:spacing w:after="0"/>
              <w:rPr>
                <w:sz w:val="20"/>
                <w:szCs w:val="20"/>
                <w:color w:val="auto"/>
              </w:rPr>
            </w:pPr>
            <w:r>
              <w:rPr>
                <w:rFonts w:ascii="Arial" w:cs="Arial" w:eastAsia="Arial" w:hAnsi="Arial"/>
                <w:sz w:val="17"/>
                <w:szCs w:val="17"/>
                <w:color w:val="auto"/>
              </w:rPr>
              <w:t>Philippines</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Symeo GmbH</w:t>
            </w:r>
          </w:p>
        </w:tc>
        <w:tc>
          <w:tcPr>
            <w:tcW w:w="2240" w:type="dxa"/>
            <w:vAlign w:val="bottom"/>
            <w:gridSpan w:val="2"/>
          </w:tcPr>
          <w:p>
            <w:pPr>
              <w:spacing w:after="0"/>
              <w:rPr>
                <w:sz w:val="20"/>
                <w:szCs w:val="20"/>
                <w:color w:val="auto"/>
              </w:rPr>
            </w:pPr>
            <w:r>
              <w:rPr>
                <w:rFonts w:ascii="Arial" w:cs="Arial" w:eastAsia="Arial" w:hAnsi="Arial"/>
                <w:sz w:val="17"/>
                <w:szCs w:val="17"/>
                <w:color w:val="auto"/>
              </w:rPr>
              <w:t>Germany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TagArray,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Teridian Semiconductor Corporation</w:t>
            </w:r>
          </w:p>
        </w:tc>
        <w:tc>
          <w:tcPr>
            <w:tcW w:w="2240" w:type="dxa"/>
            <w:vAlign w:val="bottom"/>
            <w:gridSpan w:val="2"/>
          </w:tcPr>
          <w:p>
            <w:pPr>
              <w:spacing w:after="0"/>
              <w:rPr>
                <w:sz w:val="20"/>
                <w:szCs w:val="20"/>
                <w:color w:val="auto"/>
              </w:rPr>
            </w:pPr>
            <w:r>
              <w:rPr>
                <w:rFonts w:ascii="Arial" w:cs="Arial" w:eastAsia="Arial" w:hAnsi="Arial"/>
                <w:sz w:val="17"/>
                <w:szCs w:val="17"/>
                <w:color w:val="auto"/>
              </w:rPr>
              <w:t>California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Teridian Semiconductor Holdings Corp.</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Teridian Semiconductor Intermediate Holding Corp.</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Trinamic Motion Control GmbH &amp; Co. KG</w:t>
            </w:r>
          </w:p>
        </w:tc>
        <w:tc>
          <w:tcPr>
            <w:tcW w:w="2240" w:type="dxa"/>
            <w:vAlign w:val="bottom"/>
            <w:gridSpan w:val="2"/>
          </w:tcPr>
          <w:p>
            <w:pPr>
              <w:spacing w:after="0"/>
              <w:rPr>
                <w:sz w:val="20"/>
                <w:szCs w:val="20"/>
                <w:color w:val="auto"/>
              </w:rPr>
            </w:pPr>
            <w:r>
              <w:rPr>
                <w:rFonts w:ascii="Arial" w:cs="Arial" w:eastAsia="Arial" w:hAnsi="Arial"/>
                <w:sz w:val="17"/>
                <w:szCs w:val="17"/>
                <w:color w:val="auto"/>
              </w:rPr>
              <w:t>Germany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Trinamic OÜ</w:t>
            </w:r>
          </w:p>
        </w:tc>
        <w:tc>
          <w:tcPr>
            <w:tcW w:w="2240" w:type="dxa"/>
            <w:vAlign w:val="bottom"/>
            <w:gridSpan w:val="2"/>
          </w:tcPr>
          <w:p>
            <w:pPr>
              <w:spacing w:after="0"/>
              <w:rPr>
                <w:sz w:val="20"/>
                <w:szCs w:val="20"/>
                <w:color w:val="auto"/>
              </w:rPr>
            </w:pPr>
            <w:r>
              <w:rPr>
                <w:rFonts w:ascii="Arial" w:cs="Arial" w:eastAsia="Arial" w:hAnsi="Arial"/>
                <w:sz w:val="17"/>
                <w:szCs w:val="17"/>
                <w:color w:val="auto"/>
              </w:rPr>
              <w:t>Estonia</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Trinamic Verwaltungsgesellschaft mbH ("Trinamic GmbH")</w:t>
            </w:r>
          </w:p>
        </w:tc>
        <w:tc>
          <w:tcPr>
            <w:tcW w:w="2240" w:type="dxa"/>
            <w:vAlign w:val="bottom"/>
            <w:gridSpan w:val="2"/>
          </w:tcPr>
          <w:p>
            <w:pPr>
              <w:spacing w:after="0"/>
              <w:rPr>
                <w:sz w:val="20"/>
                <w:szCs w:val="20"/>
                <w:color w:val="auto"/>
              </w:rPr>
            </w:pPr>
            <w:r>
              <w:rPr>
                <w:rFonts w:ascii="Arial" w:cs="Arial" w:eastAsia="Arial" w:hAnsi="Arial"/>
                <w:sz w:val="17"/>
                <w:szCs w:val="17"/>
                <w:color w:val="auto"/>
              </w:rPr>
              <w:t>Germany</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Trinamic, Inc.</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r>
        <w:trPr>
          <w:trHeight w:val="210"/>
        </w:trPr>
        <w:tc>
          <w:tcPr>
            <w:tcW w:w="8020" w:type="dxa"/>
            <w:vAlign w:val="bottom"/>
            <w:gridSpan w:val="2"/>
          </w:tcPr>
          <w:p>
            <w:pPr>
              <w:spacing w:after="0"/>
              <w:rPr>
                <w:sz w:val="20"/>
                <w:szCs w:val="20"/>
                <w:color w:val="auto"/>
              </w:rPr>
            </w:pPr>
            <w:r>
              <w:rPr>
                <w:rFonts w:ascii="Arial" w:cs="Arial" w:eastAsia="Arial" w:hAnsi="Arial"/>
                <w:sz w:val="17"/>
                <w:szCs w:val="17"/>
                <w:color w:val="auto"/>
              </w:rPr>
              <w:t>Volterra Asia Pte. Ltd.</w:t>
            </w:r>
          </w:p>
        </w:tc>
        <w:tc>
          <w:tcPr>
            <w:tcW w:w="2240" w:type="dxa"/>
            <w:vAlign w:val="bottom"/>
            <w:gridSpan w:val="2"/>
          </w:tcPr>
          <w:p>
            <w:pPr>
              <w:spacing w:after="0"/>
              <w:rPr>
                <w:sz w:val="20"/>
                <w:szCs w:val="20"/>
                <w:color w:val="auto"/>
              </w:rPr>
            </w:pPr>
            <w:r>
              <w:rPr>
                <w:rFonts w:ascii="Arial" w:cs="Arial" w:eastAsia="Arial" w:hAnsi="Arial"/>
                <w:sz w:val="17"/>
                <w:szCs w:val="17"/>
                <w:color w:val="auto"/>
              </w:rPr>
              <w:t>Singapore</w:t>
            </w:r>
          </w:p>
        </w:tc>
      </w:tr>
      <w:tr>
        <w:trPr>
          <w:trHeight w:val="217"/>
        </w:trPr>
        <w:tc>
          <w:tcPr>
            <w:tcW w:w="8020" w:type="dxa"/>
            <w:vAlign w:val="bottom"/>
            <w:gridSpan w:val="2"/>
          </w:tcPr>
          <w:p>
            <w:pPr>
              <w:spacing w:after="0"/>
              <w:rPr>
                <w:sz w:val="20"/>
                <w:szCs w:val="20"/>
                <w:color w:val="auto"/>
              </w:rPr>
            </w:pPr>
            <w:r>
              <w:rPr>
                <w:rFonts w:ascii="Arial" w:cs="Arial" w:eastAsia="Arial" w:hAnsi="Arial"/>
                <w:sz w:val="17"/>
                <w:szCs w:val="17"/>
                <w:color w:val="auto"/>
              </w:rPr>
              <w:t>Volterra Semiconductor LLC</w:t>
            </w:r>
          </w:p>
        </w:tc>
        <w:tc>
          <w:tcPr>
            <w:tcW w:w="2240" w:type="dxa"/>
            <w:vAlign w:val="bottom"/>
            <w:gridSpan w:val="2"/>
          </w:tcPr>
          <w:p>
            <w:pPr>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0260"/>
          </w:cols>
          <w:pgMar w:left="320" w:top="1266" w:right="13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9"/>
          <w:szCs w:val="19"/>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40"/>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We consent to the incorporation by reference in the following Registration Statements:</w:t>
      </w:r>
    </w:p>
    <w:p>
      <w:pPr>
        <w:spacing w:after="0" w:line="214" w:lineRule="exact"/>
        <w:rPr>
          <w:sz w:val="20"/>
          <w:szCs w:val="20"/>
          <w:color w:val="auto"/>
        </w:rPr>
      </w:pPr>
    </w:p>
    <w:p>
      <w:pPr>
        <w:jc w:val="both"/>
        <w:ind w:left="560" w:hanging="286"/>
        <w:spacing w:after="0" w:line="269" w:lineRule="auto"/>
        <w:tabs>
          <w:tab w:leader="none" w:pos="55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Registration Statements on Form S-8 (Nos. 2-63561, 2-90023, 33-4067, 33-22604, 33-22605, 33-29484, 33-39851, 33-39852, 33-46521, 33-60642, 33-60696, 33-61427, 33-64849, 333-04771, 333-04819, 333-04821, 333-47787, 333-47789, 333-48243, 333-57444, 333-69359, 333-79551, 333-87055, 333-40224, 333-40222, 333-50092, 333-53314, 333-53828, 333-75170, 333-113510, 333-132409, 333-156309, 333-163653, 333-181951, 333-194556, 333-216696, 333-237083, and 333-259081) of Analog Devices, Inc.,</w:t>
      </w:r>
    </w:p>
    <w:p>
      <w:pPr>
        <w:spacing w:after="0" w:line="171" w:lineRule="exact"/>
        <w:rPr>
          <w:rFonts w:ascii="Arial" w:cs="Arial" w:eastAsia="Arial" w:hAnsi="Arial"/>
          <w:sz w:val="18"/>
          <w:szCs w:val="18"/>
          <w:color w:val="auto"/>
        </w:rPr>
      </w:pPr>
    </w:p>
    <w:p>
      <w:pPr>
        <w:ind w:left="560" w:hanging="286"/>
        <w:spacing w:after="0" w:line="266" w:lineRule="auto"/>
        <w:tabs>
          <w:tab w:leader="none" w:pos="55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Registration Statements on Form S-3 (Nos. 333-08505, 333-08509, 333-17651, 333-87053, 333-48928, 333-51530, 333-53660, 333-235864, and 333-259782) of Analog Devices, Inc., and</w:t>
      </w:r>
    </w:p>
    <w:p>
      <w:pPr>
        <w:spacing w:after="0" w:line="170" w:lineRule="exact"/>
        <w:rPr>
          <w:rFonts w:ascii="Arial" w:cs="Arial" w:eastAsia="Arial" w:hAnsi="Arial"/>
          <w:sz w:val="19"/>
          <w:szCs w:val="19"/>
          <w:color w:val="auto"/>
        </w:rPr>
      </w:pPr>
    </w:p>
    <w:p>
      <w:pPr>
        <w:ind w:left="560" w:right="240" w:hanging="286"/>
        <w:spacing w:after="0" w:line="266" w:lineRule="auto"/>
        <w:tabs>
          <w:tab w:leader="none" w:pos="55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Registration Statement on Form S-4 (No. 333-213454) of Analog Devices, Inc., including Post-Effective Amendment No. 1 on Form S-8 to Form S-4, and Registration Statement on Form S-4 (No. 333-248092) of Analog Devices, Inc.;</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of our reports dated December 3, 2021, with respect to the consolidated financial statements and schedule of Analog Devices, Inc. and the effectiveness of internal control over financial reporting of Analog Devices, Inc. included in this Annual Report (Form 10-K) of Analog Devices, Inc. for the year ended October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Boston, Massachusetts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December 3, 2021</w:t>
      </w:r>
    </w:p>
    <w:p>
      <w:pPr>
        <w:sectPr>
          <w:pgSz w:w="11900" w:h="16838" w:orient="portrait"/>
          <w:cols w:equalWidth="0" w:num="1">
            <w:col w:w="11260"/>
          </w:cols>
          <w:pgMar w:left="320" w:top="116" w:right="3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6"/>
          <w:szCs w:val="16"/>
          <w:b w:val="1"/>
          <w:bCs w:val="1"/>
          <w:color w:val="auto"/>
        </w:rPr>
        <w:t>Exhibit 31.1</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I, Vincent Roche, certify that:</w:t>
      </w:r>
    </w:p>
    <w:p>
      <w:pPr>
        <w:spacing w:after="0" w:line="85" w:lineRule="exact"/>
        <w:rPr>
          <w:sz w:val="20"/>
          <w:szCs w:val="20"/>
          <w:color w:val="auto"/>
        </w:rPr>
      </w:pPr>
    </w:p>
    <w:p>
      <w:pPr>
        <w:ind w:left="440" w:hanging="166"/>
        <w:spacing w:after="0"/>
        <w:tabs>
          <w:tab w:leader="none" w:pos="4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Analog Devices, Inc.;</w:t>
      </w:r>
    </w:p>
    <w:p>
      <w:pPr>
        <w:spacing w:after="0" w:line="73" w:lineRule="exact"/>
        <w:rPr>
          <w:rFonts w:ascii="Arial" w:cs="Arial" w:eastAsia="Arial" w:hAnsi="Arial"/>
          <w:sz w:val="16"/>
          <w:szCs w:val="16"/>
          <w:color w:val="auto"/>
        </w:rPr>
      </w:pPr>
    </w:p>
    <w:p>
      <w:pPr>
        <w:ind w:right="160" w:firstLine="274"/>
        <w:spacing w:after="0" w:line="263" w:lineRule="auto"/>
        <w:tabs>
          <w:tab w:leader="none" w:pos="43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Arial" w:cs="Arial" w:eastAsia="Arial" w:hAnsi="Arial"/>
          <w:sz w:val="16"/>
          <w:szCs w:val="16"/>
          <w:color w:val="auto"/>
        </w:rPr>
      </w:pPr>
    </w:p>
    <w:p>
      <w:pPr>
        <w:ind w:right="40" w:firstLine="274"/>
        <w:spacing w:after="0" w:line="263" w:lineRule="auto"/>
        <w:tabs>
          <w:tab w:leader="none" w:pos="43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6"/>
          <w:szCs w:val="16"/>
          <w:color w:val="auto"/>
        </w:rPr>
      </w:pPr>
    </w:p>
    <w:p>
      <w:pPr>
        <w:ind w:right="300" w:firstLine="274"/>
        <w:spacing w:after="0" w:line="331" w:lineRule="auto"/>
        <w:tabs>
          <w:tab w:leader="none" w:pos="436"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420" w:right="100" w:firstLine="275"/>
        <w:spacing w:after="0" w:line="253" w:lineRule="auto"/>
        <w:tabs>
          <w:tab w:leader="none" w:pos="861" w:val="left"/>
        </w:tabs>
        <w:numPr>
          <w:ilvl w:val="1"/>
          <w:numId w:val="1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6"/>
          <w:szCs w:val="16"/>
          <w:color w:val="auto"/>
        </w:rPr>
      </w:pPr>
    </w:p>
    <w:p>
      <w:pPr>
        <w:ind w:left="420" w:right="200" w:firstLine="275"/>
        <w:spacing w:after="0" w:line="253" w:lineRule="auto"/>
        <w:tabs>
          <w:tab w:leader="none" w:pos="86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6"/>
          <w:szCs w:val="16"/>
          <w:color w:val="auto"/>
        </w:rPr>
      </w:pPr>
    </w:p>
    <w:p>
      <w:pPr>
        <w:ind w:left="420" w:right="80" w:firstLine="275"/>
        <w:spacing w:after="0" w:line="263" w:lineRule="auto"/>
        <w:tabs>
          <w:tab w:leader="none" w:pos="861"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6"/>
          <w:szCs w:val="16"/>
          <w:color w:val="auto"/>
        </w:rPr>
      </w:pPr>
    </w:p>
    <w:p>
      <w:pPr>
        <w:ind w:left="420" w:right="180" w:firstLine="275"/>
        <w:spacing w:after="0" w:line="253" w:lineRule="auto"/>
        <w:tabs>
          <w:tab w:leader="none" w:pos="86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6"/>
          <w:szCs w:val="16"/>
          <w:color w:val="auto"/>
        </w:rPr>
      </w:pPr>
    </w:p>
    <w:p>
      <w:pPr>
        <w:ind w:right="120" w:firstLine="274"/>
        <w:spacing w:after="0" w:line="263" w:lineRule="auto"/>
        <w:tabs>
          <w:tab w:leader="none" w:pos="436"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6"/>
          <w:szCs w:val="16"/>
          <w:color w:val="auto"/>
        </w:rPr>
      </w:pPr>
    </w:p>
    <w:p>
      <w:pPr>
        <w:ind w:left="420" w:right="280" w:firstLine="275"/>
        <w:spacing w:after="0" w:line="263" w:lineRule="auto"/>
        <w:tabs>
          <w:tab w:leader="none" w:pos="861"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6"/>
          <w:szCs w:val="16"/>
          <w:color w:val="auto"/>
        </w:rPr>
      </w:pPr>
    </w:p>
    <w:p>
      <w:pPr>
        <w:ind w:left="420" w:right="540" w:firstLine="275"/>
        <w:spacing w:after="0" w:line="263" w:lineRule="auto"/>
        <w:tabs>
          <w:tab w:leader="none" w:pos="86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10160</wp:posOffset>
            </wp:positionV>
            <wp:extent cx="3972560" cy="762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612">
                      <a:extLst>
                        <a:ext uri="{28A0092B-C50C-407E-A947-70E740481C1C}"/>
                      </a:extLst>
                    </a:blip>
                    <a:srcRect/>
                    <a:stretch>
                      <a:fillRect/>
                    </a:stretch>
                  </pic:blipFill>
                  <pic:spPr bwMode="auto">
                    <a:xfrm>
                      <a:off x="0" y="0"/>
                      <a:ext cx="3972560" cy="7620"/>
                    </a:xfrm>
                    <a:prstGeom prst="rect">
                      <a:avLst/>
                    </a:prstGeom>
                    <a:noFill/>
                  </pic:spPr>
                </pic:pic>
              </a:graphicData>
            </a:graphic>
          </wp:anchor>
        </w:drawing>
      </w:r>
    </w:p>
    <w:p>
      <w:pPr>
        <w:spacing w:after="0" w:line="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Vincent Roche</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President and Chief Executive Officer</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Executive Officer)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December 3, 2021</w:t>
      </w:r>
    </w:p>
    <w:p>
      <w:pPr>
        <w:sectPr>
          <w:pgSz w:w="11900" w:h="16838" w:orient="portrait"/>
          <w:cols w:equalWidth="0" w:num="1">
            <w:col w:w="11260"/>
          </w:cols>
          <w:pgMar w:left="320" w:top="872" w:right="3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6"/>
          <w:szCs w:val="16"/>
          <w:b w:val="1"/>
          <w:bCs w:val="1"/>
          <w:color w:val="auto"/>
        </w:rPr>
        <w:t>Exhibit 31.2</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I, Prashanth Mahendra-Rajah, certify that:</w:t>
      </w:r>
    </w:p>
    <w:p>
      <w:pPr>
        <w:spacing w:after="0" w:line="85" w:lineRule="exact"/>
        <w:rPr>
          <w:sz w:val="20"/>
          <w:szCs w:val="20"/>
          <w:color w:val="auto"/>
        </w:rPr>
      </w:pPr>
    </w:p>
    <w:p>
      <w:pPr>
        <w:ind w:left="440" w:hanging="166"/>
        <w:spacing w:after="0"/>
        <w:tabs>
          <w:tab w:leader="none" w:pos="4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Analog Devices, Inc.;</w:t>
      </w:r>
    </w:p>
    <w:p>
      <w:pPr>
        <w:spacing w:after="0" w:line="73" w:lineRule="exact"/>
        <w:rPr>
          <w:rFonts w:ascii="Arial" w:cs="Arial" w:eastAsia="Arial" w:hAnsi="Arial"/>
          <w:sz w:val="16"/>
          <w:szCs w:val="16"/>
          <w:color w:val="auto"/>
        </w:rPr>
      </w:pPr>
    </w:p>
    <w:p>
      <w:pPr>
        <w:ind w:right="160" w:firstLine="274"/>
        <w:spacing w:after="0" w:line="263" w:lineRule="auto"/>
        <w:tabs>
          <w:tab w:leader="none" w:pos="43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Arial" w:cs="Arial" w:eastAsia="Arial" w:hAnsi="Arial"/>
          <w:sz w:val="16"/>
          <w:szCs w:val="16"/>
          <w:color w:val="auto"/>
        </w:rPr>
      </w:pPr>
    </w:p>
    <w:p>
      <w:pPr>
        <w:ind w:right="40" w:firstLine="274"/>
        <w:spacing w:after="0" w:line="263" w:lineRule="auto"/>
        <w:tabs>
          <w:tab w:leader="none" w:pos="43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6"/>
          <w:szCs w:val="16"/>
          <w:color w:val="auto"/>
        </w:rPr>
      </w:pPr>
    </w:p>
    <w:p>
      <w:pPr>
        <w:ind w:right="300" w:firstLine="274"/>
        <w:spacing w:after="0" w:line="331" w:lineRule="auto"/>
        <w:tabs>
          <w:tab w:leader="none" w:pos="436"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420" w:right="100" w:firstLine="275"/>
        <w:spacing w:after="0" w:line="253" w:lineRule="auto"/>
        <w:tabs>
          <w:tab w:leader="none" w:pos="861"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Arial" w:cs="Arial" w:eastAsia="Arial" w:hAnsi="Arial"/>
          <w:sz w:val="16"/>
          <w:szCs w:val="16"/>
          <w:color w:val="auto"/>
        </w:rPr>
      </w:pPr>
    </w:p>
    <w:p>
      <w:pPr>
        <w:ind w:left="420" w:right="200" w:firstLine="275"/>
        <w:spacing w:after="0" w:line="253" w:lineRule="auto"/>
        <w:tabs>
          <w:tab w:leader="none" w:pos="869"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Arial" w:cs="Arial" w:eastAsia="Arial" w:hAnsi="Arial"/>
          <w:sz w:val="16"/>
          <w:szCs w:val="16"/>
          <w:color w:val="auto"/>
        </w:rPr>
      </w:pPr>
    </w:p>
    <w:p>
      <w:pPr>
        <w:ind w:left="420" w:right="80" w:firstLine="275"/>
        <w:spacing w:after="0" w:line="263" w:lineRule="auto"/>
        <w:tabs>
          <w:tab w:leader="none" w:pos="861" w:val="left"/>
        </w:tabs>
        <w:numPr>
          <w:ilvl w:val="1"/>
          <w:numId w:val="1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6"/>
          <w:szCs w:val="16"/>
          <w:color w:val="auto"/>
        </w:rPr>
      </w:pPr>
    </w:p>
    <w:p>
      <w:pPr>
        <w:ind w:left="420" w:right="180" w:firstLine="275"/>
        <w:spacing w:after="0" w:line="253" w:lineRule="auto"/>
        <w:tabs>
          <w:tab w:leader="none" w:pos="869"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Arial" w:cs="Arial" w:eastAsia="Arial" w:hAnsi="Arial"/>
          <w:sz w:val="16"/>
          <w:szCs w:val="16"/>
          <w:color w:val="auto"/>
        </w:rPr>
      </w:pPr>
    </w:p>
    <w:p>
      <w:pPr>
        <w:ind w:right="120" w:firstLine="274"/>
        <w:spacing w:after="0" w:line="263" w:lineRule="auto"/>
        <w:tabs>
          <w:tab w:leader="none" w:pos="43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Arial" w:cs="Arial" w:eastAsia="Arial" w:hAnsi="Arial"/>
          <w:sz w:val="16"/>
          <w:szCs w:val="16"/>
          <w:color w:val="auto"/>
        </w:rPr>
      </w:pPr>
    </w:p>
    <w:p>
      <w:pPr>
        <w:ind w:left="420" w:right="280" w:firstLine="275"/>
        <w:spacing w:after="0" w:line="263" w:lineRule="auto"/>
        <w:tabs>
          <w:tab w:leader="none" w:pos="861"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6"/>
          <w:szCs w:val="16"/>
          <w:color w:val="auto"/>
        </w:rPr>
      </w:pPr>
    </w:p>
    <w:p>
      <w:pPr>
        <w:ind w:left="420" w:right="540" w:firstLine="275"/>
        <w:spacing w:after="0" w:line="263" w:lineRule="auto"/>
        <w:tabs>
          <w:tab w:leader="none" w:pos="869"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8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10160</wp:posOffset>
            </wp:positionV>
            <wp:extent cx="3972560" cy="762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613">
                      <a:extLst>
                        <a:ext uri="{28A0092B-C50C-407E-A947-70E740481C1C}"/>
                      </a:extLst>
                    </a:blip>
                    <a:srcRect/>
                    <a:stretch>
                      <a:fillRect/>
                    </a:stretch>
                  </pic:blipFill>
                  <pic:spPr bwMode="auto">
                    <a:xfrm>
                      <a:off x="0" y="0"/>
                      <a:ext cx="3972560" cy="7620"/>
                    </a:xfrm>
                    <a:prstGeom prst="rect">
                      <a:avLst/>
                    </a:prstGeom>
                    <a:noFill/>
                  </pic:spPr>
                </pic:pic>
              </a:graphicData>
            </a:graphic>
          </wp:anchor>
        </w:drawing>
      </w:r>
    </w:p>
    <w:p>
      <w:pPr>
        <w:spacing w:after="0" w:line="6"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Prashanth Mahendra-Rajah</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Senior Vice President, Finance</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and Chief Financial Officer</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Financial Officer)</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December 3, 2021</w:t>
      </w:r>
    </w:p>
    <w:p>
      <w:pPr>
        <w:sectPr>
          <w:pgSz w:w="11900" w:h="16838" w:orient="portrait"/>
          <w:cols w:equalWidth="0" w:num="1">
            <w:col w:w="11260"/>
          </w:cols>
          <w:pgMar w:left="320" w:top="871"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6"/>
          <w:szCs w:val="16"/>
          <w:b w:val="1"/>
          <w:bCs w:val="1"/>
          <w:color w:val="auto"/>
        </w:rPr>
        <w:t>Exhibit 32.1</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73" w:lineRule="exact"/>
        <w:rPr>
          <w:sz w:val="20"/>
          <w:szCs w:val="20"/>
          <w:color w:val="auto"/>
        </w:rPr>
      </w:pPr>
    </w:p>
    <w:p>
      <w:pPr>
        <w:jc w:val="both"/>
        <w:ind w:right="20" w:firstLine="281"/>
        <w:spacing w:after="0" w:line="335" w:lineRule="auto"/>
        <w:rPr>
          <w:sz w:val="20"/>
          <w:szCs w:val="20"/>
          <w:color w:val="auto"/>
        </w:rPr>
      </w:pPr>
      <w:r>
        <w:rPr>
          <w:rFonts w:ascii="Arial" w:cs="Arial" w:eastAsia="Arial" w:hAnsi="Arial"/>
          <w:sz w:val="14"/>
          <w:szCs w:val="14"/>
          <w:color w:val="auto"/>
        </w:rPr>
        <w:t>In connection with the Annual Report on Form 10-K of Analog Devices, Inc. (the “Company”) for the period ended October 30, 2021 as filed with the Securities and Exchange Commission on the date hereof (the “Report”), the undersigned, Vincent Roche, Chief Executive Officer of the Company, hereby certifies, pursuant to 18 U.S.C. Section 1350, that:</w:t>
      </w:r>
    </w:p>
    <w:p>
      <w:pPr>
        <w:spacing w:after="0" w:line="7" w:lineRule="exact"/>
        <w:rPr>
          <w:sz w:val="20"/>
          <w:szCs w:val="20"/>
          <w:color w:val="auto"/>
        </w:rPr>
      </w:pPr>
    </w:p>
    <w:p>
      <w:pPr>
        <w:ind w:left="780" w:hanging="225"/>
        <w:spacing w:after="0"/>
        <w:tabs>
          <w:tab w:leader="none" w:pos="7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73" w:lineRule="exact"/>
        <w:rPr>
          <w:rFonts w:ascii="Arial" w:cs="Arial" w:eastAsia="Arial" w:hAnsi="Arial"/>
          <w:sz w:val="16"/>
          <w:szCs w:val="16"/>
          <w:color w:val="auto"/>
        </w:rPr>
      </w:pPr>
    </w:p>
    <w:p>
      <w:pPr>
        <w:ind w:left="780" w:hanging="225"/>
        <w:spacing w:after="0"/>
        <w:tabs>
          <w:tab w:leader="none" w:pos="7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 w:lineRule="exact"/>
        <w:rPr>
          <w:rFonts w:ascii="Arial" w:cs="Arial" w:eastAsia="Arial" w:hAnsi="Arial"/>
          <w:sz w:val="16"/>
          <w:szCs w:val="16"/>
          <w:color w:val="auto"/>
        </w:rPr>
      </w:pPr>
    </w:p>
    <w:p>
      <w:pPr>
        <w:ind w:left="5440" w:right="4700"/>
        <w:spacing w:after="0" w:line="305" w:lineRule="auto"/>
        <w:rPr>
          <w:rFonts w:ascii="Arial" w:cs="Arial" w:eastAsia="Arial" w:hAnsi="Arial"/>
          <w:sz w:val="16"/>
          <w:szCs w:val="16"/>
          <w:color w:val="auto"/>
        </w:rPr>
      </w:pPr>
      <w:r>
        <w:rPr>
          <w:rFonts w:ascii="Arial" w:cs="Arial" w:eastAsia="Arial" w:hAnsi="Arial"/>
          <w:sz w:val="14"/>
          <w:szCs w:val="14"/>
          <w:color w:val="auto"/>
        </w:rPr>
        <w:t>/s/ Vincent Roche Vincent Roche</w:t>
      </w:r>
    </w:p>
    <w:p>
      <w:pPr>
        <w:ind w:left="5440"/>
        <w:spacing w:after="0"/>
        <w:rPr>
          <w:rFonts w:ascii="Arial" w:cs="Arial" w:eastAsia="Arial" w:hAnsi="Arial"/>
          <w:sz w:val="16"/>
          <w:szCs w:val="16"/>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-249555</wp:posOffset>
            </wp:positionV>
            <wp:extent cx="3683000" cy="762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614">
                      <a:extLst>
                        <a:ext uri="{28A0092B-C50C-407E-A947-70E740481C1C}"/>
                      </a:extLst>
                    </a:blip>
                    <a:srcRect/>
                    <a:stretch>
                      <a:fillRect/>
                    </a:stretch>
                  </pic:blipFill>
                  <pic:spPr bwMode="auto">
                    <a:xfrm>
                      <a:off x="0" y="0"/>
                      <a:ext cx="3683000" cy="7620"/>
                    </a:xfrm>
                    <a:prstGeom prst="rect">
                      <a:avLst/>
                    </a:prstGeom>
                    <a:noFill/>
                  </pic:spPr>
                </pic:pic>
              </a:graphicData>
            </a:graphic>
          </wp:anchor>
        </w:drawing>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Dated: December 3, 2021</w:t>
      </w:r>
    </w:p>
    <w:p>
      <w:pPr>
        <w:sectPr>
          <w:pgSz w:w="11900" w:h="16838" w:orient="portrait"/>
          <w:cols w:equalWidth="0" w:num="1">
            <w:col w:w="11260"/>
          </w:cols>
          <w:pgMar w:left="320" w:top="871"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6"/>
          <w:szCs w:val="16"/>
          <w:b w:val="1"/>
          <w:bCs w:val="1"/>
          <w:color w:val="auto"/>
        </w:rPr>
        <w:t>Exhibit 32.2</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73" w:lineRule="exact"/>
        <w:rPr>
          <w:sz w:val="20"/>
          <w:szCs w:val="20"/>
          <w:color w:val="auto"/>
        </w:rPr>
      </w:pPr>
    </w:p>
    <w:p>
      <w:pPr>
        <w:ind w:right="20" w:firstLine="281"/>
        <w:spacing w:after="0" w:line="253" w:lineRule="auto"/>
        <w:rPr>
          <w:sz w:val="20"/>
          <w:szCs w:val="20"/>
          <w:color w:val="auto"/>
        </w:rPr>
      </w:pPr>
      <w:r>
        <w:rPr>
          <w:rFonts w:ascii="Arial" w:cs="Arial" w:eastAsia="Arial" w:hAnsi="Arial"/>
          <w:sz w:val="16"/>
          <w:szCs w:val="16"/>
          <w:color w:val="auto"/>
        </w:rPr>
        <w:t>In connection with the Annual Report on Form 10-K of Analog Devices, Inc. (the “Company”) for the period ended October 30, 2021 as filed with the Securities and Exchange Commission on the date hereof (the “Report”), the undersigned, Prashanth Mahendra-Rajah, Chief Financial Officer of the Company, hereby certifies, pursuant to 18 U.S.C. Section 1350, that:</w:t>
      </w:r>
    </w:p>
    <w:p>
      <w:pPr>
        <w:spacing w:after="0" w:line="61" w:lineRule="exact"/>
        <w:rPr>
          <w:sz w:val="20"/>
          <w:szCs w:val="20"/>
          <w:color w:val="auto"/>
        </w:rPr>
      </w:pPr>
    </w:p>
    <w:p>
      <w:pPr>
        <w:ind w:left="780" w:hanging="225"/>
        <w:spacing w:after="0"/>
        <w:tabs>
          <w:tab w:leader="none" w:pos="7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73" w:lineRule="exact"/>
        <w:rPr>
          <w:rFonts w:ascii="Arial" w:cs="Arial" w:eastAsia="Arial" w:hAnsi="Arial"/>
          <w:sz w:val="16"/>
          <w:szCs w:val="16"/>
          <w:color w:val="auto"/>
        </w:rPr>
      </w:pPr>
    </w:p>
    <w:p>
      <w:pPr>
        <w:ind w:left="780" w:hanging="225"/>
        <w:spacing w:after="0"/>
        <w:tabs>
          <w:tab w:leader="none" w:pos="7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 w:lineRule="exact"/>
        <w:rPr>
          <w:rFonts w:ascii="Arial" w:cs="Arial" w:eastAsia="Arial" w:hAnsi="Arial"/>
          <w:sz w:val="16"/>
          <w:szCs w:val="16"/>
          <w:color w:val="auto"/>
        </w:rPr>
      </w:pPr>
    </w:p>
    <w:p>
      <w:pPr>
        <w:ind w:left="5440" w:right="3880"/>
        <w:spacing w:after="0" w:line="333" w:lineRule="auto"/>
        <w:rPr>
          <w:rFonts w:ascii="Arial" w:cs="Arial" w:eastAsia="Arial" w:hAnsi="Arial"/>
          <w:sz w:val="16"/>
          <w:szCs w:val="16"/>
          <w:color w:val="auto"/>
        </w:rPr>
      </w:pPr>
      <w:r>
        <w:rPr>
          <w:rFonts w:ascii="Arial" w:cs="Arial" w:eastAsia="Arial" w:hAnsi="Arial"/>
          <w:sz w:val="14"/>
          <w:szCs w:val="14"/>
          <w:color w:val="auto"/>
        </w:rPr>
        <w:t>/s/ Prashanth Mahendra-Rajah Prashanth Mahendra-Rajah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-297815</wp:posOffset>
            </wp:positionV>
            <wp:extent cx="3683000" cy="762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615">
                      <a:extLst>
                        <a:ext uri="{28A0092B-C50C-407E-A947-70E740481C1C}"/>
                      </a:extLst>
                    </a:blip>
                    <a:srcRect/>
                    <a:stretch>
                      <a:fillRect/>
                    </a:stretch>
                  </pic:blipFill>
                  <pic:spPr bwMode="auto">
                    <a:xfrm>
                      <a:off x="0" y="0"/>
                      <a:ext cx="3683000" cy="7620"/>
                    </a:xfrm>
                    <a:prstGeom prst="rect">
                      <a:avLst/>
                    </a:prstGeom>
                    <a:noFill/>
                  </pic:spPr>
                </pic:pic>
              </a:graphicData>
            </a:graphic>
          </wp:anchor>
        </w:drawing>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Dated: December 3, 2021</w:t>
      </w:r>
    </w:p>
    <w:sectPr>
      <w:pgSz w:w="11900" w:h="16838" w:orient="portrait"/>
      <w:cols w:equalWidth="0" w:num="1">
        <w:col w:w="11260"/>
      </w:cols>
      <w:pgMar w:left="320" w:top="87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abstractNum>
  <w:abstractNum w:abstractNumId="18">
    <w:nsid w:val="50801EE1"/>
    <w:multiLevelType w:val="hybridMultilevel"/>
    <w:lvl w:ilvl="0">
      <w:lvlJc w:val="left"/>
      <w:lvlText w:val="(%1)"/>
      <w:numFmt w:val="decimal"/>
      <w:start w:val="1"/>
    </w:lvl>
  </w:abstractNum>
  <w:abstractNum w:abstractNumId="19">
    <w:nsid w:val="488AC1A"/>
    <w:multiLevelType w:val="hybridMultilevel"/>
    <w:lvl w:ilvl="0">
      <w:lvlJc w:val="left"/>
      <w:lvlText w:val="(%1)"/>
      <w:numFmt w:val="decimal"/>
      <w:start w:val="1"/>
    </w:lvl>
  </w:abstractNum>
  <w:abstractNum w:abstractNumId="20">
    <w:nsid w:val="5FB8011C"/>
    <w:multiLevelType w:val="hybridMultilevel"/>
    <w:lvl w:ilvl="0">
      <w:lvlJc w:val="left"/>
      <w:lvlText w:val="(%1)"/>
      <w:numFmt w:val="decimal"/>
      <w:start w:val="1"/>
    </w:lvl>
  </w:abstractNum>
  <w:abstractNum w:abstractNumId="21">
    <w:nsid w:val="6AA78F7F"/>
    <w:multiLevelType w:val="hybridMultilevel"/>
    <w:lvl w:ilvl="0">
      <w:lvlJc w:val="left"/>
      <w:lvlText w:val="(%1)"/>
      <w:numFmt w:val="decimal"/>
      <w:start w:val="1"/>
    </w:lvl>
  </w:abstractNum>
  <w:abstractNum w:abstractNumId="22">
    <w:nsid w:val="7672BD23"/>
    <w:multiLevelType w:val="hybridMultilevel"/>
    <w:lvl w:ilvl="0">
      <w:lvlJc w:val="left"/>
      <w:lvlText w:val="(%1)"/>
      <w:numFmt w:val="decimal"/>
      <w:start w:val="1"/>
    </w:lvl>
  </w:abstractNum>
  <w:abstractNum w:abstractNumId="23">
    <w:nsid w:val="6FC75AF8"/>
    <w:multiLevelType w:val="hybridMultilevel"/>
    <w:lvl w:ilvl="0">
      <w:lvlJc w:val="left"/>
      <w:lvlText w:val="\endash "/>
      <w:numFmt w:val="bullet"/>
      <w:start w:val="1"/>
    </w:lvl>
  </w:abstractNum>
  <w:abstractNum w:abstractNumId="24">
    <w:nsid w:val="6A5F7029"/>
    <w:multiLevelType w:val="hybridMultilevel"/>
    <w:lvl w:ilvl="0">
      <w:lvlJc w:val="left"/>
      <w:lvlText w:val="(%1)"/>
      <w:numFmt w:val="decimal"/>
      <w:start w:val="1"/>
    </w:lvl>
  </w:abstractNum>
  <w:abstractNum w:abstractNumId="25">
    <w:nsid w:val="7D5E18F8"/>
    <w:multiLevelType w:val="hybridMultilevel"/>
    <w:lvl w:ilvl="0">
      <w:lvlJc w:val="left"/>
      <w:lvlText w:val="%1."/>
      <w:numFmt w:val="decimal"/>
      <w:start w:val="1"/>
    </w:lvl>
  </w:abstractNum>
  <w:abstractNum w:abstractNumId="26">
    <w:nsid w:val="5F3534A4"/>
    <w:multiLevelType w:val="hybridMultilevel"/>
    <w:lvl w:ilvl="0">
      <w:lvlJc w:val="left"/>
      <w:lvlText w:val="%1."/>
      <w:numFmt w:val="decimal"/>
      <w:start w:val="2"/>
    </w:lvl>
    <w:lvl w:ilvl="1">
      <w:lvlJc w:val="left"/>
      <w:lvlText w:val="%2"/>
      <w:numFmt w:val="lowerLetter"/>
      <w:start w:val="1"/>
    </w:lvl>
  </w:abstractNum>
  <w:abstractNum w:abstractNumId="27">
    <w:nsid w:val="73A1821B"/>
    <w:multiLevelType w:val="hybridMultilevel"/>
    <w:lvl w:ilvl="0">
      <w:lvlJc w:val="left"/>
      <w:lvlText w:val="%1."/>
      <w:numFmt w:val="lowerLetter"/>
      <w:start w:val="2"/>
    </w:lvl>
  </w:abstractNum>
  <w:abstractNum w:abstractNumId="28">
    <w:nsid w:val="7DE67713"/>
    <w:multiLevelType w:val="hybridMultilevel"/>
    <w:lvl w:ilvl="0">
      <w:lvlJc w:val="left"/>
      <w:lvlText w:val="%1."/>
      <w:numFmt w:val="lowerLetter"/>
      <w:start w:val="4"/>
    </w:lvl>
  </w:abstractNum>
  <w:abstractNum w:abstractNumId="29">
    <w:nsid w:val="555C55B5"/>
    <w:multiLevelType w:val="hybridMultilevel"/>
    <w:lvl w:ilvl="0">
      <w:lvlJc w:val="left"/>
      <w:lvlText w:val="%1."/>
      <w:numFmt w:val="lowerLetter"/>
      <w:start w:val="5"/>
    </w:lvl>
  </w:abstractNum>
  <w:abstractNum w:abstractNumId="30">
    <w:nsid w:val="3FA62ACA"/>
    <w:multiLevelType w:val="hybridMultilevel"/>
    <w:lvl w:ilvl="0">
      <w:lvlJc w:val="left"/>
      <w:lvlText w:val="%1."/>
      <w:numFmt w:val="lowerLetter"/>
      <w:start w:val="6"/>
    </w:lvl>
  </w:abstractNum>
  <w:abstractNum w:abstractNumId="31">
    <w:nsid w:val="14FCE74E"/>
    <w:multiLevelType w:val="hybridMultilevel"/>
    <w:lvl w:ilvl="0">
      <w:lvlJc w:val="left"/>
      <w:lvlText w:val="\endash "/>
      <w:numFmt w:val="bullet"/>
      <w:start w:val="1"/>
    </w:lvl>
  </w:abstractNum>
  <w:abstractNum w:abstractNumId="32">
    <w:nsid w:val="6A3DD3E8"/>
    <w:multiLevelType w:val="hybridMultilevel"/>
    <w:lvl w:ilvl="0">
      <w:lvlJc w:val="left"/>
      <w:lvlText w:val="\endash "/>
      <w:numFmt w:val="bullet"/>
      <w:start w:val="1"/>
    </w:lvl>
  </w:abstractNum>
  <w:abstractNum w:abstractNumId="33">
    <w:nsid w:val="71C91298"/>
    <w:multiLevelType w:val="hybridMultilevel"/>
    <w:lvl w:ilvl="0">
      <w:lvlJc w:val="left"/>
      <w:lvlText w:val="(%1)"/>
      <w:numFmt w:val="decimal"/>
      <w:start w:val="1"/>
    </w:lvl>
  </w:abstractNum>
  <w:abstractNum w:abstractNumId="34">
    <w:nsid w:val="9DAF632"/>
    <w:multiLevelType w:val="hybridMultilevel"/>
    <w:lvl w:ilvl="0">
      <w:lvlJc w:val="left"/>
      <w:lvlText w:val="%1."/>
      <w:numFmt w:val="lowerLetter"/>
      <w:start w:val="7"/>
    </w:lvl>
  </w:abstractNum>
  <w:abstractNum w:abstractNumId="35">
    <w:nsid w:val="53299938"/>
    <w:multiLevelType w:val="hybridMultilevel"/>
    <w:lvl w:ilvl="0">
      <w:lvlJc w:val="left"/>
      <w:lvlText w:val="%1."/>
      <w:numFmt w:val="lowerRoman"/>
      <w:start w:val="1"/>
    </w:lvl>
  </w:abstractNum>
  <w:abstractNum w:abstractNumId="36">
    <w:nsid w:val="1FBFE8E0"/>
    <w:multiLevelType w:val="hybridMultilevel"/>
    <w:lvl w:ilvl="0">
      <w:lvlJc w:val="left"/>
      <w:lvlText w:val="%1."/>
      <w:numFmt w:val="lowerLetter"/>
      <w:start w:val="10"/>
    </w:lvl>
  </w:abstractNum>
  <w:abstractNum w:abstractNumId="37">
    <w:nsid w:val="5092CA79"/>
    <w:multiLevelType w:val="hybridMultilevel"/>
    <w:lvl w:ilvl="0">
      <w:lvlJc w:val="left"/>
      <w:lvlText w:val="(%1)"/>
      <w:numFmt w:val="decimal"/>
      <w:start w:val="1"/>
    </w:lvl>
  </w:abstractNum>
  <w:abstractNum w:abstractNumId="38">
    <w:nsid w:val="1D545C4D"/>
    <w:multiLevelType w:val="hybridMultilevel"/>
    <w:lvl w:ilvl="0">
      <w:lvlJc w:val="left"/>
      <w:lvlText w:val="(%1)"/>
      <w:numFmt w:val="decimal"/>
      <w:start w:val="1"/>
    </w:lvl>
  </w:abstractNum>
  <w:abstractNum w:abstractNumId="39">
    <w:nsid w:val="59ADEA3D"/>
    <w:multiLevelType w:val="hybridMultilevel"/>
    <w:lvl w:ilvl="0">
      <w:lvlJc w:val="left"/>
      <w:lvlText w:val="%1."/>
      <w:numFmt w:val="lowerLetter"/>
      <w:start w:val="11"/>
    </w:lvl>
  </w:abstractNum>
  <w:abstractNum w:abstractNumId="40">
    <w:nsid w:val="288F1A34"/>
    <w:multiLevelType w:val="hybridMultilevel"/>
    <w:lvl w:ilvl="0">
      <w:lvlJc w:val="left"/>
      <w:lvlText w:val="%1."/>
      <w:numFmt w:val="lowerLetter"/>
      <w:start w:val="12"/>
    </w:lvl>
  </w:abstractNum>
  <w:abstractNum w:abstractNumId="41">
    <w:nsid w:val="2A155DBC"/>
    <w:multiLevelType w:val="hybridMultilevel"/>
    <w:lvl w:ilvl="0">
      <w:lvlJc w:val="left"/>
      <w:lvlText w:val="%1."/>
      <w:numFmt w:val="lowerLetter"/>
      <w:start w:val="15"/>
    </w:lvl>
  </w:abstractNum>
  <w:abstractNum w:abstractNumId="42">
    <w:nsid w:val="1D9F6E5F"/>
    <w:multiLevelType w:val="hybridMultilevel"/>
    <w:lvl w:ilvl="0">
      <w:lvlJc w:val="left"/>
      <w:lvlText w:val="(%1)"/>
      <w:numFmt w:val="decimal"/>
      <w:start w:val="1"/>
    </w:lvl>
  </w:abstractNum>
  <w:abstractNum w:abstractNumId="43">
    <w:nsid w:val="97E1B4E"/>
    <w:multiLevelType w:val="hybridMultilevel"/>
    <w:lvl w:ilvl="0">
      <w:lvlJc w:val="left"/>
      <w:lvlText w:val="%1."/>
      <w:numFmt w:val="lowerLetter"/>
      <w:start w:val="17"/>
    </w:lvl>
  </w:abstractNum>
  <w:abstractNum w:abstractNumId="44">
    <w:nsid w:val="51088277"/>
    <w:multiLevelType w:val="hybridMultilevel"/>
    <w:lvl w:ilvl="0">
      <w:lvlJc w:val="left"/>
      <w:lvlText w:val="(%1)"/>
      <w:numFmt w:val="decimal"/>
      <w:start w:val="1"/>
    </w:lvl>
  </w:abstractNum>
  <w:abstractNum w:abstractNumId="45">
    <w:nsid w:val="1CA0C5FA"/>
    <w:multiLevelType w:val="hybridMultilevel"/>
    <w:lvl w:ilvl="0">
      <w:lvlJc w:val="left"/>
      <w:lvlText w:val="%1."/>
      <w:numFmt w:val="lowerLetter"/>
      <w:start w:val="19"/>
    </w:lvl>
  </w:abstractNum>
  <w:abstractNum w:abstractNumId="46">
    <w:nsid w:val="53584BCB"/>
    <w:multiLevelType w:val="hybridMultilevel"/>
    <w:lvl w:ilvl="0">
      <w:lvlJc w:val="left"/>
      <w:lvlText w:val="%1."/>
      <w:numFmt w:val="decimal"/>
      <w:start w:val="3"/>
    </w:lvl>
  </w:abstractNum>
  <w:abstractNum w:abstractNumId="47">
    <w:nsid w:val="415E286C"/>
    <w:multiLevelType w:val="hybridMultilevel"/>
    <w:lvl w:ilvl="0">
      <w:lvlJc w:val="left"/>
      <w:lvlText w:val="(%1)"/>
      <w:numFmt w:val="decimal"/>
      <w:start w:val="1"/>
    </w:lvl>
  </w:abstractNum>
  <w:abstractNum w:abstractNumId="48">
    <w:nsid w:val="7C58FD05"/>
    <w:multiLevelType w:val="hybridMultilevel"/>
    <w:lvl w:ilvl="0">
      <w:lvlJc w:val="left"/>
      <w:lvlText w:val="%1."/>
      <w:numFmt w:val="decimal"/>
      <w:start w:val="4"/>
    </w:lvl>
  </w:abstractNum>
  <w:abstractNum w:abstractNumId="49">
    <w:nsid w:val="23D86AAC"/>
    <w:multiLevelType w:val="hybridMultilevel"/>
    <w:lvl w:ilvl="0">
      <w:lvlJc w:val="left"/>
      <w:lvlText w:val="•"/>
      <w:numFmt w:val="bullet"/>
      <w:start w:val="1"/>
    </w:lvl>
  </w:abstractNum>
  <w:abstractNum w:abstractNumId="50">
    <w:nsid w:val="45E6D486"/>
    <w:multiLevelType w:val="hybridMultilevel"/>
    <w:lvl w:ilvl="0">
      <w:lvlJc w:val="left"/>
      <w:lvlText w:val="%1"/>
      <w:numFmt w:val="decimal"/>
      <w:start w:val="1"/>
    </w:lvl>
    <w:lvl w:ilvl="1">
      <w:lvlJc w:val="left"/>
      <w:lvlText w:val="(%2)"/>
      <w:numFmt w:val="decimal"/>
      <w:start w:val="1"/>
    </w:lvl>
  </w:abstractNum>
  <w:abstractNum w:abstractNumId="51">
    <w:nsid w:val="5C10FE21"/>
    <w:multiLevelType w:val="hybridMultilevel"/>
    <w:lvl w:ilvl="0">
      <w:lvlJc w:val="left"/>
      <w:lvlText w:val="%1."/>
      <w:numFmt w:val="decimal"/>
      <w:start w:val="5"/>
    </w:lvl>
    <w:lvl w:ilvl="1">
      <w:lvlJc w:val="left"/>
      <w:lvlText w:val="%2"/>
      <w:numFmt w:val="decimal"/>
      <w:start w:val="1"/>
    </w:lvl>
  </w:abstractNum>
  <w:abstractNum w:abstractNumId="52">
    <w:nsid w:val="E7FFA2B"/>
    <w:multiLevelType w:val="hybridMultilevel"/>
    <w:lvl w:ilvl="0">
      <w:lvlJc w:val="left"/>
      <w:lvlText w:val="%1."/>
      <w:numFmt w:val="decimal"/>
      <w:start w:val="6"/>
    </w:lvl>
  </w:abstractNum>
  <w:abstractNum w:abstractNumId="53">
    <w:nsid w:val="3C5991AA"/>
    <w:multiLevelType w:val="hybridMultilevel"/>
    <w:lvl w:ilvl="0">
      <w:lvlJc w:val="left"/>
      <w:lvlText w:val="(%1)"/>
      <w:numFmt w:val="lowerLetter"/>
      <w:start w:val="1"/>
    </w:lvl>
  </w:abstractNum>
  <w:abstractNum w:abstractNumId="54">
    <w:nsid w:val="4BD8591A"/>
    <w:multiLevelType w:val="hybridMultilevel"/>
    <w:lvl w:ilvl="0">
      <w:lvlJc w:val="left"/>
      <w:lvlText w:val="(%1)"/>
      <w:numFmt w:val="decimal"/>
      <w:start w:val="1"/>
    </w:lvl>
  </w:abstractNum>
  <w:abstractNum w:abstractNumId="55">
    <w:nsid w:val="78DF6A55"/>
    <w:multiLevelType w:val="hybridMultilevel"/>
    <w:lvl w:ilvl="0">
      <w:lvlJc w:val="left"/>
      <w:lvlText w:val="(%1)"/>
      <w:numFmt w:val="decimal"/>
      <w:start w:val="1"/>
    </w:lvl>
  </w:abstractNum>
  <w:abstractNum w:abstractNumId="56">
    <w:nsid w:val="39B7AAA2"/>
    <w:multiLevelType w:val="hybridMultilevel"/>
    <w:lvl w:ilvl="0">
      <w:lvlJc w:val="left"/>
      <w:lvlText w:val="(%1)"/>
      <w:numFmt w:val="lowerLetter"/>
      <w:start w:val="1"/>
    </w:lvl>
  </w:abstractNum>
  <w:abstractNum w:abstractNumId="57">
    <w:nsid w:val="2B0D8DBE"/>
    <w:multiLevelType w:val="hybridMultilevel"/>
    <w:lvl w:ilvl="0">
      <w:lvlJc w:val="left"/>
      <w:lvlText w:val="•"/>
      <w:numFmt w:val="bullet"/>
      <w:start w:val="1"/>
    </w:lvl>
  </w:abstractNum>
  <w:abstractNum w:abstractNumId="58">
    <w:nsid w:val="6C80EC70"/>
    <w:multiLevelType w:val="hybridMultilevel"/>
    <w:lvl w:ilvl="0">
      <w:lvlJc w:val="left"/>
      <w:lvlText w:val="(%1)"/>
      <w:numFmt w:val="lowerLetter"/>
      <w:start w:val="3"/>
    </w:lvl>
  </w:abstractNum>
  <w:abstractNum w:abstractNumId="59">
    <w:nsid w:val="379E21B5"/>
    <w:multiLevelType w:val="hybridMultilevel"/>
    <w:lvl w:ilvl="0">
      <w:lvlJc w:val="left"/>
      <w:lvlText w:val="(%1)"/>
      <w:numFmt w:val="decimal"/>
      <w:start w:val="2"/>
    </w:lvl>
  </w:abstractNum>
  <w:abstractNum w:abstractNumId="60">
    <w:nsid w:val="69E373"/>
    <w:multiLevelType w:val="hybridMultilevel"/>
    <w:lvl w:ilvl="0">
      <w:lvlJc w:val="left"/>
      <w:lvlText w:val="(%1)"/>
      <w:numFmt w:val="lowerLetter"/>
      <w:start w:val="4"/>
    </w:lvl>
  </w:abstractNum>
  <w:abstractNum w:abstractNumId="61">
    <w:nsid w:val="2C27173B"/>
    <w:multiLevelType w:val="hybridMultilevel"/>
    <w:lvl w:ilvl="0">
      <w:lvlJc w:val="left"/>
      <w:lvlText w:val="(%1)"/>
      <w:numFmt w:val="lowerLetter"/>
      <w:start w:val="1"/>
    </w:lvl>
  </w:abstractNum>
  <w:abstractNum w:abstractNumId="62">
    <w:nsid w:val="4C9B0904"/>
    <w:multiLevelType w:val="hybridMultilevel"/>
    <w:lvl w:ilvl="0">
      <w:lvlJc w:val="left"/>
      <w:lvlText w:val="%1."/>
      <w:numFmt w:val="decimal"/>
      <w:start w:val="1"/>
    </w:lvl>
  </w:abstractNum>
  <w:abstractNum w:abstractNumId="63">
    <w:nsid w:val="6AA7B75C"/>
    <w:multiLevelType w:val="hybridMultilevel"/>
    <w:lvl w:ilvl="0">
      <w:lvlJc w:val="left"/>
      <w:lvlText w:val="%1."/>
      <w:numFmt w:val="decimal"/>
      <w:start w:val="2"/>
    </w:lvl>
    <w:lvl w:ilvl="1">
      <w:lvlJc w:val="left"/>
      <w:lvlText w:val="\emdash "/>
      <w:numFmt w:val="bullet"/>
      <w:start w:val="1"/>
    </w:lvl>
  </w:abstractNum>
  <w:abstractNum w:abstractNumId="64">
    <w:nsid w:val="1DF029D3"/>
    <w:multiLevelType w:val="hybridMultilevel"/>
    <w:lvl w:ilvl="0">
      <w:lvlJc w:val="left"/>
      <w:lvlText w:val="†"/>
      <w:numFmt w:val="bullet"/>
      <w:start w:val="1"/>
    </w:lvl>
  </w:abstractNum>
  <w:abstractNum w:abstractNumId="65">
    <w:nsid w:val="5675FF36"/>
    <w:multiLevelType w:val="hybridMultilevel"/>
    <w:lvl w:ilvl="0">
      <w:lvlJc w:val="left"/>
      <w:lvlText w:val="*"/>
      <w:numFmt w:val="bullet"/>
      <w:start w:val="1"/>
    </w:lvl>
  </w:abstractNum>
  <w:abstractNum w:abstractNumId="66">
    <w:nsid w:val="3DD15094"/>
    <w:multiLevelType w:val="hybridMultilevel"/>
    <w:lvl w:ilvl="0">
      <w:lvlJc w:val="left"/>
      <w:lvlText w:val="**"/>
      <w:numFmt w:val="bullet"/>
      <w:start w:val="1"/>
    </w:lvl>
  </w:abstractNum>
  <w:abstractNum w:abstractNumId="67">
    <w:nsid w:val="3DB012B3"/>
    <w:multiLevelType w:val="hybridMultilevel"/>
    <w:lvl w:ilvl="0">
      <w:lvlJc w:val="left"/>
      <w:lvlText w:val="(%1)"/>
      <w:numFmt w:val="decimal"/>
      <w:start w:val="1"/>
    </w:lvl>
  </w:abstractNum>
  <w:abstractNum w:abstractNumId="68">
    <w:nsid w:val="2708C9AF"/>
    <w:multiLevelType w:val="hybridMultilevel"/>
    <w:lvl w:ilvl="0">
      <w:lvlJc w:val="left"/>
      <w:lvlText w:val="%1."/>
      <w:numFmt w:val="decimal"/>
      <w:start w:val="1"/>
    </w:lvl>
    <w:lvl w:ilvl="1">
      <w:lvlJc w:val="left"/>
      <w:lvlText w:val="(%2)"/>
      <w:numFmt w:val="lowerLetter"/>
      <w:start w:val="1"/>
    </w:lvl>
  </w:abstractNum>
  <w:abstractNum w:abstractNumId="69">
    <w:nsid w:val="5B25ACE2"/>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70">
    <w:nsid w:val="175DFCF0"/>
    <w:multiLevelType w:val="hybridMultilevel"/>
    <w:lvl w:ilvl="0">
      <w:lvlJc w:val="left"/>
      <w:lvlText w:val="(%1)"/>
      <w:numFmt w:val="lowerLetter"/>
      <w:start w:val="9"/>
    </w:lvl>
  </w:abstractNum>
  <w:abstractNum w:abstractNumId="71">
    <w:nsid w:val="4F97E3E4"/>
    <w:multiLevelType w:val="hybridMultilevel"/>
    <w:lvl w:ilvl="0">
      <w:lvlJc w:val="left"/>
      <w:lvlText w:val="(%1)"/>
      <w:numFmt w:val="lowerLetter"/>
      <w:start w:val="12"/>
    </w:lvl>
  </w:abstractNum>
  <w:abstractNum w:abstractNumId="72">
    <w:nsid w:val="53B0A9E"/>
    <w:multiLevelType w:val="hybridMultilevel"/>
    <w:lvl w:ilvl="0">
      <w:lvlJc w:val="left"/>
      <w:lvlText w:val="(%1)"/>
      <w:numFmt w:val="lowerLetter"/>
      <w:start w:val="13"/>
    </w:lvl>
    <w:lvl w:ilvl="1">
      <w:lvlJc w:val="left"/>
      <w:lvlText w:val="(%2)"/>
      <w:numFmt w:val="lowerRoman"/>
      <w:start w:val="1"/>
    </w:lvl>
  </w:abstractNum>
  <w:abstractNum w:abstractNumId="73">
    <w:nsid w:val="34FD6B4F"/>
    <w:multiLevelType w:val="hybridMultilevel"/>
    <w:lvl w:ilvl="0">
      <w:lvlJc w:val="left"/>
      <w:lvlText w:val="(%1)"/>
      <w:numFmt w:val="lowerLetter"/>
      <w:start w:val="27"/>
    </w:lvl>
    <w:lvl w:ilvl="1">
      <w:lvlJc w:val="left"/>
      <w:lvlText w:val="(%2)"/>
      <w:numFmt w:val="lowerLetter"/>
      <w:start w:val="38"/>
    </w:lvl>
  </w:abstractNum>
  <w:abstractNum w:abstractNumId="74">
    <w:nsid w:val="5915FF32"/>
    <w:multiLevelType w:val="hybridMultilevel"/>
    <w:lvl w:ilvl="0">
      <w:lvlJc w:val="left"/>
      <w:lvlText w:val="%1"/>
      <w:numFmt w:val="decimal"/>
      <w:start w:val="1"/>
    </w:lvl>
    <w:lvl w:ilvl="1">
      <w:lvlJc w:val="left"/>
      <w:lvlText w:val="(%2)"/>
      <w:numFmt w:val="lowerLetter"/>
      <w:start w:val="39"/>
    </w:lvl>
  </w:abstractNum>
  <w:abstractNum w:abstractNumId="75">
    <w:nsid w:val="56438D15"/>
    <w:multiLevelType w:val="hybridMultilevel"/>
    <w:lvl w:ilvl="0">
      <w:lvlJc w:val="left"/>
      <w:lvlText w:val="%1"/>
      <w:numFmt w:val="decimal"/>
      <w:start w:val="1"/>
    </w:lvl>
    <w:lvl w:ilvl="1">
      <w:lvlJc w:val="left"/>
      <w:lvlText w:val="(%2)"/>
      <w:numFmt w:val="lowerLetter"/>
      <w:start w:val="42"/>
    </w:lvl>
  </w:abstractNum>
  <w:abstractNum w:abstractNumId="76">
    <w:nsid w:val="519E3149"/>
    <w:multiLevelType w:val="hybridMultilevel"/>
    <w:lvl w:ilvl="0">
      <w:lvlJc w:val="left"/>
      <w:lvlText w:val="%1."/>
      <w:numFmt w:val="decimal"/>
      <w:start w:val="3"/>
    </w:lvl>
    <w:lvl w:ilvl="1">
      <w:lvlJc w:val="left"/>
      <w:lvlText w:val="%2"/>
      <w:numFmt w:val="lowerLetter"/>
      <w:start w:val="1"/>
    </w:lvl>
  </w:abstractNum>
  <w:abstractNum w:abstractNumId="77">
    <w:nsid w:val="2C6E4AFD"/>
    <w:multiLevelType w:val="hybridMultilevel"/>
    <w:lvl w:ilvl="0">
      <w:lvlJc w:val="left"/>
      <w:lvlText w:val="%1"/>
      <w:numFmt w:val="decimal"/>
      <w:start w:val="1"/>
    </w:lvl>
    <w:lvl w:ilvl="1">
      <w:lvlJc w:val="left"/>
      <w:lvlText w:val="(%2)"/>
      <w:numFmt w:val="lowerLetter"/>
      <w:start w:val="1"/>
    </w:lvl>
  </w:abstractNum>
  <w:abstractNum w:abstractNumId="78">
    <w:nsid w:val="17A1B582"/>
    <w:multiLevelType w:val="hybridMultilevel"/>
    <w:lvl w:ilvl="0">
      <w:lvlJc w:val="left"/>
      <w:lvlText w:val="%1."/>
      <w:numFmt w:val="decimal"/>
      <w:start w:val="4"/>
    </w:lvl>
    <w:lvl w:ilvl="1">
      <w:lvlJc w:val="left"/>
      <w:lvlText w:val="(%2)"/>
      <w:numFmt w:val="lowerLetter"/>
      <w:start w:val="1"/>
    </w:lvl>
  </w:abstractNum>
  <w:abstractNum w:abstractNumId="79">
    <w:nsid w:val="4DF72E4E"/>
    <w:multiLevelType w:val="hybridMultilevel"/>
    <w:lvl w:ilvl="0">
      <w:lvlJc w:val="left"/>
      <w:lvlText w:val="(%1)"/>
      <w:numFmt w:val="lowerRoman"/>
      <w:start w:val="1"/>
    </w:lvl>
  </w:abstractNum>
  <w:abstractNum w:abstractNumId="80">
    <w:nsid w:val="5046B5A9"/>
    <w:multiLevelType w:val="hybridMultilevel"/>
    <w:lvl w:ilvl="0">
      <w:lvlJc w:val="left"/>
      <w:lvlText w:val="%1"/>
      <w:numFmt w:val="lowerLetter"/>
      <w:start w:val="1"/>
    </w:lvl>
    <w:lvl w:ilvl="1">
      <w:lvlJc w:val="left"/>
      <w:lvlText w:val="(%2)"/>
      <w:numFmt w:val="lowerLetter"/>
      <w:start w:val="61"/>
    </w:lvl>
  </w:abstractNum>
  <w:abstractNum w:abstractNumId="81">
    <w:nsid w:val="5D888A08"/>
    <w:multiLevelType w:val="hybridMultilevel"/>
    <w:lvl w:ilvl="0">
      <w:lvlJc w:val="left"/>
      <w:lvlText w:val="(%1)"/>
      <w:numFmt w:val="lowerLetter"/>
      <w:start w:val="2"/>
    </w:lvl>
    <w:lvl w:ilvl="1">
      <w:lvlJc w:val="left"/>
      <w:lvlText w:val="(%2)"/>
      <w:numFmt w:val="lowerLetter"/>
      <w:start w:val="9"/>
    </w:lvl>
  </w:abstractNum>
  <w:abstractNum w:abstractNumId="82">
    <w:nsid w:val="2A082C70"/>
    <w:multiLevelType w:val="hybridMultilevel"/>
    <w:lvl w:ilvl="0">
      <w:lvlJc w:val="left"/>
      <w:lvlText w:val="%1"/>
      <w:numFmt w:val="lowerLetter"/>
      <w:start w:val="1"/>
    </w:lvl>
    <w:lvl w:ilvl="1">
      <w:lvlJc w:val="left"/>
      <w:lvlText w:val="(%2)"/>
      <w:numFmt w:val="lowerLetter"/>
      <w:start w:val="61"/>
    </w:lvl>
  </w:abstractNum>
  <w:abstractNum w:abstractNumId="83">
    <w:nsid w:val="5EC6AFD4"/>
    <w:multiLevelType w:val="hybridMultilevel"/>
    <w:lvl w:ilvl="0">
      <w:lvlJc w:val="left"/>
      <w:lvlText w:val="%1"/>
      <w:numFmt w:val="lowerLetter"/>
      <w:start w:val="1"/>
    </w:lvl>
    <w:lvl w:ilvl="1">
      <w:lvlJc w:val="left"/>
      <w:lvlText w:val="(%2)"/>
      <w:numFmt w:val="lowerLetter"/>
      <w:start w:val="22"/>
    </w:lvl>
  </w:abstractNum>
  <w:abstractNum w:abstractNumId="84">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85">
    <w:nsid w:val="75E0858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6">
    <w:nsid w:val="57A61A2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7">
    <w:nsid w:val="5399C654"/>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upperLetter"/>
      <w:start w:val="1"/>
    </w:lvl>
  </w:abstractNum>
  <w:abstractNum w:abstractNumId="88">
    <w:nsid w:val="20EE1348"/>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lvl w:ilvl="3">
      <w:lvlJc w:val="left"/>
      <w:lvlText w:val="(%4)"/>
      <w:numFmt w:val="upperLetter"/>
      <w:start w:val="1"/>
    </w:lvl>
  </w:abstractNum>
  <w:abstractNum w:abstractNumId="89">
    <w:nsid w:val="4427069A"/>
    <w:multiLevelType w:val="hybridMultilevel"/>
    <w:lvl w:ilvl="0">
      <w:lvlJc w:val="left"/>
      <w:lvlText w:val="(%1)"/>
      <w:numFmt w:val="lowerRoman"/>
      <w:start w:val="2"/>
    </w:lvl>
  </w:abstractNum>
  <w:abstractNum w:abstractNumId="90">
    <w:nsid w:val="B37E80A"/>
    <w:multiLevelType w:val="hybridMultilevel"/>
    <w:lvl w:ilvl="0">
      <w:lvlJc w:val="left"/>
      <w:lvlText w:val="%1."/>
      <w:numFmt w:val="decimal"/>
      <w:start w:val="7"/>
    </w:lvl>
    <w:lvl w:ilvl="1">
      <w:lvlJc w:val="left"/>
      <w:lvlText w:val="%2."/>
      <w:numFmt w:val="decimal"/>
      <w:start w:val="8"/>
    </w:lvl>
    <w:lvl w:ilvl="2">
      <w:lvlJc w:val="left"/>
      <w:lvlText w:val="%3."/>
      <w:numFmt w:val="decimal"/>
      <w:start w:val="7"/>
    </w:lvl>
    <w:lvl w:ilvl="3">
      <w:lvlJc w:val="left"/>
      <w:lvlText w:val="(%4)"/>
      <w:numFmt w:val="lowerLetter"/>
      <w:start w:val="1"/>
    </w:lvl>
  </w:abstractNum>
  <w:abstractNum w:abstractNumId="91">
    <w:nsid w:val="2157F6B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92">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93">
    <w:nsid w:val="57D2F10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94">
    <w:nsid w:val="BFFAE18"/>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95">
    <w:nsid w:val="E3E47A8"/>
    <w:multiLevelType w:val="hybridMultilevel"/>
    <w:lvl w:ilvl="0">
      <w:lvlJc w:val="left"/>
      <w:lvlText w:val="%1."/>
      <w:numFmt w:val="decimal"/>
      <w:start w:val="16"/>
    </w:lvl>
    <w:lvl w:ilvl="1">
      <w:lvlJc w:val="left"/>
      <w:lvlText w:val="(%2)"/>
      <w:numFmt w:val="lowerLetter"/>
      <w:start w:val="1"/>
    </w:lvl>
  </w:abstractNum>
  <w:abstractNum w:abstractNumId="96">
    <w:nsid w:val="2E48F044"/>
    <w:multiLevelType w:val="hybridMultilevel"/>
    <w:lvl w:ilvl="0">
      <w:lvlJc w:val="left"/>
      <w:lvlText w:val="%1."/>
      <w:numFmt w:val="decimal"/>
      <w:start w:val="23"/>
    </w:lvl>
  </w:abstractNum>
  <w:abstractNum w:abstractNumId="97">
    <w:nsid w:val="49D0FEAC"/>
    <w:multiLevelType w:val="hybridMultilevel"/>
    <w:lvl w:ilvl="0">
      <w:lvlJc w:val="left"/>
      <w:lvlText w:val="%1."/>
      <w:numFmt w:val="decimal"/>
      <w:start w:val="1"/>
    </w:lvl>
    <w:lvl w:ilvl="1">
      <w:lvlJc w:val="left"/>
      <w:lvlText w:val="(%2)"/>
      <w:numFmt w:val="lowerLetter"/>
      <w:start w:val="1"/>
    </w:lvl>
  </w:abstractNum>
  <w:abstractNum w:abstractNumId="98">
    <w:nsid w:val="4BEE5A5B"/>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9">
    <w:nsid w:val="5551B9F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00">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1">
    <w:nsid w:val="634C574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2">
    <w:nsid w:val="24E99DD7"/>
    <w:multiLevelType w:val="hybridMultilevel"/>
    <w:lvl w:ilvl="0">
      <w:lvlJc w:val="left"/>
      <w:lvlText w:val="(%1)"/>
      <w:numFmt w:val="lowerLetter"/>
      <w:start w:val="3"/>
    </w:lvl>
  </w:abstractNum>
  <w:abstractNum w:abstractNumId="103">
    <w:nsid w:val="2A31B62D"/>
    <w:multiLevelType w:val="hybridMultilevel"/>
    <w:lvl w:ilvl="0">
      <w:lvlJc w:val="left"/>
      <w:lvlText w:val="(%1)"/>
      <w:numFmt w:val="lowerLetter"/>
      <w:start w:val="14"/>
    </w:lvl>
  </w:abstractNum>
  <w:abstractNum w:abstractNumId="104">
    <w:nsid w:val="1849C29B"/>
    <w:multiLevelType w:val="hybridMultilevel"/>
    <w:lvl w:ilvl="0">
      <w:lvlJc w:val="left"/>
      <w:lvlText w:val="(%1)"/>
      <w:numFmt w:val="lowerLetter"/>
      <w:start w:val="24"/>
    </w:lvl>
  </w:abstractNum>
  <w:abstractNum w:abstractNumId="105">
    <w:nsid w:val="7DFF9D09"/>
    <w:multiLevelType w:val="hybridMultilevel"/>
    <w:lvl w:ilvl="0">
      <w:lvlJc w:val="left"/>
      <w:lvlText w:val="(%1)"/>
      <w:numFmt w:val="lowerLetter"/>
      <w:start w:val="1"/>
    </w:lvl>
  </w:abstractNum>
  <w:abstractNum w:abstractNumId="106">
    <w:nsid w:val="754342"/>
    <w:multiLevelType w:val="hybridMultilevel"/>
    <w:lvl w:ilvl="0">
      <w:lvlJc w:val="left"/>
      <w:lvlText w:val="(%1)"/>
      <w:numFmt w:val="lowerLetter"/>
      <w:start w:val="5"/>
    </w:lvl>
  </w:abstractNum>
  <w:abstractNum w:abstractNumId="107">
    <w:nsid w:val="69E7F3E5"/>
    <w:multiLevelType w:val="hybridMultilevel"/>
    <w:lvl w:ilvl="0">
      <w:lvlJc w:val="left"/>
      <w:lvlText w:val="(%1)"/>
      <w:numFmt w:val="lowerRoman"/>
      <w:start w:val="2"/>
    </w:lvl>
  </w:abstractNum>
  <w:abstractNum w:abstractNumId="108">
    <w:nsid w:val="2A6DE806"/>
    <w:multiLevelType w:val="hybridMultilevel"/>
    <w:lvl w:ilvl="0">
      <w:lvlJc w:val="left"/>
      <w:lvlText w:val=";"/>
      <w:numFmt w:val="bullet"/>
      <w:start w:val="1"/>
    </w:lvl>
  </w:abstractNum>
  <w:abstractNum w:abstractNumId="109">
    <w:nsid w:val="1816F8C4"/>
    <w:multiLevelType w:val="hybridMultilevel"/>
    <w:lvl w:ilvl="0">
      <w:lvlJc w:val="left"/>
      <w:lvlText w:val="%1."/>
      <w:numFmt w:val="decimal"/>
      <w:start w:val="1"/>
    </w:lvl>
  </w:abstractNum>
  <w:abstractNum w:abstractNumId="110">
    <w:nsid w:val="37DF2233"/>
    <w:multiLevelType w:val="hybridMultilevel"/>
    <w:lvl w:ilvl="0">
      <w:lvlJc w:val="left"/>
      <w:lvlText w:val="(%1)"/>
      <w:numFmt w:val="lowerLetter"/>
      <w:start w:val="1"/>
    </w:lvl>
  </w:abstractNum>
  <w:abstractNum w:abstractNumId="111">
    <w:nsid w:val="7AB49DAF"/>
    <w:multiLevelType w:val="hybridMultilevel"/>
    <w:lvl w:ilvl="0">
      <w:lvlJc w:val="left"/>
      <w:lvlText w:val="%1."/>
      <w:numFmt w:val="decimal"/>
      <w:start w:val="4"/>
    </w:lvl>
  </w:abstractNum>
  <w:abstractNum w:abstractNumId="112">
    <w:nsid w:val="759F82CD"/>
    <w:multiLevelType w:val="hybridMultilevel"/>
    <w:lvl w:ilvl="0">
      <w:lvlJc w:val="left"/>
      <w:lvlText w:val="%1."/>
      <w:numFmt w:val="decimal"/>
      <w:start w:val="6"/>
    </w:lvl>
  </w:abstractNum>
  <w:abstractNum w:abstractNumId="113">
    <w:nsid w:val="61E74EA3"/>
    <w:multiLevelType w:val="hybridMultilevel"/>
    <w:lvl w:ilvl="0">
      <w:lvlJc w:val="left"/>
      <w:lvlText w:val="%1."/>
      <w:numFmt w:val="decimal"/>
      <w:start w:val="7"/>
    </w:lvl>
  </w:abstractNum>
  <w:abstractNum w:abstractNumId="114">
    <w:nsid w:val="597B4D84"/>
    <w:multiLevelType w:val="hybridMultilevel"/>
    <w:lvl w:ilvl="0">
      <w:lvlJc w:val="left"/>
      <w:lvlText w:val="(%1)"/>
      <w:numFmt w:val="lowerLetter"/>
      <w:start w:val="2"/>
    </w:lvl>
  </w:abstractNum>
  <w:abstractNum w:abstractNumId="115">
    <w:nsid w:val="F819E7F"/>
    <w:multiLevelType w:val="hybridMultilevel"/>
    <w:lvl w:ilvl="0">
      <w:lvlJc w:val="left"/>
      <w:lvlText w:val="%1."/>
      <w:numFmt w:val="decimal"/>
      <w:start w:val="8"/>
    </w:lvl>
  </w:abstractNum>
  <w:abstractNum w:abstractNumId="116">
    <w:nsid w:val="57C7D42D"/>
    <w:multiLevelType w:val="hybridMultilevel"/>
    <w:lvl w:ilvl="0">
      <w:lvlJc w:val="left"/>
      <w:lvlText w:val="%1."/>
      <w:numFmt w:val="decimal"/>
      <w:start w:val="9"/>
    </w:lvl>
  </w:abstractNum>
  <w:abstractNum w:abstractNumId="117">
    <w:nsid w:val="312167AD"/>
    <w:multiLevelType w:val="hybridMultilevel"/>
    <w:lvl w:ilvl="0">
      <w:lvlJc w:val="left"/>
      <w:lvlText w:val="(%1)"/>
      <w:numFmt w:val="lowerRoman"/>
      <w:start w:val="1"/>
    </w:lvl>
  </w:abstractNum>
  <w:abstractNum w:abstractNumId="118">
    <w:nsid w:val="631B64D4"/>
    <w:multiLevelType w:val="hybridMultilevel"/>
    <w:lvl w:ilvl="0">
      <w:lvlJc w:val="left"/>
      <w:lvlText w:val="(%1)"/>
      <w:numFmt w:val="lowerRoman"/>
      <w:start w:val="2"/>
    </w:lvl>
  </w:abstractNum>
  <w:abstractNum w:abstractNumId="119">
    <w:nsid w:val="78B5E776"/>
    <w:multiLevelType w:val="hybridMultilevel"/>
    <w:lvl w:ilvl="0">
      <w:lvlJc w:val="left"/>
      <w:lvlText w:val="(%1)"/>
      <w:numFmt w:val="lowerLetter"/>
      <w:start w:val="4"/>
    </w:lvl>
  </w:abstractNum>
  <w:abstractNum w:abstractNumId="120">
    <w:nsid w:val="75486E47"/>
    <w:multiLevelType w:val="hybridMultilevel"/>
    <w:lvl w:ilvl="0">
      <w:lvlJc w:val="left"/>
      <w:lvlText w:val="(%1)"/>
      <w:numFmt w:val="lowerLetter"/>
      <w:start w:val="5"/>
    </w:lvl>
  </w:abstractNum>
  <w:abstractNum w:abstractNumId="121">
    <w:nsid w:val="6E534CDE"/>
    <w:multiLevelType w:val="hybridMultilevel"/>
    <w:lvl w:ilvl="0">
      <w:lvlJc w:val="left"/>
      <w:lvlText w:val="(%1)"/>
      <w:numFmt w:val="lowerLetter"/>
      <w:start w:val="6"/>
    </w:lvl>
  </w:abstractNum>
  <w:abstractNum w:abstractNumId="122">
    <w:nsid w:val="1A0DDE32"/>
    <w:multiLevelType w:val="hybridMultilevel"/>
    <w:lvl w:ilvl="0">
      <w:lvlJc w:val="left"/>
      <w:lvlText w:val="%1."/>
      <w:numFmt w:val="decimal"/>
      <w:start w:val="1"/>
    </w:lvl>
  </w:abstractNum>
  <w:abstractNum w:abstractNumId="123">
    <w:nsid w:val="65968C1C"/>
    <w:multiLevelType w:val="hybridMultilevel"/>
    <w:lvl w:ilvl="0">
      <w:lvlJc w:val="left"/>
      <w:lvlText w:val="%1."/>
      <w:numFmt w:val="decimal"/>
      <w:start w:val="4"/>
    </w:lvl>
  </w:abstractNum>
  <w:abstractNum w:abstractNumId="124">
    <w:nsid w:val="46263DEC"/>
    <w:multiLevelType w:val="hybridMultilevel"/>
    <w:lvl w:ilvl="0">
      <w:lvlJc w:val="left"/>
      <w:lvlText w:val="%1."/>
      <w:numFmt w:val="decimal"/>
      <w:start w:val="6"/>
    </w:lvl>
  </w:abstractNum>
  <w:abstractNum w:abstractNumId="125">
    <w:nsid w:val="260D8C4A"/>
    <w:multiLevelType w:val="hybridMultilevel"/>
    <w:lvl w:ilvl="0">
      <w:lvlJc w:val="left"/>
      <w:lvlText w:val="%1."/>
      <w:numFmt w:val="decimal"/>
      <w:start w:val="7"/>
    </w:lvl>
  </w:abstractNum>
  <w:abstractNum w:abstractNumId="126">
    <w:nsid w:val="73D4D3C4"/>
    <w:multiLevelType w:val="hybridMultilevel"/>
    <w:lvl w:ilvl="0">
      <w:lvlJc w:val="left"/>
      <w:lvlText w:val="%1."/>
      <w:numFmt w:val="decimal"/>
      <w:start w:val="3"/>
    </w:lvl>
  </w:abstractNum>
  <w:abstractNum w:abstractNumId="127">
    <w:nsid w:val="746F2E30"/>
    <w:multiLevelType w:val="hybridMultilevel"/>
    <w:lvl w:ilvl="0">
      <w:lvlJc w:val="left"/>
      <w:lvlText w:val="%1."/>
      <w:numFmt w:val="decimal"/>
      <w:start w:val="4"/>
    </w:lvl>
  </w:abstractNum>
  <w:abstractNum w:abstractNumId="128">
    <w:nsid w:val="6FDE8AF6"/>
    <w:multiLevelType w:val="hybridMultilevel"/>
    <w:lvl w:ilvl="0">
      <w:lvlJc w:val="left"/>
      <w:lvlText w:val="%1."/>
      <w:numFmt w:val="decimal"/>
      <w:start w:val="5"/>
    </w:lvl>
  </w:abstractNum>
  <w:abstractNum w:abstractNumId="129">
    <w:nsid w:val="3FC32E20"/>
    <w:multiLevelType w:val="hybridMultilevel"/>
    <w:lvl w:ilvl="0">
      <w:lvlJc w:val="left"/>
      <w:lvlText w:val="%1."/>
      <w:numFmt w:val="decimal"/>
      <w:start w:val="6"/>
    </w:lvl>
  </w:abstractNum>
  <w:abstractNum w:abstractNumId="130">
    <w:nsid w:val="49C0E823"/>
    <w:multiLevelType w:val="hybridMultilevel"/>
    <w:lvl w:ilvl="0">
      <w:lvlJc w:val="left"/>
      <w:lvlText w:val="%1."/>
      <w:numFmt w:val="decimal"/>
      <w:start w:val="7"/>
    </w:lvl>
  </w:abstractNum>
  <w:abstractNum w:abstractNumId="131">
    <w:nsid w:val="14D53685"/>
    <w:multiLevelType w:val="hybridMultilevel"/>
    <w:lvl w:ilvl="0">
      <w:lvlJc w:val="left"/>
      <w:lvlText w:val="•"/>
      <w:numFmt w:val="bullet"/>
      <w:start w:val="1"/>
    </w:lvl>
  </w:abstractNum>
  <w:abstractNum w:abstractNumId="132">
    <w:nsid w:val="230F856C"/>
    <w:multiLevelType w:val="hybridMultilevel"/>
    <w:lvl w:ilvl="0">
      <w:lvlJc w:val="left"/>
      <w:lvlText w:val="%1."/>
      <w:numFmt w:val="upperLetter"/>
      <w:start w:val="1"/>
    </w:lvl>
  </w:abstractNum>
  <w:abstractNum w:abstractNumId="133">
    <w:nsid w:val="6EAA85FB"/>
    <w:multiLevelType w:val="hybridMultilevel"/>
    <w:lvl w:ilvl="0">
      <w:lvlJc w:val="left"/>
      <w:lvlText w:val="%1."/>
      <w:numFmt w:val="decimal"/>
      <w:start w:val="1"/>
    </w:lvl>
  </w:abstractNum>
  <w:abstractNum w:abstractNumId="134">
    <w:nsid w:val="3F06EC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5">
    <w:nsid w:val="3B594807"/>
    <w:multiLevelType w:val="hybridMultilevel"/>
    <w:lvl w:ilvl="0">
      <w:lvlJc w:val="left"/>
      <w:lvlText w:val="%1."/>
      <w:numFmt w:val="decimal"/>
      <w:start w:val="2"/>
    </w:lvl>
  </w:abstractNum>
  <w:abstractNum w:abstractNumId="136">
    <w:nsid w:val="6CAA2304"/>
    <w:multiLevelType w:val="hybridMultilevel"/>
    <w:lvl w:ilvl="0">
      <w:lvlJc w:val="left"/>
      <w:lvlText w:val="(%1)"/>
      <w:numFmt w:val="lowerRoman"/>
      <w:start w:val="1"/>
    </w:lvl>
  </w:abstractNum>
  <w:abstractNum w:abstractNumId="137">
    <w:nsid w:val="3F7C2FF4"/>
    <w:multiLevelType w:val="hybridMultilevel"/>
    <w:lvl w:ilvl="0">
      <w:lvlJc w:val="left"/>
      <w:lvlText w:val="%1."/>
      <w:numFmt w:val="decimal"/>
      <w:start w:val="4"/>
    </w:lvl>
  </w:abstractNum>
  <w:abstractNum w:abstractNumId="138">
    <w:nsid w:val="25413BEC"/>
    <w:multiLevelType w:val="hybridMultilevel"/>
    <w:lvl w:ilvl="0">
      <w:lvlJc w:val="left"/>
      <w:lvlText w:val="(%1)"/>
      <w:numFmt w:val="lowerRoman"/>
      <w:start w:val="1"/>
    </w:lvl>
  </w:abstractNum>
  <w:abstractNum w:abstractNumId="139">
    <w:nsid w:val="17180B0B"/>
    <w:multiLevelType w:val="hybridMultilevel"/>
    <w:lvl w:ilvl="0">
      <w:lvlJc w:val="left"/>
      <w:lvlText w:val="%1."/>
      <w:numFmt w:val="decimal"/>
      <w:start w:val="1"/>
    </w:lvl>
  </w:abstractNum>
  <w:abstractNum w:abstractNumId="140">
    <w:nsid w:val="579328B9"/>
    <w:multiLevelType w:val="hybridMultilevel"/>
    <w:lvl w:ilvl="0">
      <w:lvlJc w:val="left"/>
      <w:lvlText w:val="%1."/>
      <w:numFmt w:val="decimal"/>
      <w:start w:val="2"/>
    </w:lvl>
  </w:abstractNum>
  <w:abstractNum w:abstractNumId="141">
    <w:nsid w:val="5D205E20"/>
    <w:multiLevelType w:val="hybridMultilevel"/>
    <w:lvl w:ilvl="0">
      <w:lvlJc w:val="left"/>
      <w:lvlText w:val="%1."/>
      <w:numFmt w:val="decimal"/>
      <w:start w:val="3"/>
    </w:lvl>
    <w:lvl w:ilvl="1">
      <w:lvlJc w:val="left"/>
      <w:lvlText w:val="(%2)"/>
      <w:numFmt w:val="lowerLetter"/>
      <w:start w:val="1"/>
    </w:lvl>
  </w:abstractNum>
  <w:abstractNum w:abstractNumId="142">
    <w:nsid w:val="11CCA8BA"/>
    <w:multiLevelType w:val="hybridMultilevel"/>
    <w:lvl w:ilvl="0">
      <w:lvlJc w:val="left"/>
      <w:lvlText w:val="%1"/>
      <w:numFmt w:val="decimal"/>
      <w:start w:val="1"/>
    </w:lvl>
    <w:lvl w:ilvl="1">
      <w:lvlJc w:val="left"/>
      <w:lvlText w:val="(%2)"/>
      <w:numFmt w:val="lowerLetter"/>
      <w:start w:val="6"/>
    </w:lvl>
  </w:abstractNum>
  <w:abstractNum w:abstractNumId="143">
    <w:nsid w:val="4D32AB86"/>
    <w:multiLevelType w:val="hybridMultilevel"/>
    <w:lvl w:ilvl="0">
      <w:lvlJc w:val="left"/>
      <w:lvlText w:val="%1."/>
      <w:numFmt w:val="decimal"/>
      <w:start w:val="4"/>
    </w:lvl>
    <w:lvl w:ilvl="1">
      <w:lvlJc w:val="left"/>
      <w:lvlText w:val="(%2)"/>
      <w:numFmt w:val="lowerLetter"/>
      <w:start w:val="1"/>
    </w:lvl>
  </w:abstractNum>
  <w:abstractNum w:abstractNumId="144">
    <w:nsid w:val="3F07ACC3"/>
    <w:multiLevelType w:val="hybridMultilevel"/>
    <w:lvl w:ilvl="0">
      <w:lvlJc w:val="left"/>
      <w:lvlText w:val="(%1)"/>
      <w:numFmt w:val="lowerRoman"/>
      <w:start w:val="2"/>
    </w:lvl>
  </w:abstractNum>
  <w:abstractNum w:abstractNumId="145">
    <w:nsid w:val="6B47F63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46">
    <w:nsid w:val="5CB44A05"/>
    <w:multiLevelType w:val="hybridMultilevel"/>
    <w:lvl w:ilvl="0">
      <w:lvlJc w:val="left"/>
      <w:lvlText w:val="%1"/>
      <w:numFmt w:val="decimal"/>
      <w:start w:val="1"/>
    </w:lvl>
    <w:lvl w:ilvl="1">
      <w:lvlJc w:val="left"/>
      <w:lvlText w:val="(%2)"/>
      <w:numFmt w:val="lowerRoman"/>
      <w:start w:val="3"/>
    </w:lvl>
  </w:abstractNum>
  <w:abstractNum w:abstractNumId="147">
    <w:nsid w:val="16CF80F1"/>
    <w:multiLevelType w:val="hybridMultilevel"/>
    <w:lvl w:ilvl="0">
      <w:lvlJc w:val="left"/>
      <w:lvlText w:val="%1."/>
      <w:numFmt w:val="decimal"/>
      <w:start w:val="9"/>
    </w:lvl>
    <w:lvl w:ilvl="1">
      <w:lvlJc w:val="left"/>
      <w:lvlText w:val="%2"/>
      <w:numFmt w:val="lowerRoman"/>
      <w:start w:val="1"/>
    </w:lvl>
  </w:abstractNum>
  <w:abstractNum w:abstractNumId="148">
    <w:nsid w:val="1C695DEC"/>
    <w:multiLevelType w:val="hybridMultilevel"/>
    <w:lvl w:ilvl="0">
      <w:lvlJc w:val="left"/>
      <w:lvlText w:val="%1."/>
      <w:numFmt w:val="decimal"/>
      <w:start w:val="17"/>
    </w:lvl>
  </w:abstractNum>
  <w:abstractNum w:abstractNumId="149">
    <w:nsid w:val="3FCFAED9"/>
    <w:multiLevelType w:val="hybridMultilevel"/>
    <w:lvl w:ilvl="0">
      <w:lvlJc w:val="left"/>
      <w:lvlText w:val="%1."/>
      <w:numFmt w:val="decimal"/>
      <w:start w:val="26"/>
    </w:lvl>
  </w:abstractNum>
  <w:abstractNum w:abstractNumId="150">
    <w:nsid w:val="F856867"/>
    <w:multiLevelType w:val="hybridMultilevel"/>
    <w:lvl w:ilvl="0">
      <w:lvlJc w:val="left"/>
      <w:lvlText w:val="(%1)"/>
      <w:numFmt w:val="lowerLetter"/>
      <w:start w:val="1"/>
    </w:lvl>
  </w:abstractNum>
  <w:abstractNum w:abstractNumId="151">
    <w:nsid w:val="11B1CC33"/>
    <w:multiLevelType w:val="hybridMultilevel"/>
    <w:lvl w:ilvl="0">
      <w:lvlJc w:val="left"/>
      <w:lvlText w:val="(%1)"/>
      <w:numFmt w:val="lowerLetter"/>
      <w:start w:val="4"/>
    </w:lvl>
  </w:abstractNum>
  <w:abstractNum w:abstractNumId="152">
    <w:nsid w:val="2E22FBB7"/>
    <w:multiLevelType w:val="hybridMultilevel"/>
    <w:lvl w:ilvl="0">
      <w:lvlJc w:val="left"/>
      <w:lvlText w:val="%1."/>
      <w:numFmt w:val="decimal"/>
      <w:start w:val="4"/>
    </w:lvl>
  </w:abstractNum>
  <w:abstractNum w:abstractNumId="153">
    <w:nsid w:val="29934699"/>
    <w:multiLevelType w:val="hybridMultilevel"/>
    <w:lvl w:ilvl="0">
      <w:lvlJc w:val="left"/>
      <w:lvlText w:val="%1."/>
      <w:numFmt w:val="decimal"/>
      <w:start w:val="6"/>
    </w:lvl>
  </w:abstractNum>
  <w:abstractNum w:abstractNumId="154">
    <w:nsid w:val="77485850"/>
    <w:multiLevelType w:val="hybridMultilevel"/>
    <w:lvl w:ilvl="0">
      <w:lvlJc w:val="left"/>
      <w:lvlText w:val="%1."/>
      <w:numFmt w:val="decimal"/>
      <w:start w:val="2"/>
    </w:lvl>
  </w:abstractNum>
  <w:abstractNum w:abstractNumId="155">
    <w:nsid w:val="744939A3"/>
    <w:multiLevelType w:val="hybridMultilevel"/>
    <w:lvl w:ilvl="0">
      <w:lvlJc w:val="left"/>
      <w:lvlText w:val="%1."/>
      <w:numFmt w:val="decimal"/>
      <w:start w:val="3"/>
    </w:lvl>
  </w:abstractNum>
  <w:abstractNum w:abstractNumId="156">
    <w:nsid w:val="4FA0D2E3"/>
    <w:multiLevelType w:val="hybridMultilevel"/>
    <w:lvl w:ilvl="0">
      <w:lvlJc w:val="left"/>
      <w:lvlText w:val="%1."/>
      <w:numFmt w:val="decimal"/>
      <w:start w:val="4"/>
    </w:lvl>
  </w:abstractNum>
  <w:abstractNum w:abstractNumId="157">
    <w:nsid w:val="6B1D2C14"/>
    <w:multiLevelType w:val="hybridMultilevel"/>
    <w:lvl w:ilvl="0">
      <w:lvlJc w:val="left"/>
      <w:lvlText w:val="%1."/>
      <w:numFmt w:val="decimal"/>
      <w:start w:val="5"/>
    </w:lvl>
  </w:abstractNum>
  <w:abstractNum w:abstractNumId="158">
    <w:nsid w:val="68B867D3"/>
    <w:multiLevelType w:val="hybridMultilevel"/>
    <w:lvl w:ilvl="0">
      <w:lvlJc w:val="left"/>
      <w:lvlText w:val="%1."/>
      <w:numFmt w:val="decimal"/>
      <w:start w:val="6"/>
    </w:lvl>
  </w:abstractNum>
  <w:abstractNum w:abstractNumId="159">
    <w:nsid w:val="3F7F5DD9"/>
    <w:multiLevelType w:val="hybridMultilevel"/>
    <w:lvl w:ilvl="0">
      <w:lvlJc w:val="left"/>
      <w:lvlText w:val="•"/>
      <w:numFmt w:val="bullet"/>
      <w:start w:val="1"/>
    </w:lvl>
  </w:abstractNum>
  <w:abstractNum w:abstractNumId="160">
    <w:nsid w:val="2AE05A34"/>
    <w:multiLevelType w:val="hybridMultilevel"/>
    <w:lvl w:ilvl="0">
      <w:lvlJc w:val="left"/>
      <w:lvlText w:val="%1."/>
      <w:numFmt w:val="upperLetter"/>
      <w:start w:val="1"/>
    </w:lvl>
  </w:abstractNum>
  <w:abstractNum w:abstractNumId="161">
    <w:nsid w:val="32794FF7"/>
    <w:multiLevelType w:val="hybridMultilevel"/>
    <w:lvl w:ilvl="0">
      <w:lvlJc w:val="left"/>
      <w:lvlText w:val="%1."/>
      <w:numFmt w:val="decimal"/>
      <w:start w:val="1"/>
    </w:lvl>
  </w:abstractNum>
  <w:abstractNum w:abstractNumId="162">
    <w:nsid w:val="545494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3">
    <w:nsid w:val="4DEFDFA0"/>
    <w:multiLevelType w:val="hybridMultilevel"/>
    <w:lvl w:ilvl="0">
      <w:lvlJc w:val="left"/>
      <w:lvlText w:val="%1."/>
      <w:numFmt w:val="decimal"/>
      <w:start w:val="2"/>
    </w:lvl>
  </w:abstractNum>
  <w:abstractNum w:abstractNumId="164">
    <w:nsid w:val="2123D5F2"/>
    <w:multiLevelType w:val="hybridMultilevel"/>
    <w:lvl w:ilvl="0">
      <w:lvlJc w:val="left"/>
      <w:lvlText w:val="(%1)"/>
      <w:numFmt w:val="lowerRoman"/>
      <w:start w:val="1"/>
    </w:lvl>
  </w:abstractNum>
  <w:abstractNum w:abstractNumId="165">
    <w:nsid w:val="135B8110"/>
    <w:multiLevelType w:val="hybridMultilevel"/>
    <w:lvl w:ilvl="0">
      <w:lvlJc w:val="left"/>
      <w:lvlText w:val="%1."/>
      <w:numFmt w:val="decimal"/>
      <w:start w:val="4"/>
    </w:lvl>
  </w:abstractNum>
  <w:abstractNum w:abstractNumId="166">
    <w:nsid w:val="94927A8"/>
    <w:multiLevelType w:val="hybridMultilevel"/>
    <w:lvl w:ilvl="0">
      <w:lvlJc w:val="left"/>
      <w:lvlText w:val="(%1)"/>
      <w:numFmt w:val="lowerRoman"/>
      <w:start w:val="1"/>
    </w:lvl>
  </w:abstractNum>
  <w:abstractNum w:abstractNumId="167">
    <w:nsid w:val="DCDF8F6"/>
    <w:multiLevelType w:val="hybridMultilevel"/>
    <w:lvl w:ilvl="0">
      <w:lvlJc w:val="left"/>
      <w:lvlText w:val="%1."/>
      <w:numFmt w:val="decimal"/>
      <w:start w:val="1"/>
    </w:lvl>
    <w:lvl w:ilvl="1">
      <w:lvlJc w:val="left"/>
      <w:lvlText w:val="•"/>
      <w:numFmt w:val="bullet"/>
      <w:start w:val="1"/>
    </w:lvl>
  </w:abstractNum>
  <w:abstractNum w:abstractNumId="168">
    <w:nsid w:val="52D7B105"/>
    <w:multiLevelType w:val="hybridMultilevel"/>
    <w:lvl w:ilvl="0">
      <w:lvlJc w:val="left"/>
      <w:lvlText w:val="1"/>
      <w:numFmt w:val="bullet"/>
      <w:start w:val="1"/>
    </w:lvl>
  </w:abstractNum>
  <w:abstractNum w:abstractNumId="169">
    <w:nsid w:val="2E8A6394"/>
    <w:multiLevelType w:val="hybridMultilevel"/>
    <w:lvl w:ilvl="0">
      <w:lvlJc w:val="left"/>
      <w:lvlText w:val="%1."/>
      <w:numFmt w:val="decimal"/>
      <w:start w:val="3"/>
    </w:lvl>
  </w:abstractNum>
  <w:abstractNum w:abstractNumId="170">
    <w:nsid w:val="24E60401"/>
    <w:multiLevelType w:val="hybridMultilevel"/>
    <w:lvl w:ilvl="0">
      <w:lvlJc w:val="left"/>
      <w:lvlText w:val="(%1)"/>
      <w:numFmt w:val="decimal"/>
      <w:start w:val="1"/>
    </w:lvl>
  </w:abstractNum>
  <w:abstractNum w:abstractNumId="171">
    <w:nsid w:val="2A6AD9BE"/>
    <w:multiLevelType w:val="hybridMultilevel"/>
    <w:lvl w:ilvl="0">
      <w:lvlJc w:val="left"/>
      <w:lvlText w:val="%1."/>
      <w:numFmt w:val="decimal"/>
      <w:start w:val="1"/>
    </w:lvl>
    <w:lvl w:ilvl="1">
      <w:lvlJc w:val="left"/>
      <w:lvlText w:val="%2)"/>
      <w:numFmt w:val="lowerLetter"/>
      <w:start w:val="1"/>
    </w:lvl>
  </w:abstractNum>
  <w:abstractNum w:abstractNumId="172">
    <w:nsid w:val="BAAC1B4"/>
    <w:multiLevelType w:val="hybridMultilevel"/>
    <w:lvl w:ilvl="0">
      <w:lvlJc w:val="left"/>
      <w:lvlText w:val="%1."/>
      <w:numFmt w:val="decimal"/>
      <w:start w:val="1"/>
    </w:lvl>
    <w:lvl w:ilvl="1">
      <w:lvlJc w:val="left"/>
      <w:lvlText w:val="%2)"/>
      <w:numFmt w:val="lowerLetter"/>
      <w:start w:val="1"/>
    </w:lvl>
  </w:abstractNum>
  <w:abstractNum w:abstractNumId="173">
    <w:nsid w:val="36B2ACBC"/>
    <w:multiLevelType w:val="hybridMultilevel"/>
    <w:lvl w:ilvl="0">
      <w:lvlJc w:val="left"/>
      <w:lvlText w:val="(%1)"/>
      <w:numFmt w:val="decimal"/>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83" Type="http://schemas.openxmlformats.org/officeDocument/2006/relationships/image" Target="media/image119.png"/><Relationship Id="rId187" Type="http://schemas.openxmlformats.org/officeDocument/2006/relationships/image" Target="media/image120.png"/><Relationship Id="rId188" Type="http://schemas.openxmlformats.org/officeDocument/2006/relationships/image" Target="media/image121.png"/><Relationship Id="rId189" Type="http://schemas.openxmlformats.org/officeDocument/2006/relationships/image" Target="media/image122.png"/><Relationship Id="rId190" Type="http://schemas.openxmlformats.org/officeDocument/2006/relationships/image" Target="media/image123.png"/><Relationship Id="rId191" Type="http://schemas.openxmlformats.org/officeDocument/2006/relationships/image" Target="media/image124.png"/><Relationship Id="rId192" Type="http://schemas.openxmlformats.org/officeDocument/2006/relationships/image" Target="media/image125.png"/><Relationship Id="rId193" Type="http://schemas.openxmlformats.org/officeDocument/2006/relationships/image" Target="media/image126.png"/><Relationship Id="rId194" Type="http://schemas.openxmlformats.org/officeDocument/2006/relationships/image" Target="media/image127.png"/><Relationship Id="rId195" Type="http://schemas.openxmlformats.org/officeDocument/2006/relationships/image" Target="media/image128.png"/><Relationship Id="rId196" Type="http://schemas.openxmlformats.org/officeDocument/2006/relationships/image" Target="media/image129.png"/><Relationship Id="rId197" Type="http://schemas.openxmlformats.org/officeDocument/2006/relationships/image" Target="media/image130.png"/><Relationship Id="rId198" Type="http://schemas.openxmlformats.org/officeDocument/2006/relationships/image" Target="media/image131.png"/><Relationship Id="rId199" Type="http://schemas.openxmlformats.org/officeDocument/2006/relationships/image" Target="media/image132.png"/><Relationship Id="rId200" Type="http://schemas.openxmlformats.org/officeDocument/2006/relationships/image" Target="media/image133.png"/><Relationship Id="rId201" Type="http://schemas.openxmlformats.org/officeDocument/2006/relationships/image" Target="media/image134.png"/><Relationship Id="rId202" Type="http://schemas.openxmlformats.org/officeDocument/2006/relationships/image" Target="media/image135.png"/><Relationship Id="rId203" Type="http://schemas.openxmlformats.org/officeDocument/2006/relationships/image" Target="media/image136.png"/><Relationship Id="rId204" Type="http://schemas.openxmlformats.org/officeDocument/2006/relationships/image" Target="media/image137.png"/><Relationship Id="rId205" Type="http://schemas.openxmlformats.org/officeDocument/2006/relationships/image" Target="media/image138.jpeg"/><Relationship Id="rId206" Type="http://schemas.openxmlformats.org/officeDocument/2006/relationships/image" Target="media/image139.jpeg"/><Relationship Id="rId207" Type="http://schemas.openxmlformats.org/officeDocument/2006/relationships/image" Target="media/image140.jpeg"/><Relationship Id="rId208" Type="http://schemas.openxmlformats.org/officeDocument/2006/relationships/image" Target="media/image141.jpeg"/><Relationship Id="rId209" Type="http://schemas.openxmlformats.org/officeDocument/2006/relationships/image" Target="media/image142.jpeg"/><Relationship Id="rId210" Type="http://schemas.openxmlformats.org/officeDocument/2006/relationships/image" Target="media/image143.jpeg"/><Relationship Id="rId211" Type="http://schemas.openxmlformats.org/officeDocument/2006/relationships/image" Target="media/image144.jpeg"/><Relationship Id="rId212" Type="http://schemas.openxmlformats.org/officeDocument/2006/relationships/image" Target="media/image145.jpeg"/><Relationship Id="rId213" Type="http://schemas.openxmlformats.org/officeDocument/2006/relationships/image" Target="media/image146.jpeg"/><Relationship Id="rId214" Type="http://schemas.openxmlformats.org/officeDocument/2006/relationships/image" Target="media/image147.jpeg"/><Relationship Id="rId215" Type="http://schemas.openxmlformats.org/officeDocument/2006/relationships/image" Target="media/image148.jpeg"/><Relationship Id="rId216" Type="http://schemas.openxmlformats.org/officeDocument/2006/relationships/image" Target="media/image149.jpeg"/><Relationship Id="rId217" Type="http://schemas.openxmlformats.org/officeDocument/2006/relationships/image" Target="media/image150.jpeg"/><Relationship Id="rId218" Type="http://schemas.openxmlformats.org/officeDocument/2006/relationships/image" Target="media/image151.jpeg"/><Relationship Id="rId219" Type="http://schemas.openxmlformats.org/officeDocument/2006/relationships/image" Target="media/image152.jpe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png"/><Relationship Id="rId225" Type="http://schemas.openxmlformats.org/officeDocument/2006/relationships/image" Target="media/image158.png"/><Relationship Id="rId226" Type="http://schemas.openxmlformats.org/officeDocument/2006/relationships/image" Target="media/image159.png"/><Relationship Id="rId227" Type="http://schemas.openxmlformats.org/officeDocument/2006/relationships/image" Target="media/image160.png"/><Relationship Id="rId228" Type="http://schemas.openxmlformats.org/officeDocument/2006/relationships/image" Target="media/image161.png"/><Relationship Id="rId229" Type="http://schemas.openxmlformats.org/officeDocument/2006/relationships/image" Target="media/image162.png"/><Relationship Id="rId230" Type="http://schemas.openxmlformats.org/officeDocument/2006/relationships/image" Target="media/image163.png"/><Relationship Id="rId231" Type="http://schemas.openxmlformats.org/officeDocument/2006/relationships/image" Target="media/image164.png"/><Relationship Id="rId232" Type="http://schemas.openxmlformats.org/officeDocument/2006/relationships/image" Target="media/image165.png"/><Relationship Id="rId233" Type="http://schemas.openxmlformats.org/officeDocument/2006/relationships/image" Target="media/image166.png"/><Relationship Id="rId234" Type="http://schemas.openxmlformats.org/officeDocument/2006/relationships/image" Target="media/image167.png"/><Relationship Id="rId235" Type="http://schemas.openxmlformats.org/officeDocument/2006/relationships/image" Target="media/image168.png"/><Relationship Id="rId236" Type="http://schemas.openxmlformats.org/officeDocument/2006/relationships/image" Target="media/image169.png"/><Relationship Id="rId237" Type="http://schemas.openxmlformats.org/officeDocument/2006/relationships/image" Target="media/image170.png"/><Relationship Id="rId238" Type="http://schemas.openxmlformats.org/officeDocument/2006/relationships/image" Target="media/image171.png"/><Relationship Id="rId239" Type="http://schemas.openxmlformats.org/officeDocument/2006/relationships/image" Target="media/image172.png"/><Relationship Id="rId240" Type="http://schemas.openxmlformats.org/officeDocument/2006/relationships/image" Target="media/image173.png"/><Relationship Id="rId241" Type="http://schemas.openxmlformats.org/officeDocument/2006/relationships/image" Target="media/image174.png"/><Relationship Id="rId242" Type="http://schemas.openxmlformats.org/officeDocument/2006/relationships/image" Target="media/image175.png"/><Relationship Id="rId243" Type="http://schemas.openxmlformats.org/officeDocument/2006/relationships/image" Target="media/image176.png"/><Relationship Id="rId244" Type="http://schemas.openxmlformats.org/officeDocument/2006/relationships/image" Target="media/image177.png"/><Relationship Id="rId245" Type="http://schemas.openxmlformats.org/officeDocument/2006/relationships/image" Target="media/image178.png"/><Relationship Id="rId246"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png"/><Relationship Id="rId249" Type="http://schemas.openxmlformats.org/officeDocument/2006/relationships/image" Target="media/image182.png"/><Relationship Id="rId250" Type="http://schemas.openxmlformats.org/officeDocument/2006/relationships/image" Target="media/image183.png"/><Relationship Id="rId251" Type="http://schemas.openxmlformats.org/officeDocument/2006/relationships/image" Target="media/image184.png"/><Relationship Id="rId252" Type="http://schemas.openxmlformats.org/officeDocument/2006/relationships/image" Target="media/image185.png"/><Relationship Id="rId253" Type="http://schemas.openxmlformats.org/officeDocument/2006/relationships/image" Target="media/image186.png"/><Relationship Id="rId254" Type="http://schemas.openxmlformats.org/officeDocument/2006/relationships/image" Target="media/image187.png"/><Relationship Id="rId255" Type="http://schemas.openxmlformats.org/officeDocument/2006/relationships/image" Target="media/image188.png"/><Relationship Id="rId256" Type="http://schemas.openxmlformats.org/officeDocument/2006/relationships/image" Target="media/image189.png"/><Relationship Id="rId257" Type="http://schemas.openxmlformats.org/officeDocument/2006/relationships/image" Target="media/image190.png"/><Relationship Id="rId258" Type="http://schemas.openxmlformats.org/officeDocument/2006/relationships/image" Target="media/image191.png"/><Relationship Id="rId259" Type="http://schemas.openxmlformats.org/officeDocument/2006/relationships/image" Target="media/image192.png"/><Relationship Id="rId260" Type="http://schemas.openxmlformats.org/officeDocument/2006/relationships/image" Target="media/image193.png"/><Relationship Id="rId261" Type="http://schemas.openxmlformats.org/officeDocument/2006/relationships/image" Target="media/image194.png"/><Relationship Id="rId262" Type="http://schemas.openxmlformats.org/officeDocument/2006/relationships/image" Target="media/image195.png"/><Relationship Id="rId263" Type="http://schemas.openxmlformats.org/officeDocument/2006/relationships/image" Target="media/image196.png"/><Relationship Id="rId264" Type="http://schemas.openxmlformats.org/officeDocument/2006/relationships/image" Target="media/image197.png"/><Relationship Id="rId265" Type="http://schemas.openxmlformats.org/officeDocument/2006/relationships/image" Target="media/image198.png"/><Relationship Id="rId266" Type="http://schemas.openxmlformats.org/officeDocument/2006/relationships/image" Target="media/image199.png"/><Relationship Id="rId267" Type="http://schemas.openxmlformats.org/officeDocument/2006/relationships/image" Target="media/image200.png"/><Relationship Id="rId268" Type="http://schemas.openxmlformats.org/officeDocument/2006/relationships/image" Target="media/image201.png"/><Relationship Id="rId269" Type="http://schemas.openxmlformats.org/officeDocument/2006/relationships/image" Target="media/image202.png"/><Relationship Id="rId270" Type="http://schemas.openxmlformats.org/officeDocument/2006/relationships/image" Target="media/image203.png"/><Relationship Id="rId271" Type="http://schemas.openxmlformats.org/officeDocument/2006/relationships/image" Target="media/image204.png"/><Relationship Id="rId272" Type="http://schemas.openxmlformats.org/officeDocument/2006/relationships/image" Target="media/image205.png"/><Relationship Id="rId273" Type="http://schemas.openxmlformats.org/officeDocument/2006/relationships/image" Target="media/image206.png"/><Relationship Id="rId274" Type="http://schemas.openxmlformats.org/officeDocument/2006/relationships/image" Target="media/image207.png"/><Relationship Id="rId275" Type="http://schemas.openxmlformats.org/officeDocument/2006/relationships/image" Target="media/image208.png"/><Relationship Id="rId276" Type="http://schemas.openxmlformats.org/officeDocument/2006/relationships/image" Target="media/image209.png"/><Relationship Id="rId277" Type="http://schemas.openxmlformats.org/officeDocument/2006/relationships/image" Target="media/image210.png"/><Relationship Id="rId278" Type="http://schemas.openxmlformats.org/officeDocument/2006/relationships/image" Target="media/image211.png"/><Relationship Id="rId279" Type="http://schemas.openxmlformats.org/officeDocument/2006/relationships/image" Target="media/image212.png"/><Relationship Id="rId280" Type="http://schemas.openxmlformats.org/officeDocument/2006/relationships/image" Target="media/image213.png"/><Relationship Id="rId281" Type="http://schemas.openxmlformats.org/officeDocument/2006/relationships/image" Target="media/image214.png"/><Relationship Id="rId282" Type="http://schemas.openxmlformats.org/officeDocument/2006/relationships/image" Target="media/image215.png"/><Relationship Id="rId283" Type="http://schemas.openxmlformats.org/officeDocument/2006/relationships/image" Target="media/image216.png"/><Relationship Id="rId284" Type="http://schemas.openxmlformats.org/officeDocument/2006/relationships/image" Target="media/image217.png"/><Relationship Id="rId285" Type="http://schemas.openxmlformats.org/officeDocument/2006/relationships/image" Target="media/image218.png"/><Relationship Id="rId286" Type="http://schemas.openxmlformats.org/officeDocument/2006/relationships/image" Target="media/image219.png"/><Relationship Id="rId287" Type="http://schemas.openxmlformats.org/officeDocument/2006/relationships/image" Target="media/image220.png"/><Relationship Id="rId288" Type="http://schemas.openxmlformats.org/officeDocument/2006/relationships/image" Target="media/image221.png"/><Relationship Id="rId289" Type="http://schemas.openxmlformats.org/officeDocument/2006/relationships/image" Target="media/image222.png"/><Relationship Id="rId290" Type="http://schemas.openxmlformats.org/officeDocument/2006/relationships/image" Target="media/image223.png"/><Relationship Id="rId291" Type="http://schemas.openxmlformats.org/officeDocument/2006/relationships/image" Target="media/image224.png"/><Relationship Id="rId292" Type="http://schemas.openxmlformats.org/officeDocument/2006/relationships/image" Target="media/image225.png"/><Relationship Id="rId293" Type="http://schemas.openxmlformats.org/officeDocument/2006/relationships/image" Target="media/image226.png"/><Relationship Id="rId294" Type="http://schemas.openxmlformats.org/officeDocument/2006/relationships/image" Target="media/image227.png"/><Relationship Id="rId295" Type="http://schemas.openxmlformats.org/officeDocument/2006/relationships/image" Target="media/image228.png"/><Relationship Id="rId296" Type="http://schemas.openxmlformats.org/officeDocument/2006/relationships/image" Target="media/image229.png"/><Relationship Id="rId297" Type="http://schemas.openxmlformats.org/officeDocument/2006/relationships/image" Target="media/image230.png"/><Relationship Id="rId298" Type="http://schemas.openxmlformats.org/officeDocument/2006/relationships/image" Target="media/image231.png"/><Relationship Id="rId299" Type="http://schemas.openxmlformats.org/officeDocument/2006/relationships/image" Target="media/image232.png"/><Relationship Id="rId300" Type="http://schemas.openxmlformats.org/officeDocument/2006/relationships/image" Target="media/image233.png"/><Relationship Id="rId301" Type="http://schemas.openxmlformats.org/officeDocument/2006/relationships/image" Target="media/image234.png"/><Relationship Id="rId302" Type="http://schemas.openxmlformats.org/officeDocument/2006/relationships/image" Target="media/image235.png"/><Relationship Id="rId303" Type="http://schemas.openxmlformats.org/officeDocument/2006/relationships/image" Target="media/image236.png"/><Relationship Id="rId304" Type="http://schemas.openxmlformats.org/officeDocument/2006/relationships/image" Target="media/image237.png"/><Relationship Id="rId305" Type="http://schemas.openxmlformats.org/officeDocument/2006/relationships/image" Target="media/image238.png"/><Relationship Id="rId306" Type="http://schemas.openxmlformats.org/officeDocument/2006/relationships/image" Target="media/image239.png"/><Relationship Id="rId307" Type="http://schemas.openxmlformats.org/officeDocument/2006/relationships/image" Target="media/image240.png"/><Relationship Id="rId308" Type="http://schemas.openxmlformats.org/officeDocument/2006/relationships/image" Target="media/image241.png"/><Relationship Id="rId309" Type="http://schemas.openxmlformats.org/officeDocument/2006/relationships/image" Target="media/image242.png"/><Relationship Id="rId310" Type="http://schemas.openxmlformats.org/officeDocument/2006/relationships/image" Target="media/image243.png"/><Relationship Id="rId311" Type="http://schemas.openxmlformats.org/officeDocument/2006/relationships/image" Target="media/image244.png"/><Relationship Id="rId312" Type="http://schemas.openxmlformats.org/officeDocument/2006/relationships/image" Target="media/image245.png"/><Relationship Id="rId313" Type="http://schemas.openxmlformats.org/officeDocument/2006/relationships/image" Target="media/image246.png"/><Relationship Id="rId314" Type="http://schemas.openxmlformats.org/officeDocument/2006/relationships/image" Target="media/image247.png"/><Relationship Id="rId315" Type="http://schemas.openxmlformats.org/officeDocument/2006/relationships/image" Target="media/image248.png"/><Relationship Id="rId316" Type="http://schemas.openxmlformats.org/officeDocument/2006/relationships/image" Target="media/image249.png"/><Relationship Id="rId317" Type="http://schemas.openxmlformats.org/officeDocument/2006/relationships/image" Target="media/image250.png"/><Relationship Id="rId318" Type="http://schemas.openxmlformats.org/officeDocument/2006/relationships/image" Target="media/image251.png"/><Relationship Id="rId319" Type="http://schemas.openxmlformats.org/officeDocument/2006/relationships/image" Target="media/image252.png"/><Relationship Id="rId320" Type="http://schemas.openxmlformats.org/officeDocument/2006/relationships/image" Target="media/image253.png"/><Relationship Id="rId321" Type="http://schemas.openxmlformats.org/officeDocument/2006/relationships/image" Target="media/image254.png"/><Relationship Id="rId322" Type="http://schemas.openxmlformats.org/officeDocument/2006/relationships/image" Target="media/image255.png"/><Relationship Id="rId323" Type="http://schemas.openxmlformats.org/officeDocument/2006/relationships/image" Target="media/image256.png"/><Relationship Id="rId324" Type="http://schemas.openxmlformats.org/officeDocument/2006/relationships/image" Target="media/image257.png"/><Relationship Id="rId325" Type="http://schemas.openxmlformats.org/officeDocument/2006/relationships/image" Target="media/image258.png"/><Relationship Id="rId326" Type="http://schemas.openxmlformats.org/officeDocument/2006/relationships/image" Target="media/image259.png"/><Relationship Id="rId327" Type="http://schemas.openxmlformats.org/officeDocument/2006/relationships/image" Target="media/image260.png"/><Relationship Id="rId328" Type="http://schemas.openxmlformats.org/officeDocument/2006/relationships/image" Target="media/image261.png"/><Relationship Id="rId329" Type="http://schemas.openxmlformats.org/officeDocument/2006/relationships/image" Target="media/image262.png"/><Relationship Id="rId330" Type="http://schemas.openxmlformats.org/officeDocument/2006/relationships/image" Target="media/image263.png"/><Relationship Id="rId331" Type="http://schemas.openxmlformats.org/officeDocument/2006/relationships/image" Target="media/image264.png"/><Relationship Id="rId332" Type="http://schemas.openxmlformats.org/officeDocument/2006/relationships/image" Target="media/image265.png"/><Relationship Id="rId333" Type="http://schemas.openxmlformats.org/officeDocument/2006/relationships/image" Target="media/image266.png"/><Relationship Id="rId334" Type="http://schemas.openxmlformats.org/officeDocument/2006/relationships/image" Target="media/image267.png"/><Relationship Id="rId335" Type="http://schemas.openxmlformats.org/officeDocument/2006/relationships/image" Target="media/image268.png"/><Relationship Id="rId336" Type="http://schemas.openxmlformats.org/officeDocument/2006/relationships/image" Target="media/image269.png"/><Relationship Id="rId337" Type="http://schemas.openxmlformats.org/officeDocument/2006/relationships/image" Target="media/image270.png"/><Relationship Id="rId338" Type="http://schemas.openxmlformats.org/officeDocument/2006/relationships/image" Target="media/image271.png"/><Relationship Id="rId339" Type="http://schemas.openxmlformats.org/officeDocument/2006/relationships/image" Target="media/image272.png"/><Relationship Id="rId340" Type="http://schemas.openxmlformats.org/officeDocument/2006/relationships/image" Target="media/image273.png"/><Relationship Id="rId341" Type="http://schemas.openxmlformats.org/officeDocument/2006/relationships/image" Target="media/image274.png"/><Relationship Id="rId342" Type="http://schemas.openxmlformats.org/officeDocument/2006/relationships/image" Target="media/image275.png"/><Relationship Id="rId343" Type="http://schemas.openxmlformats.org/officeDocument/2006/relationships/image" Target="media/image276.png"/><Relationship Id="rId344" Type="http://schemas.openxmlformats.org/officeDocument/2006/relationships/image" Target="media/image277.png"/><Relationship Id="rId345" Type="http://schemas.openxmlformats.org/officeDocument/2006/relationships/image" Target="media/image278.png"/><Relationship Id="rId346" Type="http://schemas.openxmlformats.org/officeDocument/2006/relationships/image" Target="media/image279.png"/><Relationship Id="rId347" Type="http://schemas.openxmlformats.org/officeDocument/2006/relationships/image" Target="media/image280.png"/><Relationship Id="rId348" Type="http://schemas.openxmlformats.org/officeDocument/2006/relationships/image" Target="media/image281.png"/><Relationship Id="rId349" Type="http://schemas.openxmlformats.org/officeDocument/2006/relationships/image" Target="media/image282.png"/><Relationship Id="rId350" Type="http://schemas.openxmlformats.org/officeDocument/2006/relationships/image" Target="media/image283.png"/><Relationship Id="rId351" Type="http://schemas.openxmlformats.org/officeDocument/2006/relationships/image" Target="media/image284.png"/><Relationship Id="rId352" Type="http://schemas.openxmlformats.org/officeDocument/2006/relationships/image" Target="media/image285.png"/><Relationship Id="rId353" Type="http://schemas.openxmlformats.org/officeDocument/2006/relationships/image" Target="media/image286.png"/><Relationship Id="rId354" Type="http://schemas.openxmlformats.org/officeDocument/2006/relationships/image" Target="media/image287.png"/><Relationship Id="rId355" Type="http://schemas.openxmlformats.org/officeDocument/2006/relationships/image" Target="media/image288.png"/><Relationship Id="rId356" Type="http://schemas.openxmlformats.org/officeDocument/2006/relationships/image" Target="media/image289.png"/><Relationship Id="rId357" Type="http://schemas.openxmlformats.org/officeDocument/2006/relationships/image" Target="media/image290.png"/><Relationship Id="rId358" Type="http://schemas.openxmlformats.org/officeDocument/2006/relationships/image" Target="media/image291.png"/><Relationship Id="rId359" Type="http://schemas.openxmlformats.org/officeDocument/2006/relationships/image" Target="media/image292.png"/><Relationship Id="rId360" Type="http://schemas.openxmlformats.org/officeDocument/2006/relationships/image" Target="media/image293.png"/><Relationship Id="rId361" Type="http://schemas.openxmlformats.org/officeDocument/2006/relationships/image" Target="media/image294.png"/><Relationship Id="rId362" Type="http://schemas.openxmlformats.org/officeDocument/2006/relationships/image" Target="media/image295.png"/><Relationship Id="rId363" Type="http://schemas.openxmlformats.org/officeDocument/2006/relationships/image" Target="media/image296.png"/><Relationship Id="rId364" Type="http://schemas.openxmlformats.org/officeDocument/2006/relationships/image" Target="media/image297.png"/><Relationship Id="rId365" Type="http://schemas.openxmlformats.org/officeDocument/2006/relationships/image" Target="media/image298.png"/><Relationship Id="rId366" Type="http://schemas.openxmlformats.org/officeDocument/2006/relationships/image" Target="media/image299.png"/><Relationship Id="rId367" Type="http://schemas.openxmlformats.org/officeDocument/2006/relationships/image" Target="media/image300.png"/><Relationship Id="rId368" Type="http://schemas.openxmlformats.org/officeDocument/2006/relationships/image" Target="media/image301.png"/><Relationship Id="rId369" Type="http://schemas.openxmlformats.org/officeDocument/2006/relationships/image" Target="media/image302.png"/><Relationship Id="rId370" Type="http://schemas.openxmlformats.org/officeDocument/2006/relationships/image" Target="media/image303.png"/><Relationship Id="rId371" Type="http://schemas.openxmlformats.org/officeDocument/2006/relationships/image" Target="media/image304.png"/><Relationship Id="rId372" Type="http://schemas.openxmlformats.org/officeDocument/2006/relationships/image" Target="media/image305.png"/><Relationship Id="rId373" Type="http://schemas.openxmlformats.org/officeDocument/2006/relationships/image" Target="media/image306.png"/><Relationship Id="rId374" Type="http://schemas.openxmlformats.org/officeDocument/2006/relationships/image" Target="media/image307.png"/><Relationship Id="rId375" Type="http://schemas.openxmlformats.org/officeDocument/2006/relationships/image" Target="media/image308.png"/><Relationship Id="rId376" Type="http://schemas.openxmlformats.org/officeDocument/2006/relationships/image" Target="media/image309.png"/><Relationship Id="rId377" Type="http://schemas.openxmlformats.org/officeDocument/2006/relationships/image" Target="media/image310.png"/><Relationship Id="rId378" Type="http://schemas.openxmlformats.org/officeDocument/2006/relationships/image" Target="media/image311.png"/><Relationship Id="rId379" Type="http://schemas.openxmlformats.org/officeDocument/2006/relationships/image" Target="media/image312.png"/><Relationship Id="rId380" Type="http://schemas.openxmlformats.org/officeDocument/2006/relationships/image" Target="media/image313.png"/><Relationship Id="rId381" Type="http://schemas.openxmlformats.org/officeDocument/2006/relationships/image" Target="media/image314.png"/><Relationship Id="rId382" Type="http://schemas.openxmlformats.org/officeDocument/2006/relationships/image" Target="media/image315.png"/><Relationship Id="rId383" Type="http://schemas.openxmlformats.org/officeDocument/2006/relationships/image" Target="media/image316.png"/><Relationship Id="rId384" Type="http://schemas.openxmlformats.org/officeDocument/2006/relationships/image" Target="media/image317.png"/><Relationship Id="rId385" Type="http://schemas.openxmlformats.org/officeDocument/2006/relationships/image" Target="media/image318.png"/><Relationship Id="rId386" Type="http://schemas.openxmlformats.org/officeDocument/2006/relationships/image" Target="media/image319.png"/><Relationship Id="rId387" Type="http://schemas.openxmlformats.org/officeDocument/2006/relationships/image" Target="media/image320.png"/><Relationship Id="rId388" Type="http://schemas.openxmlformats.org/officeDocument/2006/relationships/image" Target="media/image321.png"/><Relationship Id="rId389" Type="http://schemas.openxmlformats.org/officeDocument/2006/relationships/image" Target="media/image322.png"/><Relationship Id="rId390" Type="http://schemas.openxmlformats.org/officeDocument/2006/relationships/image" Target="media/image323.png"/><Relationship Id="rId391" Type="http://schemas.openxmlformats.org/officeDocument/2006/relationships/image" Target="media/image324.png"/><Relationship Id="rId392" Type="http://schemas.openxmlformats.org/officeDocument/2006/relationships/image" Target="media/image325.png"/><Relationship Id="rId393" Type="http://schemas.openxmlformats.org/officeDocument/2006/relationships/image" Target="media/image326.png"/><Relationship Id="rId394" Type="http://schemas.openxmlformats.org/officeDocument/2006/relationships/image" Target="media/image327.png"/><Relationship Id="rId395" Type="http://schemas.openxmlformats.org/officeDocument/2006/relationships/image" Target="media/image328.png"/><Relationship Id="rId396" Type="http://schemas.openxmlformats.org/officeDocument/2006/relationships/image" Target="media/image329.png"/><Relationship Id="rId397" Type="http://schemas.openxmlformats.org/officeDocument/2006/relationships/image" Target="media/image330.png"/><Relationship Id="rId398" Type="http://schemas.openxmlformats.org/officeDocument/2006/relationships/image" Target="media/image331.png"/><Relationship Id="rId399" Type="http://schemas.openxmlformats.org/officeDocument/2006/relationships/image" Target="media/image332.png"/><Relationship Id="rId400" Type="http://schemas.openxmlformats.org/officeDocument/2006/relationships/image" Target="media/image333.png"/><Relationship Id="rId401" Type="http://schemas.openxmlformats.org/officeDocument/2006/relationships/image" Target="media/image334.png"/><Relationship Id="rId402" Type="http://schemas.openxmlformats.org/officeDocument/2006/relationships/image" Target="media/image335.png"/><Relationship Id="rId403" Type="http://schemas.openxmlformats.org/officeDocument/2006/relationships/image" Target="media/image336.png"/><Relationship Id="rId404" Type="http://schemas.openxmlformats.org/officeDocument/2006/relationships/image" Target="media/image337.png"/><Relationship Id="rId405" Type="http://schemas.openxmlformats.org/officeDocument/2006/relationships/image" Target="media/image338.png"/><Relationship Id="rId406" Type="http://schemas.openxmlformats.org/officeDocument/2006/relationships/image" Target="media/image339.png"/><Relationship Id="rId407" Type="http://schemas.openxmlformats.org/officeDocument/2006/relationships/image" Target="media/image340.png"/><Relationship Id="rId408" Type="http://schemas.openxmlformats.org/officeDocument/2006/relationships/image" Target="media/image341.png"/><Relationship Id="rId409" Type="http://schemas.openxmlformats.org/officeDocument/2006/relationships/image" Target="media/image342.png"/><Relationship Id="rId410" Type="http://schemas.openxmlformats.org/officeDocument/2006/relationships/image" Target="media/image343.png"/><Relationship Id="rId411" Type="http://schemas.openxmlformats.org/officeDocument/2006/relationships/image" Target="media/image344.png"/><Relationship Id="rId412" Type="http://schemas.openxmlformats.org/officeDocument/2006/relationships/image" Target="media/image345.png"/><Relationship Id="rId413" Type="http://schemas.openxmlformats.org/officeDocument/2006/relationships/image" Target="media/image346.png"/><Relationship Id="rId414" Type="http://schemas.openxmlformats.org/officeDocument/2006/relationships/image" Target="media/image347.png"/><Relationship Id="rId415" Type="http://schemas.openxmlformats.org/officeDocument/2006/relationships/image" Target="media/image348.png"/><Relationship Id="rId416" Type="http://schemas.openxmlformats.org/officeDocument/2006/relationships/image" Target="media/image349.png"/><Relationship Id="rId417" Type="http://schemas.openxmlformats.org/officeDocument/2006/relationships/image" Target="media/image350.png"/><Relationship Id="rId418" Type="http://schemas.openxmlformats.org/officeDocument/2006/relationships/image" Target="media/image351.png"/><Relationship Id="rId419" Type="http://schemas.openxmlformats.org/officeDocument/2006/relationships/image" Target="media/image352.png"/><Relationship Id="rId420" Type="http://schemas.openxmlformats.org/officeDocument/2006/relationships/image" Target="media/image353.png"/><Relationship Id="rId421" Type="http://schemas.openxmlformats.org/officeDocument/2006/relationships/image" Target="media/image354.png"/><Relationship Id="rId422" Type="http://schemas.openxmlformats.org/officeDocument/2006/relationships/image" Target="media/image355.png"/><Relationship Id="rId423" Type="http://schemas.openxmlformats.org/officeDocument/2006/relationships/image" Target="media/image356.png"/><Relationship Id="rId424" Type="http://schemas.openxmlformats.org/officeDocument/2006/relationships/image" Target="media/image357.png"/><Relationship Id="rId425" Type="http://schemas.openxmlformats.org/officeDocument/2006/relationships/image" Target="media/image358.png"/><Relationship Id="rId426" Type="http://schemas.openxmlformats.org/officeDocument/2006/relationships/image" Target="media/image359.png"/><Relationship Id="rId427" Type="http://schemas.openxmlformats.org/officeDocument/2006/relationships/image" Target="media/image360.png"/><Relationship Id="rId428" Type="http://schemas.openxmlformats.org/officeDocument/2006/relationships/image" Target="media/image361.png"/><Relationship Id="rId429" Type="http://schemas.openxmlformats.org/officeDocument/2006/relationships/image" Target="media/image362.png"/><Relationship Id="rId430" Type="http://schemas.openxmlformats.org/officeDocument/2006/relationships/image" Target="media/image363.png"/><Relationship Id="rId431" Type="http://schemas.openxmlformats.org/officeDocument/2006/relationships/image" Target="media/image364.png"/><Relationship Id="rId432" Type="http://schemas.openxmlformats.org/officeDocument/2006/relationships/image" Target="media/image365.png"/><Relationship Id="rId433" Type="http://schemas.openxmlformats.org/officeDocument/2006/relationships/image" Target="media/image366.png"/><Relationship Id="rId434" Type="http://schemas.openxmlformats.org/officeDocument/2006/relationships/image" Target="media/image367.png"/><Relationship Id="rId435" Type="http://schemas.openxmlformats.org/officeDocument/2006/relationships/image" Target="media/image368.png"/><Relationship Id="rId436" Type="http://schemas.openxmlformats.org/officeDocument/2006/relationships/image" Target="media/image369.png"/><Relationship Id="rId437" Type="http://schemas.openxmlformats.org/officeDocument/2006/relationships/image" Target="media/image370.png"/><Relationship Id="rId438" Type="http://schemas.openxmlformats.org/officeDocument/2006/relationships/image" Target="media/image371.png"/><Relationship Id="rId439" Type="http://schemas.openxmlformats.org/officeDocument/2006/relationships/image" Target="media/image372.png"/><Relationship Id="rId440" Type="http://schemas.openxmlformats.org/officeDocument/2006/relationships/image" Target="media/image373.png"/><Relationship Id="rId441" Type="http://schemas.openxmlformats.org/officeDocument/2006/relationships/image" Target="media/image374.png"/><Relationship Id="rId442" Type="http://schemas.openxmlformats.org/officeDocument/2006/relationships/image" Target="media/image375.png"/><Relationship Id="rId443" Type="http://schemas.openxmlformats.org/officeDocument/2006/relationships/image" Target="media/image376.png"/><Relationship Id="rId444" Type="http://schemas.openxmlformats.org/officeDocument/2006/relationships/image" Target="media/image377.png"/><Relationship Id="rId445" Type="http://schemas.openxmlformats.org/officeDocument/2006/relationships/image" Target="media/image378.png"/><Relationship Id="rId446" Type="http://schemas.openxmlformats.org/officeDocument/2006/relationships/image" Target="media/image379.png"/><Relationship Id="rId447" Type="http://schemas.openxmlformats.org/officeDocument/2006/relationships/image" Target="media/image380.png"/><Relationship Id="rId448" Type="http://schemas.openxmlformats.org/officeDocument/2006/relationships/image" Target="media/image381.png"/><Relationship Id="rId449" Type="http://schemas.openxmlformats.org/officeDocument/2006/relationships/image" Target="media/image382.png"/><Relationship Id="rId450" Type="http://schemas.openxmlformats.org/officeDocument/2006/relationships/image" Target="media/image383.png"/><Relationship Id="rId451" Type="http://schemas.openxmlformats.org/officeDocument/2006/relationships/image" Target="media/image384.png"/><Relationship Id="rId452" Type="http://schemas.openxmlformats.org/officeDocument/2006/relationships/image" Target="media/image385.png"/><Relationship Id="rId453" Type="http://schemas.openxmlformats.org/officeDocument/2006/relationships/image" Target="media/image386.png"/><Relationship Id="rId454" Type="http://schemas.openxmlformats.org/officeDocument/2006/relationships/image" Target="media/image387.png"/><Relationship Id="rId455" Type="http://schemas.openxmlformats.org/officeDocument/2006/relationships/image" Target="media/image388.png"/><Relationship Id="rId456" Type="http://schemas.openxmlformats.org/officeDocument/2006/relationships/image" Target="media/image389.png"/><Relationship Id="rId457" Type="http://schemas.openxmlformats.org/officeDocument/2006/relationships/image" Target="media/image390.png"/><Relationship Id="rId458" Type="http://schemas.openxmlformats.org/officeDocument/2006/relationships/image" Target="media/image391.png"/><Relationship Id="rId459" Type="http://schemas.openxmlformats.org/officeDocument/2006/relationships/image" Target="media/image392.png"/><Relationship Id="rId460" Type="http://schemas.openxmlformats.org/officeDocument/2006/relationships/image" Target="media/image393.png"/><Relationship Id="rId461" Type="http://schemas.openxmlformats.org/officeDocument/2006/relationships/image" Target="media/image394.png"/><Relationship Id="rId462" Type="http://schemas.openxmlformats.org/officeDocument/2006/relationships/image" Target="media/image395.png"/><Relationship Id="rId463" Type="http://schemas.openxmlformats.org/officeDocument/2006/relationships/image" Target="media/image396.png"/><Relationship Id="rId464" Type="http://schemas.openxmlformats.org/officeDocument/2006/relationships/image" Target="media/image397.png"/><Relationship Id="rId465" Type="http://schemas.openxmlformats.org/officeDocument/2006/relationships/image" Target="media/image398.png"/><Relationship Id="rId466" Type="http://schemas.openxmlformats.org/officeDocument/2006/relationships/image" Target="media/image399.png"/><Relationship Id="rId467" Type="http://schemas.openxmlformats.org/officeDocument/2006/relationships/image" Target="media/image400.png"/><Relationship Id="rId468" Type="http://schemas.openxmlformats.org/officeDocument/2006/relationships/image" Target="media/image401.png"/><Relationship Id="rId469" Type="http://schemas.openxmlformats.org/officeDocument/2006/relationships/image" Target="media/image402.png"/><Relationship Id="rId470" Type="http://schemas.openxmlformats.org/officeDocument/2006/relationships/image" Target="media/image403.png"/><Relationship Id="rId471" Type="http://schemas.openxmlformats.org/officeDocument/2006/relationships/image" Target="media/image404.png"/><Relationship Id="rId472" Type="http://schemas.openxmlformats.org/officeDocument/2006/relationships/image" Target="media/image405.png"/><Relationship Id="rId473" Type="http://schemas.openxmlformats.org/officeDocument/2006/relationships/image" Target="media/image406.png"/><Relationship Id="rId474" Type="http://schemas.openxmlformats.org/officeDocument/2006/relationships/image" Target="media/image407.png"/><Relationship Id="rId475" Type="http://schemas.openxmlformats.org/officeDocument/2006/relationships/image" Target="media/image408.png"/><Relationship Id="rId476" Type="http://schemas.openxmlformats.org/officeDocument/2006/relationships/image" Target="media/image409.png"/><Relationship Id="rId477" Type="http://schemas.openxmlformats.org/officeDocument/2006/relationships/image" Target="media/image410.png"/><Relationship Id="rId478" Type="http://schemas.openxmlformats.org/officeDocument/2006/relationships/image" Target="media/image411.png"/><Relationship Id="rId479" Type="http://schemas.openxmlformats.org/officeDocument/2006/relationships/image" Target="media/image412.png"/><Relationship Id="rId480" Type="http://schemas.openxmlformats.org/officeDocument/2006/relationships/image" Target="media/image413.png"/><Relationship Id="rId481" Type="http://schemas.openxmlformats.org/officeDocument/2006/relationships/image" Target="media/image414.png"/><Relationship Id="rId482" Type="http://schemas.openxmlformats.org/officeDocument/2006/relationships/image" Target="media/image415.png"/><Relationship Id="rId483" Type="http://schemas.openxmlformats.org/officeDocument/2006/relationships/image" Target="media/image416.png"/><Relationship Id="rId484" Type="http://schemas.openxmlformats.org/officeDocument/2006/relationships/image" Target="media/image417.png"/><Relationship Id="rId485" Type="http://schemas.openxmlformats.org/officeDocument/2006/relationships/image" Target="media/image418.png"/><Relationship Id="rId486" Type="http://schemas.openxmlformats.org/officeDocument/2006/relationships/image" Target="media/image419.png"/><Relationship Id="rId487" Type="http://schemas.openxmlformats.org/officeDocument/2006/relationships/image" Target="media/image420.png"/><Relationship Id="rId488" Type="http://schemas.openxmlformats.org/officeDocument/2006/relationships/image" Target="media/image421.png"/><Relationship Id="rId489" Type="http://schemas.openxmlformats.org/officeDocument/2006/relationships/image" Target="media/image422.png"/><Relationship Id="rId490" Type="http://schemas.openxmlformats.org/officeDocument/2006/relationships/image" Target="media/image423.png"/><Relationship Id="rId491" Type="http://schemas.openxmlformats.org/officeDocument/2006/relationships/image" Target="media/image424.png"/><Relationship Id="rId492" Type="http://schemas.openxmlformats.org/officeDocument/2006/relationships/image" Target="media/image425.png"/><Relationship Id="rId493" Type="http://schemas.openxmlformats.org/officeDocument/2006/relationships/image" Target="media/image426.png"/><Relationship Id="rId494" Type="http://schemas.openxmlformats.org/officeDocument/2006/relationships/image" Target="media/image427.png"/><Relationship Id="rId495" Type="http://schemas.openxmlformats.org/officeDocument/2006/relationships/image" Target="media/image428.png"/><Relationship Id="rId496" Type="http://schemas.openxmlformats.org/officeDocument/2006/relationships/image" Target="media/image429.png"/><Relationship Id="rId497" Type="http://schemas.openxmlformats.org/officeDocument/2006/relationships/image" Target="media/image430.png"/><Relationship Id="rId498" Type="http://schemas.openxmlformats.org/officeDocument/2006/relationships/image" Target="media/image431.png"/><Relationship Id="rId499" Type="http://schemas.openxmlformats.org/officeDocument/2006/relationships/image" Target="media/image432.png"/><Relationship Id="rId500" Type="http://schemas.openxmlformats.org/officeDocument/2006/relationships/image" Target="media/image433.png"/><Relationship Id="rId501" Type="http://schemas.openxmlformats.org/officeDocument/2006/relationships/image" Target="media/image434.png"/><Relationship Id="rId502" Type="http://schemas.openxmlformats.org/officeDocument/2006/relationships/image" Target="media/image435.png"/><Relationship Id="rId503" Type="http://schemas.openxmlformats.org/officeDocument/2006/relationships/image" Target="media/image436.png"/><Relationship Id="rId504" Type="http://schemas.openxmlformats.org/officeDocument/2006/relationships/image" Target="media/image437.png"/><Relationship Id="rId505" Type="http://schemas.openxmlformats.org/officeDocument/2006/relationships/image" Target="media/image438.png"/><Relationship Id="rId506" Type="http://schemas.openxmlformats.org/officeDocument/2006/relationships/image" Target="media/image439.png"/><Relationship Id="rId507" Type="http://schemas.openxmlformats.org/officeDocument/2006/relationships/image" Target="media/image440.png"/><Relationship Id="rId508" Type="http://schemas.openxmlformats.org/officeDocument/2006/relationships/image" Target="media/image441.png"/><Relationship Id="rId509" Type="http://schemas.openxmlformats.org/officeDocument/2006/relationships/image" Target="media/image442.png"/><Relationship Id="rId510" Type="http://schemas.openxmlformats.org/officeDocument/2006/relationships/image" Target="media/image443.png"/><Relationship Id="rId511" Type="http://schemas.openxmlformats.org/officeDocument/2006/relationships/image" Target="media/image444.png"/><Relationship Id="rId512" Type="http://schemas.openxmlformats.org/officeDocument/2006/relationships/image" Target="media/image445.png"/><Relationship Id="rId513" Type="http://schemas.openxmlformats.org/officeDocument/2006/relationships/image" Target="media/image446.png"/><Relationship Id="rId514" Type="http://schemas.openxmlformats.org/officeDocument/2006/relationships/image" Target="media/image447.png"/><Relationship Id="rId515" Type="http://schemas.openxmlformats.org/officeDocument/2006/relationships/image" Target="media/image448.png"/><Relationship Id="rId516" Type="http://schemas.openxmlformats.org/officeDocument/2006/relationships/image" Target="media/image449.png"/><Relationship Id="rId517" Type="http://schemas.openxmlformats.org/officeDocument/2006/relationships/image" Target="media/image450.png"/><Relationship Id="rId518" Type="http://schemas.openxmlformats.org/officeDocument/2006/relationships/image" Target="media/image451.png"/><Relationship Id="rId519" Type="http://schemas.openxmlformats.org/officeDocument/2006/relationships/image" Target="media/image452.png"/><Relationship Id="rId520" Type="http://schemas.openxmlformats.org/officeDocument/2006/relationships/image" Target="media/image453.png"/><Relationship Id="rId521" Type="http://schemas.openxmlformats.org/officeDocument/2006/relationships/image" Target="media/image454.png"/><Relationship Id="rId522" Type="http://schemas.openxmlformats.org/officeDocument/2006/relationships/image" Target="media/image455.png"/><Relationship Id="rId523" Type="http://schemas.openxmlformats.org/officeDocument/2006/relationships/image" Target="media/image456.png"/><Relationship Id="rId524" Type="http://schemas.openxmlformats.org/officeDocument/2006/relationships/image" Target="media/image457.png"/><Relationship Id="rId525" Type="http://schemas.openxmlformats.org/officeDocument/2006/relationships/image" Target="media/image458.png"/><Relationship Id="rId526" Type="http://schemas.openxmlformats.org/officeDocument/2006/relationships/image" Target="media/image459.png"/><Relationship Id="rId527" Type="http://schemas.openxmlformats.org/officeDocument/2006/relationships/image" Target="media/image460.png"/><Relationship Id="rId528" Type="http://schemas.openxmlformats.org/officeDocument/2006/relationships/image" Target="media/image461.png"/><Relationship Id="rId529" Type="http://schemas.openxmlformats.org/officeDocument/2006/relationships/image" Target="media/image462.png"/><Relationship Id="rId530" Type="http://schemas.openxmlformats.org/officeDocument/2006/relationships/image" Target="media/image463.png"/><Relationship Id="rId531" Type="http://schemas.openxmlformats.org/officeDocument/2006/relationships/image" Target="media/image464.png"/><Relationship Id="rId532" Type="http://schemas.openxmlformats.org/officeDocument/2006/relationships/image" Target="media/image465.png"/><Relationship Id="rId533" Type="http://schemas.openxmlformats.org/officeDocument/2006/relationships/image" Target="media/image466.png"/><Relationship Id="rId534" Type="http://schemas.openxmlformats.org/officeDocument/2006/relationships/image" Target="media/image467.png"/><Relationship Id="rId535" Type="http://schemas.openxmlformats.org/officeDocument/2006/relationships/image" Target="media/image468.png"/><Relationship Id="rId536" Type="http://schemas.openxmlformats.org/officeDocument/2006/relationships/image" Target="media/image469.png"/><Relationship Id="rId537" Type="http://schemas.openxmlformats.org/officeDocument/2006/relationships/image" Target="media/image470.png"/><Relationship Id="rId538" Type="http://schemas.openxmlformats.org/officeDocument/2006/relationships/image" Target="media/image471.png"/><Relationship Id="rId539" Type="http://schemas.openxmlformats.org/officeDocument/2006/relationships/image" Target="media/image472.png"/><Relationship Id="rId540" Type="http://schemas.openxmlformats.org/officeDocument/2006/relationships/image" Target="media/image473.png"/><Relationship Id="rId541" Type="http://schemas.openxmlformats.org/officeDocument/2006/relationships/image" Target="media/image474.png"/><Relationship Id="rId542" Type="http://schemas.openxmlformats.org/officeDocument/2006/relationships/image" Target="media/image475.png"/><Relationship Id="rId543" Type="http://schemas.openxmlformats.org/officeDocument/2006/relationships/image" Target="media/image476.png"/><Relationship Id="rId544" Type="http://schemas.openxmlformats.org/officeDocument/2006/relationships/image" Target="media/image477.png"/><Relationship Id="rId545" Type="http://schemas.openxmlformats.org/officeDocument/2006/relationships/image" Target="media/image478.png"/><Relationship Id="rId546" Type="http://schemas.openxmlformats.org/officeDocument/2006/relationships/image" Target="media/image479.png"/><Relationship Id="rId547" Type="http://schemas.openxmlformats.org/officeDocument/2006/relationships/image" Target="media/image480.png"/><Relationship Id="rId548" Type="http://schemas.openxmlformats.org/officeDocument/2006/relationships/image" Target="media/image481.png"/><Relationship Id="rId549" Type="http://schemas.openxmlformats.org/officeDocument/2006/relationships/image" Target="media/image482.png"/><Relationship Id="rId550" Type="http://schemas.openxmlformats.org/officeDocument/2006/relationships/image" Target="media/image483.png"/><Relationship Id="rId551" Type="http://schemas.openxmlformats.org/officeDocument/2006/relationships/image" Target="media/image484.png"/><Relationship Id="rId552" Type="http://schemas.openxmlformats.org/officeDocument/2006/relationships/image" Target="media/image485.png"/><Relationship Id="rId553" Type="http://schemas.openxmlformats.org/officeDocument/2006/relationships/image" Target="media/image486.png"/><Relationship Id="rId554" Type="http://schemas.openxmlformats.org/officeDocument/2006/relationships/image" Target="media/image487.png"/><Relationship Id="rId555" Type="http://schemas.openxmlformats.org/officeDocument/2006/relationships/image" Target="media/image488.png"/><Relationship Id="rId556" Type="http://schemas.openxmlformats.org/officeDocument/2006/relationships/image" Target="media/image489.png"/><Relationship Id="rId557" Type="http://schemas.openxmlformats.org/officeDocument/2006/relationships/image" Target="media/image490.png"/><Relationship Id="rId558" Type="http://schemas.openxmlformats.org/officeDocument/2006/relationships/image" Target="media/image491.png"/><Relationship Id="rId559" Type="http://schemas.openxmlformats.org/officeDocument/2006/relationships/image" Target="media/image492.png"/><Relationship Id="rId560" Type="http://schemas.openxmlformats.org/officeDocument/2006/relationships/image" Target="media/image493.png"/><Relationship Id="rId561" Type="http://schemas.openxmlformats.org/officeDocument/2006/relationships/image" Target="media/image494.png"/><Relationship Id="rId562" Type="http://schemas.openxmlformats.org/officeDocument/2006/relationships/image" Target="media/image495.png"/><Relationship Id="rId563" Type="http://schemas.openxmlformats.org/officeDocument/2006/relationships/image" Target="media/image496.png"/><Relationship Id="rId564" Type="http://schemas.openxmlformats.org/officeDocument/2006/relationships/image" Target="media/image497.png"/><Relationship Id="rId565" Type="http://schemas.openxmlformats.org/officeDocument/2006/relationships/image" Target="media/image498.png"/><Relationship Id="rId566" Type="http://schemas.openxmlformats.org/officeDocument/2006/relationships/image" Target="media/image499.png"/><Relationship Id="rId567" Type="http://schemas.openxmlformats.org/officeDocument/2006/relationships/image" Target="media/image500.png"/><Relationship Id="rId568" Type="http://schemas.openxmlformats.org/officeDocument/2006/relationships/image" Target="media/image501.png"/><Relationship Id="rId569" Type="http://schemas.openxmlformats.org/officeDocument/2006/relationships/image" Target="media/image502.png"/><Relationship Id="rId570" Type="http://schemas.openxmlformats.org/officeDocument/2006/relationships/image" Target="media/image503.png"/><Relationship Id="rId571" Type="http://schemas.openxmlformats.org/officeDocument/2006/relationships/image" Target="media/image504.png"/><Relationship Id="rId572" Type="http://schemas.openxmlformats.org/officeDocument/2006/relationships/image" Target="media/image505.png"/><Relationship Id="rId573" Type="http://schemas.openxmlformats.org/officeDocument/2006/relationships/image" Target="media/image506.png"/><Relationship Id="rId574" Type="http://schemas.openxmlformats.org/officeDocument/2006/relationships/image" Target="media/image507.png"/><Relationship Id="rId575" Type="http://schemas.openxmlformats.org/officeDocument/2006/relationships/image" Target="media/image508.png"/><Relationship Id="rId576" Type="http://schemas.openxmlformats.org/officeDocument/2006/relationships/image" Target="media/image509.png"/><Relationship Id="rId577" Type="http://schemas.openxmlformats.org/officeDocument/2006/relationships/image" Target="media/image510.png"/><Relationship Id="rId578" Type="http://schemas.openxmlformats.org/officeDocument/2006/relationships/image" Target="media/image511.png"/><Relationship Id="rId579" Type="http://schemas.openxmlformats.org/officeDocument/2006/relationships/image" Target="media/image512.png"/><Relationship Id="rId580" Type="http://schemas.openxmlformats.org/officeDocument/2006/relationships/image" Target="media/image513.png"/><Relationship Id="rId581" Type="http://schemas.openxmlformats.org/officeDocument/2006/relationships/image" Target="media/image514.png"/><Relationship Id="rId582" Type="http://schemas.openxmlformats.org/officeDocument/2006/relationships/image" Target="media/image515.png"/><Relationship Id="rId583" Type="http://schemas.openxmlformats.org/officeDocument/2006/relationships/image" Target="media/image516.png"/><Relationship Id="rId584" Type="http://schemas.openxmlformats.org/officeDocument/2006/relationships/image" Target="media/image517.png"/><Relationship Id="rId585" Type="http://schemas.openxmlformats.org/officeDocument/2006/relationships/image" Target="media/image518.png"/><Relationship Id="rId586" Type="http://schemas.openxmlformats.org/officeDocument/2006/relationships/image" Target="media/image519.png"/><Relationship Id="rId587" Type="http://schemas.openxmlformats.org/officeDocument/2006/relationships/image" Target="media/image520.png"/><Relationship Id="rId588" Type="http://schemas.openxmlformats.org/officeDocument/2006/relationships/image" Target="media/image521.png"/><Relationship Id="rId589" Type="http://schemas.openxmlformats.org/officeDocument/2006/relationships/image" Target="media/image522.png"/><Relationship Id="rId590" Type="http://schemas.openxmlformats.org/officeDocument/2006/relationships/image" Target="media/image523.png"/><Relationship Id="rId591" Type="http://schemas.openxmlformats.org/officeDocument/2006/relationships/image" Target="media/image524.png"/><Relationship Id="rId592" Type="http://schemas.openxmlformats.org/officeDocument/2006/relationships/image" Target="media/image525.png"/><Relationship Id="rId593" Type="http://schemas.openxmlformats.org/officeDocument/2006/relationships/image" Target="media/image526.png"/><Relationship Id="rId594" Type="http://schemas.openxmlformats.org/officeDocument/2006/relationships/image" Target="media/image527.png"/><Relationship Id="rId595" Type="http://schemas.openxmlformats.org/officeDocument/2006/relationships/image" Target="media/image528.png"/><Relationship Id="rId596" Type="http://schemas.openxmlformats.org/officeDocument/2006/relationships/image" Target="media/image529.png"/><Relationship Id="rId597" Type="http://schemas.openxmlformats.org/officeDocument/2006/relationships/image" Target="media/image530.png"/><Relationship Id="rId598" Type="http://schemas.openxmlformats.org/officeDocument/2006/relationships/image" Target="media/image531.png"/><Relationship Id="rId599" Type="http://schemas.openxmlformats.org/officeDocument/2006/relationships/image" Target="media/image532.png"/><Relationship Id="rId600" Type="http://schemas.openxmlformats.org/officeDocument/2006/relationships/image" Target="media/image533.png"/><Relationship Id="rId601" Type="http://schemas.openxmlformats.org/officeDocument/2006/relationships/image" Target="media/image534.png"/><Relationship Id="rId602" Type="http://schemas.openxmlformats.org/officeDocument/2006/relationships/image" Target="media/image535.png"/><Relationship Id="rId603" Type="http://schemas.openxmlformats.org/officeDocument/2006/relationships/image" Target="media/image536.png"/><Relationship Id="rId604" Type="http://schemas.openxmlformats.org/officeDocument/2006/relationships/image" Target="media/image537.png"/><Relationship Id="rId605" Type="http://schemas.openxmlformats.org/officeDocument/2006/relationships/image" Target="media/image538.png"/><Relationship Id="rId606" Type="http://schemas.openxmlformats.org/officeDocument/2006/relationships/image" Target="media/image539.png"/><Relationship Id="rId607" Type="http://schemas.openxmlformats.org/officeDocument/2006/relationships/image" Target="media/image540.png"/><Relationship Id="rId608" Type="http://schemas.openxmlformats.org/officeDocument/2006/relationships/image" Target="media/image541.png"/><Relationship Id="rId609" Type="http://schemas.openxmlformats.org/officeDocument/2006/relationships/image" Target="media/image542.png"/><Relationship Id="rId610" Type="http://schemas.openxmlformats.org/officeDocument/2006/relationships/image" Target="media/image543.png"/><Relationship Id="rId611" Type="http://schemas.openxmlformats.org/officeDocument/2006/relationships/image" Target="media/image544.png"/><Relationship Id="rId612" Type="http://schemas.openxmlformats.org/officeDocument/2006/relationships/image" Target="media/image545.png"/><Relationship Id="rId613" Type="http://schemas.openxmlformats.org/officeDocument/2006/relationships/image" Target="media/image546.png"/><Relationship Id="rId614" Type="http://schemas.openxmlformats.org/officeDocument/2006/relationships/image" Target="media/image547.png"/><Relationship Id="rId615" Type="http://schemas.openxmlformats.org/officeDocument/2006/relationships/image" Target="media/image548.png"/><Relationship Id="rId616" Type="http://schemas.openxmlformats.org/officeDocument/2006/relationships/image" Target="media/image549.png"/><Relationship Id="rId617" Type="http://schemas.openxmlformats.org/officeDocument/2006/relationships/image" Target="media/image550.png"/><Relationship Id="rId618" Type="http://schemas.openxmlformats.org/officeDocument/2006/relationships/image" Target="media/image551.png"/><Relationship Id="rId619" Type="http://schemas.openxmlformats.org/officeDocument/2006/relationships/image" Target="media/image552.png"/><Relationship Id="rId620" Type="http://schemas.openxmlformats.org/officeDocument/2006/relationships/image" Target="media/image553.png"/><Relationship Id="rId621" Type="http://schemas.openxmlformats.org/officeDocument/2006/relationships/image" Target="media/image554.png"/><Relationship Id="rId622" Type="http://schemas.openxmlformats.org/officeDocument/2006/relationships/image" Target="media/image555.png"/><Relationship Id="rId623" Type="http://schemas.openxmlformats.org/officeDocument/2006/relationships/image" Target="media/image556.png"/><Relationship Id="rId624" Type="http://schemas.openxmlformats.org/officeDocument/2006/relationships/image" Target="media/image557.png"/><Relationship Id="rId625" Type="http://schemas.openxmlformats.org/officeDocument/2006/relationships/image" Target="media/image558.png"/><Relationship Id="rId626" Type="http://schemas.openxmlformats.org/officeDocument/2006/relationships/image" Target="media/image559.png"/><Relationship Id="rId627" Type="http://schemas.openxmlformats.org/officeDocument/2006/relationships/image" Target="media/image560.png"/><Relationship Id="rId628" Type="http://schemas.openxmlformats.org/officeDocument/2006/relationships/image" Target="media/image561.png"/><Relationship Id="rId629" Type="http://schemas.openxmlformats.org/officeDocument/2006/relationships/image" Target="media/image562.png"/><Relationship Id="rId630" Type="http://schemas.openxmlformats.org/officeDocument/2006/relationships/image" Target="media/image563.png"/><Relationship Id="rId631" Type="http://schemas.openxmlformats.org/officeDocument/2006/relationships/image" Target="media/image564.png"/><Relationship Id="rId632" Type="http://schemas.openxmlformats.org/officeDocument/2006/relationships/image" Target="media/image565.png"/><Relationship Id="rId633" Type="http://schemas.openxmlformats.org/officeDocument/2006/relationships/image" Target="media/image566.png"/><Relationship Id="rId634" Type="http://schemas.openxmlformats.org/officeDocument/2006/relationships/image" Target="media/image567.png"/><Relationship Id="rId635" Type="http://schemas.openxmlformats.org/officeDocument/2006/relationships/image" Target="media/image568.png"/><Relationship Id="rId636" Type="http://schemas.openxmlformats.org/officeDocument/2006/relationships/image" Target="media/image569.png"/><Relationship Id="rId637" Type="http://schemas.openxmlformats.org/officeDocument/2006/relationships/image" Target="media/image570.png"/><Relationship Id="rId638" Type="http://schemas.openxmlformats.org/officeDocument/2006/relationships/image" Target="media/image571.png"/><Relationship Id="rId639" Type="http://schemas.openxmlformats.org/officeDocument/2006/relationships/image" Target="media/image572.png"/><Relationship Id="rId640" Type="http://schemas.openxmlformats.org/officeDocument/2006/relationships/image" Target="media/image573.png"/><Relationship Id="rId641" Type="http://schemas.openxmlformats.org/officeDocument/2006/relationships/image" Target="media/image574.png"/><Relationship Id="rId642" Type="http://schemas.openxmlformats.org/officeDocument/2006/relationships/image" Target="media/image575.png"/><Relationship Id="rId643" Type="http://schemas.openxmlformats.org/officeDocument/2006/relationships/image" Target="media/image576.png"/><Relationship Id="rId644" Type="http://schemas.openxmlformats.org/officeDocument/2006/relationships/image" Target="media/image577.png"/><Relationship Id="rId645" Type="http://schemas.openxmlformats.org/officeDocument/2006/relationships/image" Target="media/image578.png"/><Relationship Id="rId646" Type="http://schemas.openxmlformats.org/officeDocument/2006/relationships/image" Target="media/image579.png"/><Relationship Id="rId647" Type="http://schemas.openxmlformats.org/officeDocument/2006/relationships/image" Target="media/image580.png"/><Relationship Id="rId648" Type="http://schemas.openxmlformats.org/officeDocument/2006/relationships/image" Target="media/image581.png"/><Relationship Id="rId649" Type="http://schemas.openxmlformats.org/officeDocument/2006/relationships/image" Target="media/image582.png"/><Relationship Id="rId650" Type="http://schemas.openxmlformats.org/officeDocument/2006/relationships/image" Target="media/image583.png"/><Relationship Id="rId651" Type="http://schemas.openxmlformats.org/officeDocument/2006/relationships/image" Target="media/image584.png"/><Relationship Id="rId652" Type="http://schemas.openxmlformats.org/officeDocument/2006/relationships/image" Target="media/image585.png"/><Relationship Id="rId653" Type="http://schemas.openxmlformats.org/officeDocument/2006/relationships/image" Target="media/image586.png"/><Relationship Id="rId654" Type="http://schemas.openxmlformats.org/officeDocument/2006/relationships/image" Target="media/image587.png"/><Relationship Id="rId655" Type="http://schemas.openxmlformats.org/officeDocument/2006/relationships/image" Target="media/image588.png"/><Relationship Id="rId656" Type="http://schemas.openxmlformats.org/officeDocument/2006/relationships/image" Target="media/image589.png"/><Relationship Id="rId657" Type="http://schemas.openxmlformats.org/officeDocument/2006/relationships/image" Target="media/image590.png"/><Relationship Id="rId658" Type="http://schemas.openxmlformats.org/officeDocument/2006/relationships/image" Target="media/image591.png"/><Relationship Id="rId659" Type="http://schemas.openxmlformats.org/officeDocument/2006/relationships/image" Target="media/image592.png"/><Relationship Id="rId660" Type="http://schemas.openxmlformats.org/officeDocument/2006/relationships/image" Target="media/image593.png"/><Relationship Id="rId661" Type="http://schemas.openxmlformats.org/officeDocument/2006/relationships/image" Target="media/image594.png"/><Relationship Id="rId662" Type="http://schemas.openxmlformats.org/officeDocument/2006/relationships/image" Target="media/image595.png"/><Relationship Id="rId663" Type="http://schemas.openxmlformats.org/officeDocument/2006/relationships/image" Target="media/image596.png"/><Relationship Id="rId664" Type="http://schemas.openxmlformats.org/officeDocument/2006/relationships/image" Target="media/image597.png"/><Relationship Id="rId665" Type="http://schemas.openxmlformats.org/officeDocument/2006/relationships/image" Target="media/image598.png"/><Relationship Id="rId666" Type="http://schemas.openxmlformats.org/officeDocument/2006/relationships/image" Target="media/image599.png"/><Relationship Id="rId667" Type="http://schemas.openxmlformats.org/officeDocument/2006/relationships/image" Target="media/image600.png"/><Relationship Id="rId668" Type="http://schemas.openxmlformats.org/officeDocument/2006/relationships/image" Target="media/image601.png"/><Relationship Id="rId669" Type="http://schemas.openxmlformats.org/officeDocument/2006/relationships/image" Target="media/image602.png"/><Relationship Id="rId670" Type="http://schemas.openxmlformats.org/officeDocument/2006/relationships/image" Target="media/image603.png"/><Relationship Id="rId671" Type="http://schemas.openxmlformats.org/officeDocument/2006/relationships/image" Target="media/image604.png"/><Relationship Id="rId672" Type="http://schemas.openxmlformats.org/officeDocument/2006/relationships/image" Target="media/image605.png"/><Relationship Id="rId673" Type="http://schemas.openxmlformats.org/officeDocument/2006/relationships/image" Target="media/image606.png"/><Relationship Id="rId674" Type="http://schemas.openxmlformats.org/officeDocument/2006/relationships/image" Target="media/image607.png"/><Relationship Id="rId675" Type="http://schemas.openxmlformats.org/officeDocument/2006/relationships/image" Target="media/image608.png"/><Relationship Id="rId676" Type="http://schemas.openxmlformats.org/officeDocument/2006/relationships/image" Target="media/image609.png"/><Relationship Id="rId677" Type="http://schemas.openxmlformats.org/officeDocument/2006/relationships/image" Target="media/image610.png"/><Relationship Id="rId678" Type="http://schemas.openxmlformats.org/officeDocument/2006/relationships/image" Target="media/image611.png"/><Relationship Id="rId679" Type="http://schemas.openxmlformats.org/officeDocument/2006/relationships/image" Target="media/image612.png"/><Relationship Id="rId680" Type="http://schemas.openxmlformats.org/officeDocument/2006/relationships/image" Target="media/image613.png"/><Relationship Id="rId681" Type="http://schemas.openxmlformats.org/officeDocument/2006/relationships/image" Target="media/image614.png"/><Relationship Id="rId682" Type="http://schemas.openxmlformats.org/officeDocument/2006/relationships/image" Target="media/image615.png"/><Relationship Id="rId683" Type="http://schemas.openxmlformats.org/officeDocument/2006/relationships/image" Target="media/image616.png"/><Relationship Id="rId684" Type="http://schemas.openxmlformats.org/officeDocument/2006/relationships/image" Target="media/image617.png"/><Relationship Id="rId685" Type="http://schemas.openxmlformats.org/officeDocument/2006/relationships/image" Target="media/image618.png"/><Relationship Id="rId686" Type="http://schemas.openxmlformats.org/officeDocument/2006/relationships/image" Target="media/image619.png"/><Relationship Id="rId687" Type="http://schemas.openxmlformats.org/officeDocument/2006/relationships/image" Target="media/image620.png"/><Relationship Id="rId688" Type="http://schemas.openxmlformats.org/officeDocument/2006/relationships/image" Target="media/image621.png"/><Relationship Id="rId689" Type="http://schemas.openxmlformats.org/officeDocument/2006/relationships/image" Target="media/image622.png"/><Relationship Id="rId690" Type="http://schemas.openxmlformats.org/officeDocument/2006/relationships/image" Target="media/image623.png"/><Relationship Id="rId691" Type="http://schemas.openxmlformats.org/officeDocument/2006/relationships/image" Target="media/image624.png"/><Relationship Id="rId692" Type="http://schemas.openxmlformats.org/officeDocument/2006/relationships/image" Target="media/image625.png"/><Relationship Id="rId693" Type="http://schemas.openxmlformats.org/officeDocument/2006/relationships/image" Target="media/image626.png"/><Relationship Id="rId694" Type="http://schemas.openxmlformats.org/officeDocument/2006/relationships/image" Target="media/image627.png"/><Relationship Id="rId695" Type="http://schemas.openxmlformats.org/officeDocument/2006/relationships/image" Target="media/image628.png"/><Relationship Id="rId696" Type="http://schemas.openxmlformats.org/officeDocument/2006/relationships/image" Target="media/image629.png"/><Relationship Id="rId697" Type="http://schemas.openxmlformats.org/officeDocument/2006/relationships/image" Target="media/image630.png"/><Relationship Id="rId698" Type="http://schemas.openxmlformats.org/officeDocument/2006/relationships/image" Target="media/image631.png"/><Relationship Id="rId699" Type="http://schemas.openxmlformats.org/officeDocument/2006/relationships/image" Target="media/image632.png"/><Relationship Id="rId700" Type="http://schemas.openxmlformats.org/officeDocument/2006/relationships/image" Target="media/image633.png"/><Relationship Id="rId701" Type="http://schemas.openxmlformats.org/officeDocument/2006/relationships/image" Target="media/image634.png"/><Relationship Id="rId702" Type="http://schemas.openxmlformats.org/officeDocument/2006/relationships/image" Target="media/image635.png"/><Relationship Id="rId703" Type="http://schemas.openxmlformats.org/officeDocument/2006/relationships/image" Target="media/image636.png"/><Relationship Id="rId704" Type="http://schemas.openxmlformats.org/officeDocument/2006/relationships/image" Target="media/image637.png"/><Relationship Id="rId705" Type="http://schemas.openxmlformats.org/officeDocument/2006/relationships/image" Target="media/image638.png"/><Relationship Id="rId706" Type="http://schemas.openxmlformats.org/officeDocument/2006/relationships/image" Target="media/image639.png"/><Relationship Id="rId707" Type="http://schemas.openxmlformats.org/officeDocument/2006/relationships/image" Target="media/image640.png"/><Relationship Id="rId708" Type="http://schemas.openxmlformats.org/officeDocument/2006/relationships/image" Target="media/image641.png"/><Relationship Id="rId709" Type="http://schemas.openxmlformats.org/officeDocument/2006/relationships/image" Target="media/image642.png"/><Relationship Id="rId710" Type="http://schemas.openxmlformats.org/officeDocument/2006/relationships/image" Target="media/image643.png"/><Relationship Id="rId711" Type="http://schemas.openxmlformats.org/officeDocument/2006/relationships/image" Target="media/image644.png"/><Relationship Id="rId712" Type="http://schemas.openxmlformats.org/officeDocument/2006/relationships/image" Target="media/image645.png"/><Relationship Id="rId713" Type="http://schemas.openxmlformats.org/officeDocument/2006/relationships/image" Target="media/image646.png"/><Relationship Id="rId714" Type="http://schemas.openxmlformats.org/officeDocument/2006/relationships/image" Target="media/image647.png"/><Relationship Id="rId715" Type="http://schemas.openxmlformats.org/officeDocument/2006/relationships/image" Target="media/image648.png"/><Relationship Id="rId716" Type="http://schemas.openxmlformats.org/officeDocument/2006/relationships/image" Target="media/image649.png"/><Relationship Id="rId717" Type="http://schemas.openxmlformats.org/officeDocument/2006/relationships/image" Target="media/image650.png"/><Relationship Id="rId718" Type="http://schemas.openxmlformats.org/officeDocument/2006/relationships/image" Target="media/image651.png"/><Relationship Id="rId719" Type="http://schemas.openxmlformats.org/officeDocument/2006/relationships/image" Target="media/image652.png"/><Relationship Id="rId720" Type="http://schemas.openxmlformats.org/officeDocument/2006/relationships/image" Target="media/image653.png"/><Relationship Id="rId721" Type="http://schemas.openxmlformats.org/officeDocument/2006/relationships/image" Target="media/image654.png"/><Relationship Id="rId722" Type="http://schemas.openxmlformats.org/officeDocument/2006/relationships/image" Target="media/image655.png"/><Relationship Id="rId723" Type="http://schemas.openxmlformats.org/officeDocument/2006/relationships/image" Target="media/image656.png"/><Relationship Id="rId724" Type="http://schemas.openxmlformats.org/officeDocument/2006/relationships/image" Target="media/image657.png"/><Relationship Id="rId725" Type="http://schemas.openxmlformats.org/officeDocument/2006/relationships/image" Target="media/image658.png"/><Relationship Id="rId726" Type="http://schemas.openxmlformats.org/officeDocument/2006/relationships/image" Target="media/image659.png"/><Relationship Id="rId727" Type="http://schemas.openxmlformats.org/officeDocument/2006/relationships/image" Target="media/image660.png"/><Relationship Id="rId728" Type="http://schemas.openxmlformats.org/officeDocument/2006/relationships/image" Target="media/image661.png"/><Relationship Id="rId729" Type="http://schemas.openxmlformats.org/officeDocument/2006/relationships/image" Target="media/image662.png"/><Relationship Id="rId730" Type="http://schemas.openxmlformats.org/officeDocument/2006/relationships/image" Target="media/image663.png"/><Relationship Id="rId731" Type="http://schemas.openxmlformats.org/officeDocument/2006/relationships/image" Target="media/image664.png"/><Relationship Id="rId732" Type="http://schemas.openxmlformats.org/officeDocument/2006/relationships/image" Target="media/image665.png"/><Relationship Id="rId733" Type="http://schemas.openxmlformats.org/officeDocument/2006/relationships/image" Target="media/image666.png"/><Relationship Id="rId734" Type="http://schemas.openxmlformats.org/officeDocument/2006/relationships/image" Target="media/image667.png"/><Relationship Id="rId735" Type="http://schemas.openxmlformats.org/officeDocument/2006/relationships/image" Target="media/image668.png"/><Relationship Id="rId736" Type="http://schemas.openxmlformats.org/officeDocument/2006/relationships/image" Target="media/image669.png"/><Relationship Id="rId737" Type="http://schemas.openxmlformats.org/officeDocument/2006/relationships/image" Target="media/image670.png"/><Relationship Id="rId738" Type="http://schemas.openxmlformats.org/officeDocument/2006/relationships/image" Target="media/image671.png"/><Relationship Id="rId739" Type="http://schemas.openxmlformats.org/officeDocument/2006/relationships/image" Target="media/image672.png"/><Relationship Id="rId740" Type="http://schemas.openxmlformats.org/officeDocument/2006/relationships/image" Target="media/image673.png"/><Relationship Id="rId741" Type="http://schemas.openxmlformats.org/officeDocument/2006/relationships/image" Target="media/image674.png"/><Relationship Id="rId742" Type="http://schemas.openxmlformats.org/officeDocument/2006/relationships/image" Target="media/image675.png"/><Relationship Id="rId743" Type="http://schemas.openxmlformats.org/officeDocument/2006/relationships/image" Target="media/image676.png"/><Relationship Id="rId744" Type="http://schemas.openxmlformats.org/officeDocument/2006/relationships/image" Target="media/image677.png"/><Relationship Id="rId745" Type="http://schemas.openxmlformats.org/officeDocument/2006/relationships/image" Target="media/image678.png"/><Relationship Id="rId746" Type="http://schemas.openxmlformats.org/officeDocument/2006/relationships/image" Target="media/image679.png"/><Relationship Id="rId747" Type="http://schemas.openxmlformats.org/officeDocument/2006/relationships/image" Target="media/image680.png"/><Relationship Id="rId748" Type="http://schemas.openxmlformats.org/officeDocument/2006/relationships/image" Target="media/image681.png"/><Relationship Id="rId749" Type="http://schemas.openxmlformats.org/officeDocument/2006/relationships/image" Target="media/image682.png"/><Relationship Id="rId750" Type="http://schemas.openxmlformats.org/officeDocument/2006/relationships/image" Target="media/image683.png"/><Relationship Id="rId751" Type="http://schemas.openxmlformats.org/officeDocument/2006/relationships/image" Target="media/image684.png"/><Relationship Id="rId752" Type="http://schemas.openxmlformats.org/officeDocument/2006/relationships/image" Target="media/image685.png"/><Relationship Id="rId753" Type="http://schemas.openxmlformats.org/officeDocument/2006/relationships/image" Target="media/image686.png"/><Relationship Id="rId754" Type="http://schemas.openxmlformats.org/officeDocument/2006/relationships/image" Target="media/image687.png"/><Relationship Id="rId755" Type="http://schemas.openxmlformats.org/officeDocument/2006/relationships/image" Target="media/image688.png"/><Relationship Id="rId756" Type="http://schemas.openxmlformats.org/officeDocument/2006/relationships/image" Target="media/image689.png"/><Relationship Id="rId757" Type="http://schemas.openxmlformats.org/officeDocument/2006/relationships/image" Target="media/image690.png"/><Relationship Id="rId758" Type="http://schemas.openxmlformats.org/officeDocument/2006/relationships/image" Target="media/image691.png"/><Relationship Id="rId759" Type="http://schemas.openxmlformats.org/officeDocument/2006/relationships/image" Target="media/image692.png"/><Relationship Id="rId760" Type="http://schemas.openxmlformats.org/officeDocument/2006/relationships/image" Target="media/image693.png"/><Relationship Id="rId761" Type="http://schemas.openxmlformats.org/officeDocument/2006/relationships/image" Target="media/image694.png"/><Relationship Id="rId762" Type="http://schemas.openxmlformats.org/officeDocument/2006/relationships/image" Target="media/image695.png"/><Relationship Id="rId763" Type="http://schemas.openxmlformats.org/officeDocument/2006/relationships/image" Target="media/image696.png"/><Relationship Id="rId764" Type="http://schemas.openxmlformats.org/officeDocument/2006/relationships/image" Target="media/image697.png"/><Relationship Id="rId765" Type="http://schemas.openxmlformats.org/officeDocument/2006/relationships/image" Target="media/image698.png"/><Relationship Id="rId766" Type="http://schemas.openxmlformats.org/officeDocument/2006/relationships/image" Target="media/image699.png"/><Relationship Id="rId767" Type="http://schemas.openxmlformats.org/officeDocument/2006/relationships/image" Target="media/image700.png"/><Relationship Id="rId768" Type="http://schemas.openxmlformats.org/officeDocument/2006/relationships/image" Target="media/image701.png"/><Relationship Id="rId769" Type="http://schemas.openxmlformats.org/officeDocument/2006/relationships/image" Target="media/image702.png"/><Relationship Id="rId770" Type="http://schemas.openxmlformats.org/officeDocument/2006/relationships/image" Target="media/image703.png"/><Relationship Id="rId771" Type="http://schemas.openxmlformats.org/officeDocument/2006/relationships/image" Target="media/image704.png"/><Relationship Id="rId772" Type="http://schemas.openxmlformats.org/officeDocument/2006/relationships/image" Target="media/image705.png"/><Relationship Id="rId773" Type="http://schemas.openxmlformats.org/officeDocument/2006/relationships/image" Target="media/image706.png"/><Relationship Id="rId774" Type="http://schemas.openxmlformats.org/officeDocument/2006/relationships/image" Target="media/image707.png"/><Relationship Id="rId775" Type="http://schemas.openxmlformats.org/officeDocument/2006/relationships/image" Target="media/image708.png"/><Relationship Id="rId776" Type="http://schemas.openxmlformats.org/officeDocument/2006/relationships/image" Target="media/image709.png"/><Relationship Id="rId777" Type="http://schemas.openxmlformats.org/officeDocument/2006/relationships/image" Target="media/image710.png"/><Relationship Id="rId778" Type="http://schemas.openxmlformats.org/officeDocument/2006/relationships/image" Target="media/image711.png"/><Relationship Id="rId779" Type="http://schemas.openxmlformats.org/officeDocument/2006/relationships/image" Target="media/image712.png"/><Relationship Id="rId780" Type="http://schemas.openxmlformats.org/officeDocument/2006/relationships/image" Target="media/image713.png"/><Relationship Id="rId781" Type="http://schemas.openxmlformats.org/officeDocument/2006/relationships/image" Target="media/image714.png"/><Relationship Id="rId782" Type="http://schemas.openxmlformats.org/officeDocument/2006/relationships/image" Target="media/image715.png"/><Relationship Id="rId783" Type="http://schemas.openxmlformats.org/officeDocument/2006/relationships/image" Target="media/image716.png"/><Relationship Id="rId784" Type="http://schemas.openxmlformats.org/officeDocument/2006/relationships/image" Target="media/image717.png"/><Relationship Id="rId785" Type="http://schemas.openxmlformats.org/officeDocument/2006/relationships/image" Target="media/image718.png"/><Relationship Id="rId786" Type="http://schemas.openxmlformats.org/officeDocument/2006/relationships/image" Target="media/image719.png"/><Relationship Id="rId787" Type="http://schemas.openxmlformats.org/officeDocument/2006/relationships/image" Target="media/image720.png"/><Relationship Id="rId788" Type="http://schemas.openxmlformats.org/officeDocument/2006/relationships/image" Target="media/image721.png"/><Relationship Id="rId789" Type="http://schemas.openxmlformats.org/officeDocument/2006/relationships/image" Target="media/image722.png"/><Relationship Id="rId790" Type="http://schemas.openxmlformats.org/officeDocument/2006/relationships/image" Target="media/image723.png"/><Relationship Id="rId791" Type="http://schemas.openxmlformats.org/officeDocument/2006/relationships/image" Target="media/image724.png"/><Relationship Id="rId792" Type="http://schemas.openxmlformats.org/officeDocument/2006/relationships/image" Target="media/image725.png"/><Relationship Id="rId793" Type="http://schemas.openxmlformats.org/officeDocument/2006/relationships/image" Target="media/image726.png"/><Relationship Id="rId794" Type="http://schemas.openxmlformats.org/officeDocument/2006/relationships/image" Target="media/image727.png"/><Relationship Id="rId795" Type="http://schemas.openxmlformats.org/officeDocument/2006/relationships/image" Target="media/image728.png"/><Relationship Id="rId796" Type="http://schemas.openxmlformats.org/officeDocument/2006/relationships/image" Target="media/image729.png"/><Relationship Id="rId797" Type="http://schemas.openxmlformats.org/officeDocument/2006/relationships/image" Target="media/image730.png"/><Relationship Id="rId798" Type="http://schemas.openxmlformats.org/officeDocument/2006/relationships/image" Target="media/image731.png"/><Relationship Id="rId799" Type="http://schemas.openxmlformats.org/officeDocument/2006/relationships/image" Target="media/image732.png"/><Relationship Id="rId800" Type="http://schemas.openxmlformats.org/officeDocument/2006/relationships/image" Target="media/image733.png"/><Relationship Id="rId801" Type="http://schemas.openxmlformats.org/officeDocument/2006/relationships/image" Target="media/image734.png"/><Relationship Id="rId802" Type="http://schemas.openxmlformats.org/officeDocument/2006/relationships/image" Target="media/image735.png"/><Relationship Id="rId803" Type="http://schemas.openxmlformats.org/officeDocument/2006/relationships/image" Target="media/image736.png"/><Relationship Id="rId804" Type="http://schemas.openxmlformats.org/officeDocument/2006/relationships/image" Target="media/image737.png"/><Relationship Id="rId805" Type="http://schemas.openxmlformats.org/officeDocument/2006/relationships/image" Target="media/image738.png"/><Relationship Id="rId806" Type="http://schemas.openxmlformats.org/officeDocument/2006/relationships/image" Target="media/image739.png"/><Relationship Id="rId807" Type="http://schemas.openxmlformats.org/officeDocument/2006/relationships/image" Target="media/image740.png"/><Relationship Id="rId808" Type="http://schemas.openxmlformats.org/officeDocument/2006/relationships/image" Target="media/image741.png"/><Relationship Id="rId809" Type="http://schemas.openxmlformats.org/officeDocument/2006/relationships/image" Target="media/image742.png"/><Relationship Id="rId810" Type="http://schemas.openxmlformats.org/officeDocument/2006/relationships/image" Target="media/image743.png"/><Relationship Id="rId811" Type="http://schemas.openxmlformats.org/officeDocument/2006/relationships/image" Target="media/image744.png"/><Relationship Id="rId812" Type="http://schemas.openxmlformats.org/officeDocument/2006/relationships/image" Target="media/image745.png"/><Relationship Id="rId813" Type="http://schemas.openxmlformats.org/officeDocument/2006/relationships/image" Target="media/image746.png"/><Relationship Id="rId814" Type="http://schemas.openxmlformats.org/officeDocument/2006/relationships/image" Target="media/image747.png"/><Relationship Id="rId815" Type="http://schemas.openxmlformats.org/officeDocument/2006/relationships/image" Target="media/image748.png"/><Relationship Id="rId816" Type="http://schemas.openxmlformats.org/officeDocument/2006/relationships/image" Target="media/image749.png"/><Relationship Id="rId817" Type="http://schemas.openxmlformats.org/officeDocument/2006/relationships/image" Target="media/image750.png"/><Relationship Id="rId818" Type="http://schemas.openxmlformats.org/officeDocument/2006/relationships/image" Target="media/image751.png"/><Relationship Id="rId819" Type="http://schemas.openxmlformats.org/officeDocument/2006/relationships/image" Target="media/image752.png"/><Relationship Id="rId820" Type="http://schemas.openxmlformats.org/officeDocument/2006/relationships/image" Target="media/image753.png"/><Relationship Id="rId821" Type="http://schemas.openxmlformats.org/officeDocument/2006/relationships/image" Target="media/image754.png"/><Relationship Id="rId822" Type="http://schemas.openxmlformats.org/officeDocument/2006/relationships/image" Target="media/image755.png"/><Relationship Id="rId823" Type="http://schemas.openxmlformats.org/officeDocument/2006/relationships/image" Target="media/image756.png"/><Relationship Id="rId824" Type="http://schemas.openxmlformats.org/officeDocument/2006/relationships/image" Target="media/image757.png"/><Relationship Id="rId825" Type="http://schemas.openxmlformats.org/officeDocument/2006/relationships/image" Target="media/image758.png"/><Relationship Id="rId826" Type="http://schemas.openxmlformats.org/officeDocument/2006/relationships/image" Target="media/image759.png"/><Relationship Id="rId827" Type="http://schemas.openxmlformats.org/officeDocument/2006/relationships/image" Target="media/image760.png"/><Relationship Id="rId828" Type="http://schemas.openxmlformats.org/officeDocument/2006/relationships/image" Target="media/image761.png"/><Relationship Id="rId829" Type="http://schemas.openxmlformats.org/officeDocument/2006/relationships/image" Target="media/image762.png"/><Relationship Id="rId830" Type="http://schemas.openxmlformats.org/officeDocument/2006/relationships/image" Target="media/image763.png"/><Relationship Id="rId831" Type="http://schemas.openxmlformats.org/officeDocument/2006/relationships/image" Target="media/image764.png"/><Relationship Id="rId832" Type="http://schemas.openxmlformats.org/officeDocument/2006/relationships/image" Target="media/image765.png"/><Relationship Id="rId833" Type="http://schemas.openxmlformats.org/officeDocument/2006/relationships/image" Target="media/image766.png"/><Relationship Id="rId834" Type="http://schemas.openxmlformats.org/officeDocument/2006/relationships/image" Target="media/image767.png"/><Relationship Id="rId835" Type="http://schemas.openxmlformats.org/officeDocument/2006/relationships/image" Target="media/image768.png"/><Relationship Id="rId836" Type="http://schemas.openxmlformats.org/officeDocument/2006/relationships/image" Target="media/image769.png"/><Relationship Id="rId837" Type="http://schemas.openxmlformats.org/officeDocument/2006/relationships/image" Target="media/image770.png"/><Relationship Id="rId838" Type="http://schemas.openxmlformats.org/officeDocument/2006/relationships/image" Target="media/image771.png"/><Relationship Id="rId839" Type="http://schemas.openxmlformats.org/officeDocument/2006/relationships/image" Target="media/image772.png"/><Relationship Id="rId840" Type="http://schemas.openxmlformats.org/officeDocument/2006/relationships/image" Target="media/image773.png"/><Relationship Id="rId841" Type="http://schemas.openxmlformats.org/officeDocument/2006/relationships/image" Target="media/image774.png"/><Relationship Id="rId842" Type="http://schemas.openxmlformats.org/officeDocument/2006/relationships/image" Target="media/image775.png"/><Relationship Id="rId843" Type="http://schemas.openxmlformats.org/officeDocument/2006/relationships/image" Target="media/image776.png"/><Relationship Id="rId844" Type="http://schemas.openxmlformats.org/officeDocument/2006/relationships/image" Target="media/image777.png"/><Relationship Id="rId845" Type="http://schemas.openxmlformats.org/officeDocument/2006/relationships/image" Target="media/image778.png"/><Relationship Id="rId846" Type="http://schemas.openxmlformats.org/officeDocument/2006/relationships/image" Target="media/image779.png"/><Relationship Id="rId847" Type="http://schemas.openxmlformats.org/officeDocument/2006/relationships/image" Target="media/image780.png"/><Relationship Id="rId848" Type="http://schemas.openxmlformats.org/officeDocument/2006/relationships/image" Target="media/image781.png"/><Relationship Id="rId849" Type="http://schemas.openxmlformats.org/officeDocument/2006/relationships/image" Target="media/image782.png"/><Relationship Id="rId850" Type="http://schemas.openxmlformats.org/officeDocument/2006/relationships/image" Target="media/image783.png"/><Relationship Id="rId851" Type="http://schemas.openxmlformats.org/officeDocument/2006/relationships/image" Target="media/image784.png"/><Relationship Id="rId852" Type="http://schemas.openxmlformats.org/officeDocument/2006/relationships/image" Target="media/image785.png"/><Relationship Id="rId853" Type="http://schemas.openxmlformats.org/officeDocument/2006/relationships/image" Target="media/image786.png"/><Relationship Id="rId854" Type="http://schemas.openxmlformats.org/officeDocument/2006/relationships/image" Target="media/image787.png"/><Relationship Id="rId855" Type="http://schemas.openxmlformats.org/officeDocument/2006/relationships/image" Target="media/image788.png"/><Relationship Id="rId856" Type="http://schemas.openxmlformats.org/officeDocument/2006/relationships/image" Target="media/image789.png"/><Relationship Id="rId857" Type="http://schemas.openxmlformats.org/officeDocument/2006/relationships/image" Target="media/image790.png"/><Relationship Id="rId858" Type="http://schemas.openxmlformats.org/officeDocument/2006/relationships/image" Target="media/image791.png"/><Relationship Id="rId859" Type="http://schemas.openxmlformats.org/officeDocument/2006/relationships/image" Target="media/image792.png"/><Relationship Id="rId860" Type="http://schemas.openxmlformats.org/officeDocument/2006/relationships/image" Target="media/image793.png"/><Relationship Id="rId861" Type="http://schemas.openxmlformats.org/officeDocument/2006/relationships/image" Target="media/image794.png"/><Relationship Id="rId862" Type="http://schemas.openxmlformats.org/officeDocument/2006/relationships/image" Target="media/image795.png"/><Relationship Id="rId863" Type="http://schemas.openxmlformats.org/officeDocument/2006/relationships/image" Target="media/image796.png"/><Relationship Id="rId864" Type="http://schemas.openxmlformats.org/officeDocument/2006/relationships/image" Target="media/image797.png"/><Relationship Id="rId865" Type="http://schemas.openxmlformats.org/officeDocument/2006/relationships/image" Target="media/image798.png"/><Relationship Id="rId866" Type="http://schemas.openxmlformats.org/officeDocument/2006/relationships/image" Target="media/image799.png"/><Relationship Id="rId867" Type="http://schemas.openxmlformats.org/officeDocument/2006/relationships/image" Target="media/image800.png"/><Relationship Id="rId868" Type="http://schemas.openxmlformats.org/officeDocument/2006/relationships/image" Target="media/image801.png"/><Relationship Id="rId869" Type="http://schemas.openxmlformats.org/officeDocument/2006/relationships/image" Target="media/image802.png"/><Relationship Id="rId870" Type="http://schemas.openxmlformats.org/officeDocument/2006/relationships/image" Target="media/image803.png"/><Relationship Id="rId871" Type="http://schemas.openxmlformats.org/officeDocument/2006/relationships/image" Target="media/image804.png"/><Relationship Id="rId872" Type="http://schemas.openxmlformats.org/officeDocument/2006/relationships/image" Target="media/image805.png"/><Relationship Id="rId873" Type="http://schemas.openxmlformats.org/officeDocument/2006/relationships/image" Target="media/image806.png"/><Relationship Id="rId874" Type="http://schemas.openxmlformats.org/officeDocument/2006/relationships/image" Target="media/image807.png"/><Relationship Id="rId875" Type="http://schemas.openxmlformats.org/officeDocument/2006/relationships/image" Target="media/image808.png"/><Relationship Id="rId876" Type="http://schemas.openxmlformats.org/officeDocument/2006/relationships/image" Target="media/image809.png"/><Relationship Id="rId877" Type="http://schemas.openxmlformats.org/officeDocument/2006/relationships/image" Target="media/image810.png"/><Relationship Id="rId878" Type="http://schemas.openxmlformats.org/officeDocument/2006/relationships/image" Target="media/image811.png"/><Relationship Id="rId879" Type="http://schemas.openxmlformats.org/officeDocument/2006/relationships/image" Target="media/image812.png"/><Relationship Id="rId880" Type="http://schemas.openxmlformats.org/officeDocument/2006/relationships/image" Target="media/image813.png"/><Relationship Id="rId881" Type="http://schemas.openxmlformats.org/officeDocument/2006/relationships/image" Target="media/image814.png"/><Relationship Id="rId882" Type="http://schemas.openxmlformats.org/officeDocument/2006/relationships/image" Target="media/image815.png"/><Relationship Id="rId883" Type="http://schemas.openxmlformats.org/officeDocument/2006/relationships/image" Target="media/image816.png"/><Relationship Id="rId884" Type="http://schemas.openxmlformats.org/officeDocument/2006/relationships/image" Target="media/image817.png"/><Relationship Id="rId885" Type="http://schemas.openxmlformats.org/officeDocument/2006/relationships/image" Target="media/image818.png"/><Relationship Id="rId886" Type="http://schemas.openxmlformats.org/officeDocument/2006/relationships/image" Target="media/image819.png"/><Relationship Id="rId887" Type="http://schemas.openxmlformats.org/officeDocument/2006/relationships/image" Target="media/image820.png"/><Relationship Id="rId888" Type="http://schemas.openxmlformats.org/officeDocument/2006/relationships/image" Target="media/image821.png"/><Relationship Id="rId889" Type="http://schemas.openxmlformats.org/officeDocument/2006/relationships/image" Target="media/image822.png"/><Relationship Id="rId890" Type="http://schemas.openxmlformats.org/officeDocument/2006/relationships/image" Target="media/image823.png"/><Relationship Id="rId891" Type="http://schemas.openxmlformats.org/officeDocument/2006/relationships/image" Target="media/image824.png"/><Relationship Id="rId892" Type="http://schemas.openxmlformats.org/officeDocument/2006/relationships/image" Target="media/image825.png"/><Relationship Id="rId893" Type="http://schemas.openxmlformats.org/officeDocument/2006/relationships/image" Target="media/image826.png"/><Relationship Id="rId894" Type="http://schemas.openxmlformats.org/officeDocument/2006/relationships/image" Target="media/image827.png"/><Relationship Id="rId895" Type="http://schemas.openxmlformats.org/officeDocument/2006/relationships/image" Target="media/image828.png"/><Relationship Id="rId896" Type="http://schemas.openxmlformats.org/officeDocument/2006/relationships/image" Target="media/image829.png"/><Relationship Id="rId897" Type="http://schemas.openxmlformats.org/officeDocument/2006/relationships/image" Target="media/image830.png"/><Relationship Id="rId898" Type="http://schemas.openxmlformats.org/officeDocument/2006/relationships/image" Target="media/image831.png"/><Relationship Id="rId899" Type="http://schemas.openxmlformats.org/officeDocument/2006/relationships/image" Target="media/image832.png"/><Relationship Id="rId900" Type="http://schemas.openxmlformats.org/officeDocument/2006/relationships/image" Target="media/image833.png"/><Relationship Id="rId901" Type="http://schemas.openxmlformats.org/officeDocument/2006/relationships/image" Target="media/image834.png"/><Relationship Id="rId902" Type="http://schemas.openxmlformats.org/officeDocument/2006/relationships/image" Target="media/image835.png"/><Relationship Id="rId903" Type="http://schemas.openxmlformats.org/officeDocument/2006/relationships/image" Target="media/image836.png"/><Relationship Id="rId904" Type="http://schemas.openxmlformats.org/officeDocument/2006/relationships/image" Target="media/image837.png"/><Relationship Id="rId905" Type="http://schemas.openxmlformats.org/officeDocument/2006/relationships/image" Target="media/image838.png"/><Relationship Id="rId906" Type="http://schemas.openxmlformats.org/officeDocument/2006/relationships/image" Target="media/image839.png"/><Relationship Id="rId907" Type="http://schemas.openxmlformats.org/officeDocument/2006/relationships/image" Target="media/image840.png"/><Relationship Id="rId908" Type="http://schemas.openxmlformats.org/officeDocument/2006/relationships/image" Target="media/image841.png"/><Relationship Id="rId909" Type="http://schemas.openxmlformats.org/officeDocument/2006/relationships/image" Target="media/image842.png"/><Relationship Id="rId910" Type="http://schemas.openxmlformats.org/officeDocument/2006/relationships/image" Target="media/image843.png"/><Relationship Id="rId911" Type="http://schemas.openxmlformats.org/officeDocument/2006/relationships/image" Target="media/image844.png"/><Relationship Id="rId912" Type="http://schemas.openxmlformats.org/officeDocument/2006/relationships/image" Target="media/image845.png"/><Relationship Id="rId913" Type="http://schemas.openxmlformats.org/officeDocument/2006/relationships/image" Target="media/image846.png"/><Relationship Id="rId914" Type="http://schemas.openxmlformats.org/officeDocument/2006/relationships/image" Target="media/image847.png"/><Relationship Id="rId915" Type="http://schemas.openxmlformats.org/officeDocument/2006/relationships/image" Target="media/image848.png"/><Relationship Id="rId916" Type="http://schemas.openxmlformats.org/officeDocument/2006/relationships/image" Target="media/image849.png"/><Relationship Id="rId917" Type="http://schemas.openxmlformats.org/officeDocument/2006/relationships/image" Target="media/image850.png"/><Relationship Id="rId918" Type="http://schemas.openxmlformats.org/officeDocument/2006/relationships/image" Target="media/image851.png"/><Relationship Id="rId919" Type="http://schemas.openxmlformats.org/officeDocument/2006/relationships/image" Target="media/image852.png"/><Relationship Id="rId920" Type="http://schemas.openxmlformats.org/officeDocument/2006/relationships/image" Target="media/image853.png"/><Relationship Id="rId921" Type="http://schemas.openxmlformats.org/officeDocument/2006/relationships/image" Target="media/image854.png"/><Relationship Id="rId922" Type="http://schemas.openxmlformats.org/officeDocument/2006/relationships/image" Target="media/image855.png"/><Relationship Id="rId923" Type="http://schemas.openxmlformats.org/officeDocument/2006/relationships/image" Target="media/image856.png"/><Relationship Id="rId924" Type="http://schemas.openxmlformats.org/officeDocument/2006/relationships/image" Target="media/image857.png"/><Relationship Id="rId925" Type="http://schemas.openxmlformats.org/officeDocument/2006/relationships/image" Target="media/image858.png"/><Relationship Id="rId926" Type="http://schemas.openxmlformats.org/officeDocument/2006/relationships/image" Target="media/image859.png"/><Relationship Id="rId927" Type="http://schemas.openxmlformats.org/officeDocument/2006/relationships/image" Target="media/image860.png"/><Relationship Id="rId928" Type="http://schemas.openxmlformats.org/officeDocument/2006/relationships/image" Target="media/image861.png"/><Relationship Id="rId929" Type="http://schemas.openxmlformats.org/officeDocument/2006/relationships/image" Target="media/image862.png"/><Relationship Id="rId930" Type="http://schemas.openxmlformats.org/officeDocument/2006/relationships/image" Target="media/image863.png"/><Relationship Id="rId931" Type="http://schemas.openxmlformats.org/officeDocument/2006/relationships/image" Target="media/image864.png"/><Relationship Id="rId932" Type="http://schemas.openxmlformats.org/officeDocument/2006/relationships/image" Target="media/image865.png"/><Relationship Id="rId933" Type="http://schemas.openxmlformats.org/officeDocument/2006/relationships/image" Target="media/image866.png"/><Relationship Id="rId934" Type="http://schemas.openxmlformats.org/officeDocument/2006/relationships/image" Target="media/image867.png"/><Relationship Id="rId935" Type="http://schemas.openxmlformats.org/officeDocument/2006/relationships/image" Target="media/image868.png"/><Relationship Id="rId936" Type="http://schemas.openxmlformats.org/officeDocument/2006/relationships/image" Target="media/image869.png"/><Relationship Id="rId937" Type="http://schemas.openxmlformats.org/officeDocument/2006/relationships/image" Target="media/image870.png"/><Relationship Id="rId938" Type="http://schemas.openxmlformats.org/officeDocument/2006/relationships/image" Target="media/image871.png"/><Relationship Id="rId939" Type="http://schemas.openxmlformats.org/officeDocument/2006/relationships/image" Target="media/image872.png"/><Relationship Id="rId940" Type="http://schemas.openxmlformats.org/officeDocument/2006/relationships/image" Target="media/image873.png"/><Relationship Id="rId941" Type="http://schemas.openxmlformats.org/officeDocument/2006/relationships/image" Target="media/image874.png"/><Relationship Id="rId942" Type="http://schemas.openxmlformats.org/officeDocument/2006/relationships/image" Target="media/image875.png"/><Relationship Id="rId943" Type="http://schemas.openxmlformats.org/officeDocument/2006/relationships/image" Target="media/image876.png"/><Relationship Id="rId944" Type="http://schemas.openxmlformats.org/officeDocument/2006/relationships/image" Target="media/image877.png"/><Relationship Id="rId945" Type="http://schemas.openxmlformats.org/officeDocument/2006/relationships/image" Target="media/image878.png"/><Relationship Id="rId946" Type="http://schemas.openxmlformats.org/officeDocument/2006/relationships/image" Target="media/image879.png"/><Relationship Id="rId947" Type="http://schemas.openxmlformats.org/officeDocument/2006/relationships/image" Target="media/image880.png"/><Relationship Id="rId948" Type="http://schemas.openxmlformats.org/officeDocument/2006/relationships/image" Target="media/image881.png"/><Relationship Id="rId949" Type="http://schemas.openxmlformats.org/officeDocument/2006/relationships/image" Target="media/image882.png"/><Relationship Id="rId950" Type="http://schemas.openxmlformats.org/officeDocument/2006/relationships/image" Target="media/image883.png"/><Relationship Id="rId951" Type="http://schemas.openxmlformats.org/officeDocument/2006/relationships/image" Target="media/image884.png"/><Relationship Id="rId952" Type="http://schemas.openxmlformats.org/officeDocument/2006/relationships/image" Target="media/image885.png"/><Relationship Id="rId953" Type="http://schemas.openxmlformats.org/officeDocument/2006/relationships/image" Target="media/image886.png"/><Relationship Id="rId954" Type="http://schemas.openxmlformats.org/officeDocument/2006/relationships/image" Target="media/image887.png"/><Relationship Id="rId955" Type="http://schemas.openxmlformats.org/officeDocument/2006/relationships/image" Target="media/image888.png"/><Relationship Id="rId956" Type="http://schemas.openxmlformats.org/officeDocument/2006/relationships/image" Target="media/image889.png"/><Relationship Id="rId957" Type="http://schemas.openxmlformats.org/officeDocument/2006/relationships/image" Target="media/image890.png"/><Relationship Id="rId958" Type="http://schemas.openxmlformats.org/officeDocument/2006/relationships/image" Target="media/image891.png"/><Relationship Id="rId959" Type="http://schemas.openxmlformats.org/officeDocument/2006/relationships/image" Target="media/image892.png"/><Relationship Id="rId960" Type="http://schemas.openxmlformats.org/officeDocument/2006/relationships/image" Target="media/image893.png"/><Relationship Id="rId961" Type="http://schemas.openxmlformats.org/officeDocument/2006/relationships/image" Target="media/image894.png"/><Relationship Id="rId962" Type="http://schemas.openxmlformats.org/officeDocument/2006/relationships/image" Target="media/image895.png"/><Relationship Id="rId963" Type="http://schemas.openxmlformats.org/officeDocument/2006/relationships/image" Target="media/image896.png"/><Relationship Id="rId964" Type="http://schemas.openxmlformats.org/officeDocument/2006/relationships/image" Target="media/image897.png"/><Relationship Id="rId965" Type="http://schemas.openxmlformats.org/officeDocument/2006/relationships/image" Target="media/image898.png"/><Relationship Id="rId966" Type="http://schemas.openxmlformats.org/officeDocument/2006/relationships/image" Target="media/image899.png"/><Relationship Id="rId967" Type="http://schemas.openxmlformats.org/officeDocument/2006/relationships/image" Target="media/image900.png"/><Relationship Id="rId968" Type="http://schemas.openxmlformats.org/officeDocument/2006/relationships/image" Target="media/image901.png"/><Relationship Id="rId969" Type="http://schemas.openxmlformats.org/officeDocument/2006/relationships/image" Target="media/image902.png"/><Relationship Id="rId970" Type="http://schemas.openxmlformats.org/officeDocument/2006/relationships/image" Target="media/image903.png"/><Relationship Id="rId971" Type="http://schemas.openxmlformats.org/officeDocument/2006/relationships/image" Target="media/image904.png"/><Relationship Id="rId972" Type="http://schemas.openxmlformats.org/officeDocument/2006/relationships/image" Target="media/image905.png"/><Relationship Id="rId973" Type="http://schemas.openxmlformats.org/officeDocument/2006/relationships/image" Target="media/image906.png"/><Relationship Id="rId974" Type="http://schemas.openxmlformats.org/officeDocument/2006/relationships/image" Target="media/image907.png"/><Relationship Id="rId975" Type="http://schemas.openxmlformats.org/officeDocument/2006/relationships/image" Target="media/image908.png"/><Relationship Id="rId976" Type="http://schemas.openxmlformats.org/officeDocument/2006/relationships/image" Target="media/image909.png"/><Relationship Id="rId977" Type="http://schemas.openxmlformats.org/officeDocument/2006/relationships/image" Target="media/image910.png"/><Relationship Id="rId978" Type="http://schemas.openxmlformats.org/officeDocument/2006/relationships/image" Target="media/image911.png"/><Relationship Id="rId979" Type="http://schemas.openxmlformats.org/officeDocument/2006/relationships/image" Target="media/image912.png"/><Relationship Id="rId980" Type="http://schemas.openxmlformats.org/officeDocument/2006/relationships/image" Target="media/image913.png"/><Relationship Id="rId981" Type="http://schemas.openxmlformats.org/officeDocument/2006/relationships/image" Target="media/image914.png"/><Relationship Id="rId982" Type="http://schemas.openxmlformats.org/officeDocument/2006/relationships/image" Target="media/image915.png"/><Relationship Id="rId983" Type="http://schemas.openxmlformats.org/officeDocument/2006/relationships/image" Target="media/image916.png"/><Relationship Id="rId984" Type="http://schemas.openxmlformats.org/officeDocument/2006/relationships/image" Target="media/image917.png"/><Relationship Id="rId985" Type="http://schemas.openxmlformats.org/officeDocument/2006/relationships/image" Target="media/image918.png"/><Relationship Id="rId986" Type="http://schemas.openxmlformats.org/officeDocument/2006/relationships/image" Target="media/image919.png"/><Relationship Id="rId987" Type="http://schemas.openxmlformats.org/officeDocument/2006/relationships/image" Target="media/image920.png"/><Relationship Id="rId988" Type="http://schemas.openxmlformats.org/officeDocument/2006/relationships/image" Target="media/image921.png"/><Relationship Id="rId989" Type="http://schemas.openxmlformats.org/officeDocument/2006/relationships/image" Target="media/image922.png"/><Relationship Id="rId990" Type="http://schemas.openxmlformats.org/officeDocument/2006/relationships/image" Target="media/image923.png"/><Relationship Id="rId991" Type="http://schemas.openxmlformats.org/officeDocument/2006/relationships/image" Target="media/image924.png"/><Relationship Id="rId992" Type="http://schemas.openxmlformats.org/officeDocument/2006/relationships/image" Target="media/image925.png"/><Relationship Id="rId993" Type="http://schemas.openxmlformats.org/officeDocument/2006/relationships/image" Target="media/image926.png"/><Relationship Id="rId994" Type="http://schemas.openxmlformats.org/officeDocument/2006/relationships/image" Target="media/image927.png"/><Relationship Id="rId995" Type="http://schemas.openxmlformats.org/officeDocument/2006/relationships/image" Target="media/image928.png"/><Relationship Id="rId996" Type="http://schemas.openxmlformats.org/officeDocument/2006/relationships/image" Target="media/image929.png"/><Relationship Id="rId997" Type="http://schemas.openxmlformats.org/officeDocument/2006/relationships/image" Target="media/image930.png"/><Relationship Id="rId998" Type="http://schemas.openxmlformats.org/officeDocument/2006/relationships/image" Target="media/image931.png"/><Relationship Id="rId999" Type="http://schemas.openxmlformats.org/officeDocument/2006/relationships/image" Target="media/image932.png"/><Relationship Id="rId1000" Type="http://schemas.openxmlformats.org/officeDocument/2006/relationships/image" Target="media/image933.png"/><Relationship Id="rId1001" Type="http://schemas.openxmlformats.org/officeDocument/2006/relationships/image" Target="media/image934.png"/><Relationship Id="rId1002" Type="http://schemas.openxmlformats.org/officeDocument/2006/relationships/image" Target="media/image935.png"/><Relationship Id="rId1003" Type="http://schemas.openxmlformats.org/officeDocument/2006/relationships/image" Target="media/image936.png"/><Relationship Id="rId1004" Type="http://schemas.openxmlformats.org/officeDocument/2006/relationships/image" Target="media/image937.png"/><Relationship Id="rId1005" Type="http://schemas.openxmlformats.org/officeDocument/2006/relationships/image" Target="media/image938.png"/><Relationship Id="rId1006" Type="http://schemas.openxmlformats.org/officeDocument/2006/relationships/image" Target="media/image939.png"/><Relationship Id="rId1007" Type="http://schemas.openxmlformats.org/officeDocument/2006/relationships/image" Target="media/image940.png"/><Relationship Id="rId1008" Type="http://schemas.openxmlformats.org/officeDocument/2006/relationships/image" Target="media/image941.png"/><Relationship Id="rId1009" Type="http://schemas.openxmlformats.org/officeDocument/2006/relationships/image" Target="media/image942.png"/><Relationship Id="rId1010" Type="http://schemas.openxmlformats.org/officeDocument/2006/relationships/image" Target="media/image943.png"/><Relationship Id="rId1011" Type="http://schemas.openxmlformats.org/officeDocument/2006/relationships/image" Target="media/image944.png"/><Relationship Id="rId1012" Type="http://schemas.openxmlformats.org/officeDocument/2006/relationships/image" Target="media/image945.png"/><Relationship Id="rId1013" Type="http://schemas.openxmlformats.org/officeDocument/2006/relationships/image" Target="media/image946.png"/><Relationship Id="rId1014" Type="http://schemas.openxmlformats.org/officeDocument/2006/relationships/image" Target="media/image947.png"/><Relationship Id="rId1015" Type="http://schemas.openxmlformats.org/officeDocument/2006/relationships/image" Target="media/image948.png"/><Relationship Id="rId1016" Type="http://schemas.openxmlformats.org/officeDocument/2006/relationships/image" Target="media/image949.png"/><Relationship Id="rId1017" Type="http://schemas.openxmlformats.org/officeDocument/2006/relationships/image" Target="media/image950.png"/><Relationship Id="rId1018" Type="http://schemas.openxmlformats.org/officeDocument/2006/relationships/image" Target="media/image951.png"/><Relationship Id="rId1019" Type="http://schemas.openxmlformats.org/officeDocument/2006/relationships/image" Target="media/image952.png"/><Relationship Id="rId1020" Type="http://schemas.openxmlformats.org/officeDocument/2006/relationships/image" Target="media/image953.png"/><Relationship Id="rId1021" Type="http://schemas.openxmlformats.org/officeDocument/2006/relationships/image" Target="media/image954.png"/><Relationship Id="rId1022" Type="http://schemas.openxmlformats.org/officeDocument/2006/relationships/image" Target="media/image955.png"/><Relationship Id="rId1023" Type="http://schemas.openxmlformats.org/officeDocument/2006/relationships/image" Target="media/image956.png"/><Relationship Id="rId1024" Type="http://schemas.openxmlformats.org/officeDocument/2006/relationships/image" Target="media/image957.png"/><Relationship Id="rId1025" Type="http://schemas.openxmlformats.org/officeDocument/2006/relationships/image" Target="media/image958.png"/><Relationship Id="rId1026" Type="http://schemas.openxmlformats.org/officeDocument/2006/relationships/image" Target="media/image959.png"/><Relationship Id="rId1027" Type="http://schemas.openxmlformats.org/officeDocument/2006/relationships/image" Target="media/image960.png"/><Relationship Id="rId1028" Type="http://schemas.openxmlformats.org/officeDocument/2006/relationships/image" Target="media/image961.png"/><Relationship Id="rId1029" Type="http://schemas.openxmlformats.org/officeDocument/2006/relationships/image" Target="media/image962.png"/><Relationship Id="rId1030" Type="http://schemas.openxmlformats.org/officeDocument/2006/relationships/image" Target="media/image963.png"/><Relationship Id="rId1031" Type="http://schemas.openxmlformats.org/officeDocument/2006/relationships/image" Target="media/image964.png"/><Relationship Id="rId1032" Type="http://schemas.openxmlformats.org/officeDocument/2006/relationships/image" Target="media/image965.png"/><Relationship Id="rId1033" Type="http://schemas.openxmlformats.org/officeDocument/2006/relationships/image" Target="media/image966.png"/><Relationship Id="rId1034" Type="http://schemas.openxmlformats.org/officeDocument/2006/relationships/image" Target="media/image967.png"/><Relationship Id="rId1035" Type="http://schemas.openxmlformats.org/officeDocument/2006/relationships/image" Target="media/image968.png"/><Relationship Id="rId1036" Type="http://schemas.openxmlformats.org/officeDocument/2006/relationships/image" Target="media/image969.png"/><Relationship Id="rId1037" Type="http://schemas.openxmlformats.org/officeDocument/2006/relationships/image" Target="media/image970.png"/><Relationship Id="rId1038" Type="http://schemas.openxmlformats.org/officeDocument/2006/relationships/image" Target="media/image971.png"/><Relationship Id="rId1039" Type="http://schemas.openxmlformats.org/officeDocument/2006/relationships/image" Target="media/image972.png"/><Relationship Id="rId1040" Type="http://schemas.openxmlformats.org/officeDocument/2006/relationships/image" Target="media/image973.png"/><Relationship Id="rId1041" Type="http://schemas.openxmlformats.org/officeDocument/2006/relationships/image" Target="media/image974.png"/><Relationship Id="rId1042" Type="http://schemas.openxmlformats.org/officeDocument/2006/relationships/image" Target="media/image975.png"/><Relationship Id="rId1043" Type="http://schemas.openxmlformats.org/officeDocument/2006/relationships/image" Target="media/image976.png"/><Relationship Id="rId1044" Type="http://schemas.openxmlformats.org/officeDocument/2006/relationships/image" Target="media/image977.png"/><Relationship Id="rId1045" Type="http://schemas.openxmlformats.org/officeDocument/2006/relationships/image" Target="media/image978.png"/><Relationship Id="rId1046" Type="http://schemas.openxmlformats.org/officeDocument/2006/relationships/image" Target="media/image979.png"/><Relationship Id="rId1047" Type="http://schemas.openxmlformats.org/officeDocument/2006/relationships/image" Target="media/image980.png"/><Relationship Id="rId1048" Type="http://schemas.openxmlformats.org/officeDocument/2006/relationships/image" Target="media/image981.png"/><Relationship Id="rId1049" Type="http://schemas.openxmlformats.org/officeDocument/2006/relationships/image" Target="media/image982.png"/><Relationship Id="rId1050" Type="http://schemas.openxmlformats.org/officeDocument/2006/relationships/image" Target="media/image983.png"/><Relationship Id="rId1051" Type="http://schemas.openxmlformats.org/officeDocument/2006/relationships/image" Target="media/image984.png"/><Relationship Id="rId1052" Type="http://schemas.openxmlformats.org/officeDocument/2006/relationships/image" Target="media/image985.png"/><Relationship Id="rId1053" Type="http://schemas.openxmlformats.org/officeDocument/2006/relationships/image" Target="media/image986.png"/><Relationship Id="rId1054" Type="http://schemas.openxmlformats.org/officeDocument/2006/relationships/image" Target="media/image987.png"/><Relationship Id="rId1055" Type="http://schemas.openxmlformats.org/officeDocument/2006/relationships/image" Target="media/image988.png"/><Relationship Id="rId1056" Type="http://schemas.openxmlformats.org/officeDocument/2006/relationships/image" Target="media/image989.png"/><Relationship Id="rId1057" Type="http://schemas.openxmlformats.org/officeDocument/2006/relationships/image" Target="media/image990.png"/><Relationship Id="rId1058" Type="http://schemas.openxmlformats.org/officeDocument/2006/relationships/image" Target="media/image991.png"/><Relationship Id="rId1059" Type="http://schemas.openxmlformats.org/officeDocument/2006/relationships/image" Target="media/image992.png"/><Relationship Id="rId1060" Type="http://schemas.openxmlformats.org/officeDocument/2006/relationships/image" Target="media/image993.png"/><Relationship Id="rId1061" Type="http://schemas.openxmlformats.org/officeDocument/2006/relationships/image" Target="media/image994.png"/><Relationship Id="rId1062" Type="http://schemas.openxmlformats.org/officeDocument/2006/relationships/image" Target="media/image995.png"/><Relationship Id="rId1063" Type="http://schemas.openxmlformats.org/officeDocument/2006/relationships/image" Target="media/image996.png"/><Relationship Id="rId1064" Type="http://schemas.openxmlformats.org/officeDocument/2006/relationships/image" Target="media/image997.png"/><Relationship Id="rId1065" Type="http://schemas.openxmlformats.org/officeDocument/2006/relationships/image" Target="media/image998.png"/><Relationship Id="rId1066" Type="http://schemas.openxmlformats.org/officeDocument/2006/relationships/image" Target="media/image999.png"/><Relationship Id="rId1067" Type="http://schemas.openxmlformats.org/officeDocument/2006/relationships/image" Target="media/image1000.png"/><Relationship Id="rId1068" Type="http://schemas.openxmlformats.org/officeDocument/2006/relationships/image" Target="media/image1001.png"/><Relationship Id="rId1069" Type="http://schemas.openxmlformats.org/officeDocument/2006/relationships/image" Target="media/image1002.png"/><Relationship Id="rId1070" Type="http://schemas.openxmlformats.org/officeDocument/2006/relationships/image" Target="media/image1003.png"/><Relationship Id="rId1071" Type="http://schemas.openxmlformats.org/officeDocument/2006/relationships/image" Target="media/image1004.png"/><Relationship Id="rId1072" Type="http://schemas.openxmlformats.org/officeDocument/2006/relationships/image" Target="media/image1005.png"/><Relationship Id="rId1073" Type="http://schemas.openxmlformats.org/officeDocument/2006/relationships/image" Target="media/image1006.png"/><Relationship Id="rId1074" Type="http://schemas.openxmlformats.org/officeDocument/2006/relationships/image" Target="media/image1007.png"/><Relationship Id="rId1075" Type="http://schemas.openxmlformats.org/officeDocument/2006/relationships/image" Target="media/image1008.png"/><Relationship Id="rId1076" Type="http://schemas.openxmlformats.org/officeDocument/2006/relationships/image" Target="media/image1009.png"/><Relationship Id="rId1077" Type="http://schemas.openxmlformats.org/officeDocument/2006/relationships/image" Target="media/image1010.png"/><Relationship Id="rId1078" Type="http://schemas.openxmlformats.org/officeDocument/2006/relationships/image" Target="media/image1011.png"/><Relationship Id="rId1079" Type="http://schemas.openxmlformats.org/officeDocument/2006/relationships/image" Target="media/image1012.png"/><Relationship Id="rId1080" Type="http://schemas.openxmlformats.org/officeDocument/2006/relationships/image" Target="media/image1013.png"/><Relationship Id="rId1081" Type="http://schemas.openxmlformats.org/officeDocument/2006/relationships/image" Target="media/image1014.png"/><Relationship Id="rId1082" Type="http://schemas.openxmlformats.org/officeDocument/2006/relationships/image" Target="media/image1015.png"/><Relationship Id="rId1083" Type="http://schemas.openxmlformats.org/officeDocument/2006/relationships/image" Target="media/image1016.png"/><Relationship Id="rId1084" Type="http://schemas.openxmlformats.org/officeDocument/2006/relationships/image" Target="media/image1017.png"/><Relationship Id="rId1085" Type="http://schemas.openxmlformats.org/officeDocument/2006/relationships/image" Target="media/image1018.png"/><Relationship Id="rId1086" Type="http://schemas.openxmlformats.org/officeDocument/2006/relationships/image" Target="media/image1019.png"/><Relationship Id="rId1087" Type="http://schemas.openxmlformats.org/officeDocument/2006/relationships/image" Target="media/image1020.png"/><Relationship Id="rId1088" Type="http://schemas.openxmlformats.org/officeDocument/2006/relationships/image" Target="media/image1021.png"/><Relationship Id="rId1089" Type="http://schemas.openxmlformats.org/officeDocument/2006/relationships/image" Target="media/image1022.png"/><Relationship Id="rId1090" Type="http://schemas.openxmlformats.org/officeDocument/2006/relationships/image" Target="media/image1023.png"/><Relationship Id="rId1091" Type="http://schemas.openxmlformats.org/officeDocument/2006/relationships/image" Target="media/image1024.png"/><Relationship Id="rId1092" Type="http://schemas.openxmlformats.org/officeDocument/2006/relationships/image" Target="media/image1025.png"/><Relationship Id="rId1093" Type="http://schemas.openxmlformats.org/officeDocument/2006/relationships/image" Target="media/image1026.png"/><Relationship Id="rId1094" Type="http://schemas.openxmlformats.org/officeDocument/2006/relationships/image" Target="media/image1027.png"/><Relationship Id="rId1095" Type="http://schemas.openxmlformats.org/officeDocument/2006/relationships/image" Target="media/image1028.png"/><Relationship Id="rId1096" Type="http://schemas.openxmlformats.org/officeDocument/2006/relationships/image" Target="media/image1029.png"/><Relationship Id="rId1097" Type="http://schemas.openxmlformats.org/officeDocument/2006/relationships/image" Target="media/image1030.png"/><Relationship Id="rId1098" Type="http://schemas.openxmlformats.org/officeDocument/2006/relationships/image" Target="media/image1031.png"/><Relationship Id="rId1099" Type="http://schemas.openxmlformats.org/officeDocument/2006/relationships/image" Target="media/image1032.png"/><Relationship Id="rId1100" Type="http://schemas.openxmlformats.org/officeDocument/2006/relationships/image" Target="media/image1033.png"/><Relationship Id="rId1101" Type="http://schemas.openxmlformats.org/officeDocument/2006/relationships/image" Target="media/image1034.png"/><Relationship Id="rId1102" Type="http://schemas.openxmlformats.org/officeDocument/2006/relationships/image" Target="media/image1035.png"/><Relationship Id="rId1103" Type="http://schemas.openxmlformats.org/officeDocument/2006/relationships/image" Target="media/image1036.png"/><Relationship Id="rId1104" Type="http://schemas.openxmlformats.org/officeDocument/2006/relationships/image" Target="media/image1037.png"/><Relationship Id="rId1105" Type="http://schemas.openxmlformats.org/officeDocument/2006/relationships/image" Target="media/image1038.png"/><Relationship Id="rId1106" Type="http://schemas.openxmlformats.org/officeDocument/2006/relationships/image" Target="media/image1039.png"/><Relationship Id="rId1107" Type="http://schemas.openxmlformats.org/officeDocument/2006/relationships/image" Target="media/image1040.png"/><Relationship Id="rId1108" Type="http://schemas.openxmlformats.org/officeDocument/2006/relationships/image" Target="media/image1041.png"/><Relationship Id="rId1109" Type="http://schemas.openxmlformats.org/officeDocument/2006/relationships/image" Target="media/image1042.png"/><Relationship Id="rId1110" Type="http://schemas.openxmlformats.org/officeDocument/2006/relationships/image" Target="media/image1043.png"/><Relationship Id="rId1111" Type="http://schemas.openxmlformats.org/officeDocument/2006/relationships/image" Target="media/image1044.png"/><Relationship Id="rId1112" Type="http://schemas.openxmlformats.org/officeDocument/2006/relationships/image" Target="media/image1045.png"/><Relationship Id="rId1113" Type="http://schemas.openxmlformats.org/officeDocument/2006/relationships/image" Target="media/image1046.png"/><Relationship Id="rId1114" Type="http://schemas.openxmlformats.org/officeDocument/2006/relationships/image" Target="media/image1047.png"/><Relationship Id="rId1115" Type="http://schemas.openxmlformats.org/officeDocument/2006/relationships/image" Target="media/image1048.png"/><Relationship Id="rId1116" Type="http://schemas.openxmlformats.org/officeDocument/2006/relationships/image" Target="media/image1049.png"/><Relationship Id="rId1117" Type="http://schemas.openxmlformats.org/officeDocument/2006/relationships/image" Target="media/image1050.png"/><Relationship Id="rId1118" Type="http://schemas.openxmlformats.org/officeDocument/2006/relationships/image" Target="media/image1051.png"/><Relationship Id="rId1119" Type="http://schemas.openxmlformats.org/officeDocument/2006/relationships/image" Target="media/image1052.png"/><Relationship Id="rId1120" Type="http://schemas.openxmlformats.org/officeDocument/2006/relationships/image" Target="media/image1053.png"/><Relationship Id="rId1121" Type="http://schemas.openxmlformats.org/officeDocument/2006/relationships/image" Target="media/image1054.png"/><Relationship Id="rId1122" Type="http://schemas.openxmlformats.org/officeDocument/2006/relationships/image" Target="media/image1055.png"/><Relationship Id="rId1123" Type="http://schemas.openxmlformats.org/officeDocument/2006/relationships/image" Target="media/image1056.png"/><Relationship Id="rId1124" Type="http://schemas.openxmlformats.org/officeDocument/2006/relationships/image" Target="media/image1057.png"/><Relationship Id="rId1125" Type="http://schemas.openxmlformats.org/officeDocument/2006/relationships/image" Target="media/image1058.png"/><Relationship Id="rId1126" Type="http://schemas.openxmlformats.org/officeDocument/2006/relationships/image" Target="media/image1059.png"/><Relationship Id="rId1127" Type="http://schemas.openxmlformats.org/officeDocument/2006/relationships/image" Target="media/image1060.png"/><Relationship Id="rId1128" Type="http://schemas.openxmlformats.org/officeDocument/2006/relationships/image" Target="media/image1061.png"/><Relationship Id="rId1129" Type="http://schemas.openxmlformats.org/officeDocument/2006/relationships/image" Target="media/image1062.png"/><Relationship Id="rId1130" Type="http://schemas.openxmlformats.org/officeDocument/2006/relationships/image" Target="media/image1063.png"/><Relationship Id="rId1131" Type="http://schemas.openxmlformats.org/officeDocument/2006/relationships/image" Target="media/image1064.png"/><Relationship Id="rId1132" Type="http://schemas.openxmlformats.org/officeDocument/2006/relationships/image" Target="media/image1065.png"/><Relationship Id="rId1133" Type="http://schemas.openxmlformats.org/officeDocument/2006/relationships/image" Target="media/image1066.png"/><Relationship Id="rId1134" Type="http://schemas.openxmlformats.org/officeDocument/2006/relationships/image" Target="media/image1067.png"/><Relationship Id="rId1135" Type="http://schemas.openxmlformats.org/officeDocument/2006/relationships/image" Target="media/image1068.png"/><Relationship Id="rId1136" Type="http://schemas.openxmlformats.org/officeDocument/2006/relationships/image" Target="media/image1069.png"/><Relationship Id="rId1137" Type="http://schemas.openxmlformats.org/officeDocument/2006/relationships/image" Target="media/image1070.png"/><Relationship Id="rId1138" Type="http://schemas.openxmlformats.org/officeDocument/2006/relationships/image" Target="media/image1071.png"/><Relationship Id="rId1139" Type="http://schemas.openxmlformats.org/officeDocument/2006/relationships/image" Target="media/image1072.png"/><Relationship Id="rId1140" Type="http://schemas.openxmlformats.org/officeDocument/2006/relationships/image" Target="media/image1073.png"/><Relationship Id="rId1141" Type="http://schemas.openxmlformats.org/officeDocument/2006/relationships/image" Target="media/image1074.png"/><Relationship Id="rId1142" Type="http://schemas.openxmlformats.org/officeDocument/2006/relationships/image" Target="media/image1075.png"/><Relationship Id="rId1143" Type="http://schemas.openxmlformats.org/officeDocument/2006/relationships/image" Target="media/image1076.png"/><Relationship Id="rId1144" Type="http://schemas.openxmlformats.org/officeDocument/2006/relationships/image" Target="media/image1077.png"/><Relationship Id="rId1145" Type="http://schemas.openxmlformats.org/officeDocument/2006/relationships/image" Target="media/image1078.png"/><Relationship Id="rId1146" Type="http://schemas.openxmlformats.org/officeDocument/2006/relationships/image" Target="media/image1079.png"/><Relationship Id="rId1147" Type="http://schemas.openxmlformats.org/officeDocument/2006/relationships/image" Target="media/image1080.png"/><Relationship Id="rId1148" Type="http://schemas.openxmlformats.org/officeDocument/2006/relationships/image" Target="media/image1081.png"/><Relationship Id="rId1149" Type="http://schemas.openxmlformats.org/officeDocument/2006/relationships/image" Target="media/image1082.png"/><Relationship Id="rId1150" Type="http://schemas.openxmlformats.org/officeDocument/2006/relationships/image" Target="media/image1083.png"/><Relationship Id="rId1151" Type="http://schemas.openxmlformats.org/officeDocument/2006/relationships/image" Target="media/image1084.png"/><Relationship Id="rId1152" Type="http://schemas.openxmlformats.org/officeDocument/2006/relationships/image" Target="media/image1085.png"/><Relationship Id="rId1153" Type="http://schemas.openxmlformats.org/officeDocument/2006/relationships/image" Target="media/image1086.png"/><Relationship Id="rId1154" Type="http://schemas.openxmlformats.org/officeDocument/2006/relationships/image" Target="media/image1087.png"/><Relationship Id="rId1155" Type="http://schemas.openxmlformats.org/officeDocument/2006/relationships/image" Target="media/image1088.png"/><Relationship Id="rId1156" Type="http://schemas.openxmlformats.org/officeDocument/2006/relationships/image" Target="media/image1089.png"/><Relationship Id="rId1157" Type="http://schemas.openxmlformats.org/officeDocument/2006/relationships/image" Target="media/image1090.png"/><Relationship Id="rId1158" Type="http://schemas.openxmlformats.org/officeDocument/2006/relationships/image" Target="media/image1091.png"/><Relationship Id="rId1159" Type="http://schemas.openxmlformats.org/officeDocument/2006/relationships/image" Target="media/image1092.png"/><Relationship Id="rId1160" Type="http://schemas.openxmlformats.org/officeDocument/2006/relationships/image" Target="media/image1093.png"/><Relationship Id="rId1161" Type="http://schemas.openxmlformats.org/officeDocument/2006/relationships/image" Target="media/image1094.png"/><Relationship Id="rId1162" Type="http://schemas.openxmlformats.org/officeDocument/2006/relationships/image" Target="media/image1095.png"/><Relationship Id="rId1163" Type="http://schemas.openxmlformats.org/officeDocument/2006/relationships/image" Target="media/image1096.png"/><Relationship Id="rId1164" Type="http://schemas.openxmlformats.org/officeDocument/2006/relationships/image" Target="media/image1097.png"/><Relationship Id="rId1165" Type="http://schemas.openxmlformats.org/officeDocument/2006/relationships/image" Target="media/image1098.png"/><Relationship Id="rId1166" Type="http://schemas.openxmlformats.org/officeDocument/2006/relationships/image" Target="media/image1099.png"/><Relationship Id="rId1167" Type="http://schemas.openxmlformats.org/officeDocument/2006/relationships/image" Target="media/image1100.png"/><Relationship Id="rId1168" Type="http://schemas.openxmlformats.org/officeDocument/2006/relationships/image" Target="media/image1101.png"/><Relationship Id="rId1169" Type="http://schemas.openxmlformats.org/officeDocument/2006/relationships/image" Target="media/image1102.png"/><Relationship Id="rId1170" Type="http://schemas.openxmlformats.org/officeDocument/2006/relationships/image" Target="media/image1103.png"/><Relationship Id="rId1171" Type="http://schemas.openxmlformats.org/officeDocument/2006/relationships/image" Target="media/image1104.png"/><Relationship Id="rId1172" Type="http://schemas.openxmlformats.org/officeDocument/2006/relationships/image" Target="media/image1105.png"/><Relationship Id="rId1173" Type="http://schemas.openxmlformats.org/officeDocument/2006/relationships/image" Target="media/image1106.png"/><Relationship Id="rId1174" Type="http://schemas.openxmlformats.org/officeDocument/2006/relationships/image" Target="media/image1107.png"/><Relationship Id="rId1175" Type="http://schemas.openxmlformats.org/officeDocument/2006/relationships/image" Target="media/image1108.png"/><Relationship Id="rId1176" Type="http://schemas.openxmlformats.org/officeDocument/2006/relationships/image" Target="media/image1109.png"/><Relationship Id="rId1177" Type="http://schemas.openxmlformats.org/officeDocument/2006/relationships/image" Target="media/image1110.png"/><Relationship Id="rId1178" Type="http://schemas.openxmlformats.org/officeDocument/2006/relationships/image" Target="media/image1111.png"/><Relationship Id="rId1179" Type="http://schemas.openxmlformats.org/officeDocument/2006/relationships/image" Target="media/image1112.png"/><Relationship Id="rId1180" Type="http://schemas.openxmlformats.org/officeDocument/2006/relationships/image" Target="media/image1113.png"/><Relationship Id="rId1181" Type="http://schemas.openxmlformats.org/officeDocument/2006/relationships/image" Target="media/image1114.png"/><Relationship Id="rId1182" Type="http://schemas.openxmlformats.org/officeDocument/2006/relationships/image" Target="media/image1115.png"/><Relationship Id="rId1183" Type="http://schemas.openxmlformats.org/officeDocument/2006/relationships/image" Target="media/image1116.png"/><Relationship Id="rId1184" Type="http://schemas.openxmlformats.org/officeDocument/2006/relationships/image" Target="media/image1117.png"/><Relationship Id="rId1185" Type="http://schemas.openxmlformats.org/officeDocument/2006/relationships/image" Target="media/image1118.png"/><Relationship Id="rId1186" Type="http://schemas.openxmlformats.org/officeDocument/2006/relationships/image" Target="media/image1119.png"/><Relationship Id="rId1187" Type="http://schemas.openxmlformats.org/officeDocument/2006/relationships/image" Target="media/image1120.png"/><Relationship Id="rId1188" Type="http://schemas.openxmlformats.org/officeDocument/2006/relationships/image" Target="media/image1121.png"/><Relationship Id="rId1189" Type="http://schemas.openxmlformats.org/officeDocument/2006/relationships/image" Target="media/image1122.png"/><Relationship Id="rId1190" Type="http://schemas.openxmlformats.org/officeDocument/2006/relationships/image" Target="media/image1123.png"/><Relationship Id="rId1191" Type="http://schemas.openxmlformats.org/officeDocument/2006/relationships/image" Target="media/image1124.png"/><Relationship Id="rId1192" Type="http://schemas.openxmlformats.org/officeDocument/2006/relationships/image" Target="media/image1125.png"/><Relationship Id="rId1193" Type="http://schemas.openxmlformats.org/officeDocument/2006/relationships/image" Target="media/image1126.png"/><Relationship Id="rId1194" Type="http://schemas.openxmlformats.org/officeDocument/2006/relationships/image" Target="media/image1127.png"/><Relationship Id="rId1195" Type="http://schemas.openxmlformats.org/officeDocument/2006/relationships/image" Target="media/image1128.png"/><Relationship Id="rId1196" Type="http://schemas.openxmlformats.org/officeDocument/2006/relationships/image" Target="media/image1129.png"/><Relationship Id="rId1197" Type="http://schemas.openxmlformats.org/officeDocument/2006/relationships/image" Target="media/image1130.png"/><Relationship Id="rId1198" Type="http://schemas.openxmlformats.org/officeDocument/2006/relationships/image" Target="media/image1131.png"/><Relationship Id="rId1199" Type="http://schemas.openxmlformats.org/officeDocument/2006/relationships/image" Target="media/image1132.png"/><Relationship Id="rId1200" Type="http://schemas.openxmlformats.org/officeDocument/2006/relationships/image" Target="media/image1133.png"/><Relationship Id="rId1201" Type="http://schemas.openxmlformats.org/officeDocument/2006/relationships/image" Target="media/image1134.png"/><Relationship Id="rId1202" Type="http://schemas.openxmlformats.org/officeDocument/2006/relationships/image" Target="media/image1135.png"/><Relationship Id="rId1203" Type="http://schemas.openxmlformats.org/officeDocument/2006/relationships/image" Target="media/image1136.png"/><Relationship Id="rId1204" Type="http://schemas.openxmlformats.org/officeDocument/2006/relationships/image" Target="media/image1137.png"/><Relationship Id="rId1205" Type="http://schemas.openxmlformats.org/officeDocument/2006/relationships/image" Target="media/image1138.png"/><Relationship Id="rId1206" Type="http://schemas.openxmlformats.org/officeDocument/2006/relationships/image" Target="media/image1139.png"/><Relationship Id="rId1207" Type="http://schemas.openxmlformats.org/officeDocument/2006/relationships/image" Target="media/image1140.png"/><Relationship Id="rId1208" Type="http://schemas.openxmlformats.org/officeDocument/2006/relationships/image" Target="media/image1141.png"/><Relationship Id="rId1209" Type="http://schemas.openxmlformats.org/officeDocument/2006/relationships/image" Target="media/image1142.png"/><Relationship Id="rId1210" Type="http://schemas.openxmlformats.org/officeDocument/2006/relationships/image" Target="media/image1143.png"/><Relationship Id="rId1211" Type="http://schemas.openxmlformats.org/officeDocument/2006/relationships/image" Target="media/image1144.png"/><Relationship Id="rId1212" Type="http://schemas.openxmlformats.org/officeDocument/2006/relationships/image" Target="media/image1145.png"/><Relationship Id="rId1213" Type="http://schemas.openxmlformats.org/officeDocument/2006/relationships/image" Target="media/image1146.png"/><Relationship Id="rId1214" Type="http://schemas.openxmlformats.org/officeDocument/2006/relationships/image" Target="media/image1147.png"/><Relationship Id="rId1215" Type="http://schemas.openxmlformats.org/officeDocument/2006/relationships/image" Target="media/image1148.png"/><Relationship Id="rId1216" Type="http://schemas.openxmlformats.org/officeDocument/2006/relationships/image" Target="media/image1149.png"/><Relationship Id="rId1217" Type="http://schemas.openxmlformats.org/officeDocument/2006/relationships/image" Target="media/image1150.png"/><Relationship Id="rId1218" Type="http://schemas.openxmlformats.org/officeDocument/2006/relationships/image" Target="media/image1151.png"/><Relationship Id="rId1219" Type="http://schemas.openxmlformats.org/officeDocument/2006/relationships/image" Target="media/image1152.png"/><Relationship Id="rId1220" Type="http://schemas.openxmlformats.org/officeDocument/2006/relationships/image" Target="media/image1153.png"/><Relationship Id="rId1221" Type="http://schemas.openxmlformats.org/officeDocument/2006/relationships/image" Target="media/image1154.png"/><Relationship Id="rId1222" Type="http://schemas.openxmlformats.org/officeDocument/2006/relationships/image" Target="media/image1155.png"/><Relationship Id="rId1223" Type="http://schemas.openxmlformats.org/officeDocument/2006/relationships/image" Target="media/image1156.png"/><Relationship Id="rId1224" Type="http://schemas.openxmlformats.org/officeDocument/2006/relationships/image" Target="media/image1157.png"/><Relationship Id="rId1225" Type="http://schemas.openxmlformats.org/officeDocument/2006/relationships/image" Target="media/image1158.png"/><Relationship Id="rId1226" Type="http://schemas.openxmlformats.org/officeDocument/2006/relationships/image" Target="media/image1159.png"/><Relationship Id="rId1227" Type="http://schemas.openxmlformats.org/officeDocument/2006/relationships/image" Target="media/image1160.png"/><Relationship Id="rId1228" Type="http://schemas.openxmlformats.org/officeDocument/2006/relationships/image" Target="media/image1161.png"/><Relationship Id="rId1229" Type="http://schemas.openxmlformats.org/officeDocument/2006/relationships/image" Target="media/image1162.png"/><Relationship Id="rId1230" Type="http://schemas.openxmlformats.org/officeDocument/2006/relationships/image" Target="media/image1163.png"/><Relationship Id="rId1231" Type="http://schemas.openxmlformats.org/officeDocument/2006/relationships/image" Target="media/image1164.png"/><Relationship Id="rId1232" Type="http://schemas.openxmlformats.org/officeDocument/2006/relationships/image" Target="media/image1165.png"/><Relationship Id="rId1233" Type="http://schemas.openxmlformats.org/officeDocument/2006/relationships/image" Target="media/image1166.png"/><Relationship Id="rId1234" Type="http://schemas.openxmlformats.org/officeDocument/2006/relationships/image" Target="media/image1167.png"/><Relationship Id="rId1235" Type="http://schemas.openxmlformats.org/officeDocument/2006/relationships/image" Target="media/image1168.png"/><Relationship Id="rId1236" Type="http://schemas.openxmlformats.org/officeDocument/2006/relationships/image" Target="media/image1169.png"/><Relationship Id="rId1237" Type="http://schemas.openxmlformats.org/officeDocument/2006/relationships/image" Target="media/image1170.png"/><Relationship Id="rId1238" Type="http://schemas.openxmlformats.org/officeDocument/2006/relationships/image" Target="media/image1171.png"/><Relationship Id="rId1239" Type="http://schemas.openxmlformats.org/officeDocument/2006/relationships/image" Target="media/image1172.png"/><Relationship Id="rId1240" Type="http://schemas.openxmlformats.org/officeDocument/2006/relationships/image" Target="media/image1173.png"/><Relationship Id="rId1241" Type="http://schemas.openxmlformats.org/officeDocument/2006/relationships/image" Target="media/image1174.png"/><Relationship Id="rId1242" Type="http://schemas.openxmlformats.org/officeDocument/2006/relationships/image" Target="media/image1175.png"/><Relationship Id="rId1243" Type="http://schemas.openxmlformats.org/officeDocument/2006/relationships/image" Target="media/image1176.png"/><Relationship Id="rId1244" Type="http://schemas.openxmlformats.org/officeDocument/2006/relationships/image" Target="media/image1177.png"/><Relationship Id="rId1245" Type="http://schemas.openxmlformats.org/officeDocument/2006/relationships/image" Target="media/image1178.png"/><Relationship Id="rId1246" Type="http://schemas.openxmlformats.org/officeDocument/2006/relationships/image" Target="media/image1179.png"/><Relationship Id="rId1247" Type="http://schemas.openxmlformats.org/officeDocument/2006/relationships/image" Target="media/image1180.png"/><Relationship Id="rId1248" Type="http://schemas.openxmlformats.org/officeDocument/2006/relationships/image" Target="media/image1181.png"/><Relationship Id="rId1249" Type="http://schemas.openxmlformats.org/officeDocument/2006/relationships/image" Target="media/image1182.png"/><Relationship Id="rId1250" Type="http://schemas.openxmlformats.org/officeDocument/2006/relationships/image" Target="media/image1183.png"/><Relationship Id="rId1251" Type="http://schemas.openxmlformats.org/officeDocument/2006/relationships/image" Target="media/image1184.png"/><Relationship Id="rId1252" Type="http://schemas.openxmlformats.org/officeDocument/2006/relationships/image" Target="media/image1185.png"/><Relationship Id="rId1253" Type="http://schemas.openxmlformats.org/officeDocument/2006/relationships/image" Target="media/image1186.png"/><Relationship Id="rId1254" Type="http://schemas.openxmlformats.org/officeDocument/2006/relationships/image" Target="media/image1187.png"/><Relationship Id="rId1255" Type="http://schemas.openxmlformats.org/officeDocument/2006/relationships/image" Target="media/image1188.png"/><Relationship Id="rId1256" Type="http://schemas.openxmlformats.org/officeDocument/2006/relationships/image" Target="media/image1189.png"/><Relationship Id="rId1257" Type="http://schemas.openxmlformats.org/officeDocument/2006/relationships/image" Target="media/image1190.png"/><Relationship Id="rId1258" Type="http://schemas.openxmlformats.org/officeDocument/2006/relationships/image" Target="media/image1191.png"/><Relationship Id="rId1259" Type="http://schemas.openxmlformats.org/officeDocument/2006/relationships/image" Target="media/image1192.png"/><Relationship Id="rId1260" Type="http://schemas.openxmlformats.org/officeDocument/2006/relationships/image" Target="media/image1193.png"/><Relationship Id="rId1261" Type="http://schemas.openxmlformats.org/officeDocument/2006/relationships/image" Target="media/image1194.png"/><Relationship Id="rId1262" Type="http://schemas.openxmlformats.org/officeDocument/2006/relationships/image" Target="media/image1195.png"/><Relationship Id="rId1263" Type="http://schemas.openxmlformats.org/officeDocument/2006/relationships/image" Target="media/image1196.png"/><Relationship Id="rId1264" Type="http://schemas.openxmlformats.org/officeDocument/2006/relationships/image" Target="media/image1197.png"/><Relationship Id="rId1265" Type="http://schemas.openxmlformats.org/officeDocument/2006/relationships/image" Target="media/image1198.png"/><Relationship Id="rId1266" Type="http://schemas.openxmlformats.org/officeDocument/2006/relationships/image" Target="media/image1199.png"/><Relationship Id="rId1267" Type="http://schemas.openxmlformats.org/officeDocument/2006/relationships/image" Target="media/image1200.png"/><Relationship Id="rId1268" Type="http://schemas.openxmlformats.org/officeDocument/2006/relationships/image" Target="media/image1201.png"/><Relationship Id="rId1269" Type="http://schemas.openxmlformats.org/officeDocument/2006/relationships/image" Target="media/image1202.png"/><Relationship Id="rId1270" Type="http://schemas.openxmlformats.org/officeDocument/2006/relationships/image" Target="media/image1203.png"/><Relationship Id="rId1271" Type="http://schemas.openxmlformats.org/officeDocument/2006/relationships/image" Target="media/image1204.png"/><Relationship Id="rId1272" Type="http://schemas.openxmlformats.org/officeDocument/2006/relationships/image" Target="media/image1205.png"/><Relationship Id="rId1273" Type="http://schemas.openxmlformats.org/officeDocument/2006/relationships/image" Target="media/image1206.png"/><Relationship Id="rId1274" Type="http://schemas.openxmlformats.org/officeDocument/2006/relationships/image" Target="media/image1207.png"/><Relationship Id="rId1275" Type="http://schemas.openxmlformats.org/officeDocument/2006/relationships/image" Target="media/image1208.png"/><Relationship Id="rId1276" Type="http://schemas.openxmlformats.org/officeDocument/2006/relationships/image" Target="media/image1209.png"/><Relationship Id="rId1277" Type="http://schemas.openxmlformats.org/officeDocument/2006/relationships/image" Target="media/image1210.png"/><Relationship Id="rId1278" Type="http://schemas.openxmlformats.org/officeDocument/2006/relationships/image" Target="media/image1211.png"/><Relationship Id="rId1279" Type="http://schemas.openxmlformats.org/officeDocument/2006/relationships/image" Target="media/image1212.png"/><Relationship Id="rId1280" Type="http://schemas.openxmlformats.org/officeDocument/2006/relationships/image" Target="media/image1213.png"/><Relationship Id="rId1281" Type="http://schemas.openxmlformats.org/officeDocument/2006/relationships/image" Target="media/image1214.png"/><Relationship Id="rId1282" Type="http://schemas.openxmlformats.org/officeDocument/2006/relationships/image" Target="media/image1215.png"/><Relationship Id="rId1283" Type="http://schemas.openxmlformats.org/officeDocument/2006/relationships/image" Target="media/image1216.png"/><Relationship Id="rId1284" Type="http://schemas.openxmlformats.org/officeDocument/2006/relationships/image" Target="media/image1217.png"/><Relationship Id="rId1285" Type="http://schemas.openxmlformats.org/officeDocument/2006/relationships/image" Target="media/image1218.png"/><Relationship Id="rId1286" Type="http://schemas.openxmlformats.org/officeDocument/2006/relationships/image" Target="media/image1219.png"/><Relationship Id="rId1287" Type="http://schemas.openxmlformats.org/officeDocument/2006/relationships/image" Target="media/image1220.png"/><Relationship Id="rId1288" Type="http://schemas.openxmlformats.org/officeDocument/2006/relationships/image" Target="media/image1221.png"/><Relationship Id="rId1289" Type="http://schemas.openxmlformats.org/officeDocument/2006/relationships/image" Target="media/image1222.png"/><Relationship Id="rId1290" Type="http://schemas.openxmlformats.org/officeDocument/2006/relationships/image" Target="media/image1223.png"/><Relationship Id="rId1291" Type="http://schemas.openxmlformats.org/officeDocument/2006/relationships/image" Target="media/image1224.png"/><Relationship Id="rId1292" Type="http://schemas.openxmlformats.org/officeDocument/2006/relationships/image" Target="media/image1225.png"/><Relationship Id="rId1293" Type="http://schemas.openxmlformats.org/officeDocument/2006/relationships/image" Target="media/image1226.png"/><Relationship Id="rId1294" Type="http://schemas.openxmlformats.org/officeDocument/2006/relationships/image" Target="media/image1227.png"/><Relationship Id="rId1295" Type="http://schemas.openxmlformats.org/officeDocument/2006/relationships/image" Target="media/image1228.png"/><Relationship Id="rId1296" Type="http://schemas.openxmlformats.org/officeDocument/2006/relationships/image" Target="media/image1229.png"/><Relationship Id="rId1297" Type="http://schemas.openxmlformats.org/officeDocument/2006/relationships/image" Target="media/image1230.png"/><Relationship Id="rId1298" Type="http://schemas.openxmlformats.org/officeDocument/2006/relationships/image" Target="media/image1231.png"/><Relationship Id="rId1299" Type="http://schemas.openxmlformats.org/officeDocument/2006/relationships/image" Target="media/image1232.png"/><Relationship Id="rId1300" Type="http://schemas.openxmlformats.org/officeDocument/2006/relationships/image" Target="media/image1233.png"/><Relationship Id="rId1301" Type="http://schemas.openxmlformats.org/officeDocument/2006/relationships/image" Target="media/image1234.png"/><Relationship Id="rId1302" Type="http://schemas.openxmlformats.org/officeDocument/2006/relationships/image" Target="media/image1235.png"/><Relationship Id="rId1303" Type="http://schemas.openxmlformats.org/officeDocument/2006/relationships/image" Target="media/image1236.png"/><Relationship Id="rId1304" Type="http://schemas.openxmlformats.org/officeDocument/2006/relationships/image" Target="media/image1237.png"/><Relationship Id="rId1305" Type="http://schemas.openxmlformats.org/officeDocument/2006/relationships/image" Target="media/image1238.png"/><Relationship Id="rId1306" Type="http://schemas.openxmlformats.org/officeDocument/2006/relationships/image" Target="media/image1239.png"/><Relationship Id="rId1307" Type="http://schemas.openxmlformats.org/officeDocument/2006/relationships/image" Target="media/image1240.png"/><Relationship Id="rId1308" Type="http://schemas.openxmlformats.org/officeDocument/2006/relationships/image" Target="media/image1241.png"/><Relationship Id="rId1309" Type="http://schemas.openxmlformats.org/officeDocument/2006/relationships/image" Target="media/image1242.png"/><Relationship Id="rId1310" Type="http://schemas.openxmlformats.org/officeDocument/2006/relationships/image" Target="media/image1243.png"/><Relationship Id="rId1311" Type="http://schemas.openxmlformats.org/officeDocument/2006/relationships/image" Target="media/image1244.png"/><Relationship Id="rId1312" Type="http://schemas.openxmlformats.org/officeDocument/2006/relationships/image" Target="media/image1245.png"/><Relationship Id="rId1313" Type="http://schemas.openxmlformats.org/officeDocument/2006/relationships/image" Target="media/image1246.png"/><Relationship Id="rId1314" Type="http://schemas.openxmlformats.org/officeDocument/2006/relationships/image" Target="media/image1247.png"/><Relationship Id="rId1315" Type="http://schemas.openxmlformats.org/officeDocument/2006/relationships/image" Target="media/image1248.png"/><Relationship Id="rId1316" Type="http://schemas.openxmlformats.org/officeDocument/2006/relationships/image" Target="media/image1249.png"/><Relationship Id="rId1317" Type="http://schemas.openxmlformats.org/officeDocument/2006/relationships/image" Target="media/image1250.png"/><Relationship Id="rId1318" Type="http://schemas.openxmlformats.org/officeDocument/2006/relationships/image" Target="media/image1251.png"/><Relationship Id="rId1319" Type="http://schemas.openxmlformats.org/officeDocument/2006/relationships/image" Target="media/image1252.png"/><Relationship Id="rId1320" Type="http://schemas.openxmlformats.org/officeDocument/2006/relationships/image" Target="media/image1253.png"/><Relationship Id="rId1321" Type="http://schemas.openxmlformats.org/officeDocument/2006/relationships/image" Target="media/image1254.png"/><Relationship Id="rId1322" Type="http://schemas.openxmlformats.org/officeDocument/2006/relationships/image" Target="media/image1255.png"/><Relationship Id="rId1323" Type="http://schemas.openxmlformats.org/officeDocument/2006/relationships/image" Target="media/image1256.png"/><Relationship Id="rId1324" Type="http://schemas.openxmlformats.org/officeDocument/2006/relationships/image" Target="media/image1257.png"/><Relationship Id="rId1325" Type="http://schemas.openxmlformats.org/officeDocument/2006/relationships/image" Target="media/image1258.png"/><Relationship Id="rId1326" Type="http://schemas.openxmlformats.org/officeDocument/2006/relationships/image" Target="media/image1259.png"/><Relationship Id="rId1327" Type="http://schemas.openxmlformats.org/officeDocument/2006/relationships/image" Target="media/image1260.png"/><Relationship Id="rId1328" Type="http://schemas.openxmlformats.org/officeDocument/2006/relationships/image" Target="media/image1261.png"/><Relationship Id="rId1329" Type="http://schemas.openxmlformats.org/officeDocument/2006/relationships/image" Target="media/image1262.png"/><Relationship Id="rId1330" Type="http://schemas.openxmlformats.org/officeDocument/2006/relationships/image" Target="media/image1263.png"/><Relationship Id="rId1331" Type="http://schemas.openxmlformats.org/officeDocument/2006/relationships/image" Target="media/image1264.png"/><Relationship Id="rId1332" Type="http://schemas.openxmlformats.org/officeDocument/2006/relationships/image" Target="media/image1265.png"/><Relationship Id="rId1333" Type="http://schemas.openxmlformats.org/officeDocument/2006/relationships/image" Target="media/image1266.png"/><Relationship Id="rId1334" Type="http://schemas.openxmlformats.org/officeDocument/2006/relationships/image" Target="media/image1267.png"/><Relationship Id="rId1335" Type="http://schemas.openxmlformats.org/officeDocument/2006/relationships/image" Target="media/image1268.png"/><Relationship Id="rId1336" Type="http://schemas.openxmlformats.org/officeDocument/2006/relationships/image" Target="media/image1269.png"/><Relationship Id="rId1337" Type="http://schemas.openxmlformats.org/officeDocument/2006/relationships/image" Target="media/image1270.png"/><Relationship Id="rId1338" Type="http://schemas.openxmlformats.org/officeDocument/2006/relationships/image" Target="media/image1271.png"/><Relationship Id="rId1339" Type="http://schemas.openxmlformats.org/officeDocument/2006/relationships/image" Target="media/image1272.png"/><Relationship Id="rId1340" Type="http://schemas.openxmlformats.org/officeDocument/2006/relationships/image" Target="media/image1273.png"/><Relationship Id="rId1341" Type="http://schemas.openxmlformats.org/officeDocument/2006/relationships/image" Target="media/image1274.png"/><Relationship Id="rId1342" Type="http://schemas.openxmlformats.org/officeDocument/2006/relationships/image" Target="media/image1275.png"/><Relationship Id="rId1343" Type="http://schemas.openxmlformats.org/officeDocument/2006/relationships/image" Target="media/image1276.png"/><Relationship Id="rId1344" Type="http://schemas.openxmlformats.org/officeDocument/2006/relationships/image" Target="media/image1277.png"/><Relationship Id="rId1345" Type="http://schemas.openxmlformats.org/officeDocument/2006/relationships/image" Target="media/image1278.png"/><Relationship Id="rId1346" Type="http://schemas.openxmlformats.org/officeDocument/2006/relationships/image" Target="media/image1279.png"/><Relationship Id="rId1347" Type="http://schemas.openxmlformats.org/officeDocument/2006/relationships/image" Target="media/image1280.png"/><Relationship Id="rId1348" Type="http://schemas.openxmlformats.org/officeDocument/2006/relationships/image" Target="media/image1281.jpeg"/><Relationship Id="rId1349" Type="http://schemas.openxmlformats.org/officeDocument/2006/relationships/image" Target="media/image1282.png"/><Relationship Id="rId1350" Type="http://schemas.openxmlformats.org/officeDocument/2006/relationships/image" Target="media/image1283.jpeg"/><Relationship Id="rId1351" Type="http://schemas.openxmlformats.org/officeDocument/2006/relationships/image" Target="media/image1284.jpeg"/><Relationship Id="rId1352" Type="http://schemas.openxmlformats.org/officeDocument/2006/relationships/image" Target="media/image1285.jpeg"/><Relationship Id="rId1353" Type="http://schemas.openxmlformats.org/officeDocument/2006/relationships/image" Target="media/image1286.jpeg"/><Relationship Id="rId1354" Type="http://schemas.openxmlformats.org/officeDocument/2006/relationships/image" Target="media/image1287.jpeg"/><Relationship Id="rId1355" Type="http://schemas.openxmlformats.org/officeDocument/2006/relationships/image" Target="media/image1288.jpeg"/><Relationship Id="rId1356" Type="http://schemas.openxmlformats.org/officeDocument/2006/relationships/image" Target="media/image1289.jpeg"/><Relationship Id="rId1357" Type="http://schemas.openxmlformats.org/officeDocument/2006/relationships/image" Target="media/image1290.jpeg"/><Relationship Id="rId1358" Type="http://schemas.openxmlformats.org/officeDocument/2006/relationships/image" Target="media/image1291.jpeg"/><Relationship Id="rId1359" Type="http://schemas.openxmlformats.org/officeDocument/2006/relationships/image" Target="media/image1292.jpeg"/><Relationship Id="rId1360" Type="http://schemas.openxmlformats.org/officeDocument/2006/relationships/image" Target="media/image1293.jpeg"/><Relationship Id="rId1361" Type="http://schemas.openxmlformats.org/officeDocument/2006/relationships/image" Target="media/image1294.jpeg"/><Relationship Id="rId1362" Type="http://schemas.openxmlformats.org/officeDocument/2006/relationships/image" Target="media/image1295.jpeg"/><Relationship Id="rId1363" Type="http://schemas.openxmlformats.org/officeDocument/2006/relationships/image" Target="media/image1296.jpeg"/><Relationship Id="rId1364" Type="http://schemas.openxmlformats.org/officeDocument/2006/relationships/image" Target="media/image1297.jpeg"/><Relationship Id="rId1365" Type="http://schemas.openxmlformats.org/officeDocument/2006/relationships/image" Target="media/image1298.jpeg"/><Relationship Id="rId1366" Type="http://schemas.openxmlformats.org/officeDocument/2006/relationships/image" Target="media/image1299.jpeg"/><Relationship Id="rId1367" Type="http://schemas.openxmlformats.org/officeDocument/2006/relationships/image" Target="media/image1300.jpeg"/><Relationship Id="rId1368" Type="http://schemas.openxmlformats.org/officeDocument/2006/relationships/image" Target="media/image1301.jpeg"/><Relationship Id="rId1369" Type="http://schemas.openxmlformats.org/officeDocument/2006/relationships/image" Target="media/image1302.jpeg"/><Relationship Id="rId1370" Type="http://schemas.openxmlformats.org/officeDocument/2006/relationships/image" Target="media/image1303.jpeg"/><Relationship Id="rId1371" Type="http://schemas.openxmlformats.org/officeDocument/2006/relationships/image" Target="media/image1304.jpeg"/><Relationship Id="rId1372" Type="http://schemas.openxmlformats.org/officeDocument/2006/relationships/image" Target="media/image1305.jpeg"/><Relationship Id="rId1373" Type="http://schemas.openxmlformats.org/officeDocument/2006/relationships/image" Target="media/image1306.jpeg"/><Relationship Id="rId1374" Type="http://schemas.openxmlformats.org/officeDocument/2006/relationships/image" Target="media/image1307.jpeg"/><Relationship Id="rId1375" Type="http://schemas.openxmlformats.org/officeDocument/2006/relationships/image" Target="media/image1308.jpeg"/><Relationship Id="rId1376" Type="http://schemas.openxmlformats.org/officeDocument/2006/relationships/image" Target="media/image1309.jpeg"/><Relationship Id="rId1377" Type="http://schemas.openxmlformats.org/officeDocument/2006/relationships/image" Target="media/image1310.jpeg"/><Relationship Id="rId1378" Type="http://schemas.openxmlformats.org/officeDocument/2006/relationships/image" Target="media/image1311.jpeg"/><Relationship Id="rId1379" Type="http://schemas.openxmlformats.org/officeDocument/2006/relationships/image" Target="media/image1312.jpeg"/><Relationship Id="rId1380" Type="http://schemas.openxmlformats.org/officeDocument/2006/relationships/image" Target="media/image1313.jpeg"/><Relationship Id="rId1381" Type="http://schemas.openxmlformats.org/officeDocument/2006/relationships/image" Target="media/image1314.jpeg"/><Relationship Id="rId1382" Type="http://schemas.openxmlformats.org/officeDocument/2006/relationships/image" Target="media/image1315.jpeg"/><Relationship Id="rId1383" Type="http://schemas.openxmlformats.org/officeDocument/2006/relationships/image" Target="media/image1316.jpeg"/><Relationship Id="rId1384" Type="http://schemas.openxmlformats.org/officeDocument/2006/relationships/image" Target="media/image1317.jpeg"/><Relationship Id="rId1385" Type="http://schemas.openxmlformats.org/officeDocument/2006/relationships/image" Target="media/image1318.jpeg"/><Relationship Id="rId1386" Type="http://schemas.openxmlformats.org/officeDocument/2006/relationships/image" Target="media/image1319.jpeg"/><Relationship Id="rId1387" Type="http://schemas.openxmlformats.org/officeDocument/2006/relationships/image" Target="media/image1320.png"/><Relationship Id="rId1388" Type="http://schemas.openxmlformats.org/officeDocument/2006/relationships/image" Target="media/image1321.png"/><Relationship Id="rId1389" Type="http://schemas.openxmlformats.org/officeDocument/2006/relationships/image" Target="media/image1322.png"/><Relationship Id="rId1390" Type="http://schemas.openxmlformats.org/officeDocument/2006/relationships/image" Target="media/image1323.png"/><Relationship Id="rId1391" Type="http://schemas.openxmlformats.org/officeDocument/2006/relationships/image" Target="media/image1324.png"/><Relationship Id="rId1392" Type="http://schemas.openxmlformats.org/officeDocument/2006/relationships/image" Target="media/image1325.png"/><Relationship Id="rId1393" Type="http://schemas.openxmlformats.org/officeDocument/2006/relationships/image" Target="media/image1326.png"/><Relationship Id="rId1394" Type="http://schemas.openxmlformats.org/officeDocument/2006/relationships/image" Target="media/image1327.png"/><Relationship Id="rId1395" Type="http://schemas.openxmlformats.org/officeDocument/2006/relationships/image" Target="media/image1328.png"/><Relationship Id="rId1396" Type="http://schemas.openxmlformats.org/officeDocument/2006/relationships/image" Target="media/image1329.png"/><Relationship Id="rId1397" Type="http://schemas.openxmlformats.org/officeDocument/2006/relationships/image" Target="media/image1330.png"/><Relationship Id="rId1398" Type="http://schemas.openxmlformats.org/officeDocument/2006/relationships/image" Target="media/image1331.png"/><Relationship Id="rId1399" Type="http://schemas.openxmlformats.org/officeDocument/2006/relationships/image" Target="media/image1332.png"/><Relationship Id="rId1400" Type="http://schemas.openxmlformats.org/officeDocument/2006/relationships/image" Target="media/image1333.png"/><Relationship Id="rId1401" Type="http://schemas.openxmlformats.org/officeDocument/2006/relationships/image" Target="media/image1334.png"/><Relationship Id="rId1402" Type="http://schemas.openxmlformats.org/officeDocument/2006/relationships/image" Target="media/image1335.png"/><Relationship Id="rId1403" Type="http://schemas.openxmlformats.org/officeDocument/2006/relationships/image" Target="media/image1336.png"/><Relationship Id="rId1404" Type="http://schemas.openxmlformats.org/officeDocument/2006/relationships/image" Target="media/image1337.png"/><Relationship Id="rId1405" Type="http://schemas.openxmlformats.org/officeDocument/2006/relationships/image" Target="media/image1338.png"/><Relationship Id="rId1406" Type="http://schemas.openxmlformats.org/officeDocument/2006/relationships/image" Target="media/image1339.png"/><Relationship Id="rId1407" Type="http://schemas.openxmlformats.org/officeDocument/2006/relationships/image" Target="media/image1340.png"/><Relationship Id="rId1408" Type="http://schemas.openxmlformats.org/officeDocument/2006/relationships/image" Target="media/image1341.png"/><Relationship Id="rId1409" Type="http://schemas.openxmlformats.org/officeDocument/2006/relationships/image" Target="media/image1342.png"/><Relationship Id="rId1410" Type="http://schemas.openxmlformats.org/officeDocument/2006/relationships/image" Target="media/image1343.png"/><Relationship Id="rId1411" Type="http://schemas.openxmlformats.org/officeDocument/2006/relationships/image" Target="media/image1344.png"/><Relationship Id="rId1412" Type="http://schemas.openxmlformats.org/officeDocument/2006/relationships/image" Target="media/image1345.png"/><Relationship Id="rId1413" Type="http://schemas.openxmlformats.org/officeDocument/2006/relationships/image" Target="media/image1346.png"/><Relationship Id="rId1414" Type="http://schemas.openxmlformats.org/officeDocument/2006/relationships/image" Target="media/image1347.png"/><Relationship Id="rId1415" Type="http://schemas.openxmlformats.org/officeDocument/2006/relationships/image" Target="media/image1348.png"/><Relationship Id="rId1416" Type="http://schemas.openxmlformats.org/officeDocument/2006/relationships/image" Target="media/image1349.png"/><Relationship Id="rId1417" Type="http://schemas.openxmlformats.org/officeDocument/2006/relationships/image" Target="media/image1350.png"/><Relationship Id="rId1418" Type="http://schemas.openxmlformats.org/officeDocument/2006/relationships/image" Target="media/image1351.png"/><Relationship Id="rId1419" Type="http://schemas.openxmlformats.org/officeDocument/2006/relationships/image" Target="media/image1352.png"/><Relationship Id="rId1420" Type="http://schemas.openxmlformats.org/officeDocument/2006/relationships/image" Target="media/image1353.png"/><Relationship Id="rId1421" Type="http://schemas.openxmlformats.org/officeDocument/2006/relationships/image" Target="media/image1354.png"/><Relationship Id="rId1422" Type="http://schemas.openxmlformats.org/officeDocument/2006/relationships/image" Target="media/image1355.png"/><Relationship Id="rId1423" Type="http://schemas.openxmlformats.org/officeDocument/2006/relationships/image" Target="media/image1356.png"/><Relationship Id="rId1424" Type="http://schemas.openxmlformats.org/officeDocument/2006/relationships/image" Target="media/image1357.png"/><Relationship Id="rId1425" Type="http://schemas.openxmlformats.org/officeDocument/2006/relationships/image" Target="media/image1358.png"/><Relationship Id="rId1426" Type="http://schemas.openxmlformats.org/officeDocument/2006/relationships/image" Target="media/image1359.png"/><Relationship Id="rId1427" Type="http://schemas.openxmlformats.org/officeDocument/2006/relationships/image" Target="media/image1360.png"/><Relationship Id="rId1428" Type="http://schemas.openxmlformats.org/officeDocument/2006/relationships/image" Target="media/image1361.png"/><Relationship Id="rId1429" Type="http://schemas.openxmlformats.org/officeDocument/2006/relationships/image" Target="media/image1362.png"/><Relationship Id="rId1430" Type="http://schemas.openxmlformats.org/officeDocument/2006/relationships/image" Target="media/image1363.png"/><Relationship Id="rId1431" Type="http://schemas.openxmlformats.org/officeDocument/2006/relationships/image" Target="media/image1364.png"/><Relationship Id="rId1432" Type="http://schemas.openxmlformats.org/officeDocument/2006/relationships/image" Target="media/image1365.png"/><Relationship Id="rId1433" Type="http://schemas.openxmlformats.org/officeDocument/2006/relationships/image" Target="media/image1366.png"/><Relationship Id="rId1434" Type="http://schemas.openxmlformats.org/officeDocument/2006/relationships/image" Target="media/image1367.png"/><Relationship Id="rId1435" Type="http://schemas.openxmlformats.org/officeDocument/2006/relationships/image" Target="media/image1368.png"/><Relationship Id="rId1436" Type="http://schemas.openxmlformats.org/officeDocument/2006/relationships/image" Target="media/image1369.png"/><Relationship Id="rId1437" Type="http://schemas.openxmlformats.org/officeDocument/2006/relationships/image" Target="media/image1370.png"/><Relationship Id="rId1438" Type="http://schemas.openxmlformats.org/officeDocument/2006/relationships/image" Target="media/image1371.png"/><Relationship Id="rId1439" Type="http://schemas.openxmlformats.org/officeDocument/2006/relationships/image" Target="media/image1372.png"/><Relationship Id="rId1440" Type="http://schemas.openxmlformats.org/officeDocument/2006/relationships/image" Target="media/image1373.png"/><Relationship Id="rId1441" Type="http://schemas.openxmlformats.org/officeDocument/2006/relationships/image" Target="media/image1374.png"/><Relationship Id="rId1442" Type="http://schemas.openxmlformats.org/officeDocument/2006/relationships/image" Target="media/image1375.png"/><Relationship Id="rId1443" Type="http://schemas.openxmlformats.org/officeDocument/2006/relationships/image" Target="media/image1376.png"/><Relationship Id="rId1444" Type="http://schemas.openxmlformats.org/officeDocument/2006/relationships/image" Target="media/image1377.png"/><Relationship Id="rId1445" Type="http://schemas.openxmlformats.org/officeDocument/2006/relationships/image" Target="media/image1378.png"/><Relationship Id="rId1446" Type="http://schemas.openxmlformats.org/officeDocument/2006/relationships/image" Target="media/image1379.png"/><Relationship Id="rId1447" Type="http://schemas.openxmlformats.org/officeDocument/2006/relationships/image" Target="media/image1380.png"/><Relationship Id="rId1448" Type="http://schemas.openxmlformats.org/officeDocument/2006/relationships/image" Target="media/image1381.png"/><Relationship Id="rId1449" Type="http://schemas.openxmlformats.org/officeDocument/2006/relationships/image" Target="media/image1382.png"/><Relationship Id="rId1450" Type="http://schemas.openxmlformats.org/officeDocument/2006/relationships/image" Target="media/image1383.png"/><Relationship Id="rId1451" Type="http://schemas.openxmlformats.org/officeDocument/2006/relationships/image" Target="media/image1384.png"/><Relationship Id="rId1452" Type="http://schemas.openxmlformats.org/officeDocument/2006/relationships/image" Target="media/image1385.png"/><Relationship Id="rId1453" Type="http://schemas.openxmlformats.org/officeDocument/2006/relationships/image" Target="media/image1386.png"/><Relationship Id="rId1454" Type="http://schemas.openxmlformats.org/officeDocument/2006/relationships/image" Target="media/image1387.png"/><Relationship Id="rId1455" Type="http://schemas.openxmlformats.org/officeDocument/2006/relationships/image" Target="media/image1388.png"/><Relationship Id="rId1456" Type="http://schemas.openxmlformats.org/officeDocument/2006/relationships/image" Target="media/image1389.png"/><Relationship Id="rId1457" Type="http://schemas.openxmlformats.org/officeDocument/2006/relationships/image" Target="media/image1390.png"/><Relationship Id="rId1458" Type="http://schemas.openxmlformats.org/officeDocument/2006/relationships/image" Target="media/image1391.png"/><Relationship Id="rId1459" Type="http://schemas.openxmlformats.org/officeDocument/2006/relationships/image" Target="media/image1392.png"/><Relationship Id="rId1460" Type="http://schemas.openxmlformats.org/officeDocument/2006/relationships/image" Target="media/image1393.png"/><Relationship Id="rId1461" Type="http://schemas.openxmlformats.org/officeDocument/2006/relationships/image" Target="media/image1394.png"/><Relationship Id="rId1462" Type="http://schemas.openxmlformats.org/officeDocument/2006/relationships/image" Target="media/image1395.png"/><Relationship Id="rId1463" Type="http://schemas.openxmlformats.org/officeDocument/2006/relationships/image" Target="media/image1396.png"/><Relationship Id="rId1464" Type="http://schemas.openxmlformats.org/officeDocument/2006/relationships/image" Target="media/image1397.png"/><Relationship Id="rId1465" Type="http://schemas.openxmlformats.org/officeDocument/2006/relationships/image" Target="media/image1398.png"/><Relationship Id="rId1466" Type="http://schemas.openxmlformats.org/officeDocument/2006/relationships/image" Target="media/image1399.png"/><Relationship Id="rId1467" Type="http://schemas.openxmlformats.org/officeDocument/2006/relationships/image" Target="media/image1400.png"/><Relationship Id="rId1468" Type="http://schemas.openxmlformats.org/officeDocument/2006/relationships/image" Target="media/image1401.png"/><Relationship Id="rId1469" Type="http://schemas.openxmlformats.org/officeDocument/2006/relationships/image" Target="media/image1402.png"/><Relationship Id="rId1470" Type="http://schemas.openxmlformats.org/officeDocument/2006/relationships/image" Target="media/image1403.png"/><Relationship Id="rId1471" Type="http://schemas.openxmlformats.org/officeDocument/2006/relationships/image" Target="media/image1404.png"/><Relationship Id="rId1472" Type="http://schemas.openxmlformats.org/officeDocument/2006/relationships/image" Target="media/image1405.png"/><Relationship Id="rId1473" Type="http://schemas.openxmlformats.org/officeDocument/2006/relationships/image" Target="media/image1406.png"/><Relationship Id="rId1474" Type="http://schemas.openxmlformats.org/officeDocument/2006/relationships/image" Target="media/image1407.png"/><Relationship Id="rId1475" Type="http://schemas.openxmlformats.org/officeDocument/2006/relationships/image" Target="media/image1408.png"/><Relationship Id="rId1476" Type="http://schemas.openxmlformats.org/officeDocument/2006/relationships/image" Target="media/image1409.png"/><Relationship Id="rId1477" Type="http://schemas.openxmlformats.org/officeDocument/2006/relationships/image" Target="media/image1410.png"/><Relationship Id="rId1478" Type="http://schemas.openxmlformats.org/officeDocument/2006/relationships/image" Target="media/image1411.png"/><Relationship Id="rId1479" Type="http://schemas.openxmlformats.org/officeDocument/2006/relationships/image" Target="media/image1412.png"/><Relationship Id="rId1480" Type="http://schemas.openxmlformats.org/officeDocument/2006/relationships/image" Target="media/image1413.png"/><Relationship Id="rId1481" Type="http://schemas.openxmlformats.org/officeDocument/2006/relationships/image" Target="media/image1414.png"/><Relationship Id="rId1482" Type="http://schemas.openxmlformats.org/officeDocument/2006/relationships/image" Target="media/image1415.png"/><Relationship Id="rId1483" Type="http://schemas.openxmlformats.org/officeDocument/2006/relationships/image" Target="media/image1416.png"/><Relationship Id="rId1484" Type="http://schemas.openxmlformats.org/officeDocument/2006/relationships/image" Target="media/image1417.png"/><Relationship Id="rId1485" Type="http://schemas.openxmlformats.org/officeDocument/2006/relationships/image" Target="media/image1418.png"/><Relationship Id="rId1486" Type="http://schemas.openxmlformats.org/officeDocument/2006/relationships/image" Target="media/image1419.png"/><Relationship Id="rId1487" Type="http://schemas.openxmlformats.org/officeDocument/2006/relationships/image" Target="media/image1420.png"/><Relationship Id="rId1488" Type="http://schemas.openxmlformats.org/officeDocument/2006/relationships/image" Target="media/image1421.png"/><Relationship Id="rId1489" Type="http://schemas.openxmlformats.org/officeDocument/2006/relationships/image" Target="media/image1422.png"/><Relationship Id="rId1490" Type="http://schemas.openxmlformats.org/officeDocument/2006/relationships/image" Target="media/image1423.png"/><Relationship Id="rId1491" Type="http://schemas.openxmlformats.org/officeDocument/2006/relationships/image" Target="media/image1424.png"/><Relationship Id="rId1492" Type="http://schemas.openxmlformats.org/officeDocument/2006/relationships/image" Target="media/image1425.png"/><Relationship Id="rId1493" Type="http://schemas.openxmlformats.org/officeDocument/2006/relationships/image" Target="media/image1426.png"/><Relationship Id="rId1494" Type="http://schemas.openxmlformats.org/officeDocument/2006/relationships/image" Target="media/image1427.png"/><Relationship Id="rId1495" Type="http://schemas.openxmlformats.org/officeDocument/2006/relationships/image" Target="media/image1428.png"/><Relationship Id="rId1496" Type="http://schemas.openxmlformats.org/officeDocument/2006/relationships/image" Target="media/image1429.png"/><Relationship Id="rId1497" Type="http://schemas.openxmlformats.org/officeDocument/2006/relationships/image" Target="media/image1430.png"/><Relationship Id="rId1498" Type="http://schemas.openxmlformats.org/officeDocument/2006/relationships/image" Target="media/image1431.png"/><Relationship Id="rId1499" Type="http://schemas.openxmlformats.org/officeDocument/2006/relationships/image" Target="media/image1432.png"/><Relationship Id="rId1500" Type="http://schemas.openxmlformats.org/officeDocument/2006/relationships/image" Target="media/image1433.png"/><Relationship Id="rId1501" Type="http://schemas.openxmlformats.org/officeDocument/2006/relationships/image" Target="media/image1434.png"/><Relationship Id="rId1502" Type="http://schemas.openxmlformats.org/officeDocument/2006/relationships/image" Target="media/image1435.png"/><Relationship Id="rId1503" Type="http://schemas.openxmlformats.org/officeDocument/2006/relationships/image" Target="media/image1436.png"/><Relationship Id="rId1504" Type="http://schemas.openxmlformats.org/officeDocument/2006/relationships/image" Target="media/image1437.png"/><Relationship Id="rId1505" Type="http://schemas.openxmlformats.org/officeDocument/2006/relationships/image" Target="media/image1438.png"/><Relationship Id="rId1506" Type="http://schemas.openxmlformats.org/officeDocument/2006/relationships/image" Target="media/image1439.png"/><Relationship Id="rId1507" Type="http://schemas.openxmlformats.org/officeDocument/2006/relationships/image" Target="media/image1440.png"/><Relationship Id="rId1508" Type="http://schemas.openxmlformats.org/officeDocument/2006/relationships/image" Target="media/image1441.png"/><Relationship Id="rId1509" Type="http://schemas.openxmlformats.org/officeDocument/2006/relationships/image" Target="media/image1442.png"/><Relationship Id="rId1510" Type="http://schemas.openxmlformats.org/officeDocument/2006/relationships/image" Target="media/image1443.png"/><Relationship Id="rId1511" Type="http://schemas.openxmlformats.org/officeDocument/2006/relationships/image" Target="media/image1444.png"/><Relationship Id="rId1512" Type="http://schemas.openxmlformats.org/officeDocument/2006/relationships/image" Target="media/image1445.png"/><Relationship Id="rId1513" Type="http://schemas.openxmlformats.org/officeDocument/2006/relationships/image" Target="media/image1446.png"/><Relationship Id="rId1514" Type="http://schemas.openxmlformats.org/officeDocument/2006/relationships/image" Target="media/image1447.png"/><Relationship Id="rId1515" Type="http://schemas.openxmlformats.org/officeDocument/2006/relationships/image" Target="media/image1448.png"/><Relationship Id="rId1516" Type="http://schemas.openxmlformats.org/officeDocument/2006/relationships/image" Target="media/image1449.png"/><Relationship Id="rId1517" Type="http://schemas.openxmlformats.org/officeDocument/2006/relationships/image" Target="media/image1450.png"/><Relationship Id="rId1518" Type="http://schemas.openxmlformats.org/officeDocument/2006/relationships/image" Target="media/image1451.png"/><Relationship Id="rId1519" Type="http://schemas.openxmlformats.org/officeDocument/2006/relationships/image" Target="media/image1452.png"/><Relationship Id="rId1520" Type="http://schemas.openxmlformats.org/officeDocument/2006/relationships/image" Target="media/image1453.png"/><Relationship Id="rId1521" Type="http://schemas.openxmlformats.org/officeDocument/2006/relationships/image" Target="media/image1454.png"/><Relationship Id="rId1522" Type="http://schemas.openxmlformats.org/officeDocument/2006/relationships/image" Target="media/image1455.png"/><Relationship Id="rId1523" Type="http://schemas.openxmlformats.org/officeDocument/2006/relationships/image" Target="media/image1456.png"/><Relationship Id="rId1524" Type="http://schemas.openxmlformats.org/officeDocument/2006/relationships/image" Target="media/image1457.png"/><Relationship Id="rId1525" Type="http://schemas.openxmlformats.org/officeDocument/2006/relationships/image" Target="media/image1458.png"/><Relationship Id="rId1526" Type="http://schemas.openxmlformats.org/officeDocument/2006/relationships/image" Target="media/image1459.png"/><Relationship Id="rId1527" Type="http://schemas.openxmlformats.org/officeDocument/2006/relationships/image" Target="media/image1460.png"/><Relationship Id="rId1528" Type="http://schemas.openxmlformats.org/officeDocument/2006/relationships/image" Target="media/image1461.png"/><Relationship Id="rId1529" Type="http://schemas.openxmlformats.org/officeDocument/2006/relationships/image" Target="media/image1462.png"/><Relationship Id="rId1530" Type="http://schemas.openxmlformats.org/officeDocument/2006/relationships/image" Target="media/image1463.png"/><Relationship Id="rId1531" Type="http://schemas.openxmlformats.org/officeDocument/2006/relationships/image" Target="media/image1464.png"/><Relationship Id="rId1532" Type="http://schemas.openxmlformats.org/officeDocument/2006/relationships/image" Target="media/image1465.png"/><Relationship Id="rId1533" Type="http://schemas.openxmlformats.org/officeDocument/2006/relationships/image" Target="media/image1466.png"/><Relationship Id="rId1534" Type="http://schemas.openxmlformats.org/officeDocument/2006/relationships/image" Target="media/image1467.png"/><Relationship Id="rId1535" Type="http://schemas.openxmlformats.org/officeDocument/2006/relationships/image" Target="media/image1468.png"/><Relationship Id="rId1536" Type="http://schemas.openxmlformats.org/officeDocument/2006/relationships/image" Target="media/image1469.png"/><Relationship Id="rId1537" Type="http://schemas.openxmlformats.org/officeDocument/2006/relationships/image" Target="media/image1470.png"/><Relationship Id="rId1538" Type="http://schemas.openxmlformats.org/officeDocument/2006/relationships/image" Target="media/image1471.png"/><Relationship Id="rId1539" Type="http://schemas.openxmlformats.org/officeDocument/2006/relationships/image" Target="media/image1472.png"/><Relationship Id="rId1540" Type="http://schemas.openxmlformats.org/officeDocument/2006/relationships/image" Target="media/image1473.png"/><Relationship Id="rId1541" Type="http://schemas.openxmlformats.org/officeDocument/2006/relationships/image" Target="media/image1474.png"/><Relationship Id="rId1542" Type="http://schemas.openxmlformats.org/officeDocument/2006/relationships/image" Target="media/image1475.png"/><Relationship Id="rId1543" Type="http://schemas.openxmlformats.org/officeDocument/2006/relationships/image" Target="media/image1476.png"/><Relationship Id="rId1544" Type="http://schemas.openxmlformats.org/officeDocument/2006/relationships/image" Target="media/image1477.png"/><Relationship Id="rId1545" Type="http://schemas.openxmlformats.org/officeDocument/2006/relationships/image" Target="media/image1478.png"/><Relationship Id="rId1546" Type="http://schemas.openxmlformats.org/officeDocument/2006/relationships/image" Target="media/image1479.png"/><Relationship Id="rId1547" Type="http://schemas.openxmlformats.org/officeDocument/2006/relationships/image" Target="media/image1480.png"/><Relationship Id="rId1548" Type="http://schemas.openxmlformats.org/officeDocument/2006/relationships/image" Target="media/image1481.png"/><Relationship Id="rId1549" Type="http://schemas.openxmlformats.org/officeDocument/2006/relationships/image" Target="media/image1482.png"/><Relationship Id="rId1550" Type="http://schemas.openxmlformats.org/officeDocument/2006/relationships/image" Target="media/image1483.png"/><Relationship Id="rId1551" Type="http://schemas.openxmlformats.org/officeDocument/2006/relationships/image" Target="media/image1484.png"/><Relationship Id="rId1552" Type="http://schemas.openxmlformats.org/officeDocument/2006/relationships/image" Target="media/image1485.png"/><Relationship Id="rId1553" Type="http://schemas.openxmlformats.org/officeDocument/2006/relationships/image" Target="media/image1486.png"/><Relationship Id="rId1554" Type="http://schemas.openxmlformats.org/officeDocument/2006/relationships/image" Target="media/image1487.png"/><Relationship Id="rId1555" Type="http://schemas.openxmlformats.org/officeDocument/2006/relationships/image" Target="media/image1488.png"/><Relationship Id="rId1556" Type="http://schemas.openxmlformats.org/officeDocument/2006/relationships/image" Target="media/image1489.png"/><Relationship Id="rId1557" Type="http://schemas.openxmlformats.org/officeDocument/2006/relationships/image" Target="media/image1490.png"/><Relationship Id="rId1558" Type="http://schemas.openxmlformats.org/officeDocument/2006/relationships/image" Target="media/image1491.png"/><Relationship Id="rId1559" Type="http://schemas.openxmlformats.org/officeDocument/2006/relationships/image" Target="media/image1492.png"/><Relationship Id="rId1560" Type="http://schemas.openxmlformats.org/officeDocument/2006/relationships/image" Target="media/image1493.png"/><Relationship Id="rId1561" Type="http://schemas.openxmlformats.org/officeDocument/2006/relationships/image" Target="media/image1494.png"/><Relationship Id="rId1562" Type="http://schemas.openxmlformats.org/officeDocument/2006/relationships/image" Target="media/image1495.png"/><Relationship Id="rId1563" Type="http://schemas.openxmlformats.org/officeDocument/2006/relationships/image" Target="media/image1496.png"/><Relationship Id="rId1564" Type="http://schemas.openxmlformats.org/officeDocument/2006/relationships/image" Target="media/image1497.png"/><Relationship Id="rId1565" Type="http://schemas.openxmlformats.org/officeDocument/2006/relationships/image" Target="media/image1498.png"/><Relationship Id="rId1566" Type="http://schemas.openxmlformats.org/officeDocument/2006/relationships/image" Target="media/image1499.png"/><Relationship Id="rId1567" Type="http://schemas.openxmlformats.org/officeDocument/2006/relationships/image" Target="media/image1500.png"/><Relationship Id="rId1568" Type="http://schemas.openxmlformats.org/officeDocument/2006/relationships/image" Target="media/image1501.png"/><Relationship Id="rId1569" Type="http://schemas.openxmlformats.org/officeDocument/2006/relationships/image" Target="media/image1502.png"/><Relationship Id="rId1570" Type="http://schemas.openxmlformats.org/officeDocument/2006/relationships/image" Target="media/image1503.png"/><Relationship Id="rId1571" Type="http://schemas.openxmlformats.org/officeDocument/2006/relationships/image" Target="media/image1504.png"/><Relationship Id="rId1572" Type="http://schemas.openxmlformats.org/officeDocument/2006/relationships/image" Target="media/image1505.png"/><Relationship Id="rId1573" Type="http://schemas.openxmlformats.org/officeDocument/2006/relationships/image" Target="media/image1506.png"/><Relationship Id="rId1574" Type="http://schemas.openxmlformats.org/officeDocument/2006/relationships/image" Target="media/image1507.png"/><Relationship Id="rId1575" Type="http://schemas.openxmlformats.org/officeDocument/2006/relationships/image" Target="media/image1508.png"/><Relationship Id="rId1576" Type="http://schemas.openxmlformats.org/officeDocument/2006/relationships/image" Target="media/image1509.png"/><Relationship Id="rId1577" Type="http://schemas.openxmlformats.org/officeDocument/2006/relationships/image" Target="media/image1510.png"/><Relationship Id="rId1578" Type="http://schemas.openxmlformats.org/officeDocument/2006/relationships/image" Target="media/image1511.png"/><Relationship Id="rId1579" Type="http://schemas.openxmlformats.org/officeDocument/2006/relationships/image" Target="media/image1512.png"/><Relationship Id="rId1580" Type="http://schemas.openxmlformats.org/officeDocument/2006/relationships/image" Target="media/image1513.png"/><Relationship Id="rId1581" Type="http://schemas.openxmlformats.org/officeDocument/2006/relationships/image" Target="media/image1514.png"/><Relationship Id="rId1582" Type="http://schemas.openxmlformats.org/officeDocument/2006/relationships/image" Target="media/image1515.png"/><Relationship Id="rId1583" Type="http://schemas.openxmlformats.org/officeDocument/2006/relationships/image" Target="media/image1516.png"/><Relationship Id="rId1584" Type="http://schemas.openxmlformats.org/officeDocument/2006/relationships/image" Target="media/image1517.png"/><Relationship Id="rId1585" Type="http://schemas.openxmlformats.org/officeDocument/2006/relationships/image" Target="media/image1518.png"/><Relationship Id="rId1586" Type="http://schemas.openxmlformats.org/officeDocument/2006/relationships/image" Target="media/image1519.png"/><Relationship Id="rId1587" Type="http://schemas.openxmlformats.org/officeDocument/2006/relationships/image" Target="media/image1520.png"/><Relationship Id="rId1588" Type="http://schemas.openxmlformats.org/officeDocument/2006/relationships/image" Target="media/image1521.png"/><Relationship Id="rId1589" Type="http://schemas.openxmlformats.org/officeDocument/2006/relationships/image" Target="media/image1522.png"/><Relationship Id="rId1590" Type="http://schemas.openxmlformats.org/officeDocument/2006/relationships/image" Target="media/image1523.png"/><Relationship Id="rId1591" Type="http://schemas.openxmlformats.org/officeDocument/2006/relationships/image" Target="media/image1524.png"/><Relationship Id="rId1592" Type="http://schemas.openxmlformats.org/officeDocument/2006/relationships/image" Target="media/image1525.png"/><Relationship Id="rId1593" Type="http://schemas.openxmlformats.org/officeDocument/2006/relationships/image" Target="media/image1526.png"/><Relationship Id="rId1594" Type="http://schemas.openxmlformats.org/officeDocument/2006/relationships/image" Target="media/image1527.png"/><Relationship Id="rId1595" Type="http://schemas.openxmlformats.org/officeDocument/2006/relationships/image" Target="media/image1528.png"/><Relationship Id="rId1596" Type="http://schemas.openxmlformats.org/officeDocument/2006/relationships/image" Target="media/image1529.png"/><Relationship Id="rId1597" Type="http://schemas.openxmlformats.org/officeDocument/2006/relationships/image" Target="media/image1530.png"/><Relationship Id="rId1598" Type="http://schemas.openxmlformats.org/officeDocument/2006/relationships/image" Target="media/image1531.png"/><Relationship Id="rId1599" Type="http://schemas.openxmlformats.org/officeDocument/2006/relationships/image" Target="media/image1532.png"/><Relationship Id="rId1600" Type="http://schemas.openxmlformats.org/officeDocument/2006/relationships/image" Target="media/image1533.png"/><Relationship Id="rId1601" Type="http://schemas.openxmlformats.org/officeDocument/2006/relationships/image" Target="media/image1534.png"/><Relationship Id="rId1602" Type="http://schemas.openxmlformats.org/officeDocument/2006/relationships/image" Target="media/image1535.png"/><Relationship Id="rId1603" Type="http://schemas.openxmlformats.org/officeDocument/2006/relationships/image" Target="media/image1536.png"/><Relationship Id="rId1604" Type="http://schemas.openxmlformats.org/officeDocument/2006/relationships/image" Target="media/image1537.png"/><Relationship Id="rId1605" Type="http://schemas.openxmlformats.org/officeDocument/2006/relationships/image" Target="media/image1538.png"/><Relationship Id="rId1606" Type="http://schemas.openxmlformats.org/officeDocument/2006/relationships/image" Target="media/image1539.png"/><Relationship Id="rId1607" Type="http://schemas.openxmlformats.org/officeDocument/2006/relationships/image" Target="media/image1540.png"/><Relationship Id="rId1608" Type="http://schemas.openxmlformats.org/officeDocument/2006/relationships/image" Target="media/image1541.png"/><Relationship Id="rId1609" Type="http://schemas.openxmlformats.org/officeDocument/2006/relationships/image" Target="media/image1542.png"/><Relationship Id="rId1610" Type="http://schemas.openxmlformats.org/officeDocument/2006/relationships/image" Target="media/image1543.png"/><Relationship Id="rId1611" Type="http://schemas.openxmlformats.org/officeDocument/2006/relationships/image" Target="media/image1544.png"/><Relationship Id="rId1612" Type="http://schemas.openxmlformats.org/officeDocument/2006/relationships/image" Target="media/image1545.png"/><Relationship Id="rId1613" Type="http://schemas.openxmlformats.org/officeDocument/2006/relationships/image" Target="media/image1546.png"/><Relationship Id="rId1614" Type="http://schemas.openxmlformats.org/officeDocument/2006/relationships/image" Target="media/image1547.png"/><Relationship Id="rId1615" Type="http://schemas.openxmlformats.org/officeDocument/2006/relationships/image" Target="media/image1548.png"/><Relationship Id="rId1616" Type="http://schemas.openxmlformats.org/officeDocument/2006/relationships/image" Target="media/image1549.png"/><Relationship Id="rId1617" Type="http://schemas.openxmlformats.org/officeDocument/2006/relationships/image" Target="media/image1550.png"/><Relationship Id="rId1618" Type="http://schemas.openxmlformats.org/officeDocument/2006/relationships/image" Target="media/image1551.png"/><Relationship Id="rId1619" Type="http://schemas.openxmlformats.org/officeDocument/2006/relationships/image" Target="media/image1552.png"/><Relationship Id="rId1620" Type="http://schemas.openxmlformats.org/officeDocument/2006/relationships/image" Target="media/image1553.png"/><Relationship Id="rId1621" Type="http://schemas.openxmlformats.org/officeDocument/2006/relationships/image" Target="media/image1554.png"/><Relationship Id="rId1622" Type="http://schemas.openxmlformats.org/officeDocument/2006/relationships/image" Target="media/image1555.png"/><Relationship Id="rId1623" Type="http://schemas.openxmlformats.org/officeDocument/2006/relationships/image" Target="media/image1556.png"/><Relationship Id="rId1624" Type="http://schemas.openxmlformats.org/officeDocument/2006/relationships/image" Target="media/image1557.png"/><Relationship Id="rId1625" Type="http://schemas.openxmlformats.org/officeDocument/2006/relationships/image" Target="media/image1558.png"/><Relationship Id="rId1626" Type="http://schemas.openxmlformats.org/officeDocument/2006/relationships/image" Target="media/image1559.png"/><Relationship Id="rId1627" Type="http://schemas.openxmlformats.org/officeDocument/2006/relationships/image" Target="media/image1560.png"/><Relationship Id="rId1628" Type="http://schemas.openxmlformats.org/officeDocument/2006/relationships/image" Target="media/image1561.png"/><Relationship Id="rId1629" Type="http://schemas.openxmlformats.org/officeDocument/2006/relationships/image" Target="media/image1562.png"/><Relationship Id="rId1630" Type="http://schemas.openxmlformats.org/officeDocument/2006/relationships/image" Target="media/image1563.png"/><Relationship Id="rId1631" Type="http://schemas.openxmlformats.org/officeDocument/2006/relationships/image" Target="media/image1564.png"/><Relationship Id="rId1632" Type="http://schemas.openxmlformats.org/officeDocument/2006/relationships/image" Target="media/image1565.png"/><Relationship Id="rId1633" Type="http://schemas.openxmlformats.org/officeDocument/2006/relationships/image" Target="media/image1566.png"/><Relationship Id="rId1634" Type="http://schemas.openxmlformats.org/officeDocument/2006/relationships/image" Target="media/image1567.png"/><Relationship Id="rId1635" Type="http://schemas.openxmlformats.org/officeDocument/2006/relationships/image" Target="media/image1568.png"/><Relationship Id="rId1636" Type="http://schemas.openxmlformats.org/officeDocument/2006/relationships/image" Target="media/image1569.png"/><Relationship Id="rId1637" Type="http://schemas.openxmlformats.org/officeDocument/2006/relationships/image" Target="media/image1570.png"/><Relationship Id="rId1638" Type="http://schemas.openxmlformats.org/officeDocument/2006/relationships/image" Target="media/image1571.png"/><Relationship Id="rId1639" Type="http://schemas.openxmlformats.org/officeDocument/2006/relationships/image" Target="media/image1572.png"/><Relationship Id="rId1640" Type="http://schemas.openxmlformats.org/officeDocument/2006/relationships/image" Target="media/image1573.png"/><Relationship Id="rId1641" Type="http://schemas.openxmlformats.org/officeDocument/2006/relationships/image" Target="media/image1574.png"/><Relationship Id="rId1642" Type="http://schemas.openxmlformats.org/officeDocument/2006/relationships/image" Target="media/image1575.png"/><Relationship Id="rId1643" Type="http://schemas.openxmlformats.org/officeDocument/2006/relationships/image" Target="media/image1576.png"/><Relationship Id="rId1644" Type="http://schemas.openxmlformats.org/officeDocument/2006/relationships/image" Target="media/image1577.png"/><Relationship Id="rId1645" Type="http://schemas.openxmlformats.org/officeDocument/2006/relationships/image" Target="media/image1578.png"/><Relationship Id="rId1646" Type="http://schemas.openxmlformats.org/officeDocument/2006/relationships/image" Target="media/image1579.png"/><Relationship Id="rId1647" Type="http://schemas.openxmlformats.org/officeDocument/2006/relationships/image" Target="media/image1580.png"/><Relationship Id="rId1648" Type="http://schemas.openxmlformats.org/officeDocument/2006/relationships/image" Target="media/image1581.png"/><Relationship Id="rId1649" Type="http://schemas.openxmlformats.org/officeDocument/2006/relationships/image" Target="media/image1582.png"/><Relationship Id="rId1650" Type="http://schemas.openxmlformats.org/officeDocument/2006/relationships/image" Target="media/image1583.png"/><Relationship Id="rId1651" Type="http://schemas.openxmlformats.org/officeDocument/2006/relationships/image" Target="media/image1584.png"/><Relationship Id="rId1652" Type="http://schemas.openxmlformats.org/officeDocument/2006/relationships/image" Target="media/image1585.png"/><Relationship Id="rId1653" Type="http://schemas.openxmlformats.org/officeDocument/2006/relationships/image" Target="media/image1586.png"/><Relationship Id="rId1654" Type="http://schemas.openxmlformats.org/officeDocument/2006/relationships/image" Target="media/image1587.png"/><Relationship Id="rId1655" Type="http://schemas.openxmlformats.org/officeDocument/2006/relationships/image" Target="media/image1588.png"/><Relationship Id="rId1656" Type="http://schemas.openxmlformats.org/officeDocument/2006/relationships/image" Target="media/image1589.png"/><Relationship Id="rId1657" Type="http://schemas.openxmlformats.org/officeDocument/2006/relationships/image" Target="media/image1590.png"/><Relationship Id="rId1658" Type="http://schemas.openxmlformats.org/officeDocument/2006/relationships/image" Target="media/image1591.png"/><Relationship Id="rId1659" Type="http://schemas.openxmlformats.org/officeDocument/2006/relationships/image" Target="media/image1592.png"/><Relationship Id="rId1660" Type="http://schemas.openxmlformats.org/officeDocument/2006/relationships/image" Target="media/image1593.png"/><Relationship Id="rId1661" Type="http://schemas.openxmlformats.org/officeDocument/2006/relationships/image" Target="media/image1594.png"/><Relationship Id="rId1662" Type="http://schemas.openxmlformats.org/officeDocument/2006/relationships/image" Target="media/image1595.png"/><Relationship Id="rId1663" Type="http://schemas.openxmlformats.org/officeDocument/2006/relationships/image" Target="media/image1596.png"/><Relationship Id="rId1664" Type="http://schemas.openxmlformats.org/officeDocument/2006/relationships/image" Target="media/image1597.png"/><Relationship Id="rId1665" Type="http://schemas.openxmlformats.org/officeDocument/2006/relationships/image" Target="media/image1598.png"/><Relationship Id="rId1666" Type="http://schemas.openxmlformats.org/officeDocument/2006/relationships/image" Target="media/image1599.png"/><Relationship Id="rId1667" Type="http://schemas.openxmlformats.org/officeDocument/2006/relationships/image" Target="media/image1600.png"/><Relationship Id="rId1668" Type="http://schemas.openxmlformats.org/officeDocument/2006/relationships/image" Target="media/image1601.png"/><Relationship Id="rId1669" Type="http://schemas.openxmlformats.org/officeDocument/2006/relationships/image" Target="media/image1602.png"/><Relationship Id="rId1670" Type="http://schemas.openxmlformats.org/officeDocument/2006/relationships/image" Target="media/image1603.png"/><Relationship Id="rId1671" Type="http://schemas.openxmlformats.org/officeDocument/2006/relationships/image" Target="media/image1604.png"/><Relationship Id="rId1672" Type="http://schemas.openxmlformats.org/officeDocument/2006/relationships/image" Target="media/image1605.png"/><Relationship Id="rId1673" Type="http://schemas.openxmlformats.org/officeDocument/2006/relationships/image" Target="media/image1606.png"/><Relationship Id="rId1674" Type="http://schemas.openxmlformats.org/officeDocument/2006/relationships/image" Target="media/image1607.png"/><Relationship Id="rId1675" Type="http://schemas.openxmlformats.org/officeDocument/2006/relationships/image" Target="media/image1608.png"/><Relationship Id="rId1676" Type="http://schemas.openxmlformats.org/officeDocument/2006/relationships/image" Target="media/image1609.png"/><Relationship Id="rId1677" Type="http://schemas.openxmlformats.org/officeDocument/2006/relationships/image" Target="media/image1610.png"/><Relationship Id="rId1678" Type="http://schemas.openxmlformats.org/officeDocument/2006/relationships/image" Target="media/image1611.png"/><Relationship Id="rId1679" Type="http://schemas.openxmlformats.org/officeDocument/2006/relationships/image" Target="media/image1612.png"/><Relationship Id="rId1680" Type="http://schemas.openxmlformats.org/officeDocument/2006/relationships/image" Target="media/image1613.png"/><Relationship Id="rId1681" Type="http://schemas.openxmlformats.org/officeDocument/2006/relationships/image" Target="media/image1614.png"/><Relationship Id="rId1682" Type="http://schemas.openxmlformats.org/officeDocument/2006/relationships/image" Target="media/image1615.png"/><Relationship Id="rId1683" Type="http://schemas.openxmlformats.org/officeDocument/2006/relationships/image" Target="media/image1616.png"/><Relationship Id="rId1684" Type="http://schemas.openxmlformats.org/officeDocument/2006/relationships/image" Target="media/image1617.png"/><Relationship Id="rId1685" Type="http://schemas.openxmlformats.org/officeDocument/2006/relationships/image" Target="media/image1618.png"/><Relationship Id="rId1686" Type="http://schemas.openxmlformats.org/officeDocument/2006/relationships/image" Target="media/image1619.png"/><Relationship Id="rId1687" Type="http://schemas.openxmlformats.org/officeDocument/2006/relationships/image" Target="media/image1620.png"/><Relationship Id="rId1688" Type="http://schemas.openxmlformats.org/officeDocument/2006/relationships/image" Target="media/image1621.png"/><Relationship Id="rId1689" Type="http://schemas.openxmlformats.org/officeDocument/2006/relationships/image" Target="media/image1622.png"/><Relationship Id="rId1690" Type="http://schemas.openxmlformats.org/officeDocument/2006/relationships/image" Target="media/image1623.png"/><Relationship Id="rId1691" Type="http://schemas.openxmlformats.org/officeDocument/2006/relationships/image" Target="media/image1624.png"/><Relationship Id="rId1692" Type="http://schemas.openxmlformats.org/officeDocument/2006/relationships/image" Target="media/image1625.png"/><Relationship Id="rId1693" Type="http://schemas.openxmlformats.org/officeDocument/2006/relationships/image" Target="media/image1626.png"/><Relationship Id="rId1694" Type="http://schemas.openxmlformats.org/officeDocument/2006/relationships/image" Target="media/image1627.png"/><Relationship Id="rId1695" Type="http://schemas.openxmlformats.org/officeDocument/2006/relationships/image" Target="media/image1628.png"/><Relationship Id="rId1696" Type="http://schemas.openxmlformats.org/officeDocument/2006/relationships/image" Target="media/image1629.png"/><Relationship Id="rId1697" Type="http://schemas.openxmlformats.org/officeDocument/2006/relationships/image" Target="media/image1630.png"/><Relationship Id="rId1698" Type="http://schemas.openxmlformats.org/officeDocument/2006/relationships/image" Target="media/image1631.png"/><Relationship Id="rId1699" Type="http://schemas.openxmlformats.org/officeDocument/2006/relationships/image" Target="media/image1632.png"/><Relationship Id="rId1700" Type="http://schemas.openxmlformats.org/officeDocument/2006/relationships/image" Target="media/image1633.png"/><Relationship Id="rId1701" Type="http://schemas.openxmlformats.org/officeDocument/2006/relationships/image" Target="media/image1634.png"/><Relationship Id="rId1702" Type="http://schemas.openxmlformats.org/officeDocument/2006/relationships/image" Target="media/image1635.png"/><Relationship Id="rId1703" Type="http://schemas.openxmlformats.org/officeDocument/2006/relationships/image" Target="media/image1636.png"/><Relationship Id="rId1704" Type="http://schemas.openxmlformats.org/officeDocument/2006/relationships/image" Target="media/image1637.png"/><Relationship Id="rId1705" Type="http://schemas.openxmlformats.org/officeDocument/2006/relationships/image" Target="media/image1638.png"/><Relationship Id="rId1706" Type="http://schemas.openxmlformats.org/officeDocument/2006/relationships/image" Target="media/image1639.png"/><Relationship Id="rId1707" Type="http://schemas.openxmlformats.org/officeDocument/2006/relationships/image" Target="media/image1640.png"/><Relationship Id="rId1708" Type="http://schemas.openxmlformats.org/officeDocument/2006/relationships/image" Target="media/image1641.png"/><Relationship Id="rId1709" Type="http://schemas.openxmlformats.org/officeDocument/2006/relationships/image" Target="media/image1642.png"/><Relationship Id="rId1710" Type="http://schemas.openxmlformats.org/officeDocument/2006/relationships/image" Target="media/image1643.png"/><Relationship Id="rId1711" Type="http://schemas.openxmlformats.org/officeDocument/2006/relationships/image" Target="media/image1644.png"/><Relationship Id="rId1712" Type="http://schemas.openxmlformats.org/officeDocument/2006/relationships/image" Target="media/image1645.png"/><Relationship Id="rId1713" Type="http://schemas.openxmlformats.org/officeDocument/2006/relationships/image" Target="media/image1646.png"/><Relationship Id="rId1714" Type="http://schemas.openxmlformats.org/officeDocument/2006/relationships/image" Target="media/image1647.png"/><Relationship Id="rId1715" Type="http://schemas.openxmlformats.org/officeDocument/2006/relationships/image" Target="media/image1648.png"/><Relationship Id="rId1716" Type="http://schemas.openxmlformats.org/officeDocument/2006/relationships/image" Target="media/image1649.png"/><Relationship Id="rId1717" Type="http://schemas.openxmlformats.org/officeDocument/2006/relationships/image" Target="media/image1650.png"/><Relationship Id="rId1718" Type="http://schemas.openxmlformats.org/officeDocument/2006/relationships/image" Target="media/image1651.png"/><Relationship Id="rId1719" Type="http://schemas.openxmlformats.org/officeDocument/2006/relationships/image" Target="media/image1652.png"/><Relationship Id="rId1720" Type="http://schemas.openxmlformats.org/officeDocument/2006/relationships/image" Target="media/image1653.png"/><Relationship Id="rId1721" Type="http://schemas.openxmlformats.org/officeDocument/2006/relationships/image" Target="media/image1654.png"/><Relationship Id="rId1722" Type="http://schemas.openxmlformats.org/officeDocument/2006/relationships/image" Target="media/image1655.png"/><Relationship Id="rId1723" Type="http://schemas.openxmlformats.org/officeDocument/2006/relationships/image" Target="media/image1656.png"/><Relationship Id="rId1724" Type="http://schemas.openxmlformats.org/officeDocument/2006/relationships/image" Target="media/image1657.png"/><Relationship Id="rId1725" Type="http://schemas.openxmlformats.org/officeDocument/2006/relationships/image" Target="media/image1658.png"/><Relationship Id="rId1726" Type="http://schemas.openxmlformats.org/officeDocument/2006/relationships/image" Target="media/image1659.png"/><Relationship Id="rId1727" Type="http://schemas.openxmlformats.org/officeDocument/2006/relationships/image" Target="media/image1660.png"/><Relationship Id="rId1728" Type="http://schemas.openxmlformats.org/officeDocument/2006/relationships/image" Target="media/image1661.png"/><Relationship Id="rId1729" Type="http://schemas.openxmlformats.org/officeDocument/2006/relationships/image" Target="media/image1662.png"/><Relationship Id="rId1730" Type="http://schemas.openxmlformats.org/officeDocument/2006/relationships/image" Target="media/image1663.png"/><Relationship Id="rId1731" Type="http://schemas.openxmlformats.org/officeDocument/2006/relationships/image" Target="media/image1664.png"/><Relationship Id="rId1732" Type="http://schemas.openxmlformats.org/officeDocument/2006/relationships/image" Target="media/image1665.png"/><Relationship Id="rId1733" Type="http://schemas.openxmlformats.org/officeDocument/2006/relationships/image" Target="media/image1666.png"/><Relationship Id="rId1734" Type="http://schemas.openxmlformats.org/officeDocument/2006/relationships/image" Target="media/image1667.png"/><Relationship Id="rId1735" Type="http://schemas.openxmlformats.org/officeDocument/2006/relationships/image" Target="media/image1668.png"/><Relationship Id="rId1736" Type="http://schemas.openxmlformats.org/officeDocument/2006/relationships/image" Target="media/image1669.png"/><Relationship Id="rId1737" Type="http://schemas.openxmlformats.org/officeDocument/2006/relationships/image" Target="media/image1670.png"/><Relationship Id="rId1738" Type="http://schemas.openxmlformats.org/officeDocument/2006/relationships/image" Target="media/image1671.png"/><Relationship Id="rId1739" Type="http://schemas.openxmlformats.org/officeDocument/2006/relationships/image" Target="media/image1672.png"/><Relationship Id="rId1740" Type="http://schemas.openxmlformats.org/officeDocument/2006/relationships/image" Target="media/image1673.png"/><Relationship Id="rId1741" Type="http://schemas.openxmlformats.org/officeDocument/2006/relationships/image" Target="media/image1674.png"/><Relationship Id="rId1742" Type="http://schemas.openxmlformats.org/officeDocument/2006/relationships/image" Target="media/image1675.png"/><Relationship Id="rId1743" Type="http://schemas.openxmlformats.org/officeDocument/2006/relationships/image" Target="media/image1676.png"/><Relationship Id="rId1744" Type="http://schemas.openxmlformats.org/officeDocument/2006/relationships/image" Target="media/image1677.png"/><Relationship Id="rId1745" Type="http://schemas.openxmlformats.org/officeDocument/2006/relationships/image" Target="media/image1678.png"/><Relationship Id="rId1746" Type="http://schemas.openxmlformats.org/officeDocument/2006/relationships/image" Target="media/image1679.png"/><Relationship Id="rId1747" Type="http://schemas.openxmlformats.org/officeDocument/2006/relationships/image" Target="media/image1680.png"/><Relationship Id="rId1748" Type="http://schemas.openxmlformats.org/officeDocument/2006/relationships/image" Target="media/image1681.png"/><Relationship Id="rId1749" Type="http://schemas.openxmlformats.org/officeDocument/2006/relationships/image" Target="media/image1682.png"/><Relationship Id="rId1750" Type="http://schemas.openxmlformats.org/officeDocument/2006/relationships/image" Target="media/image1683.png"/><Relationship Id="rId1751" Type="http://schemas.openxmlformats.org/officeDocument/2006/relationships/image" Target="media/image1684.png"/><Relationship Id="rId1752" Type="http://schemas.openxmlformats.org/officeDocument/2006/relationships/image" Target="media/image1685.png"/><Relationship Id="rId1753" Type="http://schemas.openxmlformats.org/officeDocument/2006/relationships/image" Target="media/image1686.png"/><Relationship Id="rId1754" Type="http://schemas.openxmlformats.org/officeDocument/2006/relationships/image" Target="media/image1687.png"/><Relationship Id="rId1755" Type="http://schemas.openxmlformats.org/officeDocument/2006/relationships/image" Target="media/image1688.png"/><Relationship Id="rId1756" Type="http://schemas.openxmlformats.org/officeDocument/2006/relationships/image" Target="media/image1689.png"/><Relationship Id="rId1757" Type="http://schemas.openxmlformats.org/officeDocument/2006/relationships/image" Target="media/image1690.png"/><Relationship Id="rId1758" Type="http://schemas.openxmlformats.org/officeDocument/2006/relationships/image" Target="media/image1691.png"/><Relationship Id="rId1759" Type="http://schemas.openxmlformats.org/officeDocument/2006/relationships/image" Target="media/image1692.png"/><Relationship Id="rId1760" Type="http://schemas.openxmlformats.org/officeDocument/2006/relationships/image" Target="media/image1693.png"/><Relationship Id="rId1761" Type="http://schemas.openxmlformats.org/officeDocument/2006/relationships/image" Target="media/image1694.png"/><Relationship Id="rId1762" Type="http://schemas.openxmlformats.org/officeDocument/2006/relationships/image" Target="media/image1695.png"/><Relationship Id="rId1763" Type="http://schemas.openxmlformats.org/officeDocument/2006/relationships/image" Target="media/image1696.png"/><Relationship Id="rId1764" Type="http://schemas.openxmlformats.org/officeDocument/2006/relationships/image" Target="media/image1697.png"/><Relationship Id="rId1765" Type="http://schemas.openxmlformats.org/officeDocument/2006/relationships/image" Target="media/image1698.png"/><Relationship Id="rId1766" Type="http://schemas.openxmlformats.org/officeDocument/2006/relationships/image" Target="media/image1699.png"/><Relationship Id="rId1767" Type="http://schemas.openxmlformats.org/officeDocument/2006/relationships/image" Target="media/image1700.png"/><Relationship Id="rId1768" Type="http://schemas.openxmlformats.org/officeDocument/2006/relationships/image" Target="media/image1701.png"/><Relationship Id="rId1769" Type="http://schemas.openxmlformats.org/officeDocument/2006/relationships/image" Target="media/image1702.png"/><Relationship Id="rId1770" Type="http://schemas.openxmlformats.org/officeDocument/2006/relationships/image" Target="media/image1703.png"/><Relationship Id="rId1771" Type="http://schemas.openxmlformats.org/officeDocument/2006/relationships/image" Target="media/image1704.png"/><Relationship Id="rId1772" Type="http://schemas.openxmlformats.org/officeDocument/2006/relationships/image" Target="media/image1705.png"/><Relationship Id="rId1773" Type="http://schemas.openxmlformats.org/officeDocument/2006/relationships/image" Target="media/image1706.png"/><Relationship Id="rId1774" Type="http://schemas.openxmlformats.org/officeDocument/2006/relationships/image" Target="media/image1707.png"/><Relationship Id="rId1775" Type="http://schemas.openxmlformats.org/officeDocument/2006/relationships/image" Target="media/image1708.png"/><Relationship Id="rId1776" Type="http://schemas.openxmlformats.org/officeDocument/2006/relationships/image" Target="media/image1709.png"/><Relationship Id="rId1777" Type="http://schemas.openxmlformats.org/officeDocument/2006/relationships/image" Target="media/image1710.png"/><Relationship Id="rId1778" Type="http://schemas.openxmlformats.org/officeDocument/2006/relationships/image" Target="media/image1711.png"/><Relationship Id="rId1779" Type="http://schemas.openxmlformats.org/officeDocument/2006/relationships/image" Target="media/image1712.png"/><Relationship Id="rId1780" Type="http://schemas.openxmlformats.org/officeDocument/2006/relationships/image" Target="media/image1713.png"/><Relationship Id="rId1781" Type="http://schemas.openxmlformats.org/officeDocument/2006/relationships/image" Target="media/image1714.png"/><Relationship Id="rId1782" Type="http://schemas.openxmlformats.org/officeDocument/2006/relationships/image" Target="media/image1715.png"/><Relationship Id="rId1783" Type="http://schemas.openxmlformats.org/officeDocument/2006/relationships/image" Target="media/image1716.png"/><Relationship Id="rId1784" Type="http://schemas.openxmlformats.org/officeDocument/2006/relationships/image" Target="media/image1717.png"/><Relationship Id="rId1785" Type="http://schemas.openxmlformats.org/officeDocument/2006/relationships/image" Target="media/image1718.png"/><Relationship Id="rId1786" Type="http://schemas.openxmlformats.org/officeDocument/2006/relationships/image" Target="media/image1719.png"/><Relationship Id="rId1787" Type="http://schemas.openxmlformats.org/officeDocument/2006/relationships/image" Target="media/image1720.png"/><Relationship Id="rId1788" Type="http://schemas.openxmlformats.org/officeDocument/2006/relationships/image" Target="media/image1721.png"/><Relationship Id="rId1789" Type="http://schemas.openxmlformats.org/officeDocument/2006/relationships/image" Target="media/image1722.png"/><Relationship Id="rId1790" Type="http://schemas.openxmlformats.org/officeDocument/2006/relationships/image" Target="media/image1723.png"/><Relationship Id="rId1791" Type="http://schemas.openxmlformats.org/officeDocument/2006/relationships/image" Target="media/image1724.png"/><Relationship Id="rId1792" Type="http://schemas.openxmlformats.org/officeDocument/2006/relationships/image" Target="media/image1725.png"/><Relationship Id="rId1793" Type="http://schemas.openxmlformats.org/officeDocument/2006/relationships/image" Target="media/image1726.png"/><Relationship Id="rId1794" Type="http://schemas.openxmlformats.org/officeDocument/2006/relationships/image" Target="media/image1727.png"/><Relationship Id="rId1795" Type="http://schemas.openxmlformats.org/officeDocument/2006/relationships/image" Target="media/image1728.png"/><Relationship Id="rId1796" Type="http://schemas.openxmlformats.org/officeDocument/2006/relationships/image" Target="media/image1729.png"/><Relationship Id="rId1797" Type="http://schemas.openxmlformats.org/officeDocument/2006/relationships/image" Target="media/image1730.png"/><Relationship Id="rId1798" Type="http://schemas.openxmlformats.org/officeDocument/2006/relationships/image" Target="media/image1731.png"/><Relationship Id="rId1799" Type="http://schemas.openxmlformats.org/officeDocument/2006/relationships/image" Target="media/image1732.png"/><Relationship Id="rId1800" Type="http://schemas.openxmlformats.org/officeDocument/2006/relationships/image" Target="media/image1733.png"/><Relationship Id="rId1801" Type="http://schemas.openxmlformats.org/officeDocument/2006/relationships/image" Target="media/image1734.png"/><Relationship Id="rId1802" Type="http://schemas.openxmlformats.org/officeDocument/2006/relationships/image" Target="media/image1735.png"/><Relationship Id="rId1803" Type="http://schemas.openxmlformats.org/officeDocument/2006/relationships/image" Target="media/image1736.png"/><Relationship Id="rId1804" Type="http://schemas.openxmlformats.org/officeDocument/2006/relationships/image" Target="media/image1737.png"/><Relationship Id="rId1805" Type="http://schemas.openxmlformats.org/officeDocument/2006/relationships/image" Target="media/image1738.png"/><Relationship Id="rId1806" Type="http://schemas.openxmlformats.org/officeDocument/2006/relationships/image" Target="media/image1739.png"/><Relationship Id="rId1807" Type="http://schemas.openxmlformats.org/officeDocument/2006/relationships/image" Target="media/image1740.png"/><Relationship Id="rId1808" Type="http://schemas.openxmlformats.org/officeDocument/2006/relationships/image" Target="media/image1741.png"/><Relationship Id="rId1809" Type="http://schemas.openxmlformats.org/officeDocument/2006/relationships/image" Target="media/image1742.png"/><Relationship Id="rId1810" Type="http://schemas.openxmlformats.org/officeDocument/2006/relationships/image" Target="media/image1743.png"/><Relationship Id="rId1811" Type="http://schemas.openxmlformats.org/officeDocument/2006/relationships/image" Target="media/image1744.png"/><Relationship Id="rId1812" Type="http://schemas.openxmlformats.org/officeDocument/2006/relationships/image" Target="media/image1745.png"/><Relationship Id="rId1813" Type="http://schemas.openxmlformats.org/officeDocument/2006/relationships/image" Target="media/image1746.png"/><Relationship Id="rId1814" Type="http://schemas.openxmlformats.org/officeDocument/2006/relationships/image" Target="media/image1747.png"/><Relationship Id="rId1815" Type="http://schemas.openxmlformats.org/officeDocument/2006/relationships/image" Target="media/image1748.png"/><Relationship Id="rId1816" Type="http://schemas.openxmlformats.org/officeDocument/2006/relationships/image" Target="media/image1749.png"/><Relationship Id="rId1817" Type="http://schemas.openxmlformats.org/officeDocument/2006/relationships/image" Target="media/image1750.png"/><Relationship Id="rId1818" Type="http://schemas.openxmlformats.org/officeDocument/2006/relationships/image" Target="media/image1751.png"/><Relationship Id="rId1819" Type="http://schemas.openxmlformats.org/officeDocument/2006/relationships/image" Target="media/image1752.png"/><Relationship Id="rId1820" Type="http://schemas.openxmlformats.org/officeDocument/2006/relationships/image" Target="media/image1753.png"/><Relationship Id="rId1821" Type="http://schemas.openxmlformats.org/officeDocument/2006/relationships/image" Target="media/image1754.png"/><Relationship Id="rId1822" Type="http://schemas.openxmlformats.org/officeDocument/2006/relationships/image" Target="media/image1755.png"/><Relationship Id="rId1823" Type="http://schemas.openxmlformats.org/officeDocument/2006/relationships/image" Target="media/image1756.png"/><Relationship Id="rId1824" Type="http://schemas.openxmlformats.org/officeDocument/2006/relationships/image" Target="media/image1757.png"/><Relationship Id="rId1825" Type="http://schemas.openxmlformats.org/officeDocument/2006/relationships/image" Target="media/image1758.png"/><Relationship Id="rId1826" Type="http://schemas.openxmlformats.org/officeDocument/2006/relationships/image" Target="media/image1759.png"/><Relationship Id="rId1827" Type="http://schemas.openxmlformats.org/officeDocument/2006/relationships/image" Target="media/image1760.png"/><Relationship Id="rId1828" Type="http://schemas.openxmlformats.org/officeDocument/2006/relationships/image" Target="media/image1761.png"/><Relationship Id="rId1829" Type="http://schemas.openxmlformats.org/officeDocument/2006/relationships/image" Target="media/image1762.png"/><Relationship Id="rId1830" Type="http://schemas.openxmlformats.org/officeDocument/2006/relationships/image" Target="media/image1763.png"/><Relationship Id="rId1831" Type="http://schemas.openxmlformats.org/officeDocument/2006/relationships/image" Target="media/image1764.png"/><Relationship Id="rId1832" Type="http://schemas.openxmlformats.org/officeDocument/2006/relationships/image" Target="media/image1765.png"/><Relationship Id="rId1833" Type="http://schemas.openxmlformats.org/officeDocument/2006/relationships/image" Target="media/image1766.png"/><Relationship Id="rId1834" Type="http://schemas.openxmlformats.org/officeDocument/2006/relationships/image" Target="media/image1767.png"/><Relationship Id="rId1835" Type="http://schemas.openxmlformats.org/officeDocument/2006/relationships/image" Target="media/image1768.png"/><Relationship Id="rId1836" Type="http://schemas.openxmlformats.org/officeDocument/2006/relationships/image" Target="media/image1769.png"/><Relationship Id="rId1837" Type="http://schemas.openxmlformats.org/officeDocument/2006/relationships/image" Target="media/image1770.png"/><Relationship Id="rId1838" Type="http://schemas.openxmlformats.org/officeDocument/2006/relationships/image" Target="media/image1771.png"/><Relationship Id="rId1839" Type="http://schemas.openxmlformats.org/officeDocument/2006/relationships/image" Target="media/image1772.png"/><Relationship Id="rId1840" Type="http://schemas.openxmlformats.org/officeDocument/2006/relationships/image" Target="media/image1773.png"/><Relationship Id="rId1841" Type="http://schemas.openxmlformats.org/officeDocument/2006/relationships/image" Target="media/image1774.png"/><Relationship Id="rId1842" Type="http://schemas.openxmlformats.org/officeDocument/2006/relationships/image" Target="media/image1775.png"/><Relationship Id="rId1843" Type="http://schemas.openxmlformats.org/officeDocument/2006/relationships/image" Target="media/image1776.png"/><Relationship Id="rId1844" Type="http://schemas.openxmlformats.org/officeDocument/2006/relationships/image" Target="media/image1777.png"/><Relationship Id="rId1845" Type="http://schemas.openxmlformats.org/officeDocument/2006/relationships/image" Target="media/image1778.png"/><Relationship Id="rId1846" Type="http://schemas.openxmlformats.org/officeDocument/2006/relationships/image" Target="media/image1779.png"/><Relationship Id="rId1847" Type="http://schemas.openxmlformats.org/officeDocument/2006/relationships/image" Target="media/image1780.png"/><Relationship Id="rId1848" Type="http://schemas.openxmlformats.org/officeDocument/2006/relationships/image" Target="media/image1781.png"/><Relationship Id="rId1849" Type="http://schemas.openxmlformats.org/officeDocument/2006/relationships/image" Target="media/image1782.png"/><Relationship Id="rId1850" Type="http://schemas.openxmlformats.org/officeDocument/2006/relationships/image" Target="media/image1783.png"/><Relationship Id="rId1851" Type="http://schemas.openxmlformats.org/officeDocument/2006/relationships/image" Target="media/image1784.png"/><Relationship Id="rId1852" Type="http://schemas.openxmlformats.org/officeDocument/2006/relationships/image" Target="media/image1785.png"/><Relationship Id="rId1853" Type="http://schemas.openxmlformats.org/officeDocument/2006/relationships/image" Target="media/image1786.png"/><Relationship Id="rId1854" Type="http://schemas.openxmlformats.org/officeDocument/2006/relationships/image" Target="media/image1787.png"/><Relationship Id="rId1855" Type="http://schemas.openxmlformats.org/officeDocument/2006/relationships/image" Target="media/image1788.png"/><Relationship Id="rId1856" Type="http://schemas.openxmlformats.org/officeDocument/2006/relationships/image" Target="media/image1789.png"/><Relationship Id="rId1857" Type="http://schemas.openxmlformats.org/officeDocument/2006/relationships/image" Target="media/image1790.png"/><Relationship Id="rId1858" Type="http://schemas.openxmlformats.org/officeDocument/2006/relationships/image" Target="media/image1791.png"/><Relationship Id="rId1859" Type="http://schemas.openxmlformats.org/officeDocument/2006/relationships/image" Target="media/image1792.png"/><Relationship Id="rId1860" Type="http://schemas.openxmlformats.org/officeDocument/2006/relationships/image" Target="media/image1793.png"/><Relationship Id="rId1861" Type="http://schemas.openxmlformats.org/officeDocument/2006/relationships/image" Target="media/image1794.png"/><Relationship Id="rId1862" Type="http://schemas.openxmlformats.org/officeDocument/2006/relationships/image" Target="media/image1795.png"/><Relationship Id="rId1863" Type="http://schemas.openxmlformats.org/officeDocument/2006/relationships/image" Target="media/image1796.png"/><Relationship Id="rId1864" Type="http://schemas.openxmlformats.org/officeDocument/2006/relationships/image" Target="media/image1797.png"/><Relationship Id="rId1865" Type="http://schemas.openxmlformats.org/officeDocument/2006/relationships/image" Target="media/image1798.png"/><Relationship Id="rId1866" Type="http://schemas.openxmlformats.org/officeDocument/2006/relationships/image" Target="media/image1799.png"/><Relationship Id="rId1867" Type="http://schemas.openxmlformats.org/officeDocument/2006/relationships/image" Target="media/image1800.png"/><Relationship Id="rId1868" Type="http://schemas.openxmlformats.org/officeDocument/2006/relationships/image" Target="media/image1801.png"/><Relationship Id="rId1869" Type="http://schemas.openxmlformats.org/officeDocument/2006/relationships/image" Target="media/image1802.png"/><Relationship Id="rId1870" Type="http://schemas.openxmlformats.org/officeDocument/2006/relationships/image" Target="media/image1803.png"/><Relationship Id="rId1871" Type="http://schemas.openxmlformats.org/officeDocument/2006/relationships/image" Target="media/image1804.png"/><Relationship Id="rId1872" Type="http://schemas.openxmlformats.org/officeDocument/2006/relationships/image" Target="media/image1805.png"/><Relationship Id="rId1873" Type="http://schemas.openxmlformats.org/officeDocument/2006/relationships/image" Target="media/image1806.png"/><Relationship Id="rId1874" Type="http://schemas.openxmlformats.org/officeDocument/2006/relationships/image" Target="media/image1807.png"/><Relationship Id="rId1875" Type="http://schemas.openxmlformats.org/officeDocument/2006/relationships/image" Target="media/image1808.png"/><Relationship Id="rId1876" Type="http://schemas.openxmlformats.org/officeDocument/2006/relationships/image" Target="media/image1809.png"/><Relationship Id="rId1877" Type="http://schemas.openxmlformats.org/officeDocument/2006/relationships/image" Target="media/image1810.png"/><Relationship Id="rId1878" Type="http://schemas.openxmlformats.org/officeDocument/2006/relationships/image" Target="media/image1811.png"/><Relationship Id="rId1879" Type="http://schemas.openxmlformats.org/officeDocument/2006/relationships/image" Target="media/image1812.png"/><Relationship Id="rId1880" Type="http://schemas.openxmlformats.org/officeDocument/2006/relationships/image" Target="media/image1813.png"/><Relationship Id="rId1881" Type="http://schemas.openxmlformats.org/officeDocument/2006/relationships/image" Target="media/image1814.png"/><Relationship Id="rId1882" Type="http://schemas.openxmlformats.org/officeDocument/2006/relationships/image" Target="media/image1815.png"/><Relationship Id="rId1883" Type="http://schemas.openxmlformats.org/officeDocument/2006/relationships/image" Target="media/image1816.png"/><Relationship Id="rId1884" Type="http://schemas.openxmlformats.org/officeDocument/2006/relationships/image" Target="media/image1817.png"/><Relationship Id="rId1885" Type="http://schemas.openxmlformats.org/officeDocument/2006/relationships/image" Target="media/image1818.png"/><Relationship Id="rId1886" Type="http://schemas.openxmlformats.org/officeDocument/2006/relationships/image" Target="media/image1819.png"/><Relationship Id="rId1887" Type="http://schemas.openxmlformats.org/officeDocument/2006/relationships/image" Target="media/image1820.png"/><Relationship Id="rId1888" Type="http://schemas.openxmlformats.org/officeDocument/2006/relationships/image" Target="media/image1821.png"/><Relationship Id="rId1889" Type="http://schemas.openxmlformats.org/officeDocument/2006/relationships/image" Target="media/image1822.png"/><Relationship Id="rId1890" Type="http://schemas.openxmlformats.org/officeDocument/2006/relationships/image" Target="media/image1823.png"/><Relationship Id="rId1891" Type="http://schemas.openxmlformats.org/officeDocument/2006/relationships/image" Target="media/image1824.png"/><Relationship Id="rId1892" Type="http://schemas.openxmlformats.org/officeDocument/2006/relationships/image" Target="media/image1825.png"/><Relationship Id="rId1893" Type="http://schemas.openxmlformats.org/officeDocument/2006/relationships/image" Target="media/image1826.png"/><Relationship Id="rId1894" Type="http://schemas.openxmlformats.org/officeDocument/2006/relationships/image" Target="media/image1827.png"/><Relationship Id="rId1895" Type="http://schemas.openxmlformats.org/officeDocument/2006/relationships/image" Target="media/image1828.png"/><Relationship Id="rId1896" Type="http://schemas.openxmlformats.org/officeDocument/2006/relationships/image" Target="media/image1829.png"/><Relationship Id="rId1897" Type="http://schemas.openxmlformats.org/officeDocument/2006/relationships/image" Target="media/image1830.png"/><Relationship Id="rId1898" Type="http://schemas.openxmlformats.org/officeDocument/2006/relationships/image" Target="media/image1831.png"/><Relationship Id="rId1899" Type="http://schemas.openxmlformats.org/officeDocument/2006/relationships/image" Target="media/image1832.png"/><Relationship Id="rId1900" Type="http://schemas.openxmlformats.org/officeDocument/2006/relationships/image" Target="media/image1833.png"/><Relationship Id="rId1901" Type="http://schemas.openxmlformats.org/officeDocument/2006/relationships/image" Target="media/image1834.png"/><Relationship Id="rId1902" Type="http://schemas.openxmlformats.org/officeDocument/2006/relationships/image" Target="media/image1835.png"/><Relationship Id="rId1903" Type="http://schemas.openxmlformats.org/officeDocument/2006/relationships/image" Target="media/image1836.png"/><Relationship Id="rId1904" Type="http://schemas.openxmlformats.org/officeDocument/2006/relationships/image" Target="media/image1837.png"/><Relationship Id="rId1905" Type="http://schemas.openxmlformats.org/officeDocument/2006/relationships/image" Target="media/image1838.png"/><Relationship Id="rId1906" Type="http://schemas.openxmlformats.org/officeDocument/2006/relationships/image" Target="media/image1839.png"/><Relationship Id="rId1907" Type="http://schemas.openxmlformats.org/officeDocument/2006/relationships/image" Target="media/image1840.png"/><Relationship Id="rId1908" Type="http://schemas.openxmlformats.org/officeDocument/2006/relationships/image" Target="media/image1841.png"/><Relationship Id="rId1909" Type="http://schemas.openxmlformats.org/officeDocument/2006/relationships/image" Target="media/image1842.png"/><Relationship Id="rId1910" Type="http://schemas.openxmlformats.org/officeDocument/2006/relationships/image" Target="media/image1843.png"/><Relationship Id="rId1911" Type="http://schemas.openxmlformats.org/officeDocument/2006/relationships/image" Target="media/image1844.png"/><Relationship Id="rId1912" Type="http://schemas.openxmlformats.org/officeDocument/2006/relationships/image" Target="media/image1845.png"/><Relationship Id="rId1913" Type="http://schemas.openxmlformats.org/officeDocument/2006/relationships/image" Target="media/image1846.png"/><Relationship Id="rId1914" Type="http://schemas.openxmlformats.org/officeDocument/2006/relationships/image" Target="media/image1847.png"/><Relationship Id="rId1915" Type="http://schemas.openxmlformats.org/officeDocument/2006/relationships/image" Target="media/image1848.png"/><Relationship Id="rId1916" Type="http://schemas.openxmlformats.org/officeDocument/2006/relationships/image" Target="media/image1849.png"/><Relationship Id="rId1917" Type="http://schemas.openxmlformats.org/officeDocument/2006/relationships/image" Target="media/image1850.png"/><Relationship Id="rId1918" Type="http://schemas.openxmlformats.org/officeDocument/2006/relationships/image" Target="media/image1851.png"/><Relationship Id="rId1919" Type="http://schemas.openxmlformats.org/officeDocument/2006/relationships/image" Target="media/image1852.png"/><Relationship Id="rId1920" Type="http://schemas.openxmlformats.org/officeDocument/2006/relationships/image" Target="media/image1853.png"/><Relationship Id="rId1921" Type="http://schemas.openxmlformats.org/officeDocument/2006/relationships/image" Target="media/image1854.png"/><Relationship Id="rId1922" Type="http://schemas.openxmlformats.org/officeDocument/2006/relationships/image" Target="media/image1855.png"/><Relationship Id="rId1923" Type="http://schemas.openxmlformats.org/officeDocument/2006/relationships/image" Target="media/image1856.png"/><Relationship Id="rId1924" Type="http://schemas.openxmlformats.org/officeDocument/2006/relationships/image" Target="media/image1857.png"/><Relationship Id="rId1925" Type="http://schemas.openxmlformats.org/officeDocument/2006/relationships/image" Target="media/image1858.png"/><Relationship Id="rId1926" Type="http://schemas.openxmlformats.org/officeDocument/2006/relationships/image" Target="media/image1859.png"/><Relationship Id="rId1927" Type="http://schemas.openxmlformats.org/officeDocument/2006/relationships/image" Target="media/image1860.png"/><Relationship Id="rId1928" Type="http://schemas.openxmlformats.org/officeDocument/2006/relationships/image" Target="media/image1861.png"/><Relationship Id="rId1929" Type="http://schemas.openxmlformats.org/officeDocument/2006/relationships/image" Target="media/image1862.png"/><Relationship Id="rId1930" Type="http://schemas.openxmlformats.org/officeDocument/2006/relationships/image" Target="media/image1863.png"/><Relationship Id="rId1931" Type="http://schemas.openxmlformats.org/officeDocument/2006/relationships/image" Target="media/image1864.png"/><Relationship Id="rId1932" Type="http://schemas.openxmlformats.org/officeDocument/2006/relationships/image" Target="media/image1865.png"/><Relationship Id="rId1933" Type="http://schemas.openxmlformats.org/officeDocument/2006/relationships/image" Target="media/image1866.png"/><Relationship Id="rId1934" Type="http://schemas.openxmlformats.org/officeDocument/2006/relationships/image" Target="media/image1867.png"/><Relationship Id="rId1935" Type="http://schemas.openxmlformats.org/officeDocument/2006/relationships/image" Target="media/image1868.png"/><Relationship Id="rId1936" Type="http://schemas.openxmlformats.org/officeDocument/2006/relationships/image" Target="media/image1869.png"/><Relationship Id="rId1937" Type="http://schemas.openxmlformats.org/officeDocument/2006/relationships/image" Target="media/image1870.png"/><Relationship Id="rId1938" Type="http://schemas.openxmlformats.org/officeDocument/2006/relationships/image" Target="media/image1871.png"/><Relationship Id="rId1939" Type="http://schemas.openxmlformats.org/officeDocument/2006/relationships/image" Target="media/image1872.png"/><Relationship Id="rId1940" Type="http://schemas.openxmlformats.org/officeDocument/2006/relationships/image" Target="media/image1873.png"/><Relationship Id="rId1941" Type="http://schemas.openxmlformats.org/officeDocument/2006/relationships/image" Target="media/image1874.png"/><Relationship Id="rId1942" Type="http://schemas.openxmlformats.org/officeDocument/2006/relationships/image" Target="media/image1875.png"/><Relationship Id="rId1943" Type="http://schemas.openxmlformats.org/officeDocument/2006/relationships/image" Target="media/image1876.png"/><Relationship Id="rId1944" Type="http://schemas.openxmlformats.org/officeDocument/2006/relationships/image" Target="media/image1877.png"/><Relationship Id="rId1945" Type="http://schemas.openxmlformats.org/officeDocument/2006/relationships/image" Target="media/image1878.png"/><Relationship Id="rId1946" Type="http://schemas.openxmlformats.org/officeDocument/2006/relationships/image" Target="media/image1879.png"/><Relationship Id="rId1947" Type="http://schemas.openxmlformats.org/officeDocument/2006/relationships/image" Target="media/image1880.png"/><Relationship Id="rId1948" Type="http://schemas.openxmlformats.org/officeDocument/2006/relationships/image" Target="media/image1881.png"/><Relationship Id="rId1949" Type="http://schemas.openxmlformats.org/officeDocument/2006/relationships/image" Target="media/image1882.png"/><Relationship Id="rId1950" Type="http://schemas.openxmlformats.org/officeDocument/2006/relationships/image" Target="media/image1883.png"/><Relationship Id="rId1951" Type="http://schemas.openxmlformats.org/officeDocument/2006/relationships/image" Target="media/image1884.png"/><Relationship Id="rId1952" Type="http://schemas.openxmlformats.org/officeDocument/2006/relationships/image" Target="media/image1885.png"/><Relationship Id="rId1953" Type="http://schemas.openxmlformats.org/officeDocument/2006/relationships/image" Target="media/image1886.png"/><Relationship Id="rId1954" Type="http://schemas.openxmlformats.org/officeDocument/2006/relationships/image" Target="media/image1887.png"/><Relationship Id="rId1955" Type="http://schemas.openxmlformats.org/officeDocument/2006/relationships/image" Target="media/image1888.png"/><Relationship Id="rId1956" Type="http://schemas.openxmlformats.org/officeDocument/2006/relationships/image" Target="media/image1889.png"/><Relationship Id="rId1957" Type="http://schemas.openxmlformats.org/officeDocument/2006/relationships/image" Target="media/image1890.png"/><Relationship Id="rId1958" Type="http://schemas.openxmlformats.org/officeDocument/2006/relationships/image" Target="media/image1891.png"/><Relationship Id="rId1959" Type="http://schemas.openxmlformats.org/officeDocument/2006/relationships/image" Target="media/image1892.png"/><Relationship Id="rId1960" Type="http://schemas.openxmlformats.org/officeDocument/2006/relationships/image" Target="media/image1893.png"/><Relationship Id="rId1961" Type="http://schemas.openxmlformats.org/officeDocument/2006/relationships/image" Target="media/image1894.png"/><Relationship Id="rId1962" Type="http://schemas.openxmlformats.org/officeDocument/2006/relationships/image" Target="media/image1895.png"/><Relationship Id="rId1963" Type="http://schemas.openxmlformats.org/officeDocument/2006/relationships/image" Target="media/image1896.png"/><Relationship Id="rId1964" Type="http://schemas.openxmlformats.org/officeDocument/2006/relationships/image" Target="media/image1897.png"/><Relationship Id="rId1965" Type="http://schemas.openxmlformats.org/officeDocument/2006/relationships/image" Target="media/image1898.png"/><Relationship Id="rId1966" Type="http://schemas.openxmlformats.org/officeDocument/2006/relationships/image" Target="media/image1899.png"/><Relationship Id="rId1967" Type="http://schemas.openxmlformats.org/officeDocument/2006/relationships/image" Target="media/image1900.png"/><Relationship Id="rId1968" Type="http://schemas.openxmlformats.org/officeDocument/2006/relationships/image" Target="media/image1901.png"/><Relationship Id="rId1969" Type="http://schemas.openxmlformats.org/officeDocument/2006/relationships/image" Target="media/image1902.png"/><Relationship Id="rId1970" Type="http://schemas.openxmlformats.org/officeDocument/2006/relationships/image" Target="media/image1903.png"/><Relationship Id="rId1971" Type="http://schemas.openxmlformats.org/officeDocument/2006/relationships/image" Target="media/image1904.png"/><Relationship Id="rId1972" Type="http://schemas.openxmlformats.org/officeDocument/2006/relationships/image" Target="media/image1905.png"/><Relationship Id="rId1973" Type="http://schemas.openxmlformats.org/officeDocument/2006/relationships/image" Target="media/image1906.png"/><Relationship Id="rId1974" Type="http://schemas.openxmlformats.org/officeDocument/2006/relationships/image" Target="media/image1907.png"/><Relationship Id="rId1975" Type="http://schemas.openxmlformats.org/officeDocument/2006/relationships/image" Target="media/image1908.png"/><Relationship Id="rId1976" Type="http://schemas.openxmlformats.org/officeDocument/2006/relationships/image" Target="media/image1909.png"/><Relationship Id="rId1977" Type="http://schemas.openxmlformats.org/officeDocument/2006/relationships/image" Target="media/image1910.png"/><Relationship Id="rId1978" Type="http://schemas.openxmlformats.org/officeDocument/2006/relationships/image" Target="media/image1911.png"/><Relationship Id="rId1979" Type="http://schemas.openxmlformats.org/officeDocument/2006/relationships/image" Target="media/image1912.png"/><Relationship Id="rId1980" Type="http://schemas.openxmlformats.org/officeDocument/2006/relationships/image" Target="media/image1913.png"/><Relationship Id="rId1981" Type="http://schemas.openxmlformats.org/officeDocument/2006/relationships/image" Target="media/image1914.png"/><Relationship Id="rId1982" Type="http://schemas.openxmlformats.org/officeDocument/2006/relationships/image" Target="media/image1915.png"/><Relationship Id="rId1983" Type="http://schemas.openxmlformats.org/officeDocument/2006/relationships/image" Target="media/image1916.png"/><Relationship Id="rId1984" Type="http://schemas.openxmlformats.org/officeDocument/2006/relationships/image" Target="media/image1917.png"/><Relationship Id="rId1985" Type="http://schemas.openxmlformats.org/officeDocument/2006/relationships/image" Target="media/image1918.png"/><Relationship Id="rId1986" Type="http://schemas.openxmlformats.org/officeDocument/2006/relationships/image" Target="media/image1919.png"/><Relationship Id="rId1987" Type="http://schemas.openxmlformats.org/officeDocument/2006/relationships/image" Target="media/image1920.png"/><Relationship Id="rId1988" Type="http://schemas.openxmlformats.org/officeDocument/2006/relationships/image" Target="media/image1921.png"/><Relationship Id="rId1989" Type="http://schemas.openxmlformats.org/officeDocument/2006/relationships/image" Target="media/image1922.png"/><Relationship Id="rId1990" Type="http://schemas.openxmlformats.org/officeDocument/2006/relationships/image" Target="media/image1923.png"/><Relationship Id="rId1991" Type="http://schemas.openxmlformats.org/officeDocument/2006/relationships/image" Target="media/image1924.png"/><Relationship Id="rId1992" Type="http://schemas.openxmlformats.org/officeDocument/2006/relationships/image" Target="media/image1925.png"/><Relationship Id="rId1993" Type="http://schemas.openxmlformats.org/officeDocument/2006/relationships/image" Target="media/image1926.png"/><Relationship Id="rId1994" Type="http://schemas.openxmlformats.org/officeDocument/2006/relationships/image" Target="media/image1927.png"/><Relationship Id="rId1995" Type="http://schemas.openxmlformats.org/officeDocument/2006/relationships/image" Target="media/image1928.png"/><Relationship Id="rId1996" Type="http://schemas.openxmlformats.org/officeDocument/2006/relationships/image" Target="media/image1929.png"/><Relationship Id="rId1997" Type="http://schemas.openxmlformats.org/officeDocument/2006/relationships/image" Target="media/image1930.png"/><Relationship Id="rId1998" Type="http://schemas.openxmlformats.org/officeDocument/2006/relationships/image" Target="media/image1931.png"/><Relationship Id="rId1999" Type="http://schemas.openxmlformats.org/officeDocument/2006/relationships/image" Target="media/image1932.png"/><Relationship Id="rId2000" Type="http://schemas.openxmlformats.org/officeDocument/2006/relationships/image" Target="media/image1933.png"/><Relationship Id="rId2001" Type="http://schemas.openxmlformats.org/officeDocument/2006/relationships/image" Target="media/image1934.png"/><Relationship Id="rId2002" Type="http://schemas.openxmlformats.org/officeDocument/2006/relationships/image" Target="media/image1935.png"/><Relationship Id="rId2003" Type="http://schemas.openxmlformats.org/officeDocument/2006/relationships/image" Target="media/image1936.png"/><Relationship Id="rId2004" Type="http://schemas.openxmlformats.org/officeDocument/2006/relationships/image" Target="media/image1937.png"/><Relationship Id="rId2005" Type="http://schemas.openxmlformats.org/officeDocument/2006/relationships/image" Target="media/image1938.png"/><Relationship Id="rId2006" Type="http://schemas.openxmlformats.org/officeDocument/2006/relationships/image" Target="media/image1939.png"/><Relationship Id="rId2007" Type="http://schemas.openxmlformats.org/officeDocument/2006/relationships/image" Target="media/image1940.png"/><Relationship Id="rId2008" Type="http://schemas.openxmlformats.org/officeDocument/2006/relationships/image" Target="media/image1941.png"/><Relationship Id="rId2009" Type="http://schemas.openxmlformats.org/officeDocument/2006/relationships/image" Target="media/image1942.png"/><Relationship Id="rId2010" Type="http://schemas.openxmlformats.org/officeDocument/2006/relationships/image" Target="media/image1943.png"/><Relationship Id="rId2011" Type="http://schemas.openxmlformats.org/officeDocument/2006/relationships/image" Target="media/image1944.png"/><Relationship Id="rId2012" Type="http://schemas.openxmlformats.org/officeDocument/2006/relationships/image" Target="media/image1945.png"/><Relationship Id="rId2013" Type="http://schemas.openxmlformats.org/officeDocument/2006/relationships/image" Target="media/image1946.png"/><Relationship Id="rId2014" Type="http://schemas.openxmlformats.org/officeDocument/2006/relationships/image" Target="media/image1947.png"/><Relationship Id="rId2015" Type="http://schemas.openxmlformats.org/officeDocument/2006/relationships/image" Target="media/image1948.png"/><Relationship Id="rId2016" Type="http://schemas.openxmlformats.org/officeDocument/2006/relationships/image" Target="media/image1949.png"/><Relationship Id="rId2017" Type="http://schemas.openxmlformats.org/officeDocument/2006/relationships/image" Target="media/image1950.png"/><Relationship Id="rId2018" Type="http://schemas.openxmlformats.org/officeDocument/2006/relationships/image" Target="media/image1951.png"/><Relationship Id="rId2019" Type="http://schemas.openxmlformats.org/officeDocument/2006/relationships/image" Target="media/image1952.png"/><Relationship Id="rId2020" Type="http://schemas.openxmlformats.org/officeDocument/2006/relationships/image" Target="media/image1953.png"/><Relationship Id="rId2021" Type="http://schemas.openxmlformats.org/officeDocument/2006/relationships/image" Target="media/image1954.png"/><Relationship Id="rId2022" Type="http://schemas.openxmlformats.org/officeDocument/2006/relationships/image" Target="media/image1955.png"/><Relationship Id="rId2023" Type="http://schemas.openxmlformats.org/officeDocument/2006/relationships/image" Target="media/image1956.png"/><Relationship Id="rId2024" Type="http://schemas.openxmlformats.org/officeDocument/2006/relationships/image" Target="media/image1957.png"/><Relationship Id="rId2025" Type="http://schemas.openxmlformats.org/officeDocument/2006/relationships/image" Target="media/image1958.png"/><Relationship Id="rId2026" Type="http://schemas.openxmlformats.org/officeDocument/2006/relationships/image" Target="media/image1959.png"/><Relationship Id="rId2027" Type="http://schemas.openxmlformats.org/officeDocument/2006/relationships/image" Target="media/image1960.png"/><Relationship Id="rId2028" Type="http://schemas.openxmlformats.org/officeDocument/2006/relationships/image" Target="media/image1961.png"/><Relationship Id="rId2029" Type="http://schemas.openxmlformats.org/officeDocument/2006/relationships/image" Target="media/image1962.png"/><Relationship Id="rId2030" Type="http://schemas.openxmlformats.org/officeDocument/2006/relationships/image" Target="media/image1963.png"/><Relationship Id="rId2031" Type="http://schemas.openxmlformats.org/officeDocument/2006/relationships/image" Target="media/image1964.png"/><Relationship Id="rId2032" Type="http://schemas.openxmlformats.org/officeDocument/2006/relationships/image" Target="media/image1965.png"/><Relationship Id="rId2033" Type="http://schemas.openxmlformats.org/officeDocument/2006/relationships/image" Target="media/image1966.png"/><Relationship Id="rId2034" Type="http://schemas.openxmlformats.org/officeDocument/2006/relationships/image" Target="media/image1967.png"/><Relationship Id="rId2035" Type="http://schemas.openxmlformats.org/officeDocument/2006/relationships/image" Target="media/image1968.png"/><Relationship Id="rId2036" Type="http://schemas.openxmlformats.org/officeDocument/2006/relationships/image" Target="media/image1969.png"/><Relationship Id="rId2037" Type="http://schemas.openxmlformats.org/officeDocument/2006/relationships/image" Target="media/image1970.png"/><Relationship Id="rId2038" Type="http://schemas.openxmlformats.org/officeDocument/2006/relationships/image" Target="media/image1971.png"/><Relationship Id="rId2039" Type="http://schemas.openxmlformats.org/officeDocument/2006/relationships/image" Target="media/image1972.png"/><Relationship Id="rId2040" Type="http://schemas.openxmlformats.org/officeDocument/2006/relationships/image" Target="media/image1973.png"/><Relationship Id="rId2041" Type="http://schemas.openxmlformats.org/officeDocument/2006/relationships/image" Target="media/image1974.png"/><Relationship Id="rId2042" Type="http://schemas.openxmlformats.org/officeDocument/2006/relationships/image" Target="media/image1975.png"/><Relationship Id="rId2043" Type="http://schemas.openxmlformats.org/officeDocument/2006/relationships/image" Target="media/image1976.png"/><Relationship Id="rId2044" Type="http://schemas.openxmlformats.org/officeDocument/2006/relationships/image" Target="media/image1977.png"/><Relationship Id="rId2045" Type="http://schemas.openxmlformats.org/officeDocument/2006/relationships/image" Target="media/image1978.png"/><Relationship Id="rId2046" Type="http://schemas.openxmlformats.org/officeDocument/2006/relationships/image" Target="media/image1979.png"/><Relationship Id="rId2047" Type="http://schemas.openxmlformats.org/officeDocument/2006/relationships/image" Target="media/image1980.png"/><Relationship Id="rId2048" Type="http://schemas.openxmlformats.org/officeDocument/2006/relationships/image" Target="media/image1981.png"/><Relationship Id="rId2049" Type="http://schemas.openxmlformats.org/officeDocument/2006/relationships/image" Target="media/image1982.png"/><Relationship Id="rId2050" Type="http://schemas.openxmlformats.org/officeDocument/2006/relationships/image" Target="media/image1983.png"/><Relationship Id="rId2051" Type="http://schemas.openxmlformats.org/officeDocument/2006/relationships/image" Target="media/image1984.png"/><Relationship Id="rId2052" Type="http://schemas.openxmlformats.org/officeDocument/2006/relationships/image" Target="media/image1985.png"/><Relationship Id="rId2053" Type="http://schemas.openxmlformats.org/officeDocument/2006/relationships/image" Target="media/image1986.png"/><Relationship Id="rId2054" Type="http://schemas.openxmlformats.org/officeDocument/2006/relationships/image" Target="media/image1987.png"/><Relationship Id="rId2055" Type="http://schemas.openxmlformats.org/officeDocument/2006/relationships/image" Target="media/image1988.png"/><Relationship Id="rId2056" Type="http://schemas.openxmlformats.org/officeDocument/2006/relationships/image" Target="media/image1989.png"/><Relationship Id="rId2057" Type="http://schemas.openxmlformats.org/officeDocument/2006/relationships/image" Target="media/image1990.png"/><Relationship Id="rId2058" Type="http://schemas.openxmlformats.org/officeDocument/2006/relationships/image" Target="media/image1991.png"/><Relationship Id="rId2059" Type="http://schemas.openxmlformats.org/officeDocument/2006/relationships/image" Target="media/image1992.png"/><Relationship Id="rId2060" Type="http://schemas.openxmlformats.org/officeDocument/2006/relationships/image" Target="media/image1993.png"/><Relationship Id="rId2061" Type="http://schemas.openxmlformats.org/officeDocument/2006/relationships/image" Target="media/image1994.png"/><Relationship Id="rId2062" Type="http://schemas.openxmlformats.org/officeDocument/2006/relationships/image" Target="media/image1995.png"/><Relationship Id="rId2063" Type="http://schemas.openxmlformats.org/officeDocument/2006/relationships/image" Target="media/image1996.png"/><Relationship Id="rId2064" Type="http://schemas.openxmlformats.org/officeDocument/2006/relationships/image" Target="media/image1997.png"/><Relationship Id="rId2065" Type="http://schemas.openxmlformats.org/officeDocument/2006/relationships/image" Target="media/image1998.png"/><Relationship Id="rId2066" Type="http://schemas.openxmlformats.org/officeDocument/2006/relationships/image" Target="media/image1999.png"/><Relationship Id="rId2067" Type="http://schemas.openxmlformats.org/officeDocument/2006/relationships/image" Target="media/image2000.png"/><Relationship Id="rId2068" Type="http://schemas.openxmlformats.org/officeDocument/2006/relationships/image" Target="media/image2001.png"/><Relationship Id="rId2069" Type="http://schemas.openxmlformats.org/officeDocument/2006/relationships/image" Target="media/image2002.png"/><Relationship Id="rId2070" Type="http://schemas.openxmlformats.org/officeDocument/2006/relationships/image" Target="media/image2003.png"/><Relationship Id="rId2071" Type="http://schemas.openxmlformats.org/officeDocument/2006/relationships/image" Target="media/image2004.png"/><Relationship Id="rId2072" Type="http://schemas.openxmlformats.org/officeDocument/2006/relationships/image" Target="media/image2005.png"/><Relationship Id="rId2073" Type="http://schemas.openxmlformats.org/officeDocument/2006/relationships/image" Target="media/image2006.png"/><Relationship Id="rId2074" Type="http://schemas.openxmlformats.org/officeDocument/2006/relationships/image" Target="media/image2007.png"/><Relationship Id="rId2075" Type="http://schemas.openxmlformats.org/officeDocument/2006/relationships/image" Target="media/image2008.png"/><Relationship Id="rId2076" Type="http://schemas.openxmlformats.org/officeDocument/2006/relationships/image" Target="media/image2009.png"/><Relationship Id="rId2077" Type="http://schemas.openxmlformats.org/officeDocument/2006/relationships/image" Target="media/image2010.png"/><Relationship Id="rId2078" Type="http://schemas.openxmlformats.org/officeDocument/2006/relationships/image" Target="media/image2011.png"/><Relationship Id="rId2079" Type="http://schemas.openxmlformats.org/officeDocument/2006/relationships/image" Target="media/image2012.png"/><Relationship Id="rId2080" Type="http://schemas.openxmlformats.org/officeDocument/2006/relationships/image" Target="media/image2013.png"/><Relationship Id="rId2081" Type="http://schemas.openxmlformats.org/officeDocument/2006/relationships/image" Target="media/image2014.png"/><Relationship Id="rId2082" Type="http://schemas.openxmlformats.org/officeDocument/2006/relationships/image" Target="media/image2015.png"/><Relationship Id="rId2083" Type="http://schemas.openxmlformats.org/officeDocument/2006/relationships/image" Target="media/image2016.png"/><Relationship Id="rId2084" Type="http://schemas.openxmlformats.org/officeDocument/2006/relationships/image" Target="media/image2017.png"/><Relationship Id="rId2085" Type="http://schemas.openxmlformats.org/officeDocument/2006/relationships/image" Target="media/image2018.png"/><Relationship Id="rId2086" Type="http://schemas.openxmlformats.org/officeDocument/2006/relationships/image" Target="media/image2019.png"/><Relationship Id="rId2087" Type="http://schemas.openxmlformats.org/officeDocument/2006/relationships/image" Target="media/image2020.png"/><Relationship Id="rId2088" Type="http://schemas.openxmlformats.org/officeDocument/2006/relationships/image" Target="media/image2021.png"/><Relationship Id="rId2089" Type="http://schemas.openxmlformats.org/officeDocument/2006/relationships/image" Target="media/image2022.png"/><Relationship Id="rId2090" Type="http://schemas.openxmlformats.org/officeDocument/2006/relationships/image" Target="media/image2023.png"/><Relationship Id="rId2091" Type="http://schemas.openxmlformats.org/officeDocument/2006/relationships/image" Target="media/image2024.png"/><Relationship Id="rId2092" Type="http://schemas.openxmlformats.org/officeDocument/2006/relationships/image" Target="media/image2025.png"/><Relationship Id="rId2093" Type="http://schemas.openxmlformats.org/officeDocument/2006/relationships/image" Target="media/image2026.png"/><Relationship Id="rId2094" Type="http://schemas.openxmlformats.org/officeDocument/2006/relationships/image" Target="media/image2027.png"/><Relationship Id="rId2095" Type="http://schemas.openxmlformats.org/officeDocument/2006/relationships/image" Target="media/image2028.png"/><Relationship Id="rId2096" Type="http://schemas.openxmlformats.org/officeDocument/2006/relationships/image" Target="media/image2029.png"/><Relationship Id="rId2097" Type="http://schemas.openxmlformats.org/officeDocument/2006/relationships/image" Target="media/image2030.png"/><Relationship Id="rId2098" Type="http://schemas.openxmlformats.org/officeDocument/2006/relationships/image" Target="media/image2031.png"/><Relationship Id="rId2099" Type="http://schemas.openxmlformats.org/officeDocument/2006/relationships/image" Target="media/image2032.png"/><Relationship Id="rId2100" Type="http://schemas.openxmlformats.org/officeDocument/2006/relationships/image" Target="media/image2033.png"/><Relationship Id="rId2101" Type="http://schemas.openxmlformats.org/officeDocument/2006/relationships/image" Target="media/image2034.png"/><Relationship Id="rId2102" Type="http://schemas.openxmlformats.org/officeDocument/2006/relationships/image" Target="media/image2035.png"/><Relationship Id="rId2103" Type="http://schemas.openxmlformats.org/officeDocument/2006/relationships/image" Target="media/image2036.png"/><Relationship Id="rId2104" Type="http://schemas.openxmlformats.org/officeDocument/2006/relationships/image" Target="media/image2037.png"/><Relationship Id="rId2105" Type="http://schemas.openxmlformats.org/officeDocument/2006/relationships/image" Target="media/image2038.png"/><Relationship Id="rId2106" Type="http://schemas.openxmlformats.org/officeDocument/2006/relationships/image" Target="media/image2039.png"/><Relationship Id="rId2107" Type="http://schemas.openxmlformats.org/officeDocument/2006/relationships/image" Target="media/image2040.png"/><Relationship Id="rId2108" Type="http://schemas.openxmlformats.org/officeDocument/2006/relationships/image" Target="media/image2041.png"/><Relationship Id="rId2109" Type="http://schemas.openxmlformats.org/officeDocument/2006/relationships/image" Target="media/image2042.png"/><Relationship Id="rId2110" Type="http://schemas.openxmlformats.org/officeDocument/2006/relationships/image" Target="media/image2043.png"/><Relationship Id="rId2111" Type="http://schemas.openxmlformats.org/officeDocument/2006/relationships/image" Target="media/image2044.png"/><Relationship Id="rId2112" Type="http://schemas.openxmlformats.org/officeDocument/2006/relationships/image" Target="media/image2045.png"/><Relationship Id="rId2113" Type="http://schemas.openxmlformats.org/officeDocument/2006/relationships/image" Target="media/image2046.png"/><Relationship Id="rId2114" Type="http://schemas.openxmlformats.org/officeDocument/2006/relationships/image" Target="media/image2047.png"/><Relationship Id="rId2115" Type="http://schemas.openxmlformats.org/officeDocument/2006/relationships/image" Target="media/image2048.png"/><Relationship Id="rId2116" Type="http://schemas.openxmlformats.org/officeDocument/2006/relationships/image" Target="media/image2049.png"/><Relationship Id="rId2117" Type="http://schemas.openxmlformats.org/officeDocument/2006/relationships/image" Target="media/image2050.png"/><Relationship Id="rId2118" Type="http://schemas.openxmlformats.org/officeDocument/2006/relationships/image" Target="media/image2051.png"/><Relationship Id="rId2119" Type="http://schemas.openxmlformats.org/officeDocument/2006/relationships/image" Target="media/image2052.png"/><Relationship Id="rId2120" Type="http://schemas.openxmlformats.org/officeDocument/2006/relationships/image" Target="media/image2053.png"/><Relationship Id="rId2121" Type="http://schemas.openxmlformats.org/officeDocument/2006/relationships/image" Target="media/image2054.png"/><Relationship Id="rId2122" Type="http://schemas.openxmlformats.org/officeDocument/2006/relationships/image" Target="media/image2055.png"/><Relationship Id="rId2123" Type="http://schemas.openxmlformats.org/officeDocument/2006/relationships/image" Target="media/image2056.png"/><Relationship Id="rId2124" Type="http://schemas.openxmlformats.org/officeDocument/2006/relationships/image" Target="media/image2057.png"/><Relationship Id="rId2125" Type="http://schemas.openxmlformats.org/officeDocument/2006/relationships/image" Target="media/image2058.png"/><Relationship Id="rId2126" Type="http://schemas.openxmlformats.org/officeDocument/2006/relationships/image" Target="media/image2059.png"/><Relationship Id="rId2127" Type="http://schemas.openxmlformats.org/officeDocument/2006/relationships/image" Target="media/image2060.png"/><Relationship Id="rId2128" Type="http://schemas.openxmlformats.org/officeDocument/2006/relationships/image" Target="media/image2061.png"/><Relationship Id="rId2129" Type="http://schemas.openxmlformats.org/officeDocument/2006/relationships/image" Target="media/image2062.png"/><Relationship Id="rId2130" Type="http://schemas.openxmlformats.org/officeDocument/2006/relationships/image" Target="media/image2063.png"/><Relationship Id="rId2131" Type="http://schemas.openxmlformats.org/officeDocument/2006/relationships/image" Target="media/image2064.png"/><Relationship Id="rId2132" Type="http://schemas.openxmlformats.org/officeDocument/2006/relationships/image" Target="media/image2065.png"/><Relationship Id="rId2133" Type="http://schemas.openxmlformats.org/officeDocument/2006/relationships/image" Target="media/image2066.png"/><Relationship Id="rId2134" Type="http://schemas.openxmlformats.org/officeDocument/2006/relationships/image" Target="media/image2067.png"/><Relationship Id="rId2135" Type="http://schemas.openxmlformats.org/officeDocument/2006/relationships/image" Target="media/image2068.png"/><Relationship Id="rId2136" Type="http://schemas.openxmlformats.org/officeDocument/2006/relationships/image" Target="media/image2069.png"/><Relationship Id="rId2137" Type="http://schemas.openxmlformats.org/officeDocument/2006/relationships/image" Target="media/image2070.png"/><Relationship Id="rId2138" Type="http://schemas.openxmlformats.org/officeDocument/2006/relationships/image" Target="media/image2071.png"/><Relationship Id="rId2139" Type="http://schemas.openxmlformats.org/officeDocument/2006/relationships/image" Target="media/image2072.png"/><Relationship Id="rId2140" Type="http://schemas.openxmlformats.org/officeDocument/2006/relationships/image" Target="media/image2073.png"/><Relationship Id="rId2141" Type="http://schemas.openxmlformats.org/officeDocument/2006/relationships/image" Target="media/image2074.png"/><Relationship Id="rId2142" Type="http://schemas.openxmlformats.org/officeDocument/2006/relationships/image" Target="media/image2075.png"/><Relationship Id="rId2143" Type="http://schemas.openxmlformats.org/officeDocument/2006/relationships/image" Target="media/image2076.png"/><Relationship Id="rId2144" Type="http://schemas.openxmlformats.org/officeDocument/2006/relationships/image" Target="media/image2077.png"/><Relationship Id="rId2145" Type="http://schemas.openxmlformats.org/officeDocument/2006/relationships/image" Target="media/image2078.png"/><Relationship Id="rId2146" Type="http://schemas.openxmlformats.org/officeDocument/2006/relationships/image" Target="media/image2079.png"/><Relationship Id="rId2147" Type="http://schemas.openxmlformats.org/officeDocument/2006/relationships/image" Target="media/image2080.png"/><Relationship Id="rId2148" Type="http://schemas.openxmlformats.org/officeDocument/2006/relationships/image" Target="media/image2081.png"/><Relationship Id="rId2149" Type="http://schemas.openxmlformats.org/officeDocument/2006/relationships/image" Target="media/image2082.png"/><Relationship Id="rId2150" Type="http://schemas.openxmlformats.org/officeDocument/2006/relationships/image" Target="media/image2083.png"/><Relationship Id="rId2151" Type="http://schemas.openxmlformats.org/officeDocument/2006/relationships/image" Target="media/image2084.png"/><Relationship Id="rId2152" Type="http://schemas.openxmlformats.org/officeDocument/2006/relationships/image" Target="media/image2085.png"/><Relationship Id="rId2153" Type="http://schemas.openxmlformats.org/officeDocument/2006/relationships/image" Target="media/image2086.png"/><Relationship Id="rId2154" Type="http://schemas.openxmlformats.org/officeDocument/2006/relationships/image" Target="media/image2087.png"/><Relationship Id="rId2155" Type="http://schemas.openxmlformats.org/officeDocument/2006/relationships/image" Target="media/image2088.png"/><Relationship Id="rId2156" Type="http://schemas.openxmlformats.org/officeDocument/2006/relationships/image" Target="media/image2089.png"/><Relationship Id="rId2157" Type="http://schemas.openxmlformats.org/officeDocument/2006/relationships/image" Target="media/image2090.png"/><Relationship Id="rId2158" Type="http://schemas.openxmlformats.org/officeDocument/2006/relationships/image" Target="media/image2091.png"/><Relationship Id="rId2159" Type="http://schemas.openxmlformats.org/officeDocument/2006/relationships/image" Target="media/image2092.png"/><Relationship Id="rId2160" Type="http://schemas.openxmlformats.org/officeDocument/2006/relationships/image" Target="media/image2093.png"/><Relationship Id="rId2161" Type="http://schemas.openxmlformats.org/officeDocument/2006/relationships/image" Target="media/image2094.png"/><Relationship Id="rId2162" Type="http://schemas.openxmlformats.org/officeDocument/2006/relationships/image" Target="media/image2095.png"/><Relationship Id="rId2163" Type="http://schemas.openxmlformats.org/officeDocument/2006/relationships/image" Target="media/image2096.png"/><Relationship Id="rId2164" Type="http://schemas.openxmlformats.org/officeDocument/2006/relationships/image" Target="media/image2097.png"/><Relationship Id="rId2165" Type="http://schemas.openxmlformats.org/officeDocument/2006/relationships/image" Target="media/image2098.png"/><Relationship Id="rId2166" Type="http://schemas.openxmlformats.org/officeDocument/2006/relationships/image" Target="media/image2099.png"/><Relationship Id="rId2167" Type="http://schemas.openxmlformats.org/officeDocument/2006/relationships/image" Target="media/image2100.png"/><Relationship Id="rId2168" Type="http://schemas.openxmlformats.org/officeDocument/2006/relationships/image" Target="media/image2101.png"/><Relationship Id="rId2169" Type="http://schemas.openxmlformats.org/officeDocument/2006/relationships/image" Target="media/image2102.png"/><Relationship Id="rId2170" Type="http://schemas.openxmlformats.org/officeDocument/2006/relationships/image" Target="media/image2103.png"/><Relationship Id="rId2171" Type="http://schemas.openxmlformats.org/officeDocument/2006/relationships/image" Target="media/image2104.png"/><Relationship Id="rId2172" Type="http://schemas.openxmlformats.org/officeDocument/2006/relationships/image" Target="media/image2105.png"/><Relationship Id="rId2173" Type="http://schemas.openxmlformats.org/officeDocument/2006/relationships/image" Target="media/image2106.png"/><Relationship Id="rId2174" Type="http://schemas.openxmlformats.org/officeDocument/2006/relationships/image" Target="media/image2107.png"/><Relationship Id="rId2175" Type="http://schemas.openxmlformats.org/officeDocument/2006/relationships/image" Target="media/image2108.png"/><Relationship Id="rId2176" Type="http://schemas.openxmlformats.org/officeDocument/2006/relationships/image" Target="media/image2109.png"/><Relationship Id="rId2177" Type="http://schemas.openxmlformats.org/officeDocument/2006/relationships/image" Target="media/image2110.png"/><Relationship Id="rId2178" Type="http://schemas.openxmlformats.org/officeDocument/2006/relationships/image" Target="media/image2111.png"/><Relationship Id="rId2179" Type="http://schemas.openxmlformats.org/officeDocument/2006/relationships/image" Target="media/image2112.png"/><Relationship Id="rId2180" Type="http://schemas.openxmlformats.org/officeDocument/2006/relationships/image" Target="media/image2113.png"/><Relationship Id="rId2181" Type="http://schemas.openxmlformats.org/officeDocument/2006/relationships/image" Target="media/image2114.png"/><Relationship Id="rId2182" Type="http://schemas.openxmlformats.org/officeDocument/2006/relationships/image" Target="media/image2115.png"/><Relationship Id="rId2183" Type="http://schemas.openxmlformats.org/officeDocument/2006/relationships/image" Target="media/image2116.png"/><Relationship Id="rId2184" Type="http://schemas.openxmlformats.org/officeDocument/2006/relationships/image" Target="media/image2117.png"/><Relationship Id="rId2185" Type="http://schemas.openxmlformats.org/officeDocument/2006/relationships/image" Target="media/image2118.png"/><Relationship Id="rId2186" Type="http://schemas.openxmlformats.org/officeDocument/2006/relationships/image" Target="media/image2119.png"/><Relationship Id="rId2187" Type="http://schemas.openxmlformats.org/officeDocument/2006/relationships/image" Target="media/image2120.png"/><Relationship Id="rId2188" Type="http://schemas.openxmlformats.org/officeDocument/2006/relationships/image" Target="media/image2121.png"/><Relationship Id="rId2189" Type="http://schemas.openxmlformats.org/officeDocument/2006/relationships/image" Target="media/image2122.png"/><Relationship Id="rId2190" Type="http://schemas.openxmlformats.org/officeDocument/2006/relationships/image" Target="media/image2123.png"/><Relationship Id="rId2191" Type="http://schemas.openxmlformats.org/officeDocument/2006/relationships/image" Target="media/image2124.png"/><Relationship Id="rId2192" Type="http://schemas.openxmlformats.org/officeDocument/2006/relationships/image" Target="media/image2125.png"/><Relationship Id="rId2193" Type="http://schemas.openxmlformats.org/officeDocument/2006/relationships/image" Target="media/image2126.png"/><Relationship Id="rId2194" Type="http://schemas.openxmlformats.org/officeDocument/2006/relationships/image" Target="media/image2127.png"/><Relationship Id="rId2195" Type="http://schemas.openxmlformats.org/officeDocument/2006/relationships/image" Target="media/image2128.png"/><Relationship Id="rId2196" Type="http://schemas.openxmlformats.org/officeDocument/2006/relationships/image" Target="media/image2129.png"/><Relationship Id="rId2197" Type="http://schemas.openxmlformats.org/officeDocument/2006/relationships/image" Target="media/image2130.png"/><Relationship Id="rId2198" Type="http://schemas.openxmlformats.org/officeDocument/2006/relationships/image" Target="media/image2131.png"/><Relationship Id="rId2199" Type="http://schemas.openxmlformats.org/officeDocument/2006/relationships/image" Target="media/image2132.png"/><Relationship Id="rId2200" Type="http://schemas.openxmlformats.org/officeDocument/2006/relationships/image" Target="media/image2133.png"/><Relationship Id="rId2201" Type="http://schemas.openxmlformats.org/officeDocument/2006/relationships/image" Target="media/image2134.png"/><Relationship Id="rId2202" Type="http://schemas.openxmlformats.org/officeDocument/2006/relationships/image" Target="media/image2135.png"/><Relationship Id="rId2203" Type="http://schemas.openxmlformats.org/officeDocument/2006/relationships/image" Target="media/image2136.png"/><Relationship Id="rId2204" Type="http://schemas.openxmlformats.org/officeDocument/2006/relationships/image" Target="media/image2137.png"/><Relationship Id="rId2205" Type="http://schemas.openxmlformats.org/officeDocument/2006/relationships/image" Target="media/image2138.png"/><Relationship Id="rId2206" Type="http://schemas.openxmlformats.org/officeDocument/2006/relationships/image" Target="media/image2139.png"/><Relationship Id="rId2207" Type="http://schemas.openxmlformats.org/officeDocument/2006/relationships/image" Target="media/image2140.png"/><Relationship Id="rId2208" Type="http://schemas.openxmlformats.org/officeDocument/2006/relationships/image" Target="media/image2141.png"/><Relationship Id="rId2209" Type="http://schemas.openxmlformats.org/officeDocument/2006/relationships/image" Target="media/image2142.png"/><Relationship Id="rId2210" Type="http://schemas.openxmlformats.org/officeDocument/2006/relationships/image" Target="media/image2143.png"/><Relationship Id="rId2211" Type="http://schemas.openxmlformats.org/officeDocument/2006/relationships/image" Target="media/image2144.png"/><Relationship Id="rId2212" Type="http://schemas.openxmlformats.org/officeDocument/2006/relationships/image" Target="media/image2145.png"/><Relationship Id="rId2213" Type="http://schemas.openxmlformats.org/officeDocument/2006/relationships/image" Target="media/image2146.png"/><Relationship Id="rId2214" Type="http://schemas.openxmlformats.org/officeDocument/2006/relationships/image" Target="media/image2147.png"/><Relationship Id="rId2215" Type="http://schemas.openxmlformats.org/officeDocument/2006/relationships/image" Target="media/image2148.png"/><Relationship Id="rId2216" Type="http://schemas.openxmlformats.org/officeDocument/2006/relationships/image" Target="media/image2149.png"/><Relationship Id="rId2217" Type="http://schemas.openxmlformats.org/officeDocument/2006/relationships/image" Target="media/image2150.png"/><Relationship Id="rId2218" Type="http://schemas.openxmlformats.org/officeDocument/2006/relationships/image" Target="media/image2151.png"/><Relationship Id="rId2219" Type="http://schemas.openxmlformats.org/officeDocument/2006/relationships/image" Target="media/image2152.png"/><Relationship Id="rId2220" Type="http://schemas.openxmlformats.org/officeDocument/2006/relationships/image" Target="media/image2153.png"/><Relationship Id="rId2221" Type="http://schemas.openxmlformats.org/officeDocument/2006/relationships/image" Target="media/image2154.png"/><Relationship Id="rId2222" Type="http://schemas.openxmlformats.org/officeDocument/2006/relationships/image" Target="media/image2155.png"/><Relationship Id="rId2223" Type="http://schemas.openxmlformats.org/officeDocument/2006/relationships/image" Target="media/image2156.png"/><Relationship Id="rId2224" Type="http://schemas.openxmlformats.org/officeDocument/2006/relationships/image" Target="media/image2157.png"/><Relationship Id="rId2225" Type="http://schemas.openxmlformats.org/officeDocument/2006/relationships/image" Target="media/image2158.png"/><Relationship Id="rId2226" Type="http://schemas.openxmlformats.org/officeDocument/2006/relationships/image" Target="media/image2159.png"/><Relationship Id="rId2227" Type="http://schemas.openxmlformats.org/officeDocument/2006/relationships/image" Target="media/image2160.png"/><Relationship Id="rId2228" Type="http://schemas.openxmlformats.org/officeDocument/2006/relationships/image" Target="media/image2161.png"/><Relationship Id="rId2229" Type="http://schemas.openxmlformats.org/officeDocument/2006/relationships/image" Target="media/image2162.png"/><Relationship Id="rId2230" Type="http://schemas.openxmlformats.org/officeDocument/2006/relationships/image" Target="media/image2163.png"/><Relationship Id="rId2231" Type="http://schemas.openxmlformats.org/officeDocument/2006/relationships/image" Target="media/image2164.png"/><Relationship Id="rId2232" Type="http://schemas.openxmlformats.org/officeDocument/2006/relationships/image" Target="media/image2165.png"/><Relationship Id="rId2233" Type="http://schemas.openxmlformats.org/officeDocument/2006/relationships/image" Target="media/image2166.png"/><Relationship Id="rId2234" Type="http://schemas.openxmlformats.org/officeDocument/2006/relationships/image" Target="media/image2167.png"/><Relationship Id="rId2235" Type="http://schemas.openxmlformats.org/officeDocument/2006/relationships/image" Target="media/image2168.png"/><Relationship Id="rId2236" Type="http://schemas.openxmlformats.org/officeDocument/2006/relationships/image" Target="media/image2169.png"/><Relationship Id="rId2237" Type="http://schemas.openxmlformats.org/officeDocument/2006/relationships/image" Target="media/image2170.png"/><Relationship Id="rId2238" Type="http://schemas.openxmlformats.org/officeDocument/2006/relationships/image" Target="media/image2171.png"/><Relationship Id="rId2239" Type="http://schemas.openxmlformats.org/officeDocument/2006/relationships/image" Target="media/image2172.png"/><Relationship Id="rId2240" Type="http://schemas.openxmlformats.org/officeDocument/2006/relationships/image" Target="media/image2173.png"/><Relationship Id="rId2241" Type="http://schemas.openxmlformats.org/officeDocument/2006/relationships/image" Target="media/image2174.png"/><Relationship Id="rId2242" Type="http://schemas.openxmlformats.org/officeDocument/2006/relationships/image" Target="media/image2175.png"/><Relationship Id="rId2243" Type="http://schemas.openxmlformats.org/officeDocument/2006/relationships/image" Target="media/image2176.png"/><Relationship Id="rId2244" Type="http://schemas.openxmlformats.org/officeDocument/2006/relationships/image" Target="media/image2177.png"/><Relationship Id="rId2245" Type="http://schemas.openxmlformats.org/officeDocument/2006/relationships/image" Target="media/image2178.png"/><Relationship Id="rId2246" Type="http://schemas.openxmlformats.org/officeDocument/2006/relationships/image" Target="media/image2179.png"/><Relationship Id="rId2247" Type="http://schemas.openxmlformats.org/officeDocument/2006/relationships/image" Target="media/image2180.png"/><Relationship Id="rId2248" Type="http://schemas.openxmlformats.org/officeDocument/2006/relationships/image" Target="media/image2181.png"/><Relationship Id="rId2249" Type="http://schemas.openxmlformats.org/officeDocument/2006/relationships/image" Target="media/image2182.png"/><Relationship Id="rId2250" Type="http://schemas.openxmlformats.org/officeDocument/2006/relationships/image" Target="media/image2183.png"/><Relationship Id="rId2251" Type="http://schemas.openxmlformats.org/officeDocument/2006/relationships/image" Target="media/image2184.png"/><Relationship Id="rId2252" Type="http://schemas.openxmlformats.org/officeDocument/2006/relationships/image" Target="media/image2185.png"/><Relationship Id="rId2253" Type="http://schemas.openxmlformats.org/officeDocument/2006/relationships/image" Target="media/image2186.png"/><Relationship Id="rId2254" Type="http://schemas.openxmlformats.org/officeDocument/2006/relationships/image" Target="media/image2187.png"/><Relationship Id="rId2255" Type="http://schemas.openxmlformats.org/officeDocument/2006/relationships/image" Target="media/image2188.png"/><Relationship Id="rId2256" Type="http://schemas.openxmlformats.org/officeDocument/2006/relationships/image" Target="media/image2189.png"/><Relationship Id="rId2257" Type="http://schemas.openxmlformats.org/officeDocument/2006/relationships/image" Target="media/image2190.png"/><Relationship Id="rId2258" Type="http://schemas.openxmlformats.org/officeDocument/2006/relationships/image" Target="media/image2191.png"/><Relationship Id="rId2259" Type="http://schemas.openxmlformats.org/officeDocument/2006/relationships/image" Target="media/image2192.png"/><Relationship Id="rId2260" Type="http://schemas.openxmlformats.org/officeDocument/2006/relationships/image" Target="media/image2193.png"/><Relationship Id="rId2261" Type="http://schemas.openxmlformats.org/officeDocument/2006/relationships/image" Target="media/image2194.png"/><Relationship Id="rId2262" Type="http://schemas.openxmlformats.org/officeDocument/2006/relationships/image" Target="media/image2195.png"/><Relationship Id="rId2263" Type="http://schemas.openxmlformats.org/officeDocument/2006/relationships/image" Target="media/image2196.png"/><Relationship Id="rId2264" Type="http://schemas.openxmlformats.org/officeDocument/2006/relationships/image" Target="media/image2197.png"/><Relationship Id="rId2265" Type="http://schemas.openxmlformats.org/officeDocument/2006/relationships/image" Target="media/image2198.png"/><Relationship Id="rId2266" Type="http://schemas.openxmlformats.org/officeDocument/2006/relationships/image" Target="media/image2199.png"/><Relationship Id="rId2267" Type="http://schemas.openxmlformats.org/officeDocument/2006/relationships/image" Target="media/image2200.png"/><Relationship Id="rId2268" Type="http://schemas.openxmlformats.org/officeDocument/2006/relationships/image" Target="media/image2201.png"/><Relationship Id="rId2269" Type="http://schemas.openxmlformats.org/officeDocument/2006/relationships/image" Target="media/image2202.png"/><Relationship Id="rId2270" Type="http://schemas.openxmlformats.org/officeDocument/2006/relationships/image" Target="media/image2203.png"/><Relationship Id="rId2271" Type="http://schemas.openxmlformats.org/officeDocument/2006/relationships/image" Target="media/image2204.png"/><Relationship Id="rId2272" Type="http://schemas.openxmlformats.org/officeDocument/2006/relationships/image" Target="media/image2205.png"/><Relationship Id="rId2273" Type="http://schemas.openxmlformats.org/officeDocument/2006/relationships/image" Target="media/image2206.png"/><Relationship Id="rId2274" Type="http://schemas.openxmlformats.org/officeDocument/2006/relationships/image" Target="media/image2207.png"/><Relationship Id="rId2275" Type="http://schemas.openxmlformats.org/officeDocument/2006/relationships/image" Target="media/image2208.png"/><Relationship Id="rId2276" Type="http://schemas.openxmlformats.org/officeDocument/2006/relationships/image" Target="media/image2209.png"/><Relationship Id="rId2277" Type="http://schemas.openxmlformats.org/officeDocument/2006/relationships/image" Target="media/image2210.png"/><Relationship Id="rId2278" Type="http://schemas.openxmlformats.org/officeDocument/2006/relationships/image" Target="media/image2211.png"/><Relationship Id="rId2279" Type="http://schemas.openxmlformats.org/officeDocument/2006/relationships/image" Target="media/image2212.png"/><Relationship Id="rId2280" Type="http://schemas.openxmlformats.org/officeDocument/2006/relationships/image" Target="media/image2213.png"/><Relationship Id="rId2281" Type="http://schemas.openxmlformats.org/officeDocument/2006/relationships/image" Target="media/image2214.png"/><Relationship Id="rId2282" Type="http://schemas.openxmlformats.org/officeDocument/2006/relationships/image" Target="media/image2215.png"/><Relationship Id="rId2283" Type="http://schemas.openxmlformats.org/officeDocument/2006/relationships/image" Target="media/image2216.png"/><Relationship Id="rId2284" Type="http://schemas.openxmlformats.org/officeDocument/2006/relationships/image" Target="media/image2217.png"/><Relationship Id="rId2285" Type="http://schemas.openxmlformats.org/officeDocument/2006/relationships/image" Target="media/image2218.png"/><Relationship Id="rId2286" Type="http://schemas.openxmlformats.org/officeDocument/2006/relationships/image" Target="media/image2219.png"/><Relationship Id="rId2287" Type="http://schemas.openxmlformats.org/officeDocument/2006/relationships/image" Target="media/image2220.png"/><Relationship Id="rId2288" Type="http://schemas.openxmlformats.org/officeDocument/2006/relationships/image" Target="media/image2221.png"/><Relationship Id="rId2289" Type="http://schemas.openxmlformats.org/officeDocument/2006/relationships/image" Target="media/image2222.png"/><Relationship Id="rId2290" Type="http://schemas.openxmlformats.org/officeDocument/2006/relationships/image" Target="media/image2223.png"/><Relationship Id="rId2291" Type="http://schemas.openxmlformats.org/officeDocument/2006/relationships/image" Target="media/image2224.png"/><Relationship Id="rId2292" Type="http://schemas.openxmlformats.org/officeDocument/2006/relationships/image" Target="media/image2225.png"/><Relationship Id="rId2293" Type="http://schemas.openxmlformats.org/officeDocument/2006/relationships/image" Target="media/image2226.png"/><Relationship Id="rId2294" Type="http://schemas.openxmlformats.org/officeDocument/2006/relationships/image" Target="media/image2227.png"/><Relationship Id="rId2295" Type="http://schemas.openxmlformats.org/officeDocument/2006/relationships/image" Target="media/image2228.png"/><Relationship Id="rId2296" Type="http://schemas.openxmlformats.org/officeDocument/2006/relationships/image" Target="media/image2229.png"/><Relationship Id="rId2297" Type="http://schemas.openxmlformats.org/officeDocument/2006/relationships/image" Target="media/image2230.png"/><Relationship Id="rId2298" Type="http://schemas.openxmlformats.org/officeDocument/2006/relationships/image" Target="media/image2231.png"/><Relationship Id="rId2299" Type="http://schemas.openxmlformats.org/officeDocument/2006/relationships/image" Target="media/image2232.png"/><Relationship Id="rId2300" Type="http://schemas.openxmlformats.org/officeDocument/2006/relationships/image" Target="media/image2233.png"/><Relationship Id="rId2301" Type="http://schemas.openxmlformats.org/officeDocument/2006/relationships/image" Target="media/image2234.png"/><Relationship Id="rId2302" Type="http://schemas.openxmlformats.org/officeDocument/2006/relationships/image" Target="media/image2235.png"/><Relationship Id="rId2303" Type="http://schemas.openxmlformats.org/officeDocument/2006/relationships/image" Target="media/image2236.png"/><Relationship Id="rId2304" Type="http://schemas.openxmlformats.org/officeDocument/2006/relationships/image" Target="media/image2237.png"/><Relationship Id="rId2305" Type="http://schemas.openxmlformats.org/officeDocument/2006/relationships/image" Target="media/image2238.png"/><Relationship Id="rId2306" Type="http://schemas.openxmlformats.org/officeDocument/2006/relationships/image" Target="media/image2239.png"/><Relationship Id="rId2307" Type="http://schemas.openxmlformats.org/officeDocument/2006/relationships/image" Target="media/image2240.png"/><Relationship Id="rId2308" Type="http://schemas.openxmlformats.org/officeDocument/2006/relationships/image" Target="media/image2241.png"/><Relationship Id="rId2309" Type="http://schemas.openxmlformats.org/officeDocument/2006/relationships/image" Target="media/image2242.png"/><Relationship Id="rId2310" Type="http://schemas.openxmlformats.org/officeDocument/2006/relationships/image" Target="media/image2243.png"/><Relationship Id="rId2311" Type="http://schemas.openxmlformats.org/officeDocument/2006/relationships/image" Target="media/image2244.png"/><Relationship Id="rId2312" Type="http://schemas.openxmlformats.org/officeDocument/2006/relationships/image" Target="media/image2245.png"/><Relationship Id="rId2313" Type="http://schemas.openxmlformats.org/officeDocument/2006/relationships/image" Target="media/image2246.png"/><Relationship Id="rId2314" Type="http://schemas.openxmlformats.org/officeDocument/2006/relationships/image" Target="media/image2247.png"/><Relationship Id="rId2315" Type="http://schemas.openxmlformats.org/officeDocument/2006/relationships/image" Target="media/image2248.png"/><Relationship Id="rId2316" Type="http://schemas.openxmlformats.org/officeDocument/2006/relationships/image" Target="media/image2249.png"/><Relationship Id="rId2317" Type="http://schemas.openxmlformats.org/officeDocument/2006/relationships/image" Target="media/image2250.png"/><Relationship Id="rId2318" Type="http://schemas.openxmlformats.org/officeDocument/2006/relationships/image" Target="media/image2251.png"/><Relationship Id="rId2319" Type="http://schemas.openxmlformats.org/officeDocument/2006/relationships/image" Target="media/image2252.png"/><Relationship Id="rId2320" Type="http://schemas.openxmlformats.org/officeDocument/2006/relationships/image" Target="media/image2253.png"/><Relationship Id="rId2321" Type="http://schemas.openxmlformats.org/officeDocument/2006/relationships/image" Target="media/image2254.png"/><Relationship Id="rId2322" Type="http://schemas.openxmlformats.org/officeDocument/2006/relationships/image" Target="media/image2255.png"/><Relationship Id="rId2323" Type="http://schemas.openxmlformats.org/officeDocument/2006/relationships/image" Target="media/image2256.png"/><Relationship Id="rId2324" Type="http://schemas.openxmlformats.org/officeDocument/2006/relationships/image" Target="media/image2257.png"/><Relationship Id="rId2325" Type="http://schemas.openxmlformats.org/officeDocument/2006/relationships/image" Target="media/image2258.png"/><Relationship Id="rId2326" Type="http://schemas.openxmlformats.org/officeDocument/2006/relationships/image" Target="media/image2259.png"/><Relationship Id="rId2327" Type="http://schemas.openxmlformats.org/officeDocument/2006/relationships/image" Target="media/image2260.png"/><Relationship Id="rId2328" Type="http://schemas.openxmlformats.org/officeDocument/2006/relationships/image" Target="media/image2261.png"/><Relationship Id="rId2329" Type="http://schemas.openxmlformats.org/officeDocument/2006/relationships/image" Target="media/image2262.png"/><Relationship Id="rId2330" Type="http://schemas.openxmlformats.org/officeDocument/2006/relationships/image" Target="media/image2263.png"/><Relationship Id="rId2331" Type="http://schemas.openxmlformats.org/officeDocument/2006/relationships/image" Target="media/image2264.png"/><Relationship Id="rId2332" Type="http://schemas.openxmlformats.org/officeDocument/2006/relationships/image" Target="media/image2265.png"/><Relationship Id="rId2333" Type="http://schemas.openxmlformats.org/officeDocument/2006/relationships/image" Target="media/image2266.png"/><Relationship Id="rId2334" Type="http://schemas.openxmlformats.org/officeDocument/2006/relationships/image" Target="media/image2267.png"/><Relationship Id="rId2335" Type="http://schemas.openxmlformats.org/officeDocument/2006/relationships/image" Target="media/image2268.png"/><Relationship Id="rId2336" Type="http://schemas.openxmlformats.org/officeDocument/2006/relationships/image" Target="media/image2269.png"/><Relationship Id="rId2337" Type="http://schemas.openxmlformats.org/officeDocument/2006/relationships/image" Target="media/image2270.png"/><Relationship Id="rId2338" Type="http://schemas.openxmlformats.org/officeDocument/2006/relationships/image" Target="media/image2271.png"/><Relationship Id="rId2339" Type="http://schemas.openxmlformats.org/officeDocument/2006/relationships/image" Target="media/image2272.png"/><Relationship Id="rId2340" Type="http://schemas.openxmlformats.org/officeDocument/2006/relationships/image" Target="media/image2273.png"/><Relationship Id="rId2341" Type="http://schemas.openxmlformats.org/officeDocument/2006/relationships/image" Target="media/image2274.png"/><Relationship Id="rId2342" Type="http://schemas.openxmlformats.org/officeDocument/2006/relationships/image" Target="media/image2275.png"/><Relationship Id="rId2343" Type="http://schemas.openxmlformats.org/officeDocument/2006/relationships/image" Target="media/image2276.png"/><Relationship Id="rId2344" Type="http://schemas.openxmlformats.org/officeDocument/2006/relationships/image" Target="media/image2277.png"/><Relationship Id="rId2345" Type="http://schemas.openxmlformats.org/officeDocument/2006/relationships/image" Target="media/image2278.png"/><Relationship Id="rId2346" Type="http://schemas.openxmlformats.org/officeDocument/2006/relationships/image" Target="media/image2279.png"/><Relationship Id="rId2347" Type="http://schemas.openxmlformats.org/officeDocument/2006/relationships/image" Target="media/image2280.png"/><Relationship Id="rId2348" Type="http://schemas.openxmlformats.org/officeDocument/2006/relationships/image" Target="media/image2281.png"/><Relationship Id="rId2349" Type="http://schemas.openxmlformats.org/officeDocument/2006/relationships/image" Target="media/image2282.png"/><Relationship Id="rId2350" Type="http://schemas.openxmlformats.org/officeDocument/2006/relationships/image" Target="media/image2283.png"/><Relationship Id="rId2351" Type="http://schemas.openxmlformats.org/officeDocument/2006/relationships/image" Target="media/image2284.png"/><Relationship Id="rId2352" Type="http://schemas.openxmlformats.org/officeDocument/2006/relationships/image" Target="media/image2285.png"/><Relationship Id="rId2353" Type="http://schemas.openxmlformats.org/officeDocument/2006/relationships/image" Target="media/image2286.png"/><Relationship Id="rId2354" Type="http://schemas.openxmlformats.org/officeDocument/2006/relationships/image" Target="media/image2287.png"/><Relationship Id="rId2355" Type="http://schemas.openxmlformats.org/officeDocument/2006/relationships/image" Target="media/image2288.png"/><Relationship Id="rId2356" Type="http://schemas.openxmlformats.org/officeDocument/2006/relationships/image" Target="media/image2289.png"/><Relationship Id="rId2357" Type="http://schemas.openxmlformats.org/officeDocument/2006/relationships/image" Target="media/image2290.png"/><Relationship Id="rId2358" Type="http://schemas.openxmlformats.org/officeDocument/2006/relationships/image" Target="media/image2291.png"/><Relationship Id="rId2359" Type="http://schemas.openxmlformats.org/officeDocument/2006/relationships/image" Target="media/image2292.png"/><Relationship Id="rId2360" Type="http://schemas.openxmlformats.org/officeDocument/2006/relationships/image" Target="media/image2293.png"/><Relationship Id="rId2361" Type="http://schemas.openxmlformats.org/officeDocument/2006/relationships/image" Target="media/image2294.png"/><Relationship Id="rId2362" Type="http://schemas.openxmlformats.org/officeDocument/2006/relationships/image" Target="media/image2295.png"/><Relationship Id="rId2363" Type="http://schemas.openxmlformats.org/officeDocument/2006/relationships/image" Target="media/image2296.png"/><Relationship Id="rId2364" Type="http://schemas.openxmlformats.org/officeDocument/2006/relationships/image" Target="media/image2297.png"/><Relationship Id="rId2365" Type="http://schemas.openxmlformats.org/officeDocument/2006/relationships/image" Target="media/image2298.png"/><Relationship Id="rId2366" Type="http://schemas.openxmlformats.org/officeDocument/2006/relationships/image" Target="media/image2299.png"/><Relationship Id="rId2367" Type="http://schemas.openxmlformats.org/officeDocument/2006/relationships/image" Target="media/image2300.png"/><Relationship Id="rId2368" Type="http://schemas.openxmlformats.org/officeDocument/2006/relationships/image" Target="media/image2301.png"/><Relationship Id="rId2369" Type="http://schemas.openxmlformats.org/officeDocument/2006/relationships/image" Target="media/image2302.png"/><Relationship Id="rId2370" Type="http://schemas.openxmlformats.org/officeDocument/2006/relationships/image" Target="media/image2303.png"/><Relationship Id="rId2371" Type="http://schemas.openxmlformats.org/officeDocument/2006/relationships/image" Target="media/image2304.png"/><Relationship Id="rId2372" Type="http://schemas.openxmlformats.org/officeDocument/2006/relationships/image" Target="media/image2305.png"/><Relationship Id="rId2373" Type="http://schemas.openxmlformats.org/officeDocument/2006/relationships/image" Target="media/image2306.png"/><Relationship Id="rId2374" Type="http://schemas.openxmlformats.org/officeDocument/2006/relationships/image" Target="media/image2307.png"/><Relationship Id="rId2375" Type="http://schemas.openxmlformats.org/officeDocument/2006/relationships/image" Target="media/image2308.png"/><Relationship Id="rId2376" Type="http://schemas.openxmlformats.org/officeDocument/2006/relationships/image" Target="media/image2309.png"/><Relationship Id="rId2377" Type="http://schemas.openxmlformats.org/officeDocument/2006/relationships/image" Target="media/image2310.png"/><Relationship Id="rId2378" Type="http://schemas.openxmlformats.org/officeDocument/2006/relationships/image" Target="media/image2311.png"/><Relationship Id="rId2379" Type="http://schemas.openxmlformats.org/officeDocument/2006/relationships/image" Target="media/image2312.png"/><Relationship Id="rId2380" Type="http://schemas.openxmlformats.org/officeDocument/2006/relationships/image" Target="media/image2313.png"/><Relationship Id="rId2381" Type="http://schemas.openxmlformats.org/officeDocument/2006/relationships/image" Target="media/image2314.png"/><Relationship Id="rId2382" Type="http://schemas.openxmlformats.org/officeDocument/2006/relationships/image" Target="media/image2315.png"/><Relationship Id="rId2383" Type="http://schemas.openxmlformats.org/officeDocument/2006/relationships/image" Target="media/image2316.png"/><Relationship Id="rId2384" Type="http://schemas.openxmlformats.org/officeDocument/2006/relationships/image" Target="media/image2317.png"/><Relationship Id="rId2385" Type="http://schemas.openxmlformats.org/officeDocument/2006/relationships/image" Target="media/image2318.png"/><Relationship Id="rId2386" Type="http://schemas.openxmlformats.org/officeDocument/2006/relationships/image" Target="media/image2319.png"/><Relationship Id="rId2387" Type="http://schemas.openxmlformats.org/officeDocument/2006/relationships/image" Target="media/image2320.png"/><Relationship Id="rId2388" Type="http://schemas.openxmlformats.org/officeDocument/2006/relationships/image" Target="media/image2321.png"/><Relationship Id="rId2389" Type="http://schemas.openxmlformats.org/officeDocument/2006/relationships/image" Target="media/image2322.png"/><Relationship Id="rId2390" Type="http://schemas.openxmlformats.org/officeDocument/2006/relationships/image" Target="media/image2323.png"/><Relationship Id="rId2391" Type="http://schemas.openxmlformats.org/officeDocument/2006/relationships/image" Target="media/image2324.png"/><Relationship Id="rId2392" Type="http://schemas.openxmlformats.org/officeDocument/2006/relationships/image" Target="media/image2325.png"/><Relationship Id="rId2393" Type="http://schemas.openxmlformats.org/officeDocument/2006/relationships/image" Target="media/image2326.png"/><Relationship Id="rId2394" Type="http://schemas.openxmlformats.org/officeDocument/2006/relationships/image" Target="media/image2327.png"/><Relationship Id="rId2395" Type="http://schemas.openxmlformats.org/officeDocument/2006/relationships/image" Target="media/image2328.png"/><Relationship Id="rId2396" Type="http://schemas.openxmlformats.org/officeDocument/2006/relationships/image" Target="media/image2329.png"/><Relationship Id="rId2397" Type="http://schemas.openxmlformats.org/officeDocument/2006/relationships/image" Target="media/image2330.png"/><Relationship Id="rId2398" Type="http://schemas.openxmlformats.org/officeDocument/2006/relationships/image" Target="media/image2331.png"/><Relationship Id="rId2399" Type="http://schemas.openxmlformats.org/officeDocument/2006/relationships/image" Target="media/image2332.png"/><Relationship Id="rId2400" Type="http://schemas.openxmlformats.org/officeDocument/2006/relationships/image" Target="media/image2333.png"/><Relationship Id="rId2401" Type="http://schemas.openxmlformats.org/officeDocument/2006/relationships/image" Target="media/image2334.png"/><Relationship Id="rId2402" Type="http://schemas.openxmlformats.org/officeDocument/2006/relationships/image" Target="media/image2335.png"/><Relationship Id="rId2403" Type="http://schemas.openxmlformats.org/officeDocument/2006/relationships/image" Target="media/image2336.png"/><Relationship Id="rId2404" Type="http://schemas.openxmlformats.org/officeDocument/2006/relationships/image" Target="media/image2337.png"/><Relationship Id="rId2405" Type="http://schemas.openxmlformats.org/officeDocument/2006/relationships/image" Target="media/image2338.png"/><Relationship Id="rId2406" Type="http://schemas.openxmlformats.org/officeDocument/2006/relationships/image" Target="media/image2339.png"/><Relationship Id="rId2407" Type="http://schemas.openxmlformats.org/officeDocument/2006/relationships/image" Target="media/image2340.png"/><Relationship Id="rId2408" Type="http://schemas.openxmlformats.org/officeDocument/2006/relationships/image" Target="media/image2341.png"/><Relationship Id="rId2409" Type="http://schemas.openxmlformats.org/officeDocument/2006/relationships/image" Target="media/image2342.png"/><Relationship Id="rId2410" Type="http://schemas.openxmlformats.org/officeDocument/2006/relationships/image" Target="media/image2343.png"/><Relationship Id="rId2411" Type="http://schemas.openxmlformats.org/officeDocument/2006/relationships/image" Target="media/image2344.png"/><Relationship Id="rId2412" Type="http://schemas.openxmlformats.org/officeDocument/2006/relationships/image" Target="media/image2345.png"/><Relationship Id="rId2413" Type="http://schemas.openxmlformats.org/officeDocument/2006/relationships/image" Target="media/image2346.png"/><Relationship Id="rId2414" Type="http://schemas.openxmlformats.org/officeDocument/2006/relationships/image" Target="media/image2347.png"/><Relationship Id="rId2415" Type="http://schemas.openxmlformats.org/officeDocument/2006/relationships/image" Target="media/image2348.png"/><Relationship Id="rId2416" Type="http://schemas.openxmlformats.org/officeDocument/2006/relationships/image" Target="media/image2349.png"/><Relationship Id="rId2417" Type="http://schemas.openxmlformats.org/officeDocument/2006/relationships/image" Target="media/image2350.png"/><Relationship Id="rId2418" Type="http://schemas.openxmlformats.org/officeDocument/2006/relationships/image" Target="media/image2351.png"/><Relationship Id="rId2419" Type="http://schemas.openxmlformats.org/officeDocument/2006/relationships/image" Target="media/image2352.png"/><Relationship Id="rId2420" Type="http://schemas.openxmlformats.org/officeDocument/2006/relationships/image" Target="media/image2353.png"/><Relationship Id="rId2421" Type="http://schemas.openxmlformats.org/officeDocument/2006/relationships/image" Target="media/image2354.png"/><Relationship Id="rId2422" Type="http://schemas.openxmlformats.org/officeDocument/2006/relationships/image" Target="media/image2355.png"/><Relationship Id="rId2423" Type="http://schemas.openxmlformats.org/officeDocument/2006/relationships/image" Target="media/image2356.png"/><Relationship Id="rId2424" Type="http://schemas.openxmlformats.org/officeDocument/2006/relationships/image" Target="media/image2357.png"/><Relationship Id="rId2425" Type="http://schemas.openxmlformats.org/officeDocument/2006/relationships/image" Target="media/image2358.png"/><Relationship Id="rId2426" Type="http://schemas.openxmlformats.org/officeDocument/2006/relationships/image" Target="media/image2359.png"/><Relationship Id="rId2427" Type="http://schemas.openxmlformats.org/officeDocument/2006/relationships/image" Target="media/image2360.png"/><Relationship Id="rId2428" Type="http://schemas.openxmlformats.org/officeDocument/2006/relationships/image" Target="media/image2361.png"/><Relationship Id="rId2429" Type="http://schemas.openxmlformats.org/officeDocument/2006/relationships/image" Target="media/image2362.png"/><Relationship Id="rId2430" Type="http://schemas.openxmlformats.org/officeDocument/2006/relationships/image" Target="media/image2363.png"/><Relationship Id="rId2431" Type="http://schemas.openxmlformats.org/officeDocument/2006/relationships/image" Target="media/image2364.png"/><Relationship Id="rId2432" Type="http://schemas.openxmlformats.org/officeDocument/2006/relationships/image" Target="media/image2365.png"/><Relationship Id="rId2433" Type="http://schemas.openxmlformats.org/officeDocument/2006/relationships/image" Target="media/image2366.png"/><Relationship Id="rId2434" Type="http://schemas.openxmlformats.org/officeDocument/2006/relationships/image" Target="media/image2367.png"/><Relationship Id="rId2435" Type="http://schemas.openxmlformats.org/officeDocument/2006/relationships/image" Target="media/image2368.png"/><Relationship Id="rId2436" Type="http://schemas.openxmlformats.org/officeDocument/2006/relationships/image" Target="media/image2369.png"/><Relationship Id="rId2437" Type="http://schemas.openxmlformats.org/officeDocument/2006/relationships/image" Target="media/image2370.png"/><Relationship Id="rId2438" Type="http://schemas.openxmlformats.org/officeDocument/2006/relationships/image" Target="media/image2371.png"/><Relationship Id="rId2439" Type="http://schemas.openxmlformats.org/officeDocument/2006/relationships/image" Target="media/image2372.png"/><Relationship Id="rId2440" Type="http://schemas.openxmlformats.org/officeDocument/2006/relationships/image" Target="media/image2373.png"/><Relationship Id="rId2441" Type="http://schemas.openxmlformats.org/officeDocument/2006/relationships/image" Target="media/image2374.png"/><Relationship Id="rId2442" Type="http://schemas.openxmlformats.org/officeDocument/2006/relationships/image" Target="media/image2375.png"/><Relationship Id="rId2443" Type="http://schemas.openxmlformats.org/officeDocument/2006/relationships/image" Target="media/image2376.png"/><Relationship Id="rId2444" Type="http://schemas.openxmlformats.org/officeDocument/2006/relationships/image" Target="media/image2377.png"/><Relationship Id="rId2445" Type="http://schemas.openxmlformats.org/officeDocument/2006/relationships/image" Target="media/image2378.png"/><Relationship Id="rId2446" Type="http://schemas.openxmlformats.org/officeDocument/2006/relationships/image" Target="media/image2379.png"/><Relationship Id="rId2447" Type="http://schemas.openxmlformats.org/officeDocument/2006/relationships/image" Target="media/image2380.png"/><Relationship Id="rId2448" Type="http://schemas.openxmlformats.org/officeDocument/2006/relationships/image" Target="media/image2381.png"/><Relationship Id="rId2449" Type="http://schemas.openxmlformats.org/officeDocument/2006/relationships/image" Target="media/image2382.png"/><Relationship Id="rId2450" Type="http://schemas.openxmlformats.org/officeDocument/2006/relationships/image" Target="media/image2383.png"/><Relationship Id="rId2451" Type="http://schemas.openxmlformats.org/officeDocument/2006/relationships/image" Target="media/image2384.png"/><Relationship Id="rId2452" Type="http://schemas.openxmlformats.org/officeDocument/2006/relationships/image" Target="media/image2385.png"/><Relationship Id="rId2453" Type="http://schemas.openxmlformats.org/officeDocument/2006/relationships/image" Target="media/image2386.png"/><Relationship Id="rId2454" Type="http://schemas.openxmlformats.org/officeDocument/2006/relationships/image" Target="media/image2387.png"/><Relationship Id="rId2455" Type="http://schemas.openxmlformats.org/officeDocument/2006/relationships/image" Target="media/image2388.png"/><Relationship Id="rId2456" Type="http://schemas.openxmlformats.org/officeDocument/2006/relationships/image" Target="media/image2389.png"/><Relationship Id="rId2457" Type="http://schemas.openxmlformats.org/officeDocument/2006/relationships/image" Target="media/image2390.png"/><Relationship Id="rId2458" Type="http://schemas.openxmlformats.org/officeDocument/2006/relationships/image" Target="media/image2391.png"/><Relationship Id="rId2459" Type="http://schemas.openxmlformats.org/officeDocument/2006/relationships/image" Target="media/image2392.png"/><Relationship Id="rId2460" Type="http://schemas.openxmlformats.org/officeDocument/2006/relationships/image" Target="media/image2393.png"/><Relationship Id="rId2461" Type="http://schemas.openxmlformats.org/officeDocument/2006/relationships/image" Target="media/image2394.png"/><Relationship Id="rId2462" Type="http://schemas.openxmlformats.org/officeDocument/2006/relationships/image" Target="media/image2395.png"/><Relationship Id="rId2463" Type="http://schemas.openxmlformats.org/officeDocument/2006/relationships/image" Target="media/image2396.png"/><Relationship Id="rId2464" Type="http://schemas.openxmlformats.org/officeDocument/2006/relationships/image" Target="media/image2397.png"/><Relationship Id="rId2465" Type="http://schemas.openxmlformats.org/officeDocument/2006/relationships/image" Target="media/image2398.png"/><Relationship Id="rId2466" Type="http://schemas.openxmlformats.org/officeDocument/2006/relationships/image" Target="media/image2399.png"/><Relationship Id="rId2467" Type="http://schemas.openxmlformats.org/officeDocument/2006/relationships/image" Target="media/image2400.png"/><Relationship Id="rId2468" Type="http://schemas.openxmlformats.org/officeDocument/2006/relationships/image" Target="media/image2401.png"/><Relationship Id="rId2469" Type="http://schemas.openxmlformats.org/officeDocument/2006/relationships/image" Target="media/image2402.png"/><Relationship Id="rId2470" Type="http://schemas.openxmlformats.org/officeDocument/2006/relationships/image" Target="media/image2403.png"/><Relationship Id="rId2471" Type="http://schemas.openxmlformats.org/officeDocument/2006/relationships/image" Target="media/image2404.png"/><Relationship Id="rId2472" Type="http://schemas.openxmlformats.org/officeDocument/2006/relationships/image" Target="media/image2405.png"/><Relationship Id="rId2473" Type="http://schemas.openxmlformats.org/officeDocument/2006/relationships/image" Target="media/image2406.png"/><Relationship Id="rId2474" Type="http://schemas.openxmlformats.org/officeDocument/2006/relationships/image" Target="media/image2407.png"/><Relationship Id="rId2475" Type="http://schemas.openxmlformats.org/officeDocument/2006/relationships/image" Target="media/image2408.png"/><Relationship Id="rId2476" Type="http://schemas.openxmlformats.org/officeDocument/2006/relationships/image" Target="media/image2409.png"/><Relationship Id="rId2477" Type="http://schemas.openxmlformats.org/officeDocument/2006/relationships/image" Target="media/image2410.png"/><Relationship Id="rId2478" Type="http://schemas.openxmlformats.org/officeDocument/2006/relationships/image" Target="media/image2411.png"/><Relationship Id="rId2479" Type="http://schemas.openxmlformats.org/officeDocument/2006/relationships/image" Target="media/image2412.png"/><Relationship Id="rId2480" Type="http://schemas.openxmlformats.org/officeDocument/2006/relationships/image" Target="media/image2413.png"/><Relationship Id="rId2481" Type="http://schemas.openxmlformats.org/officeDocument/2006/relationships/image" Target="media/image2414.png"/><Relationship Id="rId2482" Type="http://schemas.openxmlformats.org/officeDocument/2006/relationships/image" Target="media/image2415.png"/><Relationship Id="rId2483" Type="http://schemas.openxmlformats.org/officeDocument/2006/relationships/image" Target="media/image2416.png"/><Relationship Id="rId2484" Type="http://schemas.openxmlformats.org/officeDocument/2006/relationships/image" Target="media/image2417.png"/><Relationship Id="rId2485" Type="http://schemas.openxmlformats.org/officeDocument/2006/relationships/image" Target="media/image2418.png"/><Relationship Id="rId2486" Type="http://schemas.openxmlformats.org/officeDocument/2006/relationships/image" Target="media/image2419.png"/><Relationship Id="rId2487" Type="http://schemas.openxmlformats.org/officeDocument/2006/relationships/image" Target="media/image2420.png"/><Relationship Id="rId2488" Type="http://schemas.openxmlformats.org/officeDocument/2006/relationships/image" Target="media/image2421.png"/><Relationship Id="rId2489" Type="http://schemas.openxmlformats.org/officeDocument/2006/relationships/image" Target="media/image2422.png"/><Relationship Id="rId2490" Type="http://schemas.openxmlformats.org/officeDocument/2006/relationships/image" Target="media/image2423.png"/><Relationship Id="rId2491" Type="http://schemas.openxmlformats.org/officeDocument/2006/relationships/image" Target="media/image2424.png"/><Relationship Id="rId2492" Type="http://schemas.openxmlformats.org/officeDocument/2006/relationships/image" Target="media/image2425.png"/><Relationship Id="rId2493" Type="http://schemas.openxmlformats.org/officeDocument/2006/relationships/image" Target="media/image2426.png"/><Relationship Id="rId2494" Type="http://schemas.openxmlformats.org/officeDocument/2006/relationships/image" Target="media/image2427.png"/><Relationship Id="rId2495" Type="http://schemas.openxmlformats.org/officeDocument/2006/relationships/image" Target="media/image2428.png"/><Relationship Id="rId2496" Type="http://schemas.openxmlformats.org/officeDocument/2006/relationships/image" Target="media/image2429.png"/><Relationship Id="rId2497" Type="http://schemas.openxmlformats.org/officeDocument/2006/relationships/image" Target="media/image2430.png"/><Relationship Id="rId2498" Type="http://schemas.openxmlformats.org/officeDocument/2006/relationships/image" Target="media/image2431.png"/><Relationship Id="rId2499" Type="http://schemas.openxmlformats.org/officeDocument/2006/relationships/image" Target="media/image2432.png"/><Relationship Id="rId2500" Type="http://schemas.openxmlformats.org/officeDocument/2006/relationships/image" Target="media/image2433.png"/><Relationship Id="rId2501" Type="http://schemas.openxmlformats.org/officeDocument/2006/relationships/image" Target="media/image2434.png"/><Relationship Id="rId2502" Type="http://schemas.openxmlformats.org/officeDocument/2006/relationships/image" Target="media/image2435.png"/><Relationship Id="rId2503" Type="http://schemas.openxmlformats.org/officeDocument/2006/relationships/image" Target="media/image2436.png"/><Relationship Id="rId2504" Type="http://schemas.openxmlformats.org/officeDocument/2006/relationships/image" Target="media/image2437.png"/><Relationship Id="rId2505" Type="http://schemas.openxmlformats.org/officeDocument/2006/relationships/image" Target="media/image2438.png"/><Relationship Id="rId2506" Type="http://schemas.openxmlformats.org/officeDocument/2006/relationships/image" Target="media/image2439.png"/><Relationship Id="rId2507" Type="http://schemas.openxmlformats.org/officeDocument/2006/relationships/image" Target="media/image2440.png"/><Relationship Id="rId2508" Type="http://schemas.openxmlformats.org/officeDocument/2006/relationships/image" Target="media/image2441.png"/><Relationship Id="rId2509" Type="http://schemas.openxmlformats.org/officeDocument/2006/relationships/image" Target="media/image2442.png"/><Relationship Id="rId2510" Type="http://schemas.openxmlformats.org/officeDocument/2006/relationships/image" Target="media/image2443.png"/><Relationship Id="rId2511" Type="http://schemas.openxmlformats.org/officeDocument/2006/relationships/image" Target="media/image2444.png"/><Relationship Id="rId2512" Type="http://schemas.openxmlformats.org/officeDocument/2006/relationships/image" Target="media/image2445.png"/><Relationship Id="rId2513" Type="http://schemas.openxmlformats.org/officeDocument/2006/relationships/image" Target="media/image2446.png"/><Relationship Id="rId2514" Type="http://schemas.openxmlformats.org/officeDocument/2006/relationships/image" Target="media/image2447.png"/><Relationship Id="rId2515" Type="http://schemas.openxmlformats.org/officeDocument/2006/relationships/image" Target="media/image2448.png"/><Relationship Id="rId2516" Type="http://schemas.openxmlformats.org/officeDocument/2006/relationships/image" Target="media/image2449.png"/><Relationship Id="rId2517" Type="http://schemas.openxmlformats.org/officeDocument/2006/relationships/image" Target="media/image2450.png"/><Relationship Id="rId2518" Type="http://schemas.openxmlformats.org/officeDocument/2006/relationships/image" Target="media/image2451.png"/><Relationship Id="rId2519" Type="http://schemas.openxmlformats.org/officeDocument/2006/relationships/image" Target="media/image2452.png"/><Relationship Id="rId2520" Type="http://schemas.openxmlformats.org/officeDocument/2006/relationships/image" Target="media/image2453.png"/><Relationship Id="rId2521" Type="http://schemas.openxmlformats.org/officeDocument/2006/relationships/image" Target="media/image2454.png"/><Relationship Id="rId2522" Type="http://schemas.openxmlformats.org/officeDocument/2006/relationships/image" Target="media/image2455.png"/><Relationship Id="rId2523" Type="http://schemas.openxmlformats.org/officeDocument/2006/relationships/image" Target="media/image2456.png"/><Relationship Id="rId2524" Type="http://schemas.openxmlformats.org/officeDocument/2006/relationships/image" Target="media/image2457.png"/><Relationship Id="rId2525" Type="http://schemas.openxmlformats.org/officeDocument/2006/relationships/image" Target="media/image2458.png"/><Relationship Id="rId2526" Type="http://schemas.openxmlformats.org/officeDocument/2006/relationships/image" Target="media/image2459.png"/><Relationship Id="rId2527" Type="http://schemas.openxmlformats.org/officeDocument/2006/relationships/image" Target="media/image2460.png"/><Relationship Id="rId2528" Type="http://schemas.openxmlformats.org/officeDocument/2006/relationships/image" Target="media/image2461.png"/><Relationship Id="rId2529" Type="http://schemas.openxmlformats.org/officeDocument/2006/relationships/image" Target="media/image2462.png"/><Relationship Id="rId2530" Type="http://schemas.openxmlformats.org/officeDocument/2006/relationships/image" Target="media/image2463.png"/><Relationship Id="rId2531" Type="http://schemas.openxmlformats.org/officeDocument/2006/relationships/image" Target="media/image2464.png"/><Relationship Id="rId2532" Type="http://schemas.openxmlformats.org/officeDocument/2006/relationships/image" Target="media/image2465.png"/><Relationship Id="rId2533" Type="http://schemas.openxmlformats.org/officeDocument/2006/relationships/image" Target="media/image2466.png"/><Relationship Id="rId2534" Type="http://schemas.openxmlformats.org/officeDocument/2006/relationships/image" Target="media/image2467.png"/><Relationship Id="rId2535" Type="http://schemas.openxmlformats.org/officeDocument/2006/relationships/image" Target="media/image2468.png"/><Relationship Id="rId2536" Type="http://schemas.openxmlformats.org/officeDocument/2006/relationships/image" Target="media/image2469.png"/><Relationship Id="rId2537" Type="http://schemas.openxmlformats.org/officeDocument/2006/relationships/image" Target="media/image2470.png"/><Relationship Id="rId2538" Type="http://schemas.openxmlformats.org/officeDocument/2006/relationships/image" Target="media/image2471.png"/><Relationship Id="rId2539" Type="http://schemas.openxmlformats.org/officeDocument/2006/relationships/image" Target="media/image2472.png"/><Relationship Id="rId2540" Type="http://schemas.openxmlformats.org/officeDocument/2006/relationships/image" Target="media/image2473.png"/><Relationship Id="rId2541" Type="http://schemas.openxmlformats.org/officeDocument/2006/relationships/image" Target="media/image2474.png"/><Relationship Id="rId2542" Type="http://schemas.openxmlformats.org/officeDocument/2006/relationships/image" Target="media/image2475.png"/><Relationship Id="rId2543" Type="http://schemas.openxmlformats.org/officeDocument/2006/relationships/image" Target="media/image2476.png"/><Relationship Id="rId2544" Type="http://schemas.openxmlformats.org/officeDocument/2006/relationships/image" Target="media/image2477.png"/><Relationship Id="rId2545" Type="http://schemas.openxmlformats.org/officeDocument/2006/relationships/image" Target="media/image2478.png"/><Relationship Id="rId2546" Type="http://schemas.openxmlformats.org/officeDocument/2006/relationships/image" Target="media/image2479.png"/><Relationship Id="rId2547" Type="http://schemas.openxmlformats.org/officeDocument/2006/relationships/image" Target="media/image2480.png"/><Relationship Id="rId2548" Type="http://schemas.openxmlformats.org/officeDocument/2006/relationships/image" Target="media/image2481.png"/><Relationship Id="rId2549" Type="http://schemas.openxmlformats.org/officeDocument/2006/relationships/image" Target="media/image2482.png"/><Relationship Id="rId2550" Type="http://schemas.openxmlformats.org/officeDocument/2006/relationships/image" Target="media/image2483.png"/><Relationship Id="rId2551" Type="http://schemas.openxmlformats.org/officeDocument/2006/relationships/image" Target="media/image2484.png"/><Relationship Id="rId2552" Type="http://schemas.openxmlformats.org/officeDocument/2006/relationships/image" Target="media/image2485.png"/><Relationship Id="rId2553" Type="http://schemas.openxmlformats.org/officeDocument/2006/relationships/image" Target="media/image2486.png"/><Relationship Id="rId2554" Type="http://schemas.openxmlformats.org/officeDocument/2006/relationships/image" Target="media/image2487.png"/><Relationship Id="rId2555" Type="http://schemas.openxmlformats.org/officeDocument/2006/relationships/image" Target="media/image2488.png"/><Relationship Id="rId2556" Type="http://schemas.openxmlformats.org/officeDocument/2006/relationships/image" Target="media/image2489.png"/><Relationship Id="rId2557" Type="http://schemas.openxmlformats.org/officeDocument/2006/relationships/image" Target="media/image2490.png"/><Relationship Id="rId2558" Type="http://schemas.openxmlformats.org/officeDocument/2006/relationships/image" Target="media/image2491.png"/><Relationship Id="rId2559" Type="http://schemas.openxmlformats.org/officeDocument/2006/relationships/image" Target="media/image2492.png"/><Relationship Id="rId2560" Type="http://schemas.openxmlformats.org/officeDocument/2006/relationships/image" Target="media/image2493.png"/><Relationship Id="rId2561" Type="http://schemas.openxmlformats.org/officeDocument/2006/relationships/image" Target="media/image2494.png"/><Relationship Id="rId2562" Type="http://schemas.openxmlformats.org/officeDocument/2006/relationships/image" Target="media/image2495.png"/><Relationship Id="rId2563" Type="http://schemas.openxmlformats.org/officeDocument/2006/relationships/image" Target="media/image2496.png"/><Relationship Id="rId2564" Type="http://schemas.openxmlformats.org/officeDocument/2006/relationships/image" Target="media/image2497.png"/><Relationship Id="rId2565" Type="http://schemas.openxmlformats.org/officeDocument/2006/relationships/image" Target="media/image2498.png"/><Relationship Id="rId2566" Type="http://schemas.openxmlformats.org/officeDocument/2006/relationships/image" Target="media/image2499.png"/><Relationship Id="rId2567" Type="http://schemas.openxmlformats.org/officeDocument/2006/relationships/image" Target="media/image2500.png"/><Relationship Id="rId2568" Type="http://schemas.openxmlformats.org/officeDocument/2006/relationships/image" Target="media/image2501.png"/><Relationship Id="rId2569" Type="http://schemas.openxmlformats.org/officeDocument/2006/relationships/image" Target="media/image2502.png"/><Relationship Id="rId2570" Type="http://schemas.openxmlformats.org/officeDocument/2006/relationships/image" Target="media/image2503.png"/><Relationship Id="rId2571" Type="http://schemas.openxmlformats.org/officeDocument/2006/relationships/image" Target="media/image2504.png"/><Relationship Id="rId2572" Type="http://schemas.openxmlformats.org/officeDocument/2006/relationships/image" Target="media/image2505.png"/><Relationship Id="rId2573" Type="http://schemas.openxmlformats.org/officeDocument/2006/relationships/image" Target="media/image2506.png"/><Relationship Id="rId2574" Type="http://schemas.openxmlformats.org/officeDocument/2006/relationships/image" Target="media/image2507.png"/><Relationship Id="rId2575" Type="http://schemas.openxmlformats.org/officeDocument/2006/relationships/image" Target="media/image2508.png"/><Relationship Id="rId2576" Type="http://schemas.openxmlformats.org/officeDocument/2006/relationships/image" Target="media/image2509.png"/><Relationship Id="rId2577" Type="http://schemas.openxmlformats.org/officeDocument/2006/relationships/image" Target="media/image2510.png"/><Relationship Id="rId2578" Type="http://schemas.openxmlformats.org/officeDocument/2006/relationships/image" Target="media/image2511.png"/><Relationship Id="rId2579" Type="http://schemas.openxmlformats.org/officeDocument/2006/relationships/image" Target="media/image2512.png"/><Relationship Id="rId2580" Type="http://schemas.openxmlformats.org/officeDocument/2006/relationships/image" Target="media/image2513.png"/><Relationship Id="rId2581" Type="http://schemas.openxmlformats.org/officeDocument/2006/relationships/image" Target="media/image2514.png"/><Relationship Id="rId2582" Type="http://schemas.openxmlformats.org/officeDocument/2006/relationships/image" Target="media/image2515.png"/><Relationship Id="rId2583" Type="http://schemas.openxmlformats.org/officeDocument/2006/relationships/image" Target="media/image2516.png"/><Relationship Id="rId2584" Type="http://schemas.openxmlformats.org/officeDocument/2006/relationships/image" Target="media/image2517.png"/><Relationship Id="rId2585" Type="http://schemas.openxmlformats.org/officeDocument/2006/relationships/image" Target="media/image2518.png"/><Relationship Id="rId2586" Type="http://schemas.openxmlformats.org/officeDocument/2006/relationships/image" Target="media/image2519.png"/><Relationship Id="rId2587" Type="http://schemas.openxmlformats.org/officeDocument/2006/relationships/image" Target="media/image2520.png"/><Relationship Id="rId2588" Type="http://schemas.openxmlformats.org/officeDocument/2006/relationships/image" Target="media/image2521.png"/><Relationship Id="rId2589" Type="http://schemas.openxmlformats.org/officeDocument/2006/relationships/image" Target="media/image2522.png"/><Relationship Id="rId2590" Type="http://schemas.openxmlformats.org/officeDocument/2006/relationships/image" Target="media/image2523.png"/><Relationship Id="rId2591" Type="http://schemas.openxmlformats.org/officeDocument/2006/relationships/image" Target="media/image2524.png"/><Relationship Id="rId2592" Type="http://schemas.openxmlformats.org/officeDocument/2006/relationships/image" Target="media/image2525.png"/><Relationship Id="rId2593" Type="http://schemas.openxmlformats.org/officeDocument/2006/relationships/image" Target="media/image2526.png"/><Relationship Id="rId2594" Type="http://schemas.openxmlformats.org/officeDocument/2006/relationships/image" Target="media/image2527.png"/><Relationship Id="rId2595" Type="http://schemas.openxmlformats.org/officeDocument/2006/relationships/image" Target="media/image2528.png"/><Relationship Id="rId2596" Type="http://schemas.openxmlformats.org/officeDocument/2006/relationships/image" Target="media/image2529.png"/><Relationship Id="rId2597" Type="http://schemas.openxmlformats.org/officeDocument/2006/relationships/image" Target="media/image2530.jpeg"/><Relationship Id="rId2598" Type="http://schemas.openxmlformats.org/officeDocument/2006/relationships/image" Target="media/image2531.png"/><Relationship Id="rId2599" Type="http://schemas.openxmlformats.org/officeDocument/2006/relationships/image" Target="media/image2532.jpeg"/><Relationship Id="rId2600" Type="http://schemas.openxmlformats.org/officeDocument/2006/relationships/image" Target="media/image2533.jpeg"/><Relationship Id="rId2601" Type="http://schemas.openxmlformats.org/officeDocument/2006/relationships/image" Target="media/image2534.jpeg"/><Relationship Id="rId2602" Type="http://schemas.openxmlformats.org/officeDocument/2006/relationships/image" Target="media/image2535.jpeg"/><Relationship Id="rId2603" Type="http://schemas.openxmlformats.org/officeDocument/2006/relationships/image" Target="media/image2536.jpeg"/><Relationship Id="rId2604" Type="http://schemas.openxmlformats.org/officeDocument/2006/relationships/image" Target="media/image2537.jpeg"/><Relationship Id="rId2605" Type="http://schemas.openxmlformats.org/officeDocument/2006/relationships/image" Target="media/image2538.jpeg"/><Relationship Id="rId2606" Type="http://schemas.openxmlformats.org/officeDocument/2006/relationships/image" Target="media/image2539.jpeg"/><Relationship Id="rId2607" Type="http://schemas.openxmlformats.org/officeDocument/2006/relationships/image" Target="media/image2540.jpeg"/><Relationship Id="rId2608" Type="http://schemas.openxmlformats.org/officeDocument/2006/relationships/image" Target="media/image2541.jpeg"/><Relationship Id="rId2609" Type="http://schemas.openxmlformats.org/officeDocument/2006/relationships/image" Target="media/image2542.jpeg"/><Relationship Id="rId2610" Type="http://schemas.openxmlformats.org/officeDocument/2006/relationships/image" Target="media/image2543.jpeg"/><Relationship Id="rId2611" Type="http://schemas.openxmlformats.org/officeDocument/2006/relationships/image" Target="media/image2544.jpeg"/><Relationship Id="rId2612" Type="http://schemas.openxmlformats.org/officeDocument/2006/relationships/image" Target="media/image2545.png"/><Relationship Id="rId2613" Type="http://schemas.openxmlformats.org/officeDocument/2006/relationships/image" Target="media/image2546.png"/><Relationship Id="rId2614" Type="http://schemas.openxmlformats.org/officeDocument/2006/relationships/image" Target="media/image2547.png"/><Relationship Id="rId2615" Type="http://schemas.openxmlformats.org/officeDocument/2006/relationships/image" Target="media/image2548.png"/><Relationship Id="rId119" Type="http://schemas.openxmlformats.org/officeDocument/2006/relationships/hyperlink" Target="http://www.sec.gov/Archives/edgar/data/6281/000119312516664807/d202922dex21.htm" TargetMode="External"/><Relationship Id="rId120" Type="http://schemas.openxmlformats.org/officeDocument/2006/relationships/hyperlink" Target="http://www.sec.gov/Archives/edgar/data/6281/000119312520192918/d934725dex21.htm" TargetMode="External"/><Relationship Id="rId121" Type="http://schemas.openxmlformats.org/officeDocument/2006/relationships/hyperlink" Target="http://www.sec.gov/Archives/edgar/data/6281/000095013508003842/b69749adexv3w1.htm" TargetMode="External"/><Relationship Id="rId122" Type="http://schemas.openxmlformats.org/officeDocument/2006/relationships/hyperlink" Target="http://www.sec.gov/Archives/edgar/data/6281/000095013508007881/b73171adexv3w1.htm" TargetMode="External"/><Relationship Id="rId123" Type="http://schemas.openxmlformats.org/officeDocument/2006/relationships/hyperlink" Target="http://www.sec.gov/Archives/edgar/data/6281/000000628118000132/exhibit31-restatedbylawsxf.htm" TargetMode="External"/><Relationship Id="rId124" Type="http://schemas.openxmlformats.org/officeDocument/2006/relationships/hyperlink" Target="http://www.sec.gov/Archives/edgar/data/743316/000095012310057118/f55659orexv4w4.htm" TargetMode="External"/><Relationship Id="rId125" Type="http://schemas.openxmlformats.org/officeDocument/2006/relationships/hyperlink" Target="http://www.sec.gov/Archives/edgar/data/743316/000074331613000021/ex-4103202013.htm" TargetMode="External"/><Relationship Id="rId126" Type="http://schemas.openxmlformats.org/officeDocument/2006/relationships/hyperlink" Target="http://www.sec.gov/Archives/edgar/data/6281/000119312513245264/d548763dex41.htm" TargetMode="External"/><Relationship Id="rId127" Type="http://schemas.openxmlformats.org/officeDocument/2006/relationships/hyperlink" Target="http://www.sec.gov/Archives/edgar/data/6281/000119312513245264/d548763dex42.htm" TargetMode="External"/><Relationship Id="rId130" Type="http://schemas.openxmlformats.org/officeDocument/2006/relationships/hyperlink" Target="http://www.sec.gov/Archives/edgar/data/6281/000119312515402658/d105027dex42.htm" TargetMode="External"/><Relationship Id="rId131" Type="http://schemas.openxmlformats.org/officeDocument/2006/relationships/hyperlink" Target="http://www.sec.gov/Archives/edgar/data/6281/000119312516785105/d304855dex42.htm" TargetMode="External"/><Relationship Id="rId132" Type="http://schemas.openxmlformats.org/officeDocument/2006/relationships/hyperlink" Target="http://www.sec.gov/Archives/edgar/data/743316/000074331617000023/exh41supplementalindenture.htm" TargetMode="External"/><Relationship Id="rId133" Type="http://schemas.openxmlformats.org/officeDocument/2006/relationships/hyperlink" Target="http://www.sec.gov/Archives/edgar/data/6281/000119312518079269/d501485dex42.htm" TargetMode="External"/><Relationship Id="rId134" Type="http://schemas.openxmlformats.org/officeDocument/2006/relationships/hyperlink" Target="http://www.sec.gov/Archives/edgar/data/6281/000119312520101422/d904144dex42.htm" TargetMode="External"/><Relationship Id="rId135" Type="http://schemas.openxmlformats.org/officeDocument/2006/relationships/hyperlink" Target="http://www.sec.gov/Archives/edgar/data/6281/000119312521291953/d219048dex42.htm" TargetMode="External"/><Relationship Id="rId136" Type="http://schemas.openxmlformats.org/officeDocument/2006/relationships/hyperlink" Target="http://www.sec.gov/Archives/edgar/data/6281/000000628119000144/exhibit46descriptionof.htm" TargetMode="External"/><Relationship Id="rId137" Type="http://schemas.openxmlformats.org/officeDocument/2006/relationships/hyperlink" Target="http://www.sec.gov/Archives/edgar/data/6281/000095013508007881/b73171adexv10w1.htm" TargetMode="External"/><Relationship Id="rId138" Type="http://schemas.openxmlformats.org/officeDocument/2006/relationships/hyperlink" Target="http://www.sec.gov/Archives/edgar/data/6281/000095012311077973/b86716aexv10w1.htm" TargetMode="External"/><Relationship Id="rId139" Type="http://schemas.openxmlformats.org/officeDocument/2006/relationships/hyperlink" Target="http://www.sec.gov/Archives/edgar/data/6281/000000628115000027/exhibit101.htm" TargetMode="External"/><Relationship Id="rId140" Type="http://schemas.openxmlformats.org/officeDocument/2006/relationships/hyperlink" Target="http://www.sec.gov/Archives/edgar/data/6281/000000628117000114/exhibit106-3rdamendmenttod.htm" TargetMode="External"/><Relationship Id="rId141" Type="http://schemas.openxmlformats.org/officeDocument/2006/relationships/hyperlink" Target="http://www.sec.gov/Archives/edgar/data/6281/000000628119000144/a4thamendmenttodcp0002.htm" TargetMode="External"/><Relationship Id="rId142" Type="http://schemas.openxmlformats.org/officeDocument/2006/relationships/hyperlink" Target="http://www.sec.gov/Archives/edgar/data/6281/000000628121000197/a5bdcp5thamendment.htm" TargetMode="External"/><Relationship Id="rId143" Type="http://schemas.openxmlformats.org/officeDocument/2006/relationships/hyperlink" Target="http://www.sec.gov/Archives/edgar/data/6281/000095013503006138/b48618aiexv10w28.txt" TargetMode="External"/><Relationship Id="rId144" Type="http://schemas.openxmlformats.org/officeDocument/2006/relationships/hyperlink" Target="http://www.sec.gov/Archives/edgar/data/6281/000095013506007047/b63086adexv10w3.txt" TargetMode="External"/><Relationship Id="rId145" Type="http://schemas.openxmlformats.org/officeDocument/2006/relationships/hyperlink" Target="http://www.sec.gov/Archives/edgar/data/6281/000095013508007596/b72976adexv10w41.htm" TargetMode="External"/><Relationship Id="rId146" Type="http://schemas.openxmlformats.org/officeDocument/2006/relationships/hyperlink" Target="http://www.sec.gov/Archives/edgar/data/6281/000000628114000003/ex-101.htm" TargetMode="External"/><Relationship Id="rId147" Type="http://schemas.openxmlformats.org/officeDocument/2006/relationships/hyperlink" Target="http://www.sec.gov/Archives/edgar/data/6281/000119312517082344/d356229dex41.htm" TargetMode="External"/><Relationship Id="rId151" Type="http://schemas.openxmlformats.org/officeDocument/2006/relationships/hyperlink" Target="http://www.sec.gov/Archives/edgar/data/6281/000119312517082344/d356229dex42.htm" TargetMode="External"/><Relationship Id="rId152" Type="http://schemas.openxmlformats.org/officeDocument/2006/relationships/hyperlink" Target="http://www.sec.gov/Archives/edgar/data/6281/000000628119000013/q119exhibit101.htm" TargetMode="External"/><Relationship Id="rId153" Type="http://schemas.openxmlformats.org/officeDocument/2006/relationships/hyperlink" Target="http://www.sec.gov/Archives/edgar/data/6281/000000628117000008/q117exhibit104.htm" TargetMode="External"/><Relationship Id="rId154" Type="http://schemas.openxmlformats.org/officeDocument/2006/relationships/hyperlink" Target="http://www.sec.gov/Archives/edgar/data/6281/000000628119000013/q119exhibit102.htm" TargetMode="External"/><Relationship Id="rId155" Type="http://schemas.openxmlformats.org/officeDocument/2006/relationships/hyperlink" Target="http://www.sec.gov/Archives/edgar/data/6281/000000628118000018/q118exhibit107.htm" TargetMode="External"/><Relationship Id="rId156" Type="http://schemas.openxmlformats.org/officeDocument/2006/relationships/hyperlink" Target="http://www.sec.gov/Archives/edgar/data/6281/000000628119000089/q219exhibit101-tsrprsu.htm" TargetMode="External"/><Relationship Id="rId157" Type="http://schemas.openxmlformats.org/officeDocument/2006/relationships/hyperlink" Target="http://www.sec.gov/Archives/edgar/data/6281/000000628119000089/q219exhibit102-finprsu.htm" TargetMode="External"/><Relationship Id="rId158" Type="http://schemas.openxmlformats.org/officeDocument/2006/relationships/hyperlink" Target="http://www.sec.gov/Archives/edgar/data/6281/000000628119000013/q119exhibit103.htm" TargetMode="External"/><Relationship Id="rId159" Type="http://schemas.openxmlformats.org/officeDocument/2006/relationships/hyperlink" Target="http://www.sec.gov/Archives/edgar/data/6281/000000628117000086/q217exhibit101.htm" TargetMode="External"/><Relationship Id="rId160" Type="http://schemas.openxmlformats.org/officeDocument/2006/relationships/hyperlink" Target="http://www.sec.gov/Archives/edgar/data/6281/000000628117000104/exhibit101-analogxperforma.htm" TargetMode="External"/><Relationship Id="rId161" Type="http://schemas.openxmlformats.org/officeDocument/2006/relationships/hyperlink" Target="http://www.sec.gov/Archives/edgar/data/6281/000119312520013584/d796344ddef14a.htm" TargetMode="External"/><Relationship Id="rId162" Type="http://schemas.openxmlformats.org/officeDocument/2006/relationships/hyperlink" Target="http://www.sec.gov/Archives/edgar/data/6281/000000628120000013/financialprsuagreement.htm" TargetMode="External"/><Relationship Id="rId163" Type="http://schemas.openxmlformats.org/officeDocument/2006/relationships/hyperlink" Target="http://www.sec.gov/Archives/edgar/data/6281/000000628120000013/globalnqagreementappen.htm" TargetMode="External"/><Relationship Id="rId164" Type="http://schemas.openxmlformats.org/officeDocument/2006/relationships/hyperlink" Target="http://www.sec.gov/Archives/edgar/data/6281/000000628120000013/globalrsuagreement2020.htm" TargetMode="External"/><Relationship Id="rId165" Type="http://schemas.openxmlformats.org/officeDocument/2006/relationships/hyperlink" Target="http://www.sec.gov/Archives/edgar/data/6281/000000628120000013/directorannualrsuagree.htm" TargetMode="External"/><Relationship Id="rId166" Type="http://schemas.openxmlformats.org/officeDocument/2006/relationships/hyperlink" Target="http://www.sec.gov/Archives/edgar/data/6281/000000628120000013/tsrprsuagreement2020eq.htm" TargetMode="External"/><Relationship Id="rId169" Type="http://schemas.openxmlformats.org/officeDocument/2006/relationships/hyperlink" Target="http://www.sec.gov/Archives/edgar/data/6281/000119312520320093/d71361dex101.htm" TargetMode="External"/><Relationship Id="rId170" Type="http://schemas.openxmlformats.org/officeDocument/2006/relationships/hyperlink" Target="http://www.sec.gov/Archives/edgar/data/6281/000119312520320093/d71361dex102.htm" TargetMode="External"/><Relationship Id="rId171" Type="http://schemas.openxmlformats.org/officeDocument/2006/relationships/hyperlink" Target="http://www.sec.gov/Archives/edgar/data/6281/000000628121000022/a103non-employeedirectorre.htm" TargetMode="External"/><Relationship Id="rId172" Type="http://schemas.openxmlformats.org/officeDocument/2006/relationships/hyperlink" Target="http://www.sec.gov/Archives/edgar/data/6281/000000628121000022/a104stockoptionagreementfo.htm" TargetMode="External"/><Relationship Id="rId173" Type="http://schemas.openxmlformats.org/officeDocument/2006/relationships/hyperlink" Target="http://www.sec.gov/Archives/edgar/data/6281/000000628121000022/a105employeerestrictedstoc.htm" TargetMode="External"/><Relationship Id="rId174" Type="http://schemas.openxmlformats.org/officeDocument/2006/relationships/hyperlink" Target="http://www.sec.gov/Archives/edgar/data/6281/000000628121000022/a106totalshareholderreturn.htm" TargetMode="External"/><Relationship Id="rId175" Type="http://schemas.openxmlformats.org/officeDocument/2006/relationships/hyperlink" Target="http://www.sec.gov/Archives/edgar/data/6281/000000628121000022/a107financialmetricperform.htm" TargetMode="External"/><Relationship Id="rId176" Type="http://schemas.openxmlformats.org/officeDocument/2006/relationships/hyperlink" Target="http://www.sec.gov/Archives/edgar/data/6281/000000628121000022/a108financialmetricperform.htm" TargetMode="External"/><Relationship Id="rId177" Type="http://schemas.openxmlformats.org/officeDocument/2006/relationships/hyperlink" Target="http://www.sec.gov/Archives/edgar/data/6281/000000628120000156/adify2010k-ex1028execu.htm" TargetMode="External"/><Relationship Id="rId178" Type="http://schemas.openxmlformats.org/officeDocument/2006/relationships/hyperlink" Target="http://www.sec.gov/Archives/edgar/data/6281/000119312512243459/d308637dex101.htm" TargetMode="External"/><Relationship Id="rId179" Type="http://schemas.openxmlformats.org/officeDocument/2006/relationships/hyperlink" Target="http://www.sec.gov/Archives/edgar/data/6281/000095013500000300/0000950135-00-000300.txt" TargetMode="External"/><Relationship Id="rId180" Type="http://schemas.openxmlformats.org/officeDocument/2006/relationships/hyperlink" Target="http://www.sec.gov/Archives/edgar/data/6281/000000628117000144/adi-10282017xex1028.htm" TargetMode="External"/><Relationship Id="rId181" Type="http://schemas.openxmlformats.org/officeDocument/2006/relationships/hyperlink" Target="http://www.sec.gov/Archives/edgar/data/6281/000000628121000022/a109-severanceagreementand.htm" TargetMode="External"/><Relationship Id="rId182" Type="http://schemas.openxmlformats.org/officeDocument/2006/relationships/hyperlink" Target="http://www.sec.gov/Archives/edgar/data/743316/000074331621000010/ex-101q221.htm" TargetMode="External"/><Relationship Id="rId184" Type="http://schemas.openxmlformats.org/officeDocument/2006/relationships/hyperlink" Target="http://www.sec.gov/Archives/edgar/data/6281/000095013508007596/b72976adexv10w30.htm" TargetMode="External"/><Relationship Id="rId185" Type="http://schemas.openxmlformats.org/officeDocument/2006/relationships/hyperlink" Target="http://www.sec.gov/Archives/edgar/data/6281/000119312519187384/d772370dex101.htm" TargetMode="External"/><Relationship Id="rId186" Type="http://schemas.openxmlformats.org/officeDocument/2006/relationships/hyperlink" Target="http://www.sec.gov/Archives/edgar/data/6281/000119312521197254/d17704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2021-12-03T15:15:42Z</dcterms:created>
  <dcterms:modified xsi:type="dcterms:W3CDTF">2021-12-03T15:15:42Z</dcterms:modified>
</cp:coreProperties>
</file>