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Prospectus Supplement</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Filed pursuant to Rule</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424(b)(3)</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(To Prospectus Dated December 13, 2000)</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 No.</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333-48928</w:t>
            </w:r>
          </w:p>
        </w:tc>
      </w:tr>
    </w:tbl>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1,200,000,000 PRINCIPAL AMOUNT OF</w:t>
      </w:r>
    </w:p>
    <w:p>
      <w:pPr>
        <w:ind w:left="2320"/>
        <w:spacing w:after="0" w:line="237" w:lineRule="auto"/>
        <w:rPr>
          <w:sz w:val="20"/>
          <w:szCs w:val="20"/>
          <w:color w:val="auto"/>
        </w:rPr>
      </w:pPr>
      <w:r>
        <w:rPr>
          <w:rFonts w:ascii="Courier New" w:cs="Courier New" w:eastAsia="Courier New" w:hAnsi="Courier New"/>
          <w:sz w:val="18"/>
          <w:szCs w:val="18"/>
          <w:color w:val="auto"/>
        </w:rPr>
        <w:t>4.75% CONVERTIBLE SUBORDINATED NOTES</w:t>
      </w:r>
    </w:p>
    <w:p>
      <w:pPr>
        <w:ind w:left="3800"/>
        <w:spacing w:after="0" w:line="238" w:lineRule="auto"/>
        <w:rPr>
          <w:sz w:val="20"/>
          <w:szCs w:val="20"/>
          <w:color w:val="auto"/>
        </w:rPr>
      </w:pPr>
      <w:r>
        <w:rPr>
          <w:rFonts w:ascii="Courier New" w:cs="Courier New" w:eastAsia="Courier New" w:hAnsi="Courier New"/>
          <w:sz w:val="18"/>
          <w:szCs w:val="18"/>
          <w:color w:val="auto"/>
        </w:rPr>
        <w:t>DUE 2005</w:t>
      </w:r>
    </w:p>
    <w:p>
      <w:pPr>
        <w:ind w:left="2860"/>
        <w:spacing w:after="0"/>
        <w:rPr>
          <w:sz w:val="20"/>
          <w:szCs w:val="20"/>
          <w:color w:val="auto"/>
        </w:rPr>
      </w:pPr>
      <w:r>
        <w:rPr>
          <w:rFonts w:ascii="Courier New" w:cs="Courier New" w:eastAsia="Courier New" w:hAnsi="Courier New"/>
          <w:sz w:val="18"/>
          <w:szCs w:val="18"/>
          <w:color w:val="auto"/>
        </w:rPr>
        <w:t>-------------------------</w:t>
      </w:r>
    </w:p>
    <w:p>
      <w:pPr>
        <w:ind w:left="2540"/>
        <w:spacing w:after="0" w:line="237" w:lineRule="auto"/>
        <w:rPr>
          <w:sz w:val="20"/>
          <w:szCs w:val="20"/>
          <w:color w:val="auto"/>
        </w:rPr>
      </w:pPr>
      <w:r>
        <w:rPr>
          <w:rFonts w:ascii="Courier New" w:cs="Courier New" w:eastAsia="Courier New" w:hAnsi="Courier New"/>
          <w:sz w:val="18"/>
          <w:szCs w:val="18"/>
          <w:color w:val="auto"/>
        </w:rPr>
        <w:t>9,246,720 Shares of Common Stock</w:t>
      </w:r>
    </w:p>
    <w:p>
      <w:pPr>
        <w:ind w:left="2640"/>
        <w:spacing w:after="0"/>
        <w:rPr>
          <w:sz w:val="20"/>
          <w:szCs w:val="20"/>
          <w:color w:val="auto"/>
        </w:rPr>
      </w:pPr>
      <w:r>
        <w:rPr>
          <w:rFonts w:ascii="Courier New" w:cs="Courier New" w:eastAsia="Courier New" w:hAnsi="Courier New"/>
          <w:sz w:val="18"/>
          <w:szCs w:val="18"/>
          <w:color w:val="auto"/>
        </w:rPr>
        <w:t>$0.16 2/3 par value per share</w:t>
      </w:r>
    </w:p>
    <w:p>
      <w:pPr>
        <w:spacing w:after="0" w:line="206"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information in this prospectus supplement concerning the selling securityholders supplements the statements set forth under the caption "Selling Securityholders" in the prospectus. Capitalized items used and not defined in this prospectus supplement shall have the meanings given to them in the prospectus. The information set forth under the caption "Selling Securityholders" in the prospectus is supplemented as follows:</w:t>
      </w: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originally sold the notes on October 2, 2000 to Goldman, Sachs &amp; Co., SG Cowen Securities Corporation and Salomon Smith Barney Inc. The initial purchasers of the notes have advised us that the notes were resold in transactions exempt from the registration requirements of the Securities Act to "qualified institutional buyers", as defined in Rule 144A of the Securities Act. These subsequent purchasers, or their transferees, pledgees, donees or successors, may from time to time offer and sell any or all of the notes and/or shares of the common stock issuable upon conversion of the notes pursuant to this prospectus.</w:t>
      </w:r>
    </w:p>
    <w:p>
      <w:pPr>
        <w:spacing w:after="0" w:line="214"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notes and the shares of common stock issuable upon conversion of the notes have been registered in accordance with the registration rights agreement. Pursuant to the registration rights agreement, we are required to file a registration statement with regard to the notes and the shares of our common stock issuable upon conversion of the notes and to keep the registration statement effective until the earlier of:</w:t>
      </w:r>
    </w:p>
    <w:p>
      <w:pPr>
        <w:spacing w:after="0" w:line="210" w:lineRule="exact"/>
        <w:rPr>
          <w:sz w:val="24"/>
          <w:szCs w:val="24"/>
          <w:color w:val="auto"/>
        </w:rPr>
      </w:pPr>
    </w:p>
    <w:p>
      <w:pPr>
        <w:ind w:left="640" w:right="2099" w:hanging="42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the securities registered under the registration rights agreement;</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these securities under Rule 144(k) under the Securities Act with respect to persons who are not our affiliates; and</w:t>
      </w:r>
    </w:p>
    <w:p>
      <w:pPr>
        <w:spacing w:after="0" w:line="208" w:lineRule="exact"/>
        <w:rPr>
          <w:rFonts w:ascii="Courier New" w:cs="Courier New" w:eastAsia="Courier New" w:hAnsi="Courier New"/>
          <w:sz w:val="18"/>
          <w:szCs w:val="18"/>
          <w:color w:val="auto"/>
        </w:rPr>
      </w:pPr>
    </w:p>
    <w:p>
      <w:pPr>
        <w:ind w:left="640" w:right="3039" w:hanging="42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years from the date the registration statement is declared effective.</w:t>
      </w:r>
    </w:p>
    <w:p>
      <w:pPr>
        <w:spacing w:after="0" w:line="208" w:lineRule="exact"/>
        <w:rPr>
          <w:sz w:val="24"/>
          <w:szCs w:val="24"/>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selling securityholders may choose to sell notes and/or the shares of common stock issuable upon conversion of the notes from time to time. See "Plan of Distribution".</w:t>
      </w: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The following table sets forth:</w:t>
      </w:r>
    </w:p>
    <w:p>
      <w:pPr>
        <w:spacing w:after="0" w:line="207" w:lineRule="exact"/>
        <w:rPr>
          <w:sz w:val="24"/>
          <w:szCs w:val="24"/>
          <w:color w:val="auto"/>
        </w:rPr>
      </w:pPr>
    </w:p>
    <w:p>
      <w:pPr>
        <w:ind w:left="640" w:right="2099" w:hanging="421"/>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each selling securityholder who has provided us with notice as of the date of this prospectus supplement pursuant to the registration rights agreement of their intent to sell or otherwise dispose of notes and/or shares of common stock issuable upon conversion of the notes pursuant to the registration statement,</w:t>
      </w:r>
    </w:p>
    <w:p>
      <w:pPr>
        <w:spacing w:after="0" w:line="208" w:lineRule="exact"/>
        <w:rPr>
          <w:rFonts w:ascii="Courier New" w:cs="Courier New" w:eastAsia="Courier New" w:hAnsi="Courier New"/>
          <w:sz w:val="18"/>
          <w:szCs w:val="18"/>
          <w:color w:val="auto"/>
        </w:rPr>
      </w:pPr>
    </w:p>
    <w:p>
      <w:pPr>
        <w:jc w:val="both"/>
        <w:ind w:left="640" w:right="2419" w:hanging="421"/>
        <w:spacing w:after="0" w:line="236"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notes and the number of shares of our common stock issuable upon conversion of the notes which they may sell from time to time pursuant to the registration statement, and</w:t>
      </w:r>
    </w:p>
    <w:p>
      <w:pPr>
        <w:spacing w:after="0" w:line="208" w:lineRule="exact"/>
        <w:rPr>
          <w:rFonts w:ascii="Courier New" w:cs="Courier New" w:eastAsia="Courier New" w:hAnsi="Courier New"/>
          <w:sz w:val="18"/>
          <w:szCs w:val="18"/>
          <w:color w:val="auto"/>
        </w:rPr>
      </w:pPr>
    </w:p>
    <w:p>
      <w:pPr>
        <w:ind w:left="640" w:right="2099" w:hanging="421"/>
        <w:spacing w:after="0" w:line="236"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outstanding notes and our common stock beneficially owned by the selling securityholder prior to the offering, assuming no conversion of the notes.</w:t>
      </w:r>
    </w:p>
    <w:p>
      <w:pPr>
        <w:sectPr>
          <w:pgSz w:w="11900" w:h="16838" w:orient="portrait"/>
          <w:cols w:equalWidth="0" w:num="1">
            <w:col w:w="10219"/>
          </w:cols>
          <w:pgMar w:left="240" w:top="649" w:right="1440" w:bottom="1440" w:gutter="0" w:footer="0" w:header="0"/>
        </w:sectPr>
      </w:pPr>
    </w:p>
    <w:bookmarkStart w:id="1" w:name="page2"/>
    <w:bookmarkEnd w:id="1"/>
    <w:p>
      <w:pPr>
        <w:ind w:right="1879" w:firstLine="316"/>
        <w:spacing w:after="0" w:line="237" w:lineRule="auto"/>
        <w:rPr>
          <w:sz w:val="20"/>
          <w:szCs w:val="20"/>
          <w:color w:val="auto"/>
        </w:rPr>
      </w:pPr>
      <w:r>
        <w:rPr>
          <w:rFonts w:ascii="Courier New" w:cs="Courier New" w:eastAsia="Courier New" w:hAnsi="Courier New"/>
          <w:sz w:val="18"/>
          <w:szCs w:val="18"/>
          <w:color w:val="auto"/>
        </w:rPr>
        <w:t>To our knowledge, no selling securityholder nor any of its affiliates has held any position or office with, been employed by or otherwise has had any material relationship with us or our affiliates during the three years prior to the date of this prospectus.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selling securityholder may offer all or some portion of the notes and shares of the common stock issuable upon conversion of the notes. Accordingly, no estimate can be given as to the amount or percentage of notes or our common stock that will be held by the selling securityholders upon termination of sales pursuant to this prospectus. In addition, the selling securityholders identified below may have sold, transferred or disposed of all or a portion of their notes since the date on which they provided the information regarding their holdings in transactions exempt from the registration requirements of the Securities Act.</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information contained under the column heading "Shares That May be Sold" assumes conversion of the full amount of the notes held by the holder at the initial rate of 7.7056 shares of common stock per each $1,000 principal amount of notes.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7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5"/>
              </w:rPr>
              <w:t>May Be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Sold</w:t>
            </w:r>
          </w:p>
        </w:tc>
      </w:tr>
    </w:tbl>
    <w:p>
      <w:pPr>
        <w:spacing w:after="0" w:line="4" w:lineRule="exact"/>
        <w:rPr>
          <w:sz w:val="20"/>
          <w:szCs w:val="20"/>
          <w:color w:val="auto"/>
        </w:rPr>
      </w:pPr>
    </w:p>
    <w:p>
      <w:pPr>
        <w:ind w:left="3160" w:hanging="1888"/>
        <w:spacing w:after="0"/>
        <w:tabs>
          <w:tab w:leader="none" w:pos="31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ABN AMRO Incorporated.......</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$5,500,000</w:t>
            </w: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$5,500,000</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42,380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AIG/National Union Fire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1,030,000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Company(1).................</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5,100,000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276,100(2)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39,298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Life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Company(1).................</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11,600,000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276,100(2)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89,384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Aloha Airlines Non-Pilots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Pension 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Aloha Pilots Retirement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Alpha US Sub Fund VIII,</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Amaranth Securities 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11,500,000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88,614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Century Equity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24,657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Fidelity Assurance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Stores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Amerisure Companies/Michigan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Mutual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Annuity Board of the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Southern Baptist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Convention.................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Arbitex Master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Classic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Arbitrage Fund (Bermuda)</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292,812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Classic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Arbitrage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Convertible Arbitrage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Ltd...................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Arkansas PERS...............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22,731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Arlington County Employees'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Supplemental Retirement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Arpeggio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29,281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Associated Electric &amp; Gas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Limited...........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BBT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BTES Convertible............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BTOP Growth US Value........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 of America Securities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Bancroft Convertible Fund,</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Life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of New York........</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Trust Company as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Trustee for DaimlerChrysler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38" w:orient="portrait"/>
          <w:cols w:equalWidth="0" w:num="1">
            <w:col w:w="10219"/>
          </w:cols>
          <w:pgMar w:left="240" w:top="723"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Corp. EMP</w:t>
            </w:r>
          </w:p>
        </w:tc>
        <w:tc>
          <w:tcPr>
            <w:tcW w:w="32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Pension Plan</w:t>
            </w:r>
          </w:p>
        </w:tc>
        <w:tc>
          <w:tcPr>
            <w:tcW w:w="1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DTD 4/1/89</w:t>
            </w:r>
          </w:p>
        </w:tc>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9,030,000</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9,030,000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69,581</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Bay County</w:t>
            </w:r>
          </w:p>
        </w:tc>
        <w:tc>
          <w:tcPr>
            <w:tcW w:w="2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PERS.............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235,000</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235,000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Bear, Stearns</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&amp; Co.,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20,000,000</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20,000,000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405"/>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w:t>
            </w: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3" w:name="page4"/>
    <w:bookmarkEnd w:id="3"/>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7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Shares</w:t>
            </w:r>
          </w:p>
        </w:tc>
      </w:tr>
      <w:tr>
        <w:trPr>
          <w:trHeight w:val="203"/>
        </w:trPr>
        <w:tc>
          <w:tcPr>
            <w:tcW w:w="1160" w:type="dxa"/>
            <w:vAlign w:val="bottom"/>
          </w:tcPr>
          <w:p>
            <w:pPr>
              <w:spacing w:after="0"/>
              <w:rPr>
                <w:sz w:val="17"/>
                <w:szCs w:val="17"/>
                <w:color w:val="auto"/>
              </w:rPr>
            </w:pPr>
          </w:p>
        </w:tc>
        <w:tc>
          <w:tcPr>
            <w:tcW w:w="242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That</w:t>
            </w:r>
          </w:p>
        </w:tc>
      </w:tr>
      <w:tr>
        <w:trPr>
          <w:trHeight w:val="203"/>
        </w:trPr>
        <w:tc>
          <w:tcPr>
            <w:tcW w:w="1160" w:type="dxa"/>
            <w:vAlign w:val="bottom"/>
          </w:tcPr>
          <w:p>
            <w:pPr>
              <w:spacing w:after="0"/>
              <w:rPr>
                <w:sz w:val="17"/>
                <w:szCs w:val="17"/>
                <w:color w:val="auto"/>
              </w:rPr>
            </w:pPr>
          </w:p>
        </w:tc>
        <w:tc>
          <w:tcPr>
            <w:tcW w:w="242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7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May Be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420" w:type="dxa"/>
            <w:vAlign w:val="bottom"/>
          </w:tcPr>
          <w:p>
            <w:pPr>
              <w:jc w:val="center"/>
              <w:ind w:left="51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Sold</w:t>
            </w:r>
          </w:p>
        </w:tc>
      </w:tr>
    </w:tbl>
    <w:p>
      <w:pPr>
        <w:spacing w:after="0" w:line="4" w:lineRule="exact"/>
        <w:rPr>
          <w:sz w:val="20"/>
          <w:szCs w:val="20"/>
          <w:color w:val="auto"/>
        </w:rPr>
      </w:pPr>
    </w:p>
    <w:p>
      <w:pPr>
        <w:ind w:left="3160" w:hanging="1888"/>
        <w:spacing w:after="0"/>
        <w:tabs>
          <w:tab w:leader="none" w:pos="3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Black Diamond Offshore,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3,272,000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3,272,000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Cross Blue Shield of</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Florida....................</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 Medical Center.......</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 &amp; H Sugar Company, Inc. ..</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Association Inter-</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CALAMOS Convertible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Technology Fund - CALAMOS</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Trust...........</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CFFX, LLC...................</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4,500,000(3)</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CGU Life Insurance Company</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America.................</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CIBC World Markets</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 Arbitrage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CPA II......................</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CWA/ITU Negotiated Pension</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CapitalCare, Inc............</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CareFirst of Maryland,</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Manhattan</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22,500,000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173,376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Retirement Trust..</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Self Insurance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Reserve Fund...............</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Birmingham</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&amp; Relief</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7,821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New Bedford</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System..........</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Worcester Retirement</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Clinton Riverside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Portfolio</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Limited....................</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Conseco Annuity Assurance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Company-Multi-Bucket</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Annuity Convertible Bond</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50,086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Conseco Fund Group--</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Cornell University</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Endowment..................</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Suisse First Boston</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19,315,000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19,315,000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148,833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Curtiss-Wright Retirement</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 Shaw Investments,</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16,952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 Shaw Valence, L.P......</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67,809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Delaware PERS...............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2,655,000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2,655,000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Deephaven Domestic</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Trading Ltd....</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30,000,000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231,168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Deutsche Bank Securities</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125,500,000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967,052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Double Black Diamond</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Offshore, LDC..............</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13,526,000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13,526,000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104,225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Dow Corning Retirement</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El Paso County Retirement</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bl>
    <w:p>
      <w:pPr>
        <w:sectPr>
          <w:pgSz w:w="11900" w:h="16838" w:orient="portrait"/>
          <w:cols w:equalWidth="0" w:num="1">
            <w:col w:w="10219"/>
          </w:cols>
          <w:pgMar w:left="240" w:top="1122"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7"/>
              </w:rPr>
              <w:t>El Pomar Foundation.........</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250,000</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250,000</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1,926</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Elf Aquitaine...............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325,000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325,000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2,504</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Ellsworth Convertible Growth</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and Income Fund, Inc.......</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1,000,000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Enron North America.........</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6,000,000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46,233</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Ensign Peak Advisors........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425,000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425,000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3,274</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Entergy Services, Inc.......</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Erie Indemnity Company......</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Erie Insurance Exchange.....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F.R. Convertible Securities</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Fund.......................</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120,000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w:t>
            </w:r>
          </w:p>
        </w:tc>
      </w:tr>
      <w:tr>
        <w:trPr>
          <w:trHeight w:val="203"/>
        </w:trPr>
        <w:tc>
          <w:tcPr>
            <w:tcW w:w="3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Fairfax County..............</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405"/>
        </w:trPr>
        <w:tc>
          <w:tcPr>
            <w:tcW w:w="328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w:t>
            </w: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5" w:name="page6"/>
    <w:bookmarkEnd w:id="5"/>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60" w:type="dxa"/>
            <w:vAlign w:val="bottom"/>
          </w:tcPr>
          <w:p>
            <w:pPr>
              <w:spacing w:after="0"/>
              <w:rPr>
                <w:sz w:val="17"/>
                <w:szCs w:val="17"/>
                <w:color w:val="auto"/>
              </w:rPr>
            </w:pPr>
          </w:p>
        </w:tc>
        <w:tc>
          <w:tcPr>
            <w:tcW w:w="24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6"/>
              </w:rPr>
              <w:t>Amount Of</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60" w:type="dxa"/>
            <w:vAlign w:val="bottom"/>
          </w:tcPr>
          <w:p>
            <w:pPr>
              <w:spacing w:after="0"/>
              <w:rPr>
                <w:sz w:val="17"/>
                <w:szCs w:val="17"/>
                <w:color w:val="auto"/>
              </w:rPr>
            </w:pPr>
          </w:p>
        </w:tc>
        <w:tc>
          <w:tcPr>
            <w:tcW w:w="242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4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3060" w:hanging="1893"/>
        <w:spacing w:after="0"/>
        <w:tabs>
          <w:tab w:leader="none" w:pos="3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Firemen's Annuity &amp; Benefit</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of Chicago...........</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Republic Bank........</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Forest Alternative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Strategies Fund II LP</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ASM.......................</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Forest Fulcrum Fund L.P....</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Forest Global Convertible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A-5..................</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41,610</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and Marshall</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College...................</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FreeState Health Plan,</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Gaia Offshore Master Fund</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Goldman, Sachs &amp; Co........</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34,640,000(4)</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24,640,000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189,865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Granville Capital</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77,315,000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77,315,000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595,758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Great-West Life &amp; Annuity</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Group Hospitalization and</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Medical Services, Inc. ...</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Gryphon Domestic III, LLC..</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10,900,000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83,991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Hawaiian Airlines Pension</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 for Salaried</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Employees.................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Hawaiian Airlines Pilots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Plan...........</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Hawaiian Airlines Employees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Pension Plan--IAM.........</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Healthcare Underwriters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Mutual Insurance Company..</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Highbridge International</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36,500,000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36,500,000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281,254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IBM Pension Plan...........</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1,450,000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ICI American Holdings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1,235,000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1,235,000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IL Annuity &amp; Insurance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61,000,000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61,000,000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470,041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Investcorp-SAM Fund</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Limited...................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11,600,000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11,600,000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89,384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Island Holdings............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Island Insurance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Account.......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JMG Capital Partners, LP...</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18,500,000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142,553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JMG Triton Offshore Fund,</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J.P. Morgan Securities,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30,219,000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30,219,000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232,855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Julius Baer Securities,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1,370,000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1,370,000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10,556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KBC Financial Products,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Kentfield Trading, Ltd.....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6,660,000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6,660,000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51,319</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Kerr-McGee Corporation.....</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925,000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7,127</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Aerojet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Foundation................</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the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Charitable Convertible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Securities Fund...........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1,650,000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the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Charitable Income Fund....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the EB</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1,650,000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ectPr>
          <w:pgSz w:w="11900" w:h="16838" w:orient="portrait"/>
          <w:cols w:equalWidth="0" w:num="1">
            <w:col w:w="10219"/>
          </w:cols>
          <w:pgMar w:left="240" w:top="1122"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Agent for</w:t>
            </w:r>
          </w:p>
        </w:tc>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rPr>
              <w:t>the Field</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2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Foundation of Illinois....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 for</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Key</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2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77"/>
              </w:rPr>
              <w:t>Fund......................</w:t>
            </w:r>
          </w:p>
        </w:tc>
        <w:tc>
          <w:tcPr>
            <w:tcW w:w="9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300,000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 for</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Key</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Fixed Income</w:t>
            </w: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Fund.........</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415,000</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415,000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 for</w:t>
            </w: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Omnova</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77"/>
              </w:rPr>
              <w:t>Solutions.................</w:t>
            </w:r>
          </w:p>
        </w:tc>
        <w:tc>
          <w:tcPr>
            <w:tcW w:w="9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110,000</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110,000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 for</w:t>
            </w: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Parker</w:t>
            </w:r>
          </w:p>
        </w:tc>
        <w:tc>
          <w:tcPr>
            <w:tcW w:w="1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2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Key/Convertible Fund......</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370,000</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370,000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2,851</w:t>
            </w:r>
          </w:p>
        </w:tc>
      </w:tr>
      <w:tr>
        <w:trPr>
          <w:trHeight w:val="405"/>
        </w:trPr>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60" w:type="dxa"/>
            <w:vAlign w:val="bottom"/>
          </w:tcPr>
          <w:p>
            <w:pPr>
              <w:jc w:val="right"/>
              <w:ind w:right="1852"/>
              <w:spacing w:after="0"/>
              <w:rPr>
                <w:sz w:val="20"/>
                <w:szCs w:val="20"/>
                <w:color w:val="auto"/>
              </w:rPr>
            </w:pPr>
            <w:r>
              <w:rPr>
                <w:rFonts w:ascii="Courier New" w:cs="Courier New" w:eastAsia="Courier New" w:hAnsi="Courier New"/>
                <w:sz w:val="18"/>
                <w:szCs w:val="18"/>
                <w:color w:val="auto"/>
                <w:w w:val="92"/>
              </w:rPr>
              <w:t>4</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7" w:name="page8"/>
    <w:bookmarkEnd w:id="7"/>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3160" w:hanging="1888"/>
        <w:spacing w:after="0"/>
        <w:tabs>
          <w:tab w:leader="none" w:pos="3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Union Security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Life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Victory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Victory Invest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Quality Bond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California State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Automobile Inter-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Pension.........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Health Foundation of</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Greater Cincinnati.........</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235,000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JCPenney Life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Potlatch-First Trust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of St. Paul........</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Standard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640,000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4,931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University of South</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Florida Foundation.........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LLT Limited.................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Lehman Brothers,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19,500,000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150,259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Convertibles,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12,867,000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12,867,000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99,147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Convertibles Series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II,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Offshore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Convertibles,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Loomis Sayles Bond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Lucent Technologies Master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Pension 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Lutheran Brotherhood........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13,430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Lydian Overseas Partners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Master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68,500,000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527,833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Lyxor Master Fund c/o Forest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Management,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MAG Mutual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MFS Total Return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1,160,000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Maine State Retirement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 Corporate Bond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McMahan Securities Co.</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162,000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Medical Liability Mutual</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27,500,000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15,500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211,904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International</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Pierce Fenner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Smith,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MetLife Separate Account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ectPr>
          <w:pgSz w:w="11900" w:h="16838" w:orient="portrait"/>
          <w:cols w:equalWidth="0" w:num="1">
            <w:col w:w="10219"/>
          </w:cols>
          <w:pgMar w:left="240" w:top="1122"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ind w:left="120"/>
              <w:spacing w:after="0"/>
              <w:rPr>
                <w:sz w:val="20"/>
                <w:szCs w:val="20"/>
                <w:color w:val="auto"/>
              </w:rPr>
            </w:pPr>
            <w:r>
              <w:rPr>
                <w:rFonts w:ascii="Courier New" w:cs="Courier New" w:eastAsia="Courier New" w:hAnsi="Courier New"/>
                <w:sz w:val="18"/>
                <w:szCs w:val="18"/>
                <w:color w:val="auto"/>
              </w:rPr>
              <w:t>235........................</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500,000</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500,000</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3,852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Morgan Stanley &amp; Co.........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10,928,000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10,928,000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84,206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Morgan Stanley Dean Witter</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Securities 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3,500,000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Museum of Fine Arts,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Boston.....................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Nalco Chemical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Nashville Electric Service..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NCMIC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Life Insurance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5,500,000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State Electric &amp;</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Gas Corp. Retirement</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 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Nicholas Applegate CBO I</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Limited....................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Nicholas Applegate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Grade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Nike, Inc. Profit Sharing</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NORCAL Mutual Insurance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w:t>
            </w:r>
          </w:p>
        </w:tc>
      </w:tr>
      <w:tr>
        <w:trPr>
          <w:trHeight w:val="405"/>
        </w:trPr>
        <w:tc>
          <w:tcPr>
            <w:tcW w:w="3160" w:type="dxa"/>
            <w:vAlign w:val="bottom"/>
          </w:tcPr>
          <w:p>
            <w:pPr>
              <w:spacing w:after="0"/>
              <w:rPr>
                <w:sz w:val="24"/>
                <w:szCs w:val="24"/>
                <w:color w:val="auto"/>
              </w:rPr>
            </w:pP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9" w:name="page10"/>
    <w:bookmarkEnd w:id="9"/>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3160" w:hanging="1888"/>
        <w:spacing w:after="0"/>
        <w:tabs>
          <w:tab w:leader="none" w:pos="31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Northern Income Equity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Northwestern Mutual Life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16,500,000</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111,600(5) 127,142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Nstar (Boston Edison) Union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Medical VEBA...............</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Nuclear Electric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775,000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5,971</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OHIC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Oppenheimer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Securities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92,467</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Oxford, Lord Abbett &amp; Co....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16,952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Paloma Securities L.L.C.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Parker-Hannifin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Pell Rudman Trust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4,335,000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4,335,000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534,052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33,403</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Penn Treaty Network America</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Pension Reserves Investment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Peoples Benefit Life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(Teamsters Separate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Account)...................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Physicians' Reciprocal</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Insurers Account #7........</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PIMCO Convertible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24,657</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PRIM Board..................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Primerica Life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Company</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2,226,000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2,226,000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17,152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ProMutual...................</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162,000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Putnam Asset Allocation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Funds--</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Balanced Portfolio..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332,000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332,000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Putnam Asset Allocation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Funds--</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Conservative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1,533</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Putnam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Opportunities and Income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109,000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Quattro Fund, LLC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Queen's Health 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 Pension Plan of the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Association................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Radian Guaranty,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10,017</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Reliant Energy Retirement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Rhapsody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100,172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Robertson Stephens..........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14,800,000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14,800,000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114,042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Rohm &amp; Haas Company Pension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Royal Bank of Canada........</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157,230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130,995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SG Cowen Securities Corp....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22,500,000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173,376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Salomon Brothers Asset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Management, Inc.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4,550,000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35,060</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Salomon Smith Barney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Southern Farm Bureau Life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1,530,000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11,789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 Albans Partners Ltd.....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 Thomas Trading, Ltd.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Starvest Combined</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1,260,000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Starvest Managed Portfolio..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of Oregon/Equity......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7,450,000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57,406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of Oregon/SAIF</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5,350,000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41,224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Bank as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Custodian for GE Pension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4,465,000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4,465,000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34,405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Sun America Style Select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ectPr>
          <w:pgSz w:w="11900" w:h="16838" w:orient="portrait"/>
          <w:cols w:equalWidth="0" w:num="1">
            <w:col w:w="10219"/>
          </w:cols>
          <w:pgMar w:left="240" w:top="1122"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Series Equity Income.......</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450,000</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450,000</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3,467</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Target Corporation..........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350,000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Teachers Insurance and</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Annuity Association........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9,000,000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69,350</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Thomas Weisel Partners 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24,275,000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24,275,000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94,200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187,053</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Toronto Dominion (New York),</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39,000,000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39,000,000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300,518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Transamerica Life Insurance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and Annuity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7,000,000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7,000,000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53,939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Indemnity</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7,223,000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7,223,000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55,657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Insurance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Company--Life..............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3,772,000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3,772,000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29,065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Insurance</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Company Separate Account</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TLAC.......................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428,000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428,000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3,297</w:t>
            </w:r>
          </w:p>
        </w:tc>
      </w:tr>
      <w:tr>
        <w:trPr>
          <w:trHeight w:val="405"/>
        </w:trPr>
        <w:tc>
          <w:tcPr>
            <w:tcW w:w="3160" w:type="dxa"/>
            <w:vAlign w:val="bottom"/>
          </w:tcPr>
          <w:p>
            <w:pPr>
              <w:spacing w:after="0"/>
              <w:rPr>
                <w:sz w:val="24"/>
                <w:szCs w:val="24"/>
                <w:color w:val="auto"/>
              </w:rPr>
            </w:pP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11" w:name="page12"/>
    <w:bookmarkEnd w:id="11"/>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60" w:type="dxa"/>
            <w:vAlign w:val="bottom"/>
          </w:tcPr>
          <w:p>
            <w:pPr>
              <w:spacing w:after="0"/>
              <w:rPr>
                <w:sz w:val="17"/>
                <w:szCs w:val="17"/>
                <w:color w:val="auto"/>
              </w:rPr>
            </w:pPr>
          </w:p>
        </w:tc>
        <w:tc>
          <w:tcPr>
            <w:tcW w:w="23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6"/>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60" w:type="dxa"/>
            <w:vAlign w:val="bottom"/>
          </w:tcPr>
          <w:p>
            <w:pPr>
              <w:spacing w:after="0"/>
              <w:rPr>
                <w:sz w:val="17"/>
                <w:szCs w:val="17"/>
                <w:color w:val="auto"/>
              </w:rPr>
            </w:pPr>
          </w:p>
        </w:tc>
        <w:tc>
          <w:tcPr>
            <w:tcW w:w="238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May Be Sold</w:t>
            </w:r>
          </w:p>
        </w:tc>
        <w:tc>
          <w:tcPr>
            <w:tcW w:w="14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3060" w:hanging="1893"/>
        <w:spacing w:after="0"/>
        <w:tabs>
          <w:tab w:leader="none" w:pos="3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The Travelers Life and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Annuity Company...........</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451,000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451,000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Travelers Series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Bond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Portfolio.................</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Travelers Series Managed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Assets Trust..............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UBFAM Arbitrage Fund Ltd.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UBS AG, London Branch......</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211,904</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U.S. Olympic Foundation....</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Food and Commercial</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Workers Tri-State Pension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United Healthcare Insurance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University of Rochester....</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Virginia Insurance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Reciprocal................</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Line Convertible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Fund, Inc.................</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Van Kampen Harbor Fund.....</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8,100,000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5,003,250(6)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62,415</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The Whitaker Foundation....</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White River Securities,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Worldwide Transactions,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Ltd.......................</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702,000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702,000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5,409</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Zeneca AG Products, Inc....</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Zeneca Holdings Trust......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7,243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51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Allstate Life Insurance Company is a subsidiary of Allstate Insurance Company.</w:t>
      </w:r>
    </w:p>
    <w:p>
      <w:pPr>
        <w:spacing w:after="0" w:line="5"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169,500 shares of common stock held by Allstate Insurance Company, 14,100 shares of common stock held by Allstate Life Insurance Company, and 92,500 shares of common stock held by affiliates of Allstate Insurance Company and Allstate Life Insurance Company.</w:t>
      </w:r>
    </w:p>
    <w:p>
      <w:pPr>
        <w:spacing w:after="0" w:line="4"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$2,500,000 principal amount of registered notes that CFFX, LLC has purchased on the open market. These notes are not being offered by this prospectus.</w:t>
      </w:r>
    </w:p>
    <w:p>
      <w:pPr>
        <w:spacing w:after="0" w:line="6" w:lineRule="exact"/>
        <w:rPr>
          <w:rFonts w:ascii="Courier New" w:cs="Courier New" w:eastAsia="Courier New" w:hAnsi="Courier New"/>
          <w:sz w:val="18"/>
          <w:szCs w:val="18"/>
          <w:color w:val="auto"/>
        </w:rPr>
      </w:pPr>
    </w:p>
    <w:p>
      <w:pPr>
        <w:jc w:val="both"/>
        <w:ind w:left="420" w:right="231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$10,000,000 principal amount of registered notes that Goldman, Sachs &amp; Co. has purchased on the open market. These notes are not being offered by this prospectus.</w:t>
      </w:r>
    </w:p>
    <w:p>
      <w:pPr>
        <w:spacing w:after="0" w:line="6" w:lineRule="exact"/>
        <w:rPr>
          <w:rFonts w:ascii="Courier New" w:cs="Courier New" w:eastAsia="Courier New" w:hAnsi="Courier New"/>
          <w:sz w:val="18"/>
          <w:szCs w:val="18"/>
          <w:color w:val="auto"/>
        </w:rPr>
      </w:pPr>
    </w:p>
    <w:p>
      <w:pPr>
        <w:ind w:left="420" w:right="2099" w:hanging="412"/>
        <w:spacing w:after="0" w:line="268"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Northwestern Mutual Life Insurance Company is the indirect beneficial owner with shared investment and voting power of these shares of common stock, which are currently held by affiliated entities.</w:t>
      </w:r>
    </w:p>
    <w:p>
      <w:pPr>
        <w:ind w:left="420" w:right="219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these shares of common stock are held by entities affiliated with Van Kampen Harbor Fund.</w:t>
      </w:r>
    </w:p>
    <w:p>
      <w:pPr>
        <w:spacing w:after="0" w:line="203"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The date of this Prospectus Supplement is March 9, 2001.</w:t>
      </w:r>
    </w:p>
    <w:p>
      <w:pPr>
        <w:jc w:val="center"/>
        <w:ind w:right="1459"/>
        <w:spacing w:after="0" w:line="238" w:lineRule="auto"/>
        <w:rPr>
          <w:sz w:val="20"/>
          <w:szCs w:val="20"/>
          <w:color w:val="auto"/>
        </w:rPr>
      </w:pPr>
      <w:r>
        <w:rPr>
          <w:rFonts w:ascii="Courier New" w:cs="Courier New" w:eastAsia="Courier New" w:hAnsi="Courier New"/>
          <w:sz w:val="18"/>
          <w:szCs w:val="18"/>
          <w:color w:val="auto"/>
        </w:rPr>
        <w:t>7</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2019-12-20T00:57:21Z</dcterms:created>
  <dcterms:modified xsi:type="dcterms:W3CDTF">2019-12-20T00:57:21Z</dcterms:modified>
</cp:coreProperties>
</file>