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17,380,275</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17,380,275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17,380,275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17,380,275 shares or 4.7% of the 368,635,788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2019-12-21T03:56:50Z</dcterms:created>
  <dcterms:modified xsi:type="dcterms:W3CDTF">2019-12-21T03:56:50Z</dcterms:modified>
</cp:coreProperties>
</file>