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3, 2025</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1019"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1019"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1019"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1019"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019"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1019"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1019" w:right="379" w:bottom="1440" w:gutter="0" w:footer="0" w:header="0"/>
          <w:type w:val="continuous"/>
        </w:sectPr>
      </w:pPr>
    </w:p>
    <w:p>
      <w:pPr>
        <w:spacing w:after="0" w:line="7" w:lineRule="exact"/>
        <w:rPr>
          <w:sz w:val="24"/>
          <w:szCs w:val="24"/>
          <w:color w:val="auto"/>
        </w:rPr>
      </w:pPr>
    </w:p>
    <w:p>
      <w:pPr>
        <w:ind w:right="2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6"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left="460" w:right="124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3, 2025 there were 496,248,196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ind w:left="39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8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229"/>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2,640,068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2,159,039</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5,063,242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4,671,743</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1,028,458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979,004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2,021,329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2,017,767</w:t>
            </w:r>
          </w:p>
        </w:tc>
      </w:tr>
      <w:tr>
        <w:trPr>
          <w:trHeight w:val="223"/>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3,041,913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2,653,976</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746,289</w:t>
            </w:r>
          </w:p>
        </w:tc>
      </w:tr>
      <w:tr>
        <w:trPr>
          <w:trHeight w:val="230"/>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587,465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534,207</w:t>
            </w:r>
          </w:p>
        </w:tc>
      </w:tr>
      <w:tr>
        <w:trPr>
          <w:trHeight w:val="229"/>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379,276</w:t>
            </w:r>
          </w:p>
        </w:tc>
      </w:tr>
      <w:tr>
        <w:trPr>
          <w:trHeight w:val="229"/>
        </w:trPr>
        <w:tc>
          <w:tcPr>
            <w:tcW w:w="4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22,117</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1,872,656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1,681,889</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1,169,257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972,087</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154,244</w:t>
            </w:r>
          </w:p>
        </w:tc>
      </w:tr>
      <w:tr>
        <w:trPr>
          <w:trHeight w:val="230"/>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(24,438)</w:t>
            </w:r>
          </w:p>
        </w:tc>
      </w:tr>
      <w:tr>
        <w:trPr>
          <w:trHeight w:val="230"/>
        </w:trPr>
        <w:tc>
          <w:tcPr>
            <w:tcW w:w="4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134,066</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838,021</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73,052</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302,242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961,086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764,969</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495,947</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498,533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498,637</w:t>
            </w:r>
          </w:p>
        </w:tc>
      </w:tr>
      <w:tr>
        <w:trPr>
          <w:trHeight w:val="270"/>
        </w:trPr>
        <w:tc>
          <w:tcPr>
            <w:tcW w:w="4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240"/>
          </w:cols>
          <w:pgMar w:left="340" w:top="1008" w:right="13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40" w:top="1008" w:right="131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84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764,969</w:t>
            </w: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175"/>
        </w:trPr>
        <w:tc>
          <w:tcPr>
            <w:tcW w:w="4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instruments designated as cash</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 hedges, net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306,326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776,070</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Pr>
          <w:p>
            <w:pPr>
              <w:spacing w:after="0"/>
              <w:rPr>
                <w:sz w:val="16"/>
                <w:szCs w:val="16"/>
                <w:color w:val="auto"/>
              </w:rPr>
            </w:pP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2,376,235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1,991,342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1,382,365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1,336,331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1,447,687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337,472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5,588,537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5,484,654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3,415,550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26,909,775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8,787,380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9,585,464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1,985,591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2,083,752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701,671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749,082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41,755,950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42,743,623</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47,344,487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48,228,277</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487,457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447,379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399,636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548,720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547,738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1,353,568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1,106,070</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2,690,642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2,988,280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6,648,417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6,634,313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2,379,575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2,624,392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260,486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544,489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9,643,225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10,063,680</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496,248,196 shares outstanding</w:t>
            </w:r>
          </w:p>
        </w:tc>
        <w:tc>
          <w:tcPr>
            <w:tcW w:w="3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(496,296,854 on November 2, 2024)</w:t>
            </w:r>
          </w:p>
        </w:tc>
        <w:tc>
          <w:tcPr>
            <w:tcW w:w="3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24,885,204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25,082,243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10,210,338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10,196,612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(185,256)</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35,010,620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35,176,317</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47,344,487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48,228,277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4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May 3, 2025</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2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25,041,250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10,131,590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$0.99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(248,443)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3,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24,885,204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10,210,338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(167,632)</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gridSpan w:val="8"/>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Six Months Ended May 3, 2025</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2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2,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25,082,243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10,196,612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$1.91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(408,689)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3,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24,885,204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10,210,338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May 4,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25,253,256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10,393,449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$0.92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(222,185)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4,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25,103,737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10,239,549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May 4, 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25,313,914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10,356,798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$1.78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(402,364)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4,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25,103,737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10,239,549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20" w:top="1046"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6" w:right="37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4"/>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961,086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764,969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173,172</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880,376</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128,211</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(164,348)</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13,370</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150,935</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985,201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1,181,716</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1,946,287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1,946,685</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short-term available-for-sale investments</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(424,117)</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Maturities of short-term available-for-sale investments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(411,167)</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property, plant and equipment, net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14,106</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133,892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(821,178)</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debt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1,087,856</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repayments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3051F2"/>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5,383,401</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(4,315,358)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(5,382,390)</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(402,732)</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(947,360)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(882,218)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64,336</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(12,126)</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(1,695,286)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(143,873)</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384,893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981,634</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1,991,342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958,061</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2,376,235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1,939,695</w:t>
            </w:r>
          </w:p>
        </w:tc>
      </w:tr>
      <w:tr>
        <w:trPr>
          <w:trHeight w:val="23"/>
        </w:trPr>
        <w:tc>
          <w:tcPr>
            <w:tcW w:w="7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FOR THE THREE AND SIX MONTHS ENDED MAY 3, 2025 (UNAUDITED) (all tabular amounts in thousands except per share amounts and percentages)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6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2024 (fiscal 2024) and related notes. The results of operations for the interim periods shown in this report are not necessarily indicative of the results that may be expected for the fiscal year ending November 1, 2025 (fiscal 2025) or any future period.</w:t>
      </w:r>
    </w:p>
    <w:p>
      <w:pPr>
        <w:spacing w:after="0" w:line="129" w:lineRule="exact"/>
        <w:rPr>
          <w:sz w:val="20"/>
          <w:szCs w:val="20"/>
          <w:color w:val="auto"/>
        </w:rPr>
      </w:pPr>
    </w:p>
    <w:p>
      <w:pPr>
        <w:ind w:right="40" w:firstLine="243"/>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2025 is a 52-week fiscal year and fiscal 2024 was a 53-week fiscal year. The additional week in fiscal 2024 was included in the first quarter ended February 3, 2024. Therefore, the first six months of fiscal 2025 included one less week of operations as compared to the first six months of fiscal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08" w:lineRule="exact"/>
        <w:rPr>
          <w:sz w:val="20"/>
          <w:szCs w:val="20"/>
          <w:color w:val="auto"/>
        </w:rPr>
      </w:pPr>
    </w:p>
    <w:p>
      <w:pPr>
        <w:ind w:right="580" w:firstLine="405"/>
        <w:spacing w:after="0" w:line="266" w:lineRule="auto"/>
        <w:rPr>
          <w:sz w:val="20"/>
          <w:szCs w:val="20"/>
          <w:color w:val="auto"/>
        </w:rPr>
      </w:pPr>
      <w:r>
        <w:rPr>
          <w:rFonts w:ascii="Times New Roman" w:cs="Times New Roman" w:eastAsia="Times New Roman" w:hAnsi="Times New Roman"/>
          <w:sz w:val="18"/>
          <w:szCs w:val="18"/>
          <w:color w:val="auto"/>
        </w:rPr>
        <w:t>As of May 3, 2025, the Company’s Board of Directors authorized the repurchase of $26.7 billion of its common stock under its common stock repurchase program and $11.4 billion remained available for repurchases under the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six months of fiscal 2025.</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3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gains/losses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52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156"/>
        </w:trPr>
        <w:tc>
          <w:tcPr>
            <w:tcW w:w="31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28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Pr>
          <w:p>
            <w:pPr>
              <w:spacing w:after="0"/>
              <w:rPr>
                <w:sz w:val="21"/>
                <w:szCs w:val="21"/>
                <w:color w:val="auto"/>
              </w:rPr>
            </w:pP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00" w:type="dxa"/>
            <w:vAlign w:val="bottom"/>
          </w:tcPr>
          <w:p>
            <w:pPr>
              <w:spacing w:after="0"/>
              <w:rPr>
                <w:sz w:val="21"/>
                <w:szCs w:val="21"/>
                <w:color w:val="auto"/>
              </w:rPr>
            </w:pPr>
          </w:p>
        </w:tc>
        <w:tc>
          <w:tcPr>
            <w:tcW w:w="2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Unrealized holding gains/losses on derivatives:</w:t>
            </w: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21"/>
                <w:szCs w:val="21"/>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amounts reclassified out of AOCI,</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0" w:type="dxa"/>
            <w:vAlign w:val="bottom"/>
          </w:tcPr>
          <w:p>
            <w:pPr>
              <w:spacing w:after="0"/>
              <w:rPr>
                <w:sz w:val="1"/>
                <w:szCs w:val="1"/>
                <w:color w:val="auto"/>
              </w:rPr>
            </w:pPr>
          </w:p>
        </w:tc>
      </w:tr>
      <w:tr>
        <w:trPr>
          <w:trHeight w:val="22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764,969</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495,947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498,201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498,533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498,434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498,637</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2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926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2024</w:t>
            </w:r>
          </w:p>
        </w:tc>
        <w:tc>
          <w:tcPr>
            <w:tcW w:w="7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13,855</w:t>
            </w:r>
          </w:p>
        </w:tc>
      </w:tr>
      <w:tr>
        <w:trPr>
          <w:trHeight w:val="230"/>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costs, net</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56,334</w:t>
            </w:r>
          </w:p>
        </w:tc>
      </w:tr>
      <w:tr>
        <w:trPr>
          <w:trHeight w:val="229"/>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2025</w:t>
            </w:r>
          </w:p>
        </w:tc>
        <w:tc>
          <w:tcPr>
            <w:tcW w:w="7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costs, net</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229"/>
        </w:trPr>
        <w:tc>
          <w:tcPr>
            <w:tcW w:w="20" w:type="dxa"/>
            <w:vAlign w:val="bottom"/>
            <w:tcBorders>
              <w:bottom w:val="single" w:sz="8" w:color="CCEEFF"/>
            </w:tcBorders>
          </w:tcPr>
          <w:p>
            <w:pPr>
              <w:spacing w:after="0"/>
              <w:rPr>
                <w:sz w:val="19"/>
                <w:szCs w:val="19"/>
                <w:color w:val="auto"/>
              </w:rPr>
            </w:pPr>
          </w:p>
        </w:tc>
        <w:tc>
          <w:tcPr>
            <w:tcW w:w="9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3, 2025</w:t>
            </w:r>
          </w:p>
        </w:tc>
        <w:tc>
          <w:tcPr>
            <w:tcW w:w="72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 w:name="page10"/>
    <w:bookmarkEnd w:id="9"/>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recorded net special charges of $65.6 million as part of its Global Repositioning Actions in the six months ended May 3, 2025. The Global Repositioning Actions were part of a transformation initiative aimed at aligning the Company’s enterprise strategy, organizational design and streamlining its operations to achieve its long-term strategic plan. The special charges include severance costs, in accordance with the Company’s ongoing benefit plan or statutory requirements at foreign locations, related to the termination of certain employees in manufacturing, engineering and selling, marketing, general and administrative roles.</w:t>
      </w:r>
    </w:p>
    <w:p>
      <w:pPr>
        <w:spacing w:after="0" w:line="129"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2025, the Company completed the sale of its facility in Milpitas, CA, that was previously classified as held for sale, for approximately $39.7 million, net of selling costs, which resulted in an immaterial loss recorded in Special charges, net.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7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1,157,747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991,446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849,505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684,102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317,756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244,947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315,060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238,544</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2,640,068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2,159,039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2,229,837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2,181,828</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1,584,534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1,433,586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634,667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614,204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542,266</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5,063,242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4,671,743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60" w:hanging="134"/>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percentages may not equal the total due to rounding.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2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tables summarize revenue by channel. The Company sells its products globally through a direct sales force, third-party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1,480,088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1,248,382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1,125,775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873,593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2,640,068</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2,159,039</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2,855,552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2,783,592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2,145,647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1,813,568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5,063,242</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4,671,743</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175" w:lineRule="exact"/>
        <w:rPr>
          <w:sz w:val="20"/>
          <w:szCs w:val="20"/>
          <w:color w:val="auto"/>
        </w:rPr>
      </w:pPr>
    </w:p>
    <w:p>
      <w:pPr>
        <w:ind w:right="40" w:firstLine="445"/>
        <w:spacing w:after="0" w:line="260" w:lineRule="auto"/>
        <w:rPr>
          <w:sz w:val="20"/>
          <w:szCs w:val="20"/>
          <w:color w:val="auto"/>
        </w:rPr>
      </w:pPr>
      <w:r>
        <w:rPr>
          <w:rFonts w:ascii="Times New Roman" w:cs="Times New Roman" w:eastAsia="Times New Roman" w:hAnsi="Times New Roman"/>
          <w:sz w:val="18"/>
          <w:szCs w:val="18"/>
          <w:color w:val="auto"/>
        </w:rPr>
        <w:t>The tables below, set forth by level, present the Company’s financial assets and liabilities, excluding accrued interest components that were accounted for at fair value on a recurring basis as of May 3, 2025 and November 2, 2024. The tables exclude cash on hand and assets and liabilities that are measured at historical cost or any basis other than fair value. As of May 3, 2025 and November 2, 2024, the Company held $1.8 billion and $1.4 billion, respectively, of cash that is excluded from the tables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5"/>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9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652,933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 (2)</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9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1" w:name="page12"/>
    <w:bookmarkEnd w:id="11"/>
    <w:p>
      <w:pPr>
        <w:ind w:left="660" w:right="340" w:hanging="328"/>
        <w:spacing w:after="0" w:line="262"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300,576</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1,064,398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2, 2024 was $382.9 million.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3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table below presents the estimated fair values of certain financial instruments not recorded at fair value on a recurring basis. Given the short tenure of the Company’s commercial paper notes, the carrying value of the outstanding commercial paper notes approximates the fair values, and therefore, are excluded from the table below ($548.7 million and $547.7 million as of May 3, 2025 and November 2, 2024, respectively). The fair values of the senior unsecured notes are obtained from broker prices and are classified as Level 1 measurements according to the fair value hierarchy.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3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397,027</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882,795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421,077</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673,316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843,766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287,172</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553,375</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136,718</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534,435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322,942</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655,668</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541,912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senior unsecured notes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7,117,077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6,250,203</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w:t>
      </w:r>
    </w:p>
    <w:p>
      <w:pPr>
        <w:spacing w:after="0" w:line="173" w:lineRule="exact"/>
        <w:rPr>
          <w:sz w:val="20"/>
          <w:szCs w:val="20"/>
          <w:color w:val="auto"/>
        </w:rPr>
      </w:pPr>
    </w:p>
    <w:p>
      <w:pPr>
        <w:ind w:right="22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total notional amounts of forward foreign currency derivative instruments designated as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of cash flow hedges as of May 3, 2025 and November 2, 2024 were $276.0 million and $257.0 million, respectively, and the fair values of these instruments in the Company’s Condensed Consolidated Balance Sheets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8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445"/>
        <w:spacing w:after="0" w:line="263" w:lineRule="auto"/>
        <w:rPr>
          <w:sz w:val="20"/>
          <w:szCs w:val="20"/>
          <w:color w:val="auto"/>
        </w:rPr>
      </w:pPr>
      <w:r>
        <w:rPr>
          <w:rFonts w:ascii="Times New Roman" w:cs="Times New Roman" w:eastAsia="Times New Roman" w:hAnsi="Times New Roman"/>
          <w:sz w:val="18"/>
          <w:szCs w:val="18"/>
          <w:color w:val="auto"/>
        </w:rPr>
        <w:t>As of May 3, 2025 and November 2, 2024, the total notional amounts of undesignated hedges related to forward foreign currency exchange contracts were $191.8 million and $176.8 million, respectively, and the fair values of undesignated hedges in the Company’s Condensed Consolidated Balance Sheets were as follows:</w:t>
      </w:r>
    </w:p>
    <w:p>
      <w:pPr>
        <w:spacing w:after="0" w:line="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Fair Value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33655</wp:posOffset>
            </wp:positionV>
            <wp:extent cx="2057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5" w:lineRule="exact"/>
        <w:rPr>
          <w:sz w:val="20"/>
          <w:szCs w:val="20"/>
          <w:color w:val="auto"/>
        </w:rPr>
      </w:pPr>
    </w:p>
    <w:p>
      <w:pPr>
        <w:ind w:left="5300"/>
        <w:spacing w:after="0"/>
        <w:tabs>
          <w:tab w:leader="none" w:pos="8380" w:val="left"/>
          <w:tab w:leader="none" w:pos="9880" w:val="left"/>
        </w:tabs>
        <w:rPr>
          <w:sz w:val="20"/>
          <w:szCs w:val="20"/>
          <w:color w:val="auto"/>
        </w:rPr>
      </w:pPr>
      <w:r>
        <w:rPr>
          <w:rFonts w:ascii="Times New Roman" w:cs="Times New Roman" w:eastAsia="Times New Roman" w:hAnsi="Times New Roman"/>
          <w:sz w:val="14"/>
          <w:szCs w:val="14"/>
          <w:b w:val="1"/>
          <w:bCs w:val="1"/>
          <w:color w:val="auto"/>
        </w:rPr>
        <w:t>Balance Sheet Location</w:t>
      </w:r>
      <w:r>
        <w:rPr>
          <w:sz w:val="20"/>
          <w:szCs w:val="20"/>
          <w:color w:val="auto"/>
        </w:rPr>
        <w:tab/>
      </w:r>
      <w:r>
        <w:rPr>
          <w:rFonts w:ascii="Times New Roman" w:cs="Times New Roman" w:eastAsia="Times New Roman" w:hAnsi="Times New Roman"/>
          <w:sz w:val="14"/>
          <w:szCs w:val="14"/>
          <w:b w:val="1"/>
          <w:bCs w:val="1"/>
          <w:color w:val="auto"/>
        </w:rPr>
        <w:t>May 3, 2025</w:t>
      </w:r>
      <w:r>
        <w:rPr>
          <w:sz w:val="20"/>
          <w:szCs w:val="20"/>
          <w:color w:val="auto"/>
        </w:rPr>
        <w:tab/>
      </w:r>
      <w:r>
        <w:rPr>
          <w:rFonts w:ascii="Times New Roman" w:cs="Times New Roman" w:eastAsia="Times New Roman" w:hAnsi="Times New Roman"/>
          <w:sz w:val="14"/>
          <w:szCs w:val="14"/>
          <w:b w:val="1"/>
          <w:bCs w:val="1"/>
          <w:color w:val="auto"/>
        </w:rPr>
        <w:t>November 2, 2024</w:t>
      </w:r>
    </w:p>
    <w:p>
      <w:pPr>
        <w:sectPr>
          <w:pgSz w:w="11900" w:h="16838" w:orient="portrait"/>
          <w:cols w:equalWidth="0" w:num="1">
            <w:col w:w="11240"/>
          </w:cols>
          <w:pgMar w:left="320" w:top="1168" w:right="339" w:bottom="1440" w:gutter="0" w:footer="0" w:header="0"/>
        </w:sectPr>
      </w:pPr>
    </w:p>
    <w:p>
      <w:pPr>
        <w:spacing w:after="0" w:line="4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8,407</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4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5,184</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-530860</wp:posOffset>
            </wp:positionV>
            <wp:extent cx="713232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140" w:space="40"/>
            <w:col w:w="7060"/>
          </w:cols>
          <w:pgMar w:left="320" w:top="1168" w:right="339" w:bottom="1440" w:gutter="0" w:footer="0" w:header="0"/>
          <w:type w:val="continuous"/>
        </w:sectPr>
      </w:pPr>
    </w:p>
    <w:p>
      <w:pPr>
        <w:ind w:right="18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 does not consider the risk of counterparty default to be significant. The gain or loss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interest rate swap transactions attributable to the hedged benchmark interest rate risk and the offsetting gain or loss on the related interest rate swaps were recorded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220" w:type="dxa"/>
            <w:vAlign w:val="bottom"/>
          </w:tcPr>
          <w:p>
            <w:pPr>
              <w:spacing w:after="0"/>
              <w:rPr>
                <w:sz w:val="16"/>
                <w:szCs w:val="16"/>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21,881</w:t>
            </w: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 for further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May 3, 2025 and November 2, 2024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40" w:type="dxa"/>
            <w:vAlign w:val="bottom"/>
          </w:tcPr>
          <w:p>
            <w:pPr>
              <w:spacing w:after="0"/>
              <w:rPr>
                <w:sz w:val="16"/>
                <w:szCs w:val="16"/>
                <w:color w:val="auto"/>
              </w:rPr>
            </w:pPr>
          </w:p>
        </w:tc>
        <w:tc>
          <w:tcPr>
            <w:tcW w:w="16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7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93,608</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1,047,022</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307,057</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1,447,687</w:t>
            </w:r>
          </w:p>
        </w:tc>
      </w:tr>
      <w:tr>
        <w:trPr>
          <w:trHeight w:val="21"/>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April 11, 2025, the Company entered into its Fourth Amended and Restated Revolving Credit Agreement (Revolving Credit Agreement) with the Company and Bank of America, N.A. as administrative agent and the other banks identified therein as lenders, which further amended and restated its revolving credit agreement dated as of June 23, 2021. The Revolving Credit Agreement provides for a five-year unsecured revolving credit facility in an aggregate principal amount of up to $3.0 billion, expiring on April 11, 2030.</w:t>
      </w:r>
    </w:p>
    <w:p>
      <w:pPr>
        <w:spacing w:after="0" w:line="7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Revolving Credit Agreement contains customary representations and warranties, and affirmative and negative covenants and events of default applicable to the Company and its subsidiaries. As of May 3, 2025, the Company was in compliance with these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second quarter of fiscal 2025, the Company repaid the $400.0 million principal amount on its 2025 Notes, due April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08"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three- and six-month periods ended May 3, 2025 and May 4, 2024 were below the U.S. statutory tax rate of 21.0%, due to lower statutory tax rates applicable to the Company’s operations in the foreign jurisdictions in which it earns income.</w:t>
      </w:r>
    </w:p>
    <w:p>
      <w:pPr>
        <w:spacing w:after="0" w:line="2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October 30, 2021 (fiscal 2021), November 2, 2019 (fiscal 2019) and November 3, 2018 (fiscal 2018); a pre-acquisition IRS income tax audit for Maxim Integrated Products, Inc.’s (Maxim) fiscal years ended June 27, 2015 through August 26, 2021; and various U.S. state and local audits and international audits, including Irish corporate tax audits for fiscal 2021. The Company’s U.S. federal income tax returns prior to fiscal 2018 are no longer subject to examination, except for the applicable Maxim pre-acquisition fiscal years noted above.</w:t>
      </w:r>
    </w:p>
    <w:p>
      <w:pPr>
        <w:spacing w:after="0" w:line="62"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2025, the Company received an assessment from the U.S. Internal Revenue Service (IRS) for fiscal 2018 and fiscal 2019, totaling approximately $267.0 million. The assessment excludes any penalties and interest. The assessment pertains to transfer pricing arrangements between the Company and one of its wholly-owned foreign subsidiaries. The Company firmly disagrees with this assessment and maintains that its transfer pricing is appropriate. Consequently, the Company has not recorded any additional tax liability related to fiscal 2018 and fiscal 2019 in relation to this issue, nor to any other periods. The Company intends to vigorously defend its original tax return position and is currently in the process of preparing a formal protest and appeal with the IRS. Should the IRS ultimately prevail regarding its assessments for fiscal 2018 and fiscal 2019, such a resolution, along with any potential impact on subsequent fiscal years, could have a material adverse effect on the Company’s income tax expense and net earnings in future periods.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90"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enhances the disclosure requirements for reportable segments. ASU 2023-07 requires segment disclosure to include significant segment expense categories and amounts, and qualitative detail of other segment items. Disclosure of multiple measures of segment profit and loss may also be reported. ASU 2023-07 is effective for fiscal years beginning after December 15, 2023, and interim periods within fiscal years beginning after December 15, 2024, with early adoption permitted. The Company is currently evaluating the impact, if any, adoption will have on its financial statement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disclosures.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is currently evaluating the impact, if any, adoption will have on its financial statement disclosures.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9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requiring public companies to disaggregate key expense categories such as inventory purchases, employee compensation and depreciation in their financial statements. This aims to improve investor insights into company performance. ASU 2024-03 is effective for fiscal years beginning after December 15, 2026, and interim periods within fiscal years beginning after December 15, 2027, with early adoption permitted. The Company is currently evaluating the impact, if any, adoption will have on its financial statement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175" w:lineRule="exact"/>
        <w:rPr>
          <w:sz w:val="20"/>
          <w:szCs w:val="20"/>
          <w:color w:val="auto"/>
        </w:rPr>
      </w:pPr>
    </w:p>
    <w:p>
      <w:pPr>
        <w:jc w:val="both"/>
        <w:ind w:right="100" w:firstLine="405"/>
        <w:spacing w:after="0" w:line="282" w:lineRule="auto"/>
        <w:rPr>
          <w:sz w:val="20"/>
          <w:szCs w:val="20"/>
          <w:color w:val="auto"/>
        </w:rPr>
      </w:pPr>
      <w:r>
        <w:rPr>
          <w:rFonts w:ascii="Times New Roman" w:cs="Times New Roman" w:eastAsia="Times New Roman" w:hAnsi="Times New Roman"/>
          <w:sz w:val="18"/>
          <w:szCs w:val="18"/>
          <w:color w:val="auto"/>
        </w:rPr>
        <w:t>On May 21, 2025, the Board of Directors of the Company declared a cash dividend of $0.99 per outstanding share of common stock. The dividend will be paid on June 18, 2025 to all shareholders of record at the close of business on June 4, 2025 and is expected to total approximately $491.3 million.</w:t>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07" w:right="459" w:bottom="1440" w:gutter="0" w:footer="0" w:header="0"/>
        </w:sectPr>
      </w:pPr>
    </w:p>
    <w:bookmarkStart w:id="15" w:name="page16"/>
    <w:bookmarkEnd w:id="15"/>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2, 2024 (fiscal 2024).</w:t>
      </w:r>
    </w:p>
    <w:p>
      <w:pPr>
        <w:spacing w:after="0" w:line="12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Our actual results could differ materially from those anticipated in these forward-looking statements as a result of various factors.</w:t>
      </w:r>
    </w:p>
    <w:p>
      <w:pPr>
        <w:spacing w:after="0" w:line="138"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including increased uncertainty and volatility with respect to tariffs, export controls and other trade restrictions, actions taken or which may be taken by the presidential administration, executive offices of the U.S. government, or U.S. Congress, monetary policy, political, geopolitical, trade, or other issues in the United States or internationally, and the ongoing conflicts between Russia and Ukraine and in Israel and the Middle East; changes in demand for semiconductor products; manufacturing delays, product and raw materials availability and supply chain disruptions; diversion of products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described in these forward-looking statements include the risk factors included in Part I, Item 1A, “Risk Factors” of our Annual Report on Form 10-K for fiscal 2024. Forward-looking statements represent management’s current expectations and are inherently uncertain.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the tables below are reflected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4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2,640,068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2,159,039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481,029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569,770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302,242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267,528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449"/>
        </w:trPr>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4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5,063,242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4,671,743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391,499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961,086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764,969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196,117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25"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have a 52-53 week fiscal year that ends on the Saturday closest to the last day in October. The fiscal year ending November 1, 2025 (fiscal 2025) is a 52-week fiscal year and fiscal 2024 was a 53-week fiscal year. The additional week in fiscal 2024 was included in the first quarter ended February 3, 2024. Therefore, the first six months of fiscal 2025 included one less week of operations as compared to the first six months of fiscal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1,157,747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991,446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849,505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317,756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315,060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2,640,068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2,229,837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2,181,828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1,584,534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634,667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614,204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5,063,242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198"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Revenue increased 22% and 8% in the three- and six-month periods ended May 3, 2025 as compared to the same periods of the prior fiscal year as a result of a broad-based increase in demand for our products.</w:t>
      </w:r>
    </w:p>
    <w:p>
      <w:pPr>
        <w:spacing w:after="0" w:line="54"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addition to increased demand, the increase in the six-month period is due to customer inventory balances normalizing in the Industrial end market, the increases in the Automotive end market are primarily driven by increases from connectivity solutions, and the increases in the Communications end market are primarily driven by growth in the wireline sub-market from data center infrastructure build outs, primarily to support growth in artificial intelligence applications. These increases in the six-month period were partially offset by the impact of an additional week of operations in the first quarter of fiscal 2024 as compared to the first quarter of fiscal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tables summarize revenue by sales channel. We sell our products globally through a direct sales force, third-party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1"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300" w:type="dxa"/>
            <w:vAlign w:val="bottom"/>
          </w:tcPr>
          <w:p>
            <w:pPr>
              <w:spacing w:after="0"/>
              <w:rPr>
                <w:sz w:val="16"/>
                <w:szCs w:val="16"/>
                <w:color w:val="auto"/>
              </w:rPr>
            </w:pPr>
          </w:p>
        </w:tc>
        <w:tc>
          <w:tcPr>
            <w:tcW w:w="3020" w:type="dxa"/>
            <w:vAlign w:val="bottom"/>
            <w:gridSpan w:val="3"/>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1,480,088</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1,248,382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1,125,775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873,593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2,640,068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80" w:type="dxa"/>
            <w:vAlign w:val="bottom"/>
          </w:tcPr>
          <w:p>
            <w:pPr>
              <w:spacing w:after="0"/>
              <w:rPr>
                <w:sz w:val="24"/>
                <w:szCs w:val="24"/>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300" w:type="dxa"/>
            <w:vAlign w:val="bottom"/>
          </w:tcPr>
          <w:p>
            <w:pPr>
              <w:spacing w:after="0"/>
              <w:rPr>
                <w:sz w:val="16"/>
                <w:szCs w:val="16"/>
                <w:color w:val="auto"/>
              </w:rPr>
            </w:pPr>
          </w:p>
        </w:tc>
        <w:tc>
          <w:tcPr>
            <w:tcW w:w="3020" w:type="dxa"/>
            <w:vAlign w:val="bottom"/>
            <w:gridSpan w:val="3"/>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2,855,552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2,783,592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2,145,647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1,813,568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5,063,242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4,671,743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As indicated in the tables above, the percentage of total revenue sold via each channel has remained relatively consistent in the periods presented, but can fluctuate from time to time based on end market revenue trends. As a percentage of total revenue, the decrease in the distributor channel is primarily due to the decrease in the percentage of revenue from our Industrial end market.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3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3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1,611,610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1,180,035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3,041,913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2,653,976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387,937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33"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Gross margin percentage increased by 630 and 330 basis points in the three- and six-month periods ended May 3, 2025 as compared to the same periods of the prior fiscal year, primarily due to higher utilization of our factories as a result of increased customer demand as well as a decrease in amortization expense related to acquired 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r>
      <w:tr>
        <w:trPr>
          <w:trHeight w:val="190"/>
        </w:trPr>
        <w:tc>
          <w:tcPr>
            <w:tcW w:w="1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441,837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354,862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844,729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746,289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expenses as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 of revenue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R&amp;D expenses increased in the three- and six-month periods ended May 3, 2025, as compared to the same periods of the prior fiscal year, primarily as a result of higher R&amp;D employee-related variable compensation expenses and higher salary and benefit expenses. 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3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SMG&amp;A</w:t>
            </w: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302,669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244,129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58,540</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24 %  $</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587,465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534,207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SMG&amp;A</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 as a %</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38" w:lineRule="exact"/>
        <w:rPr>
          <w:sz w:val="20"/>
          <w:szCs w:val="20"/>
          <w:color w:val="auto"/>
        </w:rPr>
      </w:pPr>
    </w:p>
    <w:p>
      <w:pPr>
        <w:ind w:right="600" w:firstLine="445"/>
        <w:spacing w:after="0" w:line="282" w:lineRule="auto"/>
        <w:rPr>
          <w:sz w:val="20"/>
          <w:szCs w:val="20"/>
          <w:color w:val="auto"/>
        </w:rPr>
      </w:pPr>
      <w:r>
        <w:rPr>
          <w:rFonts w:ascii="Times New Roman" w:cs="Times New Roman" w:eastAsia="Times New Roman" w:hAnsi="Times New Roman"/>
          <w:sz w:val="18"/>
          <w:szCs w:val="18"/>
          <w:color w:val="auto"/>
        </w:rPr>
        <w:t>SMG&amp;A expenses increased in the three- and six-month periods ended May 3, 2025, as compared to the same periods of the prior fiscal year, primarily as a result of higher SMG&amp;A employee-related variable compensation expenses and higher salary and benefit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4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187,415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188,944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374,830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379,276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 as a %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expenses decreased in the three- and six-month periods ended May 3, 2025, as compared to the same periods of the prior fiscal year, primarily as a result of a portion of our acquired intangible assets becoming fully amortized during fiscal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r>
      <w:tr>
        <w:trPr>
          <w:trHeight w:val="23"/>
        </w:trPr>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1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bl>
    <w:p>
      <w:pPr>
        <w:spacing w:after="0" w:line="238"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 xml:space="preserve">Special charges, net decreased in the three-month period ended May 3, 2025, as compared to the same period of the prior fiscal year, primarily due to decreased charges related to our Global Repositioning Actions. Special charges, net increased in the six-month period ended May 3, 2025, as compared to the same period of the prior fiscal year, primarily due to charges related to our Global Repositioning Actions recorded in the first quarter of fiscal 2025. See Note 5, </w:t>
      </w:r>
      <w:r>
        <w:rPr>
          <w:rFonts w:ascii="Times New Roman" w:cs="Times New Roman" w:eastAsia="Times New Roman" w:hAnsi="Times New Roman"/>
          <w:sz w:val="18"/>
          <w:szCs w:val="18"/>
          <w:i w:val="1"/>
          <w:iCs w:val="1"/>
          <w:color w:val="auto"/>
        </w:rPr>
        <w:t>Special Charges, Net</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0"/>
        </w:trPr>
        <w:tc>
          <w:tcPr>
            <w:tcW w:w="3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r>
    </w:tbl>
    <w:p>
      <w:pPr>
        <w:spacing w:after="0" w:line="238" w:lineRule="exact"/>
        <w:rPr>
          <w:sz w:val="20"/>
          <w:szCs w:val="20"/>
          <w:color w:val="auto"/>
        </w:rPr>
      </w:pPr>
    </w:p>
    <w:p>
      <w:pPr>
        <w:jc w:val="both"/>
        <w:ind w:right="420" w:firstLine="405"/>
        <w:spacing w:after="0" w:line="266" w:lineRule="auto"/>
        <w:rPr>
          <w:sz w:val="20"/>
          <w:szCs w:val="20"/>
          <w:color w:val="auto"/>
        </w:rPr>
      </w:pPr>
      <w:r>
        <w:rPr>
          <w:rFonts w:ascii="Times New Roman" w:cs="Times New Roman" w:eastAsia="Times New Roman" w:hAnsi="Times New Roman"/>
          <w:sz w:val="18"/>
          <w:szCs w:val="18"/>
          <w:color w:val="auto"/>
        </w:rPr>
        <w:t>The year-over-year decrease in nonoperating expense (income) in the three- and six-month periods ended May 3, 2025, as compared to the same periods of the prior fiscal year, was primarily the result of higher interest income on our cash, cash equivalents and short-term investments and lower interest expense on our debt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56,158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22,361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100,418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73,052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27,366</w:t>
            </w: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846"/>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0" w:name="page21"/>
    <w:bookmarkEnd w:id="20"/>
    <w:p>
      <w:pPr>
        <w:ind w:right="20" w:firstLine="445"/>
        <w:spacing w:after="0" w:line="245" w:lineRule="auto"/>
        <w:rPr>
          <w:sz w:val="20"/>
          <w:szCs w:val="20"/>
          <w:color w:val="auto"/>
        </w:rPr>
      </w:pPr>
      <w:r>
        <w:rPr>
          <w:rFonts w:ascii="Times New Roman" w:cs="Times New Roman" w:eastAsia="Times New Roman" w:hAnsi="Times New Roman"/>
          <w:sz w:val="18"/>
          <w:szCs w:val="18"/>
          <w:color w:val="auto"/>
        </w:rPr>
        <w:t>The effective tax rates for the three- and six-month periods ended May 3, 2025 and May 4, 2024 were below the U.S. statutory tax rate of 21% due to lower statutory tax rates applicable to our operations in the foreign jurisdictions in which we earn income. The increase in the effective tax rate in the three-and six-month periods was primarily due to a greater impact of excess tax benefits from stock option deductions in the same periods of the prior year as compared to the current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r>
      <w:tr>
        <w:trPr>
          <w:trHeight w:val="23"/>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569,770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302,242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267,528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961,086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764,969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196,117</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176"/>
        </w:trPr>
        <w:tc>
          <w:tcPr>
            <w:tcW w:w="2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as a % of</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in the three-month period ended May 3, 2025, as compared to the same period of the prior fiscal year, as the result of a $291.8 million increase in operating income and a $9.5 million decrease in nonoperating expense (income), partially offset by a $33.8 million increase in provision for income taxes.</w:t>
      </w:r>
    </w:p>
    <w:p>
      <w:pPr>
        <w:spacing w:after="0" w:line="122"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in the six-month period ended May 3, 2025, as compared to the same period of the prior fiscal year, as the result of a $197.2 million increase in operating income and a $26.3 million decrease in nonoperating expense (income), partially offset by a $27.4 million increase in provision for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At May 3, 2025, our principal source of liquidity was $2.4 billion of cash and cash equivalents, of which approximately $1.1 billion was held in the United States, and the balance of which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and cash equivalents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spacing w:after="0" w:line="81" w:lineRule="exact"/>
        <w:rPr>
          <w:sz w:val="20"/>
          <w:szCs w:val="20"/>
          <w:color w:val="auto"/>
        </w:rPr>
      </w:pPr>
    </w:p>
    <w:p>
      <w:pPr>
        <w:ind w:right="38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gridSpan w:val="4"/>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340" w:type="dxa"/>
            <w:vAlign w:val="bottom"/>
          </w:tcPr>
          <w:p>
            <w:pPr>
              <w:spacing w:after="0"/>
              <w:rPr>
                <w:sz w:val="16"/>
                <w:szCs w:val="16"/>
                <w:color w:val="auto"/>
              </w:rPr>
            </w:pPr>
          </w:p>
        </w:tc>
        <w:tc>
          <w:tcPr>
            <w:tcW w:w="15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1,946,287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1,946,685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133,892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(821,178)</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(1,695,286)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(143,873)</w:t>
            </w:r>
          </w:p>
        </w:tc>
      </w:tr>
    </w:tbl>
    <w:p>
      <w:pPr>
        <w:spacing w:after="0" w:line="179"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six-month period ended May 3, 2025 as compared to the same period in fiscal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decrease in cash provided by operating activities during the six-month period ended May 3, 2025, as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ind w:right="220"/>
        <w:spacing w:after="0" w:line="282" w:lineRule="auto"/>
        <w:rPr>
          <w:sz w:val="20"/>
          <w:szCs w:val="20"/>
          <w:color w:val="auto"/>
        </w:rPr>
      </w:pPr>
      <w:r>
        <w:rPr>
          <w:rFonts w:ascii="Times New Roman" w:cs="Times New Roman" w:eastAsia="Times New Roman" w:hAnsi="Times New Roman"/>
          <w:sz w:val="18"/>
          <w:szCs w:val="18"/>
          <w:color w:val="auto"/>
        </w:rPr>
        <w:t>compared to the same period of the prior fiscal year, was mainly the result of higher net income adjusted for noncash items that was primarily offset by a decrease in working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change in investing cash flows during the six-month period ended May 3, 2025, as compared to the same period of the prior fiscal year, was primarily the result of changes in our short-term investments and a decrease in cash used for capital expenditures as the rate of spending on our global resiliency and hybrid manufacturing footprint moderated.The change in investing cash flows also included net proceeds from the sale of property, plant and equipment during the second quarter of fiscal 2025, partially offset by cash paid for an acquisition in the first quarter of fiscal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change in cash used for financing activities during the six-month period ended May 3, 2025, as compared to the same period of the prior fiscal year, was primarily the result of the net impact of our debt obligations, which includes a $1.1 billion debt issuance during fiscal 2024 and an approximately $400.0 million debt repayment during fiscal 2025, and higher dividend payments to shareholders.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220" w:hanging="332"/>
        <w:spacing w:after="0" w:line="275"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w:t>
      </w:r>
    </w:p>
    <w:p>
      <w:pPr>
        <w:spacing w:after="0" w:line="56"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 increase in accounts receivable in dollars was primarily the result of variations in the timing of collections and billings and increased revenue levels in the second quarter of fiscal 2025 as compared to the fourth quarter of fiscal 2024.</w:t>
      </w:r>
    </w:p>
    <w:p>
      <w:pPr>
        <w:spacing w:after="0" w:line="5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54"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$2,690.6 million at May 3, 2025 as compared to $2,988.3 million at the end of fiscal 2024 primarily due to the repayment of approximately $400.0 million of debt during the second quarter of fiscal 2025.</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May 3, 2025,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2"/>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548,720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8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7,265,797</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3, 2025,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$2.5 billion outstanding at any time, with maturities of up to 397 days from the date of issuance. As of May 3, 2025, we had $548.7 million of outstanding borrowings under the commercial paper program recorded in the Condensed Consolidated Balance Sheet. We use the net proceeds of the commercial paper program for general corporate purposes, including without limitation, repayment of indebtedness, stock repurchases, acquisitions, capital expenditures and working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The Revolving Credit Agreement provides for a five-year unsecured revolving credit facility in an aggregate principal amount not to exceed $3.0 billion (subject to certain terms and conditions). We may borrow under this revolving credit facility in the future and use the proceeds for repayment of existing indebtedness, stock repurchases, acquisitions, capital expenditures, working capital and other lawful corporate purposes.</w:t>
      </w:r>
    </w:p>
    <w:p>
      <w:pPr>
        <w:spacing w:after="0" w:line="6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Revolving Credit Agreement contains customary representations and warranties, and affirmative and negative covenants and events of default.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and mergers and other fundamental changes, among others. The Revolving Credit Agreement also requires we maintain a ratio of consolidated earnings before interest, taxes, depreciation, and amortization (EBITDA) to consolidated interest charges of no less than 3.00 to 1.00 for any fiscal quarter ending thereafter. As of May 3, 2025, we were in compliance with these covenants.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0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of May 3, 2025, our Board of Directors authorized us to repurchase $26.7 billion of our common stock under our common stock repurchase program and $11.4 billion remained available for repurchases under the program. The repurchased shares are held as authorized but unissued shares of common stock. Unless terminated earlier by resolution of our Board of Directors, the repurchase program will expire when we have repurchased all shares authorized under the program. Future repurchases of common stock will be dependent upon our financial position, results of operations, outlook, liquidity and other factors we deem relevant.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Net additions to property, plant and equipment were $239.2 million in the first six months of fiscal 2025. We expect capital expenditures for fiscal 2025 to be between approximately 4% and 6% of fiscal 2025 revenue as spending returns to our long-term operating model. These capital expenditures will be funded with a combination of cash on hand and cash expected to be generated from future operations, together with existing and anticipated available short- and long-term financing.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On May 21, 2025, our Board of Directors declared a cash dividend of $0.99 per outstanding share of common stock. The dividend will be paid on June 18, 2025 to all shareholders of record at the close of business on June 4, 2025 and is expected to total approximately $491.3 million. We currently expect quarterly dividends to continue in future periods. The payment of any future quarterly dividends, or a future increase in the quarterly dividend amount, will be at the discretion of the Board of Directors and will be dependent upon our financial position, results of operations, outlook, liquidity and other factors deemed relevant by the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results of operations, and disclosures. See Note 12,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results of operations, and disclosures.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4" w:name="page25"/>
    <w:bookmarkEnd w:id="24"/>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market risks related to our financial instruments, including those identified in Part II, Item 7A, “Quantitative and Qualitative Disclosures about Market Risk” of our Annual Report on Form 10-K for the fiscal year ended November 2, 2024, which was filed with the Securities and Exchange Commission on November 26, 2024. There were no material changes in the six-month period ended May 3, 2025 to the information identified in the Annual Report on Form 10-K for the fiscal year ended November 2, 2024.</w:t>
      </w:r>
    </w:p>
    <w:p>
      <w:pPr>
        <w:spacing w:after="0" w:line="12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firstLine="8"/>
        <w:spacing w:after="0" w:line="253" w:lineRule="auto"/>
        <w:tabs>
          <w:tab w:leader="none" w:pos="2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May 3, 2025.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3, 2025, our Chief Executive Officer and Chief Financial Officer concluded that, as of such date, our disclosure controls and procedures were effective at the reasonable assurance level.</w:t>
      </w:r>
    </w:p>
    <w:p>
      <w:pPr>
        <w:spacing w:after="0" w:line="10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May 3,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5" w:name="page26"/>
    <w:bookmarkEnd w:id="2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November 2, 2024, which was filed with the Securities and Exchange Commission on November 26, 2024.</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 2025 through March 1, 2025</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11,461,409,687</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2025 through March 29,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11,406,998,889</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30, 2025 through May 3,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378,785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11,351,531,346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11,351,531,346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520" w:hanging="328"/>
        <w:spacing w:after="0" w:line="261"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471,122 shares withheld by us from employees to satisfy employee tax obligations upon vesting of restricted stock units/awards granted to our employees under our equity compensation plans.</w:t>
      </w:r>
    </w:p>
    <w:p>
      <w:pPr>
        <w:ind w:left="660" w:right="160" w:hanging="328"/>
        <w:spacing w:after="0" w:line="250"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20" w:hanging="328"/>
        <w:spacing w:after="0" w:line="255"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w:t>
      </w:r>
    </w:p>
    <w:p>
      <w:pPr>
        <w:spacing w:after="0" w:line="3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by our directors or officers during the second quarter of fiscal 2025 that are intended to satisfy the affirmative defense conditions of Rule 10b5-1(c) under the Exchange Act (Rule 10b5-1 trading arrangement).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Rule 10b5-1 Trading Arrangement</w:t>
            </w:r>
          </w:p>
        </w:tc>
        <w:tc>
          <w:tcPr>
            <w:tcW w:w="27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Purchased or Sold</w:t>
            </w:r>
          </w:p>
        </w:tc>
        <w:tc>
          <w:tcPr>
            <w:tcW w:w="0" w:type="dxa"/>
            <w:vAlign w:val="bottom"/>
          </w:tcPr>
          <w:p>
            <w:pPr>
              <w:spacing w:after="0"/>
              <w:rPr>
                <w:sz w:val="1"/>
                <w:szCs w:val="1"/>
                <w:color w:val="auto"/>
              </w:rPr>
            </w:pPr>
          </w:p>
        </w:tc>
      </w:tr>
      <w:tr>
        <w:trPr>
          <w:trHeight w:val="174"/>
        </w:trPr>
        <w:tc>
          <w:tcPr>
            <w:tcW w:w="3080" w:type="dxa"/>
            <w:vAlign w:val="bottom"/>
            <w:shd w:val="clear" w:color="auto" w:fill="CCEEFF"/>
          </w:tcPr>
          <w:p>
            <w:pPr>
              <w:jc w:val="center"/>
              <w:ind w:right="15"/>
              <w:spacing w:after="0" w:line="174" w:lineRule="exact"/>
              <w:rPr>
                <w:sz w:val="20"/>
                <w:szCs w:val="20"/>
                <w:color w:val="auto"/>
              </w:rPr>
            </w:pPr>
            <w:r>
              <w:rPr>
                <w:rFonts w:ascii="Times New Roman" w:cs="Times New Roman" w:eastAsia="Times New Roman" w:hAnsi="Times New Roman"/>
                <w:sz w:val="18"/>
                <w:szCs w:val="18"/>
                <w:color w:val="auto"/>
                <w:w w:val="98"/>
              </w:rPr>
              <w:t>Vincent Roche</w:t>
            </w: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13, 2025</w:t>
            </w:r>
          </w:p>
        </w:tc>
        <w:tc>
          <w:tcPr>
            <w:tcW w:w="37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Until May 1, 2026, or such earlier date upon</w:t>
            </w:r>
          </w:p>
        </w:tc>
        <w:tc>
          <w:tcPr>
            <w:tcW w:w="2760" w:type="dxa"/>
            <w:vAlign w:val="bottom"/>
            <w:vMerge w:val="restart"/>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w w:val="99"/>
              </w:rPr>
              <w:t>Sale of up to 140,000 shares</w:t>
            </w: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jc w:val="center"/>
              <w:ind w:right="15"/>
              <w:spacing w:after="0" w:line="184" w:lineRule="exact"/>
              <w:rPr>
                <w:sz w:val="20"/>
                <w:szCs w:val="20"/>
                <w:color w:val="auto"/>
              </w:rPr>
            </w:pPr>
            <w:r>
              <w:rPr>
                <w:rFonts w:ascii="Times New Roman" w:cs="Times New Roman" w:eastAsia="Times New Roman" w:hAnsi="Times New Roman"/>
                <w:sz w:val="18"/>
                <w:szCs w:val="18"/>
                <w:color w:val="auto"/>
                <w:w w:val="99"/>
              </w:rPr>
              <w:t>Chief Executive Officer and Chair of</w:t>
            </w:r>
          </w:p>
        </w:tc>
        <w:tc>
          <w:tcPr>
            <w:tcW w:w="1640" w:type="dxa"/>
            <w:vAlign w:val="bottom"/>
            <w:vMerge w:val="continue"/>
            <w:shd w:val="clear" w:color="auto" w:fill="CCEEFF"/>
          </w:tcPr>
          <w:p>
            <w:pPr>
              <w:spacing w:after="0"/>
              <w:rPr>
                <w:sz w:val="16"/>
                <w:szCs w:val="16"/>
                <w:color w:val="auto"/>
              </w:rPr>
            </w:pPr>
          </w:p>
        </w:tc>
        <w:tc>
          <w:tcPr>
            <w:tcW w:w="37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which all transactions are completed or expire</w:t>
            </w:r>
          </w:p>
        </w:tc>
        <w:tc>
          <w:tcPr>
            <w:tcW w:w="2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rPr>
              <w:t>the Board of Directors</w:t>
            </w:r>
          </w:p>
        </w:tc>
        <w:tc>
          <w:tcPr>
            <w:tcW w:w="1640" w:type="dxa"/>
            <w:vAlign w:val="bottom"/>
            <w:shd w:val="clear" w:color="auto" w:fill="CCEEFF"/>
          </w:tcPr>
          <w:p>
            <w:pPr>
              <w:spacing w:after="0"/>
              <w:rPr>
                <w:sz w:val="20"/>
                <w:szCs w:val="20"/>
                <w:color w:val="auto"/>
              </w:rPr>
            </w:pPr>
          </w:p>
        </w:tc>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without execution</w:t>
            </w:r>
          </w:p>
        </w:tc>
        <w:tc>
          <w:tcPr>
            <w:tcW w:w="2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terminated a Rule 10b5-1 trading arrangement or adopted or terminated a non-Rule 10b5-1 trading arrangement (as defined in Item 408(c) of Regulation S-K) during the second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2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700" w:type="dxa"/>
            <w:vAlign w:val="bottom"/>
            <w:tcBorders>
              <w:top w:val="single" w:sz="8" w:color="auto"/>
            </w:tcBorders>
          </w:tcPr>
          <w:p>
            <w:pPr>
              <w:jc w:val="center"/>
              <w:ind w:left="291"/>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Amended and Restated Articles of Organization of Analog Devices, Inc., adopted as of March 12, 2025.</w:t>
            </w:r>
          </w:p>
        </w:tc>
      </w:tr>
      <w:tr>
        <w:trPr>
          <w:trHeight w:val="20"/>
        </w:trPr>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0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gridSpan w:val="9"/>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Fourth Amended and Restated Credit Agreement, dated as of April 11, 2025, among Analog Devices, Inc., as Borrower, Bank of</w:t>
              </w:r>
            </w:hyperlink>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8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America, N.A. as Administrative Agent, Swing Line Lender and L/C Issuer, and each lender from time to time party thereto</w:t>
              </w:r>
              <w:r>
                <w:rPr>
                  <w:rFonts w:ascii="Times New Roman" w:cs="Times New Roman" w:eastAsia="Times New Roman" w:hAnsi="Times New Roman"/>
                  <w:sz w:val="18"/>
                  <w:szCs w:val="18"/>
                  <w:color w:val="000000"/>
                  <w:w w:val="98"/>
                </w:rPr>
                <w:t>, filed</w:t>
              </w:r>
            </w:hyperlink>
          </w:p>
        </w:tc>
        <w:tc>
          <w:tcPr>
            <w:tcW w:w="80" w:type="dxa"/>
            <w:vAlign w:val="bottom"/>
          </w:tcPr>
          <w:p>
            <w:pPr>
              <w:spacing w:after="0"/>
              <w:rPr>
                <w:sz w:val="14"/>
                <w:szCs w:val="14"/>
                <w:color w:val="auto"/>
              </w:rPr>
            </w:pPr>
          </w:p>
        </w:tc>
        <w:tc>
          <w:tcPr>
            <w:tcW w:w="20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w w:val="93"/>
              </w:rPr>
              <w:t>as</w:t>
            </w:r>
          </w:p>
        </w:tc>
      </w:tr>
      <w:tr>
        <w:trPr>
          <w:trHeight w:val="191"/>
        </w:trPr>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940" w:type="dxa"/>
            <w:vAlign w:val="bottom"/>
            <w:tcBorders>
              <w:top w:val="single" w:sz="8" w:color="0000FF"/>
            </w:tcBorders>
            <w:gridSpan w:val="6"/>
          </w:tcPr>
          <w:p>
            <w:pPr>
              <w:spacing w:after="0" w:line="191" w:lineRule="exact"/>
              <w:rPr>
                <w:sz w:val="20"/>
                <w:szCs w:val="20"/>
                <w:color w:val="auto"/>
              </w:rPr>
            </w:pPr>
            <w:r>
              <w:rPr>
                <w:rFonts w:ascii="Times New Roman" w:cs="Times New Roman" w:eastAsia="Times New Roman" w:hAnsi="Times New Roman"/>
                <w:sz w:val="18"/>
                <w:szCs w:val="18"/>
                <w:color w:val="auto"/>
              </w:rPr>
              <w:t>Exhibit 10.1 to the Company’s Current Report on Form 8-K as filed with the Commission on April 11, 2025.</w:t>
            </w:r>
          </w:p>
        </w:tc>
        <w:tc>
          <w:tcPr>
            <w:tcW w:w="4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r>
      <w:tr>
        <w:trPr>
          <w:trHeight w:val="194"/>
        </w:trPr>
        <w:tc>
          <w:tcPr>
            <w:tcW w:w="10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31.1†</w:t>
            </w:r>
          </w:p>
        </w:tc>
        <w:tc>
          <w:tcPr>
            <w:tcW w:w="460" w:type="dxa"/>
            <w:vAlign w:val="bottom"/>
          </w:tcPr>
          <w:p>
            <w:pPr>
              <w:spacing w:after="0"/>
              <w:rPr>
                <w:sz w:val="16"/>
                <w:szCs w:val="16"/>
                <w:color w:val="auto"/>
              </w:rPr>
            </w:pPr>
          </w:p>
        </w:tc>
        <w:tc>
          <w:tcPr>
            <w:tcW w:w="95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6"/>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60" w:type="dxa"/>
            <w:vAlign w:val="bottom"/>
          </w:tcPr>
          <w:p>
            <w:pPr>
              <w:spacing w:after="0"/>
              <w:rPr>
                <w:sz w:val="18"/>
                <w:szCs w:val="18"/>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36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200" w:type="dxa"/>
            <w:vAlign w:val="bottom"/>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460" w:type="dxa"/>
            <w:vAlign w:val="bottom"/>
          </w:tcPr>
          <w:p>
            <w:pPr>
              <w:spacing w:after="0"/>
              <w:rPr>
                <w:sz w:val="18"/>
                <w:szCs w:val="18"/>
                <w:color w:val="auto"/>
              </w:rPr>
            </w:pPr>
          </w:p>
        </w:tc>
        <w:tc>
          <w:tcPr>
            <w:tcW w:w="5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100" w:type="dxa"/>
            <w:vAlign w:val="bottom"/>
            <w:gridSpan w:val="5"/>
          </w:tcPr>
          <w:p>
            <w:pPr>
              <w:spacing w:after="0"/>
              <w:rPr>
                <w:sz w:val="18"/>
                <w:szCs w:val="18"/>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460" w:type="dxa"/>
            <w:vAlign w:val="bottom"/>
          </w:tcPr>
          <w:p>
            <w:pPr>
              <w:spacing w:after="0"/>
              <w:rPr>
                <w:sz w:val="18"/>
                <w:szCs w:val="18"/>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r>
      <w:tr>
        <w:trPr>
          <w:trHeight w:val="205"/>
        </w:trPr>
        <w:tc>
          <w:tcPr>
            <w:tcW w:w="1080" w:type="dxa"/>
            <w:vAlign w:val="bottom"/>
            <w:gridSpan w:val="2"/>
          </w:tcPr>
          <w:p>
            <w:pPr>
              <w:jc w:val="center"/>
              <w:ind w:right="20"/>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spacing w:after="0"/>
              <w:rPr>
                <w:sz w:val="17"/>
                <w:szCs w:val="17"/>
                <w:color w:val="auto"/>
              </w:rPr>
            </w:pPr>
          </w:p>
        </w:tc>
        <w:tc>
          <w:tcPr>
            <w:tcW w:w="95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29"/>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19"/>
                <w:szCs w:val="19"/>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460" w:type="dxa"/>
            <w:vAlign w:val="bottom"/>
          </w:tcPr>
          <w:p>
            <w:pPr>
              <w:spacing w:after="0"/>
              <w:rPr>
                <w:sz w:val="19"/>
                <w:szCs w:val="19"/>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460" w:type="dxa"/>
            <w:vAlign w:val="bottom"/>
          </w:tcPr>
          <w:p>
            <w:pPr>
              <w:spacing w:after="0"/>
              <w:rPr>
                <w:sz w:val="19"/>
                <w:szCs w:val="19"/>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19"/>
                <w:szCs w:val="19"/>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29"/>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101.DEF†</w:t>
            </w:r>
          </w:p>
        </w:tc>
        <w:tc>
          <w:tcPr>
            <w:tcW w:w="460" w:type="dxa"/>
            <w:vAlign w:val="bottom"/>
          </w:tcPr>
          <w:p>
            <w:pPr>
              <w:spacing w:after="0"/>
              <w:rPr>
                <w:sz w:val="19"/>
                <w:szCs w:val="19"/>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189"/>
        </w:trPr>
        <w:tc>
          <w:tcPr>
            <w:tcW w:w="10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104†</w:t>
            </w:r>
          </w:p>
        </w:tc>
        <w:tc>
          <w:tcPr>
            <w:tcW w:w="460" w:type="dxa"/>
            <w:vAlign w:val="bottom"/>
          </w:tcPr>
          <w:p>
            <w:pPr>
              <w:spacing w:after="0"/>
              <w:rPr>
                <w:sz w:val="16"/>
                <w:szCs w:val="16"/>
                <w:color w:val="auto"/>
              </w:rPr>
            </w:pPr>
          </w:p>
        </w:tc>
        <w:tc>
          <w:tcPr>
            <w:tcW w:w="95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ind w:left="1540" w:hanging="1050"/>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540" w:hanging="1050"/>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49" w:right="459" w:bottom="1440" w:gutter="0" w:footer="0" w:header="0"/>
        </w:sectPr>
      </w:pPr>
    </w:p>
    <w:bookmarkStart w:id="28" w:name="page29"/>
    <w:bookmarkEnd w:id="28"/>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77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2025</w:t>
            </w:r>
          </w:p>
        </w:tc>
        <w:tc>
          <w:tcPr>
            <w:tcW w:w="21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2025</w:t>
            </w:r>
          </w:p>
        </w:tc>
        <w:tc>
          <w:tcPr>
            <w:tcW w:w="21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18"/>
        </w:trPr>
        <w:tc>
          <w:tcPr>
            <w:tcW w:w="3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C. Puccio, Jr.</w:t>
            </w:r>
          </w:p>
        </w:tc>
      </w:tr>
      <w:tr>
        <w:trPr>
          <w:trHeight w:val="229"/>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320" w:top="1008" w:right="6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9"/>
          <w:szCs w:val="19"/>
          <w:b w:val="1"/>
          <w:bCs w:val="1"/>
          <w:color w:val="auto"/>
        </w:rPr>
        <w:t>Exhibit 3.1</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The Commonwealth of Massachusetts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William Francis Galvin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Secretary of the Commonwealth</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One Ashburton Place, Boston, Massachusetts 02108-1512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Articles of Organization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Laws Chapter I56D, Section 10.07; 950 CMR 113.35)</w:t>
      </w:r>
    </w:p>
    <w:p>
      <w:pPr>
        <w:spacing w:after="0" w:line="313" w:lineRule="exact"/>
        <w:rPr>
          <w:sz w:val="20"/>
          <w:szCs w:val="20"/>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Exact name of corporation: </w:t>
      </w:r>
      <w:r>
        <w:rPr>
          <w:rFonts w:ascii="Times New Roman" w:cs="Times New Roman" w:eastAsia="Times New Roman" w:hAnsi="Times New Roman"/>
          <w:sz w:val="18"/>
          <w:szCs w:val="18"/>
          <w:u w:val="single" w:color="auto"/>
          <w:color w:val="auto"/>
        </w:rPr>
        <w:t>Analog Devices, Inc.</w:t>
      </w:r>
    </w:p>
    <w:p>
      <w:pPr>
        <w:spacing w:after="0" w:line="333" w:lineRule="exact"/>
        <w:rPr>
          <w:rFonts w:ascii="Times New Roman" w:cs="Times New Roman" w:eastAsia="Times New Roman" w:hAnsi="Times New Roman"/>
          <w:sz w:val="18"/>
          <w:szCs w:val="18"/>
          <w:color w:val="auto"/>
        </w:rPr>
      </w:pPr>
    </w:p>
    <w:p>
      <w:pPr>
        <w:ind w:left="2600" w:right="5320" w:hanging="1944"/>
        <w:spacing w:after="0" w:line="312" w:lineRule="auto"/>
        <w:tabs>
          <w:tab w:leader="none" w:pos="91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Registered office address: </w:t>
      </w:r>
      <w:r>
        <w:rPr>
          <w:rFonts w:ascii="Times New Roman" w:cs="Times New Roman" w:eastAsia="Times New Roman" w:hAnsi="Times New Roman"/>
          <w:sz w:val="17"/>
          <w:szCs w:val="17"/>
          <w:u w:val="single" w:color="auto"/>
          <w:color w:val="auto"/>
        </w:rPr>
        <w:t>One Analog Way, Wilmington, MA, 01887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number, street, city or town, state, zip code</w:t>
      </w:r>
      <w:r>
        <w:rPr>
          <w:rFonts w:ascii="Times New Roman" w:cs="Times New Roman" w:eastAsia="Times New Roman" w:hAnsi="Times New Roman"/>
          <w:sz w:val="17"/>
          <w:szCs w:val="17"/>
          <w:color w:val="auto"/>
        </w:rPr>
        <w:t>)</w:t>
      </w:r>
    </w:p>
    <w:p>
      <w:pPr>
        <w:spacing w:after="0" w:line="112"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 adopted: </w:t>
      </w:r>
      <w:r>
        <w:rPr>
          <w:rFonts w:ascii="Times New Roman" w:cs="Times New Roman" w:eastAsia="Times New Roman" w:hAnsi="Times New Roman"/>
          <w:sz w:val="18"/>
          <w:szCs w:val="18"/>
          <w:u w:val="single" w:color="auto"/>
          <w:color w:val="auto"/>
        </w:rPr>
        <w:t>March 12, 2025</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month, day, year</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Approved by:</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(check appropriate box)</w:t>
      </w:r>
    </w:p>
    <w:p>
      <w:pPr>
        <w:spacing w:after="0" w:line="268" w:lineRule="exact"/>
        <w:rPr>
          <w:sz w:val="20"/>
          <w:szCs w:val="20"/>
          <w:color w:val="auto"/>
        </w:rPr>
      </w:pPr>
    </w:p>
    <w:p>
      <w:pPr>
        <w:ind w:left="1420" w:hanging="494"/>
        <w:spacing w:after="0"/>
        <w:tabs>
          <w:tab w:leader="none" w:pos="142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directors without shareholder approval and shareholder approval was not required;</w:t>
      </w:r>
    </w:p>
    <w:p>
      <w:pPr>
        <w:spacing w:after="0" w:line="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0"/>
          <w:szCs w:val="20"/>
          <w:color w:val="auto"/>
        </w:rPr>
      </w:pPr>
    </w:p>
    <w:p>
      <w:pPr>
        <w:ind w:left="1420" w:right="1080" w:hanging="494"/>
        <w:spacing w:after="0" w:line="234" w:lineRule="auto"/>
        <w:tabs>
          <w:tab w:leader="none" w:pos="1420" w:val="left"/>
        </w:tabs>
        <w:numPr>
          <w:ilvl w:val="1"/>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board of directors and the shareholders in the manner required by G.L. Chapter 156D and the corporation’s articles of organization.</w:t>
      </w:r>
    </w:p>
    <w:p>
      <w:pPr>
        <w:spacing w:after="0" w:line="77" w:lineRule="exact"/>
        <w:rPr>
          <w:rFonts w:ascii="MS PGothic" w:cs="MS PGothic" w:eastAsia="MS PGothic" w:hAnsi="MS PGothic"/>
          <w:sz w:val="18"/>
          <w:szCs w:val="18"/>
          <w:color w:val="auto"/>
        </w:rPr>
      </w:pPr>
    </w:p>
    <w:p>
      <w:pPr>
        <w:ind w:left="660" w:right="20" w:hanging="4"/>
        <w:spacing w:after="0" w:line="282" w:lineRule="auto"/>
        <w:tabs>
          <w:tab w:leader="none" w:pos="9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is required to be included in the articles of organization pursuant to G.L. Chapter 156D, Section 2.02 except that the supplemental information provided for in Article VIII is not required:*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exact name of the corporation is: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Unless the articles of organization otherwise provide, all corporations formed pursuant to G.L. Chapter 156D have the purpose of engaging in any lawful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business. Please specify if you want a more limited purpose:**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Attachment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Changes to Article VIII must be made by filing a statement of change of supplemental information form.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Professional corporations governed by G.L. Chapter 156A and must specify the professional activities of the corporation.</w:t>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9" w:right="339" w:bottom="1440" w:gutter="0" w:footer="0" w:header="0"/>
          <w:type w:val="continuous"/>
        </w:sectPr>
      </w:pPr>
    </w:p>
    <w:bookmarkStart w:id="30" w:name="page31"/>
    <w:bookmarkEnd w:id="30"/>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State the total number of shares and par value,* if any, of each class of stock that the corporation is authorized to issue. All corporations must authorize stock. If only one class or series is authorized, it is not necessary to specify any particular designation.</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60" w:type="dxa"/>
            <w:vAlign w:val="bottom"/>
            <w:tcBorders>
              <w:top w:val="single" w:sz="8" w:color="auto"/>
              <w:left w:val="single" w:sz="8" w:color="auto"/>
              <w:bottom w:val="single" w:sz="8" w:color="auto"/>
            </w:tcBorders>
          </w:tcPr>
          <w:p>
            <w:pPr>
              <w:spacing w:after="0"/>
              <w:rPr>
                <w:sz w:val="21"/>
                <w:szCs w:val="21"/>
                <w:color w:val="auto"/>
              </w:rPr>
            </w:pPr>
          </w:p>
        </w:tc>
        <w:tc>
          <w:tcPr>
            <w:tcW w:w="4680" w:type="dxa"/>
            <w:vAlign w:val="bottom"/>
            <w:tcBorders>
              <w:top w:val="single" w:sz="8" w:color="auto"/>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WITHOUT PAR VALUE</w:t>
            </w:r>
          </w:p>
        </w:tc>
        <w:tc>
          <w:tcPr>
            <w:tcW w:w="130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WITH PAR VALUE</w:t>
            </w:r>
          </w:p>
        </w:tc>
        <w:tc>
          <w:tcPr>
            <w:tcW w:w="160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8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TYPE</w:t>
            </w:r>
          </w:p>
        </w:tc>
        <w:tc>
          <w:tcPr>
            <w:tcW w:w="4680" w:type="dxa"/>
            <w:vAlign w:val="bottom"/>
            <w:tcBorders>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NUMBER OF SHARES</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282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NUMBER OF SHARES</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PAR VALUE</w:t>
            </w:r>
          </w:p>
        </w:tc>
      </w:tr>
      <w:tr>
        <w:trPr>
          <w:trHeight w:val="223"/>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282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1,200,000,000</w:t>
            </w:r>
          </w:p>
        </w:tc>
        <w:tc>
          <w:tcPr>
            <w:tcW w:w="160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$0.16 2/3</w:t>
            </w:r>
          </w:p>
        </w:tc>
      </w:tr>
      <w:tr>
        <w:trPr>
          <w:trHeight w:val="223"/>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w:t>
            </w:r>
          </w:p>
        </w:tc>
        <w:tc>
          <w:tcPr>
            <w:tcW w:w="282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471,934</w:t>
            </w:r>
          </w:p>
        </w:tc>
        <w:tc>
          <w:tcPr>
            <w:tcW w:w="16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issuance of shares of any class or series, the articles of organization must set forth the preferences, limitations and relative rights of that class or series. The articles may also limit the type or specify the minimum amount of consideration for which shares of any class or series may be issued. Please set forth the preferences, limitations and relative rights of each class or series and, if desired, the required type and minimum amount of consideration to be received.</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Attachment 4.</w:t>
      </w:r>
    </w:p>
    <w:p>
      <w:pPr>
        <w:spacing w:after="0" w:line="200" w:lineRule="exact"/>
        <w:rPr>
          <w:sz w:val="20"/>
          <w:szCs w:val="20"/>
          <w:color w:val="auto"/>
        </w:rPr>
      </w:pPr>
    </w:p>
    <w:p>
      <w:pPr>
        <w:spacing w:after="0" w:line="26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if any, imposed by the articles of organization upon the transfer of shares of any class or series of stock are:</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lawful provisions, and if there are no such provisions, this article may be left blank.</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See Attachment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The preceding six (6) articles are considered to be permanent and may be changed only by filing appropriate articles of amendment.</w:t>
      </w:r>
    </w:p>
    <w:p>
      <w:pPr>
        <w:spacing w:after="0" w:line="1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*G.L. Chapter 156D eliminates the concept of par value, however a corporation may specify par value in Article III. See G.L. Chapter 156D, Section 6.21, and the comments relative thereto.</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0"/>
          </w:cols>
          <w:pgMar w:left="320" w:top="1440" w:right="319" w:bottom="1440" w:gutter="0" w:footer="0" w:header="0"/>
          <w:type w:val="continuous"/>
        </w:sectPr>
      </w:pPr>
    </w:p>
    <w:bookmarkStart w:id="31" w:name="page32"/>
    <w:bookmarkEnd w:id="3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2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The effective date of this restated articles of organization of the corporation is the date and time the articles were received for filing if the articles were not rejected within the time prescribed by law. If a later effective date is desired, specify such date, which may not be later than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articles are received for filing: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 is hereby certified that these restated articles of organization consolidate all amendments into a single document. If a new amendment authorizes an exchange, or effects a reclassification or cancellation, of issued shares, provisions for implementing that action are set forth in these restated articles unless contained in the text of the amendment.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Specify the number(s) of the article(s) being amended: </w:t>
      </w:r>
      <w:r>
        <w:rPr>
          <w:rFonts w:ascii="Times New Roman" w:cs="Times New Roman" w:eastAsia="Times New Roman" w:hAnsi="Times New Roman"/>
          <w:sz w:val="18"/>
          <w:szCs w:val="18"/>
          <w:u w:val="single" w:color="auto"/>
          <w:color w:val="auto"/>
        </w:rPr>
        <w:t>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color w:val="auto"/>
        </w:rPr>
        <w:t>Signed by:</w:t>
      </w:r>
      <w:r>
        <w:rPr>
          <w:sz w:val="20"/>
          <w:szCs w:val="20"/>
          <w:color w:val="auto"/>
        </w:rPr>
        <w:tab/>
      </w:r>
      <w:r>
        <w:rPr>
          <w:rFonts w:ascii="Times New Roman" w:cs="Times New Roman" w:eastAsia="Times New Roman" w:hAnsi="Times New Roman"/>
          <w:sz w:val="17"/>
          <w:szCs w:val="17"/>
          <w:color w:val="auto"/>
        </w:rPr>
        <w:t>/s/ Janene Asgeirsson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17145</wp:posOffset>
            </wp:positionV>
            <wp:extent cx="2537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Janene Asgeirsson</w:t>
      </w:r>
    </w:p>
    <w:p>
      <w:pPr>
        <w:spacing w:after="0" w:line="5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(signature of authorized individual)</w:t>
      </w:r>
    </w:p>
    <w:p>
      <w:pPr>
        <w:spacing w:after="0" w:line="21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Chairman of the board of directors,</w:t>
      </w:r>
    </w:p>
    <w:p>
      <w:pPr>
        <w:spacing w:after="0" w:line="12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President,</w:t>
      </w:r>
    </w:p>
    <w:p>
      <w:pPr>
        <w:spacing w:after="0" w:line="110"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officer,</w:t>
      </w:r>
    </w:p>
    <w:p>
      <w:pPr>
        <w:spacing w:after="0" w:line="11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Court-appointed fiduciary,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this 13th day of March, 2025.</w:t>
      </w:r>
    </w:p>
    <w:p>
      <w:pPr>
        <w:sectPr>
          <w:pgSz w:w="11900" w:h="16838" w:orient="portrait"/>
          <w:cols w:equalWidth="0" w:num="1">
            <w:col w:w="11160"/>
          </w:cols>
          <w:pgMar w:left="320" w:top="141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60"/>
          </w:cols>
          <w:pgMar w:left="320" w:top="1413" w:right="419" w:bottom="1440" w:gutter="0" w:footer="0" w:header="0"/>
          <w:type w:val="continuous"/>
        </w:sectPr>
      </w:pPr>
    </w:p>
    <w:bookmarkStart w:id="32" w:name="page33"/>
    <w:bookmarkEnd w:id="32"/>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articles of organization otherwise provide, all corporations formed pursuant to G.L. chapter 156D have the purpose of engaging in any lawful business. Please specify if you want a more limited purpose:**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manufacture, produce, assemble, fabricate, import, lease, purchase or otherwise acquire; to invest in, own, hold, use, license the use of, install, handle, maintain, service or repair; to sell, pledge, mortgage, exchange, export, distribute, lease, assign and otherwise dispose of, and generally to trade and deal in and with, any principal or agent, at wholesale, retail, on commission or otherwise, electronic systems, equipment and components, and electrical and electro-mechanical apparatus and equipment of all kinds and descriptions, electronics, telecommunications, communications and similar equipment of all descriptions, supplies, parts, equipment, apparatus, machinery improvements, appliances, tools, and goods, wares, merchandise, commodities, articles of commerce and property of every kind and description, and any and all products, machinery, equipment and supplies used or useful in connection therewith; and</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have and to exercise, without limitation, all of the powers granted by Massachusetts law to business corporation, including those powers set forth in section 9 of G.L., CH. 156B, and in any amendment thereof or addition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Professional corporations governed by G.L. Chapter 156A and must specify the professional activities of the corporation.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4</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Prior to the issuance of shares of any class or series, the articles of organization must set forth the preferences, limitations and relative rights of that class or series. The articles may also limit the type or specify the minimum amount of consideration for which shares of any class or series may be issued. Please set forth the preferences, limitations and relative rights of each class or series and, if desired, the required type and minimum amount of consideration to be received.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PREFERENCES, LIMITATIONS AND RESTRICTIONS ON CAPITAL STOCK.</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is a statement of the designations and the powers, preferences and rights and the qualifications, limitations or restrictions thereof, in respect of the authorized capital stock of the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ISSUANCE IN SERIES.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Preferred Stock may be issued in one or more series at such time or times and for such consideration or considerations as the Board of Directors may determine. Each series shall be so designated as to distinguish the shares thereof from the shares of all other series and classes. Except as to the relative rights and preferences referred to in paragraph B below, in respect of any or all of which there may be variations between different series, all shares of Preferred Stock shall be identical. Different series of Preferred Stock shall not be construed to constitute different classes of shares for the purpose of voting by classes.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AUTHORITY TO ESTABLISH VARIATIONS BETWEEN SERIES.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Board of Directors is expressly authorized, subject to the limitations prescribed by law and the provisions of these Articles of Organization, to provide by adopting a vote or votes, a certificate of which shall be filed in accordance with the Business Corporation Law of the Commonwealth of Massachusetts, for the issue of the Preferred Stock in one or more series, each with such designations, preferences and relative, participating, optional or other special rights, and qualifications, limitations or restrictions thereof as shall be stated in the vote or votes creating such series. The authority of the Board of Directors with respect to each such series shall include without limitation of the foregoing the right to determine and fix:</w:t>
      </w:r>
    </w:p>
    <w:p>
      <w:pPr>
        <w:spacing w:after="0" w:line="75"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designation of such series and the number of shares to constitute such series;</w:t>
      </w:r>
    </w:p>
    <w:p>
      <w:pPr>
        <w:spacing w:after="0" w:line="117" w:lineRule="exact"/>
        <w:rPr>
          <w:rFonts w:ascii="Times New Roman" w:cs="Times New Roman" w:eastAsia="Times New Roman" w:hAnsi="Times New Roman"/>
          <w:sz w:val="18"/>
          <w:szCs w:val="18"/>
          <w:color w:val="auto"/>
        </w:rPr>
      </w:pPr>
    </w:p>
    <w:p>
      <w:pPr>
        <w:ind w:right="20" w:firstLine="8"/>
        <w:spacing w:after="0" w:line="266"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dividends on the shares of such series shall be declared and paid, or set aside for payment, whether dividends at the rate so determined shall be cumulative, and whether the shares of such series shall be entitled to any participating or other dividends in addition to dividends at the rate so determined, and if so on what terms;</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the corporation to redeem shares of the particular series and, if redeemable, the price, terms and manner of such redemption;</w:t>
      </w:r>
    </w:p>
    <w:p>
      <w:pPr>
        <w:spacing w:after="0" w:line="306" w:lineRule="exact"/>
        <w:rPr>
          <w:rFonts w:ascii="Times New Roman" w:cs="Times New Roman" w:eastAsia="Times New Roman" w:hAnsi="Times New Roman"/>
          <w:sz w:val="18"/>
          <w:szCs w:val="18"/>
          <w:color w:val="auto"/>
        </w:rPr>
      </w:pPr>
    </w:p>
    <w:p>
      <w:pPr>
        <w:ind w:right="14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and relative rights and preferences, if any, and the amount or amounts per share, which the shares of such series shall be entitled to receive upon any voluntary or involuntary liquidation, dissolution or winding up of the corporation;</w:t>
      </w:r>
    </w:p>
    <w:p>
      <w:pPr>
        <w:spacing w:after="0" w:line="53"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53" w:lineRule="exact"/>
        <w:rPr>
          <w:rFonts w:ascii="Times New Roman" w:cs="Times New Roman" w:eastAsia="Times New Roman" w:hAnsi="Times New Roman"/>
          <w:sz w:val="18"/>
          <w:szCs w:val="18"/>
          <w:color w:val="auto"/>
        </w:rPr>
      </w:pPr>
    </w:p>
    <w:p>
      <w:pPr>
        <w:ind w:right="20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corporation to retire or purchase shares of such series pursuant to a sinking fund or fund of a similar nature or otherwise, and the terms and conditions of such obligation;</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provided that the shares of all series with voting rights shall not have more than one vote per share;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if any, on the issuance of additional shares of such series or any shares of any other series of Preferred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preferences or restrictions or qualifications thereof as the Board of Directors may deem advisable and are note inconsistent with law and the provisions of these Articles.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STATEMENT OF LIMITATIONS, RELATIVE RIGHTS AND POWERS IN RESPECT OF SHARES OF COMMON STOCK.</w:t>
      </w:r>
    </w:p>
    <w:p>
      <w:pPr>
        <w:spacing w:after="0" w:line="117" w:lineRule="exact"/>
        <w:rPr>
          <w:sz w:val="20"/>
          <w:szCs w:val="20"/>
          <w:color w:val="auto"/>
        </w:rPr>
      </w:pPr>
    </w:p>
    <w:p>
      <w:pPr>
        <w:ind w:right="200" w:firstLine="8"/>
        <w:spacing w:after="0" w:line="26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requirements with respect to preferential dividends on the Preferred Stock (fixed in accordance with the provisions of paragraph B above) shall have been met and after the corporation shall have complied with all the requirements, if any, with respect to the setting aside of sums as sinking funds or redemption or purchase accounts (fixed in accordance with the provisions of said paragraph B), then and not otherwise the holders of Common Stock shall be entitled to receive such dividends as may be declared from time to time by the Board of Directors.</w:t>
      </w:r>
    </w:p>
    <w:p>
      <w:pPr>
        <w:spacing w:after="0" w:line="71" w:lineRule="exact"/>
        <w:rPr>
          <w:rFonts w:ascii="Times New Roman" w:cs="Times New Roman" w:eastAsia="Times New Roman" w:hAnsi="Times New Roman"/>
          <w:sz w:val="18"/>
          <w:szCs w:val="18"/>
          <w:color w:val="auto"/>
        </w:rPr>
      </w:pPr>
    </w:p>
    <w:p>
      <w:pPr>
        <w:ind w:right="20" w:firstLine="8"/>
        <w:spacing w:after="0" w:line="26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distribution in full of the preferential amount (fixed in accordance with the provisions of said paragraph B) to be distributed to the holders of Preferred Stock in the event of voluntary or involuntary liquidation, distribution or sale of assets, dissolution or winding up of this corporation, the holders of the Common Stock shall be entitled to receive all the remaining assets of this corporation, tangible and intangible, of whatever kind available for distribution to the stockholders ratably in proportion to the number of shares of Common Stock held by them respectively.</w:t>
      </w:r>
    </w:p>
    <w:p>
      <w:pPr>
        <w:spacing w:after="0" w:line="7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required by law or the provisions of these Articles, or by the Board of Directors pursuant to authority granted in these Articles, each holder of Common Stock shall have one vote in respect of each share of stock held by him in all matters voted upon by the stockholders.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DENIAL OF PREEMPTIVE RIGHTS.</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holder of shares of the Common Stock or of the Preferred Stock shall be entitled as such, as a matter of right, to subscribe for or purchase any part of any new or additional issue of stock of any class whatsoever of the corporation, or of securities convertible into stock of any class, whether now or hereafter authorized, or whether issued for cash or other consideration or by way of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60"/>
          </w:cols>
          <w:pgMar w:left="320" w:top="1440" w:right="419" w:bottom="1440" w:gutter="0" w:footer="0" w:header="0"/>
        </w:sectPr>
      </w:pPr>
    </w:p>
    <w:bookmarkStart w:id="35" w:name="page36"/>
    <w:bookmarkEnd w:id="35"/>
    <w:p>
      <w:pPr>
        <w:spacing w:after="0" w:line="2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ATTACHMENT 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lawful provisions, and if there are no such provisions, this article may be left blank.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6A. INDEMNIFICATION</w:t>
      </w:r>
    </w:p>
    <w:p>
      <w:pPr>
        <w:spacing w:after="0" w:line="1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Section 1. ACTIONS, SUITS AND PROCEEDINGS. Except as otherwise provided below, the Corporation shall, to the fullest extent authorized by Chapter 156B of the Massachusetts General Laws, as the same exists or may hereafter be amended (in the case of any such amendment, only to the extent that such amendment either (i) permits the Corporation to provide broader indemnification rights than such laws permitted prior to such amendment or (ii) prohibits or limits any of the indemnification rights previously set forth in such laws), indemnify each person who is, or shall have been, a director or officer of the Corporation or who is or was a director or employee of the Corporation and is serving, or shall have served, at the request of the Corporation, as a director or officer of another organization or in any capacity with respect to any employee benefit plan of the Corporation, against all liabilities and expenses (including judgments, fines, penalties, amounts paid or to be paid in settlement, and reasonable attorneys’ fees) imposed upon or incurred by any such person (the “Indemnitee”) in connection with, or arising out of, the defense or disposition of any action, suit or other proceeding, whether civil or criminal, in which he may be a defendant or with which he may be threatened or otherwise involved, directly or indirectly, by reason of his being or having been such a director or officer or as a result of his serving or having served with respect to any such employee benefit plan; PROVIDED, HOWEVER, that the Corporation shall provide no indemnification with respect to any matter as to which any such Indemnitee shall be finally adjudicated in such action, suit or proceeding not to have acted in good faith in the reasonable belief that his action was (i) in the best interests of the Corporation or (ii) to the extent such matter relates to service with respect to an employee benefit plan, in the best interests of the participants or beneficiaries of such employee benefit plan.</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2. SETTLEMENTS. The right to indemnification conferred in this Article shall include the right to be paid by the Corporation for liabilities and expenses incurred in connection with the settlement or compromise of any such action, suit or proceeding, pursuant to a consent decree or otherwise, unless a determination is made, within 45 days after receipt by the Corporation of a written request by the Indemnitee for indemnification, that such settlement or compromise is not in the best interests of the Corporation or, to the extent such matter relates to service with respect to an employee benefit plan, that such settlement or compromise is not in the best interests of the participants or beneficiaries of such plan. Any such determination shall be made (i) by the Board of Directors of the Corporation by a majority vote of a quorum consisting of disinterested directors, or (ii) if such quorum is not obtainable, by a majority of the disinterested directors of the Corporation then in office. Notwithstanding the foregoing, if there are less than two disinterested directors then in office, the Board of Directors shall promptly direct that independent legal counsel (who may be regular legal counsel to the Corporation) determine, based on facts known to such counsel at such time, whether such Indemnitee acted in good faith in the reasonable belief that his action was in the best interests of the Corporation or the participants or beneficiaries of any such employee benefit plan, as the case may be; and, in such event, indemnification shall be made to such Indemnitee unless, within 45 days after receipt by the Corporation of the request by such Indemnitee for indemnification, such independent legal counsel in a written opinion to the Corporation determines that such Indemnitee did not act in good faith in the reasonable belief that his action was in the best interests of the Corporation or the participants or beneficiaries of any such employee benefit plan, as the case may be.</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3. NOTIFICATION AND DEFENSE OF CLAIM. As a condition precedent to his right to be indemnified, the Indemnitee must give to the Corporation notice in writing as soon as practicable of any action, suit or proceeding involving him for which indemnity will or could be sought. With respect to any action, suit or proceeding of which the Corporation is so notified, the Corporation will be entitled to participate therein at its own expense and/or to assume the defense thereof at its own expense, with legal counsel reasonably acceptable to such Indemnitee. After notice from the Corporation to the Indemnitee of its election so to assume such defense, the Corporation shall not be liable to such Indemnitee for any legal or other expenses subsequently incurred by such Indemnitee in connection with such claim, but the fees and expenses of such counsel incurred after notice from the Corporation of its assumption of the defense thereof shall be at the expense of the Indemnitee unless (i) the employment of counsel by the Indemnitee has been authorized by the Corporation, (ii) counsel to the Indemnitee shall have reasonably concluded that there may be a conflict of interest or position on any significant issue between the Corporation and the Indemnitee in the conduct of the defense of such action or (iii) the Corporation shall not in fact have employed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counsel to assume the defense of such action, in each of which cases, the fees and expenses of counsel for the Indemnitee shall be at the expense of the Corporation, except as otherwise expressly provided by this Article. The Corporation shall not be entitled to assume the defense of any claim brought by or on behalf of the Corporation or as to which counsel for the Indemnitee shall have reasonably made the conclusion provided for in (ii) above.</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4. ADVANCE OF EXPENSES. Subject to Section 3 above, the right to indemnification conferred in this Article shall include the right to be paid by the Corporation for expenses (including reasonable attorneys’ fees) incurred in defending a civil or criminal action, suit or proceeding in advance of its final disposition, subject to receipt of an undertaking by the Indemnitee to repay such payment if it is ultimately determined that the Indemnitee is not entitled to indemnification under this Article. Such undertaking may be accepted without reference to the financial ability of such Indemnitee to make such repayment. Notwithstanding the foregoing, no advance shall be made by the Corporation under this Section 4 if a determination is reasonably and promptly made by the Board of Directors by a majority vote of a quorum consisting of disinterested directors or, if such quorum is not obtainable, by a majority of the disinterested directors of the Corporation then in office or, if there are not at least two disinterested directors then in office, by independent legal counsel (who may be regular legal counsel to the Corporation) in a written opinion that, based on facts known to the Board or counsel at such time, such Indemnitee did not act in good faith in the reasonable belief that his action was in the best interests of the Corporation or the participants or beneficiaries of an employee benefit plan of the Corporation, as the case may be.</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Section 5. PARTIAL INDEMNITY. If an Indemnitee is entitled under any provision of this Article to indemnification by the Corporation for some or a portion of the liabilities or expenses imposed upon or incurred by such Indemnitee in the investigation, defense, appeal or settlement of any action, suit or proceeding but not, however, for the total amount thereof, the Corporation shall nevertheless indemnify the Indemnitee for the portion of such liabilities or expenses to which such Indemnitee is entitled.</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6. RIGHTS NOT EXCLUSIVE. The right to indemnification and the payment of expenses incurred in defending any action, suit or proceeding in advance of its final disposition conferred in this Article shall not be exclusive of any other right which any person may have or hereafter acquire under any statute, provision of the Articles of Organization, By-Laws, agreement, vote of stockholders or directors or otherwise. Without limiting the generality of the foregoing, the Corporation, acting through its Board of Directors, may enter into agreements with any director, officer, employee or agent of the Corporation providing for indemnification rights equivalent to or greater than the indemnification rights set forth in this Article.</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Section 7. INSURANCE. The Corporation may purchase and maintain insurance, at its expense, to protect itself and any director, officer, employee or agent of the Corporation or another organization or employee benefit plan against any expense or liability incurred by him in any such capacity, or arising out of the status as such, whether or not the Corporation would have the power to indemnify such person against such expense or liability under Chapter 156B of the Massachusetts General laws.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Section 8. INSURANCE OFFSET. The Corporation’s obligation to provide indemnification under this Article shall be offset to the extent of any other source of indemnification or any otherwise applicable insurance coverage under a policy maintained by the Corporation or any other person.</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Section 9. AMENDMENT. Without the consent of a person entitled to the indemnification and other rights provided in this Article (unless otherwise required by Chapter 156B of the Massachusetts General Laws), no amendment modifying or terminating such rights shall adversely affect such person’s rights under this Article with respect to the period prior to such Amendment.</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Section 10. MERGERS, ETC. If the Corporation is merged into or consolidated with another corporation and the Corporation is not the surviving corporation, or if substantially all of the assets of the Corporation are acquired by any other corporation, or in the event of any other similar reorganization involving the Corporation, the Board of Directors of the Corporation or the board of directors of any corporation assuming the obligations of the Corporation shall assume the obligations of the Corporation under this Article, through the date of such merger, consolidation, sale or reorganization, with respect to each person who is entitled to indemnification rights under this Article as of such date.</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Section 11. SAVINGS CLAUSE. If this Article or any portion hereof shall be invalidated on any ground by any court of competent jurisdiction, then the Corporation shall nevertheless indemnify each Indemnitee as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liabilities and expenses with respect to any action, suit or proceeding to the full extent permitted by any applicable portion of this Article that shall not have been invalidated and to the full extent permitted by applicable law.</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12. DEFINITIONS. As used in this Article, the term “director”, “officer” and “person” include their respective heirs, executors, administrators, and legal representatives, and an “interested” director is one against whom in such capacity the proceedings in question or another proceeding on the same or similar grounds is then pending.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6B. STOCKHOLDERS’ MEETINGS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Stockholders of the Corporation may be held anywhere in the United States.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6C. AMENDMENT OF BY-LAWS</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power to make, amend or repeal by-laws shall be in the Stockholders, provided, however, that the by-laws may provide that the directors may make, amend or repeal the by-laws in whole or in part, except with respect to any provisions thereof which according to law, the Articles of Organization or by-laws requires action by the Stockholders.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6D. AMENDMENT OF ARTICLES OF ORGANIZATION</w:t>
      </w:r>
    </w:p>
    <w:p>
      <w:pPr>
        <w:spacing w:after="0" w:line="11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Stockholder approval of an amendment of the articles of organization shall require the affirmative vote of the holders of a majority of the shares of each class of capital stock at the time outstanding and entitled to vote on such matter. This provision is not intended to, and shall not, create a requirement to obtain Stockholder approval for any amendments that do not otherwise require Stockholder approval under Chapter 156B of the Massachusetts General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6E. LIMITATION OF DIRECTOR LIABILITY</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the fullest extent permitted by Chapter 156B of the Massachusetts General Laws, as it may be amended from time to time, a director of the Corporation shall not be personally liable to the Corporation or its stockholders for monetary damages for breach of fiduciary duty as a director, notwithstanding any provision of law imposing such liability.</w:t>
      </w:r>
    </w:p>
    <w:p>
      <w:pPr>
        <w:spacing w:after="0" w:line="27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6F. STOCKHOLDER APPROVAL OF MERGER, SHARE EXCHANGE, VOLUNTARY DISSOLUTION, PLAN OF DOMESTICATION OR CONVERSION</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Stockholder approval for the following actions shall require the affirmative vote of the holders of a majority of the shares of each class of capital stock at the time outstanding and entitled to vote on such matter: (i) the sale, lease, exchange, or other disposal of all or substantially all of the Corporation’s property, (ii) a merger or consolidation of the Corporation with or into any other entity; (iii) a share exchange with any other entity; (iv) the voluntary dissolution of the Corporation; or (v) any plan of domestication or conversion. Any such action shall also require approval by the Board of Directors. This provision is not intended to, and shall not, create a requirement to obtain Stockholder approval for matters that do not otherwise require Stockholder approval under Chapter 156B of the Massachusetts General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20"/>
          </w:cols>
          <w:pgMar w:left="320" w:top="1440"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22, 2025</w:t>
      </w:r>
    </w:p>
    <w:p>
      <w:pPr>
        <w:sectPr>
          <w:pgSz w:w="11900" w:h="16838" w:orient="portrait"/>
          <w:cols w:equalWidth="0" w:num="1">
            <w:col w:w="11240"/>
          </w:cols>
          <w:pgMar w:left="320" w:top="91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6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486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22, 2025</w:t>
      </w:r>
    </w:p>
    <w:p>
      <w:pPr>
        <w:sectPr>
          <w:pgSz w:w="11900" w:h="16838" w:orient="portrait"/>
          <w:cols w:equalWidth="0" w:num="1">
            <w:col w:w="11240"/>
          </w:cols>
          <w:pgMar w:left="320" w:top="91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May 3, 2025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9" w:lineRule="exact"/>
        <w:rPr>
          <w:rFonts w:ascii="Times New Roman" w:cs="Times New Roman" w:eastAsia="Times New Roman" w:hAnsi="Times New Roman"/>
          <w:sz w:val="18"/>
          <w:szCs w:val="18"/>
          <w:color w:val="auto"/>
        </w:rPr>
      </w:pPr>
    </w:p>
    <w:p>
      <w:pPr>
        <w:ind w:left="6140" w:right="3860" w:hanging="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Vincent Roche Vincent Roche</w:t>
      </w:r>
    </w:p>
    <w:p>
      <w:pPr>
        <w:spacing w:after="0" w:line="1" w:lineRule="exact"/>
        <w:rPr>
          <w:rFonts w:ascii="Times New Roman" w:cs="Times New Roman" w:eastAsia="Times New Roman" w:hAnsi="Times New Roman"/>
          <w:sz w:val="18"/>
          <w:szCs w:val="18"/>
          <w:color w:val="auto"/>
        </w:rPr>
      </w:pPr>
    </w:p>
    <w:p>
      <w:pPr>
        <w:ind w:left="6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-307975</wp:posOffset>
            </wp:positionV>
            <wp:extent cx="3060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May 22, 2025</w:t>
      </w:r>
    </w:p>
    <w:p>
      <w:pPr>
        <w:sectPr>
          <w:pgSz w:w="11900" w:h="16838" w:orient="portrait"/>
          <w:cols w:equalWidth="0" w:num="1">
            <w:col w:w="11240"/>
          </w:cols>
          <w:pgMar w:left="320" w:top="91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May 3, 2025 as filed with the Securities and Exchange Commission on the date hereof (the “Report”), the undersigned, Richard C. Puccio, Jr.,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100" w:right="140" w:hanging="5768"/>
        <w:spacing w:after="0" w:line="296" w:lineRule="auto"/>
        <w:tabs>
          <w:tab w:leader="none" w:pos="6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7"/>
          <w:szCs w:val="17"/>
          <w:color w:val="auto"/>
        </w:rPr>
        <w:t>Richard C. Puccio, Jr.</w:t>
      </w:r>
    </w:p>
    <w:p>
      <w:pPr>
        <w:spacing w:after="0" w:line="1" w:lineRule="exact"/>
        <w:rPr>
          <w:rFonts w:ascii="Times New Roman" w:cs="Times New Roman" w:eastAsia="Times New Roman" w:hAnsi="Times New Roman"/>
          <w:sz w:val="18"/>
          <w:szCs w:val="18"/>
          <w:color w:val="auto"/>
        </w:rPr>
      </w:pPr>
    </w:p>
    <w:p>
      <w:pPr>
        <w:ind w:left="6100" w:right="348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Richard C. Puccio, Jr.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-345440</wp:posOffset>
            </wp:positionV>
            <wp:extent cx="3060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May 22, 2025</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4"/>
    </w:lvl>
    <w:lvl w:ilvl="1">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9"/>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48" Type="http://schemas.openxmlformats.org/officeDocument/2006/relationships/hyperlink" Target="https://www.sec.gov/Archives/edgar/data/6281/000119312525079081/d92034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2025-05-22T06:11:02Z</dcterms:created>
  <dcterms:modified xsi:type="dcterms:W3CDTF">2025-05-22T06:11:02Z</dcterms:modified>
</cp:coreProperties>
</file>