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10, 2017</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80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86"/>
              </w:rPr>
              <w:t>Massachusetts</w:t>
            </w:r>
          </w:p>
        </w:tc>
        <w:tc>
          <w:tcPr>
            <w:tcW w:w="28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9"/>
              </w:rPr>
              <w:t>1-7819</w:t>
            </w:r>
          </w:p>
        </w:tc>
        <w:tc>
          <w:tcPr>
            <w:tcW w:w="1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04-2348234</w:t>
            </w:r>
          </w:p>
        </w:tc>
      </w:tr>
      <w:tr>
        <w:trPr>
          <w:trHeight w:val="126"/>
        </w:trPr>
        <w:tc>
          <w:tcPr>
            <w:tcW w:w="366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3"/>
              </w:rPr>
              <w:t>(State or other jurisdiction</w:t>
            </w:r>
          </w:p>
        </w:tc>
        <w:tc>
          <w:tcPr>
            <w:tcW w:w="1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860" w:type="dxa"/>
            <w:vAlign w:val="bottom"/>
            <w:tcBorders>
              <w:top w:val="single" w:sz="8" w:color="auto"/>
            </w:tcBorders>
            <w:gridSpan w:val="3"/>
          </w:tcPr>
          <w:p>
            <w:pPr>
              <w:jc w:val="center"/>
              <w:ind w:right="1000"/>
              <w:spacing w:after="0" w:line="126" w:lineRule="exact"/>
              <w:rPr>
                <w:sz w:val="20"/>
                <w:szCs w:val="20"/>
                <w:color w:val="auto"/>
              </w:rPr>
            </w:pPr>
            <w:r>
              <w:rPr>
                <w:rFonts w:ascii="Arial" w:cs="Arial" w:eastAsia="Arial" w:hAnsi="Arial"/>
                <w:sz w:val="14"/>
                <w:szCs w:val="14"/>
                <w:b w:val="1"/>
                <w:bCs w:val="1"/>
                <w:color w:val="auto"/>
                <w:w w:val="92"/>
              </w:rPr>
              <w:t>(Commission</w:t>
            </w:r>
          </w:p>
        </w:tc>
        <w:tc>
          <w:tcPr>
            <w:tcW w:w="120" w:type="dxa"/>
            <w:vAlign w:val="bottom"/>
          </w:tcPr>
          <w:p>
            <w:pPr>
              <w:spacing w:after="0"/>
              <w:rPr>
                <w:sz w:val="10"/>
                <w:szCs w:val="10"/>
                <w:color w:val="auto"/>
              </w:rPr>
            </w:pPr>
          </w:p>
        </w:tc>
        <w:tc>
          <w:tcPr>
            <w:tcW w:w="36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80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92"/>
              </w:rPr>
              <w:t>of incorporation)</w:t>
            </w:r>
          </w:p>
        </w:tc>
        <w:tc>
          <w:tcPr>
            <w:tcW w:w="298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95"/>
              </w:rPr>
              <w:t>File Number)</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465"/>
        </w:trPr>
        <w:tc>
          <w:tcPr>
            <w:tcW w:w="4800" w:type="dxa"/>
            <w:vAlign w:val="bottom"/>
            <w:tcBorders>
              <w:bottom w:val="single" w:sz="8" w:color="auto"/>
            </w:tcBorders>
            <w:gridSpan w:val="3"/>
          </w:tcPr>
          <w:p>
            <w:pPr>
              <w:jc w:val="center"/>
              <w:ind w:left="901"/>
              <w:spacing w:after="0"/>
              <w:rPr>
                <w:sz w:val="20"/>
                <w:szCs w:val="20"/>
                <w:color w:val="auto"/>
              </w:rPr>
            </w:pPr>
            <w:r>
              <w:rPr>
                <w:rFonts w:ascii="Arial" w:cs="Arial" w:eastAsia="Arial" w:hAnsi="Arial"/>
                <w:sz w:val="18"/>
                <w:szCs w:val="18"/>
                <w:b w:val="1"/>
                <w:bCs w:val="1"/>
                <w:color w:val="auto"/>
                <w:w w:val="91"/>
              </w:rPr>
              <w:t>One Technology Way, Norwood, MA</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61"/>
              <w:spacing w:after="0"/>
              <w:rPr>
                <w:sz w:val="20"/>
                <w:szCs w:val="20"/>
                <w:color w:val="auto"/>
              </w:rPr>
            </w:pPr>
            <w:r>
              <w:rPr>
                <w:rFonts w:ascii="Arial" w:cs="Arial" w:eastAsia="Arial" w:hAnsi="Arial"/>
                <w:sz w:val="18"/>
                <w:szCs w:val="18"/>
                <w:b w:val="1"/>
                <w:bCs w:val="1"/>
                <w:color w:val="auto"/>
              </w:rPr>
              <w:t>02062</w:t>
            </w:r>
          </w:p>
        </w:tc>
      </w:tr>
      <w:tr>
        <w:trPr>
          <w:trHeight w:val="186"/>
        </w:trPr>
        <w:tc>
          <w:tcPr>
            <w:tcW w:w="4800" w:type="dxa"/>
            <w:vAlign w:val="bottom"/>
            <w:gridSpan w:val="3"/>
          </w:tcPr>
          <w:p>
            <w:pPr>
              <w:jc w:val="center"/>
              <w:ind w:left="9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jc w:val="center"/>
              <w:ind w:right="1821"/>
              <w:spacing w:after="0"/>
              <w:rPr>
                <w:sz w:val="20"/>
                <w:szCs w:val="20"/>
                <w:color w:val="auto"/>
              </w:rPr>
            </w:pPr>
            <w:r>
              <w:rPr>
                <w:rFonts w:ascii="Arial" w:cs="Arial" w:eastAsia="Arial" w:hAnsi="Arial"/>
                <w:sz w:val="14"/>
                <w:szCs w:val="14"/>
                <w:b w:val="1"/>
                <w:bCs w:val="1"/>
                <w:color w:val="auto"/>
                <w:w w:val="95"/>
              </w:rPr>
              <w:t>(Zip Code)</w:t>
            </w:r>
          </w:p>
        </w:tc>
      </w:tr>
    </w:tbl>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1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22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As previously announced, on July 26, 2016, Analog Devices, Inc. (the “Company”) entered into an Agreement and Plan of Merger (“Merger Agreement”) with Linear Technology Corporation (“Linear”), a Delaware corporation, and Tahoe Acquisition Corp., (“Merger Sub”) a Delaware corporation and a wholly owned subsidiary of the Company, pursuant to which Merger Sub merged with and into Linear, with Linear becoming a direct, wholly owned subsidiary of the Company (the “Merger”). The Merger is more fully described in Item 2.01 below. In connection with the Merger, the Company completed additional corporate and financing activities, which are more fully described in this Item 1.01.</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 Credit Facility</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March 10, 2017, in connection with the Merger, the Company entered into a Bridge Credit Agreement (the “Bridge Credit Agreement”) by and among the Company, as borrower, the several banks and other financial institutions from time to time parties thereto as lenders, JPMorgan Chase Bank, N.A., as administrative agent, JPMorgan Chase Bank, N.A., Merrill Lynch, Pierce, Fenner &amp; Smith Incorporated, and Credit Suisse Securities (USA) LLC, as joint lead arrangers and joint bookrunners, and Bank of America, N.A. and Credit Suisse AG, Cayman Islands Branch, as syndication agents. Terms used in this Item 1.01 and not defined herein shall have the meanings ascribed to them in the Bridge Credit Agreement, which is attached to this Current Report on Form 8-K as Exhibit 10.1.</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Bridge Credit Agreement provides for unsecured loans in an aggregate principal amount of up to $4.1 billion.</w:t>
      </w:r>
    </w:p>
    <w:p>
      <w:pPr>
        <w:spacing w:after="0" w:line="225"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6"/>
          <w:szCs w:val="16"/>
          <w:color w:val="auto"/>
        </w:rPr>
        <w:t>Loans can be Eurodollar Rate Loans or Base Rate Loans at the Company’s option. Each Eurodollar Rate Loan will bear interest at a rate per annum equal to the Eurodollar Rate plus a margin based on the Company’s Debt Ratings from time to time of between 0.750% and 1.625%. Each Base Rate Loan will bear interest at a rate per annum equal to the Base Rate plus a margin based on the Company’s Debt Ratings from time to time of between 0.00% and</w:t>
      </w:r>
    </w:p>
    <w:p>
      <w:pPr>
        <w:spacing w:after="0" w:line="255" w:lineRule="auto"/>
        <w:rPr>
          <w:sz w:val="20"/>
          <w:szCs w:val="20"/>
          <w:color w:val="auto"/>
        </w:rPr>
      </w:pPr>
      <w:r>
        <w:rPr>
          <w:rFonts w:ascii="Arial" w:cs="Arial" w:eastAsia="Arial" w:hAnsi="Arial"/>
          <w:sz w:val="18"/>
          <w:szCs w:val="18"/>
          <w:color w:val="auto"/>
        </w:rPr>
        <w:t>0.625%. Repayments of loans under the Bridge Credit Agreement are due no later than June 8, 2017. The Company may prepay loans under the Bridge Credit Agreement in whole or in part at any time, without premium or penalty, subject to reimbursement of certain costs in the case of borrowings that bear interest at the Eurodollar Rate.</w:t>
      </w:r>
    </w:p>
    <w:p>
      <w:pPr>
        <w:spacing w:after="0" w:line="19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Bridge Credit Agreement contains customary representations and warranties, affirmative and negative covenants and events of default applicable to the Company and its subsidiaries. The events of default include, among others, nonpayment of principal, interest, fees or other amounts, failure to perform covenants, cross-defaults to certain other indebtedness, insolvency or bankruptcy, customary ERISA defaults or the occurrence of a change of control. The negative covenants include limitations on liens, indebtedness of subsidiaries, mergers and fundamental changes, and sales and other dispositions of property or assets. The Bridge Credit Agreement does not contain any financial covenants.</w:t>
      </w:r>
    </w:p>
    <w:p>
      <w:pPr>
        <w:spacing w:after="0" w:line="173"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the ordinary course of their respective businesses, certain of the lenders and the other parties to the Bridge Credit Agreement and their respective affiliates have engaged, and may in the future engage, in commercial banking, investment banking, financial advisory or other services with the Company and its affiliates for which they have in the past and/or may in the future receive customary compensation and expense reimbursement.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As previously disclosed, on September 23, 2016, the Company entered into an Amendment and Restatement Agreement (the “Amendment and Restatement Agreement”), which includes an Amended and Restated Credit Agreement (the “Revolving Credit Agreement”) among the Company, as borrower, Bank of America, N.A. as Administrative Agent, Swing Line Lender and L/C Issuer, the several banks and other financial institutions from time to time parties thereto as lenders, JPMorgan Chase Bank, N.A., Credit Suisse Securities (USA) LLC and The Bank of Tokyo-Mitsubishi UFJ, Ltd., as syndication agents and L/C Issuers, Merrill Lynch, Pierce, Fenner &amp; Smith Incorporated, JPMorgan Chase Bank, N.A., Credit Suisse Securities (USA) LLC and The Bank of Tokyo-Mitsubishi UFJ, Ltd., as joint lead arrangers and joint bookrunners, and Deutsche Bank AG New York Branch, Sumitomo</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Mitsui Bank Corporation, Wells Fargo, National Association, BMO Harris Bank, N.A., DBS Bank Ltd., PNC Bank, National Association, TD Bank, N.A. and The Bank of New York Mellon, as documentation agents.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Pursuant to the terms of the Amendment and Restatement Agreement, on March 10, 2017, additional amendments to the Revolving Credit Agreement became effective, including the following:</w:t>
      </w:r>
    </w:p>
    <w:p>
      <w:pPr>
        <w:spacing w:after="0" w:line="76" w:lineRule="exact"/>
        <w:rPr>
          <w:sz w:val="20"/>
          <w:szCs w:val="20"/>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in the aggregate commitments under the revolving credit facility from $750 million to $1 billion;</w:t>
      </w:r>
    </w:p>
    <w:p>
      <w:pPr>
        <w:spacing w:after="0" w:line="130" w:lineRule="exact"/>
        <w:rPr>
          <w:rFonts w:ascii="Arial" w:cs="Arial" w:eastAsia="Arial" w:hAnsi="Arial"/>
          <w:sz w:val="18"/>
          <w:szCs w:val="18"/>
          <w:color w:val="auto"/>
        </w:rPr>
      </w:pPr>
    </w:p>
    <w:p>
      <w:pPr>
        <w:ind w:left="1480" w:hanging="446"/>
        <w:spacing w:after="0" w:line="255"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modifications to the funded debt to EBITDA ratio calculation to net out, only for so long as indebtedness under the Bridge Credit Agreement is outstanding, any unrestricted cash of the Company up to a cap, and to revise the maximum covenant level to (i) 5.00 to 1.00 for any fiscal quarter through and including the fiscal quarter ending on or about May 5, 2018, (ii) 4.50 to 1.00 for any fiscal quarter commencing with the fiscal quarter ending on or about August 4, 2018, through and including the fiscal quarter ending on or about November 3, 2018, (iii) 4.00 to 1.00 for any fiscal quarter commencing with the fiscal quarter ending on or about February 2, 2019, through and including the fiscal quarter ending on or about November 2, 2019 and (iv) 3.00 to 1.00 for any fiscal quarter ending thereafter; and</w:t>
      </w:r>
    </w:p>
    <w:p>
      <w:pPr>
        <w:spacing w:after="0" w:line="94" w:lineRule="exact"/>
        <w:rPr>
          <w:rFonts w:ascii="Arial" w:cs="Arial" w:eastAsia="Arial" w:hAnsi="Arial"/>
          <w:sz w:val="18"/>
          <w:szCs w:val="18"/>
          <w:color w:val="auto"/>
        </w:rPr>
      </w:pPr>
    </w:p>
    <w:p>
      <w:pPr>
        <w:ind w:left="1480" w:hanging="446"/>
        <w:spacing w:after="0" w:line="288" w:lineRule="auto"/>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technical amendments to align the indebtedness, fundamental changes and sales and other dispositions of property covenants with the comparable provisions in the Company’s previously disclosed term loan facility established pursuant to a Credit Agreement, dated September 23, 2016, with JPMorgan Chase Bank, N.A., as administrative agent, the several banks and other financial institutions from time to time parties thereto as lenders, JPMorgan Chase Bank, N.A., Merrill Lynch, Pierce, Fenner &amp; Smith Incorporated, Credit Suisse Securities (USA) LLC and The Bank of Tokyo-Mitsubishi UFJ, Ltd., as joint lead arrangers and joint bookrunners, Bank of America, N.A., Credit Suisse AG, Cayman Islands Branch and The Bank of Tokyo-Mitsubishi UFJ, Ltd., as syndication agents, and Wells Fargo Bank, National Association, PNC Bank, National Association, BMO Harris Bank, N.A., DBS Bank Ltd., Sumitomo Mitsui Banking Corporation, TD Bank, N.A., The Bank of New York Mellon, Fifth Third Bank and Deutsche Bank AG New York Branch, as documentation agents, filed as Exhibit 10.1 to the Company’s Current Report on Form 8-K (File No. 001-07819), filed with the Securities and Exchange Commission on September 26, 2016 (the “Term Loan Agreement”) and incorporated herein by reference.</w:t>
      </w:r>
    </w:p>
    <w:p>
      <w:pPr>
        <w:spacing w:after="0" w:line="169"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The foregoing descriptions of the Bridge Credit Agreement and the Revolving Credit Agreement do not purport to be complete and are qualified in their entirety by reference to the full text of the Bridge Credit Agreement, which is filed as Exhibit 10.1 hereto, and the Amendment and Restatement Agreement (including the Revolving Credit Agreement), which was filed as Exhibit 10.2 to the Company’s Current Report on Form 8-K (File No. 001-07819), filed with the Securities and Exchange Commission on September 26, 2016, and each incorporated herein by reference.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described in Item 1.01, on March 10, 2017, the Company completed the Merger. At the effective time of the Merger (the “Effective Time”), each outstanding share of Linear common stock, par value $0.001 per share (“Linear Common Shares”), other than shares owned by the Company, Linear and their subsidiaries, or shares subject to restricted stock awards, was automatically converted into the right to receive the following consideration (collectively, the “Merger Consideration”), without interest:</w:t>
      </w:r>
    </w:p>
    <w:p>
      <w:pPr>
        <w:spacing w:after="0" w:line="9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$46.00 in cash (the “Cash Consideration”);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0.2321 (the “Exchange Ratio”) shares of common stock of the Company, par value $0.16 2/3 per share (“Analog Common Shares”).</w:t>
      </w:r>
    </w:p>
    <w:p>
      <w:pPr>
        <w:spacing w:after="0" w:line="157"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right="2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closing, each Linear restricted stock unit award (“Linear RSU Award”) and each Linear restricted stock award (“Linear Restricted Stock Award”) that became vested at the closing (including each Linear Restricted Stock Award held by a non-employee director) was converted into the right to receive the Merger Consideration in respect of each Linear Common Share underlying such award.</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Each Linear RSU Award and Linear Restricted Stock Award that was granted on or prior to July 22, 2016 that did not become vested at the closing was converted at the closing into two Analog awards, one of which constitutes the right to receive an amount in cash equal to the number of Linear Common Shares subject to such award, multiplied by the Cash Consideration and the other constitutes a restricted unit award or restricted stock award, as applicable, covering the number of Analog Common Shares equal to the product (rounded to the nearest whole number of shares) of the number of Linear Common Shares subject to such award, multiplied by the Exchange Ratio.</w:t>
      </w:r>
    </w:p>
    <w:p>
      <w:pPr>
        <w:spacing w:after="0" w:line="188"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Each Linear RSU Award and Linear Restricted Stock Award granted after July 22, 2016 was converted at the closing into an award solely in respect of a number of Analog Common Shares equal to the product (rounded to the nearest whole number of shares) of the number of Linear Common Shares subject to such award, multiplied by 0.9947.</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Each converted Analog cash award, restricted stock unit and restricted stock award, as applicable, has the same terms and conditions, including vesting (and for restricted stock awards, any rights to receive future dividends), that applied to the Linear RSU Award or Linear Restricted Stock Award, as applicable, to which the converted Analog awards correspond.</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aggregate amount paid by the Company for the Merger Consideration was approximately $11.1 billion in cash and approximately 56 million Analog Common Shares, which had a value of approximately $4.6 billion based on the closing price of Analog Common shares on The NASDAQ Global Select Market on March 10, 2017.</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Company funded the cash portion of the Merger Consideration through cash on hand, the net proceeds of the issuance and sale of senior unsecured notes, and funds from short- and long-term indebtedness.</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foregoing description of the Merger Agreement and the Merger is not intended to be complete and is qualified in its entirety by reference to the Merger Agreement, which was filed as Exhibit 2.1 to the Company’s Current Report on Form 8-K filed with the SEC on July 29, 2016, and which is incorporated herein by reference.</w:t>
      </w:r>
    </w:p>
    <w:p>
      <w:pPr>
        <w:spacing w:after="0" w:line="285" w:lineRule="exact"/>
        <w:rPr>
          <w:sz w:val="20"/>
          <w:szCs w:val="20"/>
          <w:color w:val="auto"/>
        </w:rPr>
      </w:pPr>
    </w:p>
    <w:p>
      <w:pPr>
        <w:jc w:val="center"/>
        <w:ind w:right="1600"/>
        <w:spacing w:after="0"/>
        <w:rPr>
          <w:sz w:val="20"/>
          <w:szCs w:val="20"/>
          <w:color w:val="auto"/>
        </w:rPr>
      </w:pPr>
      <w:r>
        <w:rPr>
          <w:rFonts w:ascii="Arial" w:cs="Arial" w:eastAsia="Arial" w:hAnsi="Arial"/>
          <w:sz w:val="16"/>
          <w:szCs w:val="16"/>
          <w:b w:val="1"/>
          <w:bCs w:val="1"/>
          <w:color w:val="auto"/>
        </w:rPr>
        <w:t>Item 2.03. Creation of a Direct Financial Obligation or an Obligation under an Off-Balance Sheet Arrangement of a Registrant.</w:t>
      </w:r>
    </w:p>
    <w:p>
      <w:pPr>
        <w:spacing w:after="0" w:line="144"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The information included in Item 1.01 of this Current Report on Form 8-K is incorporated by reference into this Item 2.03.</w:t>
      </w:r>
    </w:p>
    <w:p>
      <w:pPr>
        <w:spacing w:after="0" w:line="225"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On March 10, 2017, the Company borrowed $4.1 billion under the Bridge Credit Agreement and $5.0 billion under the Term Loan Agreement, and used the proceeds of the borrowings to pay a portion of the cash consideration for the Merger and to pay related fees and expenses.</w:t>
      </w:r>
    </w:p>
    <w:p>
      <w:pPr>
        <w:spacing w:after="0" w:line="22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Effective March 10, 2017, as of immediately after completion of the Merger, the Company’s Board of Directors elected Robert H. Swanson, Jr. to serve as a director for a term continuing to the Company’s next annual meeting of shareholders in March 2018 when all directors will be subject to election by shareholders. In connection with his service on the Board of Directors, Mr. Swanson will receive an annual cash retainer of $70,000, paid quarterly. Mr. Swanson will not serve on any committees of the Board.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4" w:name="page5"/>
    <w:bookmarkEnd w:id="4"/>
    <w:p>
      <w:pPr>
        <w:ind w:right="1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Swanson will automatically be granted on April 15, 2017 (or the next succeeding business day that the NASDAQ is open) 2,445 restricted stock units under the Company’s 2006 Stock Incentive Plan, which shall vest and convert into shares of the Company’s common stock on the earlier of the date of the Company’s next annual meeting of shareholders or March 8, 2018.</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Each non-employee director re-elected at the next annual meeting of shareholders will be granted a restricted stock unit award for a number of shares of common stock approved by the Board of Directors on the date of the Company’s annual meeting of shareholders.</w:t>
      </w:r>
    </w:p>
    <w:p>
      <w:pPr>
        <w:spacing w:after="0" w:line="17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Director equity awards vest in full upon the occurrence of a Change in Control Event (as defined in the Company’s 2006 Stock Incentive Plan) or the director’s death. If the director ceases to serve as a director by reason of his or her disability, as determined by the Board of Directors, each restricted stock unit will vest in full.</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Mr. Swanson will become party with the Company to the Company’s form of Indemnification Agreement for Directors and Officers, filed as Exhibit 10.30 to the Company’s Annual Report on Form 10-K for the fiscal year ended November 1, 2008.</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At the Effective Time, each outstanding Linear Common Share and each Linear Restricted Stock Award held by Mr. Swanson and his affiliates converted into the right to receive the Merger Consideration.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Devices 2017 Executive Performance Incentive Plan</w:t>
      </w:r>
    </w:p>
    <w:p>
      <w:pPr>
        <w:spacing w:after="0" w:line="11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connection with the Merger, the Company’s Board of Directors determined that the calculation of the Company’s achievement of operating profit before taxes as a percentage of revenue and year-over-year revenue growth under the 2017 Executive Performance Incentive Plan will exclude the financial results of Linear for the remainder of fiscal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On March 10, 2017, in connection with the Company’s announcement of the completion of the Merger, the Company also announced updated financial guidance for the second fiscal quarter of 2017. A copy of the press release is attached hereto as Exhibit 99.1 to this Current Report, and is incorporated herein by reference.</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information in this Item 7.01 shall not be deemed “filed” for purposes of Section 18 of the Securities Exchange Act of 1934 or otherwise subject to the liabilities of that section; nor shall this Item 7.01 or any of the information contained herein be deemed incorporated by reference in any filing under the Securities Exchange Act of 1934 or the Securities Act of 1933, except as shall be expressly set forth by specific reference in such filing.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March 10, 2017, the Company issued a press release announcing the completion of the Merger, which is filed as Exhibit 99.1 to this Form 8-K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Financial Statements of Business Acquired.</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financial statements required by Item 9.01(a) of Form 8-K will be filed by amendment within 71 calendar days after the date upon which this current report on Form 8-K must be filed.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Financial Statements of Business Acquired.</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pro forma financial information required by Item 9.01(b) of Form 8-K will be filed by amendment within 71 calendar days after the date upon which this current report on Form 8-K must be filed.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14"/>
                <w:szCs w:val="14"/>
                <w:color w:val="auto"/>
              </w:rPr>
            </w:pPr>
          </w:p>
        </w:tc>
        <w:tc>
          <w:tcPr>
            <w:tcW w:w="100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r>
      <w:tr>
        <w:trPr>
          <w:trHeight w:val="296"/>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4"/>
                <w:szCs w:val="24"/>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w w:val="95"/>
              </w:rPr>
              <w:t>Agreement and Plan of Merger, dated as of July 26, 2016, among Analog Devices, Inc., Linear Technology Corporation and Tahoe</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w w:val="98"/>
              </w:rPr>
              <w:t>Acquisition Corp. (incorporated by reference to Exhibit 2.1 of the Company’s Current Report on Form 8-K filed with the SEC on</w:t>
            </w:r>
          </w:p>
        </w:tc>
      </w:tr>
      <w:tr>
        <w:trPr>
          <w:trHeight w:val="230"/>
        </w:trPr>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rPr>
              <w:t>July 29, 2016).</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w w:val="95"/>
              </w:rPr>
              <w:t>Bridge Credit Agreement, dated as of March 10, 2017, among Analog Devices, Inc., as Borrower, JPMorgan Chase Bank, N.A., as</w:t>
            </w:r>
          </w:p>
        </w:tc>
      </w:tr>
      <w:tr>
        <w:trPr>
          <w:trHeight w:val="230"/>
        </w:trPr>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rPr>
              <w:t>Administrative Agent, and each lender from time to time party thereto.</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640" w:type="dxa"/>
            <w:vAlign w:val="bottom"/>
          </w:tcPr>
          <w:p>
            <w:pPr>
              <w:spacing w:after="0"/>
              <w:rPr>
                <w:sz w:val="24"/>
                <w:szCs w:val="24"/>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w w:val="91"/>
              </w:rPr>
              <w:t>Amendment and Restatement Agreement, dated as of September 23, 2016, among Analog Devices, Inc., as Borrower, Bank of America,</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w w:val="96"/>
              </w:rPr>
              <w:t>N.A. as Administrative Agent, Swing Line Lender and L/C Issuer, and each lender from time to time party thereto (incorporated by</w:t>
            </w:r>
          </w:p>
        </w:tc>
      </w:tr>
      <w:tr>
        <w:trPr>
          <w:trHeight w:val="230"/>
        </w:trPr>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rPr>
              <w:t>reference to Exhibit 10.2 of the Company’s Current Report on Form 8-K filed with the SEC on September 26, 2016).</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rPr>
              <w:t>Press Release, dated March 10, 2017.</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140" w:type="dxa"/>
            <w:vAlign w:val="bottom"/>
          </w:tcPr>
          <w:p>
            <w:pPr>
              <w:spacing w:after="0"/>
              <w:rPr>
                <w:sz w:val="24"/>
                <w:szCs w:val="24"/>
                <w:color w:val="auto"/>
              </w:rPr>
            </w:pPr>
          </w:p>
        </w:tc>
        <w:tc>
          <w:tcPr>
            <w:tcW w:w="9920" w:type="dxa"/>
            <w:vAlign w:val="bottom"/>
          </w:tcPr>
          <w:p>
            <w:pPr>
              <w:spacing w:after="0"/>
              <w:rPr>
                <w:sz w:val="24"/>
                <w:szCs w:val="24"/>
                <w:color w:val="auto"/>
              </w:rPr>
            </w:pPr>
          </w:p>
        </w:tc>
      </w:tr>
    </w:tbl>
    <w:p>
      <w:pPr>
        <w:spacing w:after="0" w:line="134" w:lineRule="exact"/>
        <w:rPr>
          <w:sz w:val="20"/>
          <w:szCs w:val="20"/>
          <w:color w:val="auto"/>
        </w:rPr>
      </w:pPr>
    </w:p>
    <w:p>
      <w:pPr>
        <w:sectPr>
          <w:pgSz w:w="11900" w:h="16838" w:orient="portrait"/>
          <w:cols w:equalWidth="0" w:num="1">
            <w:col w:w="11420"/>
          </w:cols>
          <w:pgMar w:left="240" w:top="274" w:right="239"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8"/>
              </w:rPr>
              <w:t>ANALOG DEVICES, INC.</w:t>
            </w:r>
          </w:p>
        </w:tc>
      </w:tr>
      <w:tr>
        <w:trPr>
          <w:trHeight w:val="224"/>
        </w:trPr>
        <w:tc>
          <w:tcPr>
            <w:tcW w:w="36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920" w:type="dxa"/>
            <w:vAlign w:val="bottom"/>
          </w:tcPr>
          <w:p>
            <w:pPr>
              <w:jc w:val="center"/>
              <w:ind w:right="170"/>
              <w:spacing w:after="0"/>
              <w:rPr>
                <w:sz w:val="20"/>
                <w:szCs w:val="20"/>
                <w:color w:val="auto"/>
              </w:rPr>
            </w:pPr>
            <w:r>
              <w:rPr>
                <w:rFonts w:ascii="Arial" w:cs="Arial" w:eastAsia="Arial" w:hAnsi="Arial"/>
                <w:sz w:val="18"/>
                <w:szCs w:val="18"/>
                <w:color w:val="auto"/>
                <w:w w:val="91"/>
              </w:rPr>
              <w:t>(Registrant)</w:t>
            </w:r>
          </w:p>
        </w:tc>
      </w:tr>
      <w:tr>
        <w:trPr>
          <w:trHeight w:val="431"/>
        </w:trPr>
        <w:tc>
          <w:tcPr>
            <w:tcW w:w="3620" w:type="dxa"/>
            <w:vAlign w:val="bottom"/>
          </w:tcPr>
          <w:p>
            <w:pPr>
              <w:spacing w:after="0"/>
              <w:rPr>
                <w:sz w:val="20"/>
                <w:szCs w:val="20"/>
                <w:color w:val="auto"/>
              </w:rPr>
            </w:pPr>
            <w:r>
              <w:rPr>
                <w:rFonts w:ascii="Arial" w:cs="Arial" w:eastAsia="Arial" w:hAnsi="Arial"/>
                <w:sz w:val="18"/>
                <w:szCs w:val="18"/>
                <w:color w:val="auto"/>
              </w:rPr>
              <w:t>Date: March 10, 2017</w:t>
            </w:r>
          </w:p>
        </w:tc>
        <w:tc>
          <w:tcPr>
            <w:tcW w:w="26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By:  /s/ David A. Zinsner</w:t>
            </w:r>
          </w:p>
        </w:tc>
      </w:tr>
      <w:tr>
        <w:trPr>
          <w:trHeight w:val="195"/>
        </w:trPr>
        <w:tc>
          <w:tcPr>
            <w:tcW w:w="3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9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David A. Zinsner</w:t>
            </w:r>
          </w:p>
        </w:tc>
      </w:tr>
      <w:tr>
        <w:trPr>
          <w:trHeight w:val="230"/>
        </w:trPr>
        <w:tc>
          <w:tcPr>
            <w:tcW w:w="3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378"/>
        </w:trPr>
        <w:tc>
          <w:tcPr>
            <w:tcW w:w="3620" w:type="dxa"/>
            <w:vAlign w:val="bottom"/>
          </w:tcPr>
          <w:p>
            <w:pPr>
              <w:spacing w:after="0"/>
              <w:rPr>
                <w:sz w:val="24"/>
                <w:szCs w:val="24"/>
                <w:color w:val="auto"/>
              </w:rPr>
            </w:pP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49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3560"/>
              <w:spacing w:after="0"/>
              <w:rPr>
                <w:sz w:val="20"/>
                <w:szCs w:val="20"/>
                <w:color w:val="auto"/>
              </w:rPr>
            </w:pPr>
            <w:r>
              <w:rPr>
                <w:rFonts w:ascii="Arial" w:cs="Arial" w:eastAsia="Arial" w:hAnsi="Arial"/>
                <w:sz w:val="18"/>
                <w:szCs w:val="18"/>
                <w:color w:val="auto"/>
              </w:rPr>
              <w:t>EXHIBIT INDEX</w:t>
            </w:r>
          </w:p>
        </w:tc>
      </w:tr>
      <w:tr>
        <w:trPr>
          <w:trHeight w:val="392"/>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24"/>
                <w:szCs w:val="24"/>
                <w:color w:val="auto"/>
              </w:rPr>
            </w:pPr>
          </w:p>
        </w:tc>
        <w:tc>
          <w:tcPr>
            <w:tcW w:w="100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r>
      <w:tr>
        <w:trPr>
          <w:trHeight w:val="296"/>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4"/>
                <w:szCs w:val="24"/>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w w:val="95"/>
              </w:rPr>
              <w:t>Agreement and Plan of Merger, dated as of July 26, 2016, among Analog Devices, Inc., Linear Technology Corporation and Tahoe</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w w:val="98"/>
              </w:rPr>
              <w:t>Acquisition Corp. (incorporated by reference to Exhibit 2.1 of the Company’s Current Report on Form 8-K filed with the SEC on</w:t>
            </w:r>
          </w:p>
        </w:tc>
      </w:tr>
      <w:tr>
        <w:trPr>
          <w:trHeight w:val="230"/>
        </w:trPr>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rPr>
              <w:t>July 29, 2016).</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w w:val="95"/>
              </w:rPr>
              <w:t>Bridge Credit Agreement, dated as of March 10, 2017, among Analog Devices, Inc., as Borrower, JPMorgan Chase Bank, N.A., as</w:t>
            </w:r>
          </w:p>
        </w:tc>
      </w:tr>
      <w:tr>
        <w:trPr>
          <w:trHeight w:val="230"/>
        </w:trPr>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rPr>
              <w:t>Administrative Agent, and each lender from time to time party thereto.</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640" w:type="dxa"/>
            <w:vAlign w:val="bottom"/>
          </w:tcPr>
          <w:p>
            <w:pPr>
              <w:spacing w:after="0"/>
              <w:rPr>
                <w:sz w:val="24"/>
                <w:szCs w:val="24"/>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w w:val="91"/>
              </w:rPr>
              <w:t>Amendment and Restatement Agreement, dated as of September 23, 2016, among Analog Devices, Inc., as Borrower, Bank of America,</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w w:val="96"/>
              </w:rPr>
              <w:t>N.A. as Administrative Agent, Swing Line Lender and L/C Issuer, and each lender from time to time party thereto (incorporated by</w:t>
            </w:r>
          </w:p>
        </w:tc>
      </w:tr>
      <w:tr>
        <w:trPr>
          <w:trHeight w:val="230"/>
        </w:trPr>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rPr>
              <w:t>reference to Exhibit 10.2 of the Company’s Current Report on Form 8-K filed with the SEC on September 26, 2016).</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10060" w:type="dxa"/>
            <w:vAlign w:val="bottom"/>
            <w:gridSpan w:val="2"/>
          </w:tcPr>
          <w:p>
            <w:pPr>
              <w:ind w:left="140"/>
              <w:spacing w:after="0"/>
              <w:rPr>
                <w:sz w:val="20"/>
                <w:szCs w:val="20"/>
                <w:color w:val="auto"/>
              </w:rPr>
            </w:pPr>
            <w:r>
              <w:rPr>
                <w:rFonts w:ascii="Arial" w:cs="Arial" w:eastAsia="Arial" w:hAnsi="Arial"/>
                <w:sz w:val="18"/>
                <w:szCs w:val="18"/>
                <w:color w:val="auto"/>
              </w:rPr>
              <w:t>Press Release, dated March 10, 2017.</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14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365"/>
        </w:trPr>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60" w:type="dxa"/>
            <w:vAlign w:val="bottom"/>
            <w:gridSpan w:val="2"/>
          </w:tcPr>
          <w:p>
            <w:pPr>
              <w:ind w:left="430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27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BRIDGE CREDIT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10, 2017</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MERRILL LYNCH, PIERCE, FENNER &amp; SMITH INCORPORATED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Lead Arrangers and Joint Bookrunners</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SUISSE AG, CAYMAN ISLANDS BRANCH,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7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DEFINITIONS AND ACCOUNTING TERMS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280" w:type="dxa"/>
            <w:vAlign w:val="bottom"/>
            <w:gridSpan w:val="2"/>
          </w:tcPr>
          <w:p>
            <w:pPr>
              <w:jc w:val="right"/>
              <w:ind w:right="470"/>
              <w:spacing w:after="0"/>
              <w:rPr>
                <w:sz w:val="20"/>
                <w:szCs w:val="20"/>
                <w:color w:val="auto"/>
              </w:rPr>
            </w:pPr>
            <w:r>
              <w:rPr>
                <w:rFonts w:ascii="Arial" w:cs="Arial" w:eastAsia="Arial" w:hAnsi="Arial"/>
                <w:sz w:val="18"/>
                <w:szCs w:val="18"/>
                <w:color w:val="auto"/>
              </w:rPr>
              <w:t>1.01.</w:t>
            </w:r>
          </w:p>
        </w:tc>
        <w:tc>
          <w:tcPr>
            <w:tcW w:w="7880" w:type="dxa"/>
            <w:vAlign w:val="bottom"/>
          </w:tcPr>
          <w:p>
            <w:pPr>
              <w:ind w:left="280"/>
              <w:spacing w:after="0"/>
              <w:rPr>
                <w:sz w:val="20"/>
                <w:szCs w:val="20"/>
                <w:color w:val="auto"/>
              </w:rPr>
            </w:pPr>
            <w:r>
              <w:rPr>
                <w:rFonts w:ascii="Arial" w:cs="Arial" w:eastAsia="Arial" w:hAnsi="Arial"/>
                <w:sz w:val="18"/>
                <w:szCs w:val="18"/>
                <w:color w:val="auto"/>
              </w:rPr>
              <w:t>Defined Terms</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1.02.</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Interpretive Provisions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1.03.</w:t>
            </w:r>
          </w:p>
        </w:tc>
        <w:tc>
          <w:tcPr>
            <w:tcW w:w="7880" w:type="dxa"/>
            <w:vAlign w:val="bottom"/>
          </w:tcPr>
          <w:p>
            <w:pPr>
              <w:ind w:left="280"/>
              <w:spacing w:after="0"/>
              <w:rPr>
                <w:sz w:val="20"/>
                <w:szCs w:val="20"/>
                <w:color w:val="auto"/>
              </w:rPr>
            </w:pPr>
            <w:r>
              <w:rPr>
                <w:rFonts w:ascii="Arial" w:cs="Arial" w:eastAsia="Arial" w:hAnsi="Arial"/>
                <w:sz w:val="18"/>
                <w:szCs w:val="18"/>
                <w:color w:val="auto"/>
              </w:rPr>
              <w:t>Accounting Terms</w:t>
            </w:r>
          </w:p>
        </w:tc>
        <w:tc>
          <w:tcPr>
            <w:tcW w:w="2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1.04.</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Rounding</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1.05.</w:t>
            </w:r>
          </w:p>
        </w:tc>
        <w:tc>
          <w:tcPr>
            <w:tcW w:w="7880" w:type="dxa"/>
            <w:vAlign w:val="bottom"/>
          </w:tcPr>
          <w:p>
            <w:pPr>
              <w:ind w:left="280"/>
              <w:spacing w:after="0"/>
              <w:rPr>
                <w:sz w:val="20"/>
                <w:szCs w:val="20"/>
                <w:color w:val="auto"/>
              </w:rPr>
            </w:pPr>
            <w:r>
              <w:rPr>
                <w:rFonts w:ascii="Arial" w:cs="Arial" w:eastAsia="Arial" w:hAnsi="Arial"/>
                <w:sz w:val="18"/>
                <w:szCs w:val="18"/>
                <w:color w:val="auto"/>
              </w:rPr>
              <w:t>Times of Day</w:t>
            </w:r>
          </w:p>
        </w:tc>
        <w:tc>
          <w:tcPr>
            <w:tcW w:w="2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1.06.</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Assumption of Borrower Obligations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1280" w:type="dxa"/>
            <w:vAlign w:val="bottom"/>
            <w:gridSpan w:val="2"/>
          </w:tcPr>
          <w:p>
            <w:pPr>
              <w:spacing w:after="0"/>
              <w:rPr>
                <w:sz w:val="20"/>
                <w:szCs w:val="20"/>
                <w:color w:val="auto"/>
              </w:rPr>
            </w:pPr>
            <w:r>
              <w:rPr>
                <w:rFonts w:ascii="Arial" w:cs="Arial" w:eastAsia="Arial" w:hAnsi="Arial"/>
                <w:sz w:val="18"/>
                <w:szCs w:val="18"/>
                <w:color w:val="auto"/>
              </w:rPr>
              <w:t>ARTICLE II</w:t>
            </w:r>
          </w:p>
        </w:tc>
        <w:tc>
          <w:tcPr>
            <w:tcW w:w="7880" w:type="dxa"/>
            <w:vAlign w:val="bottom"/>
          </w:tcPr>
          <w:p>
            <w:pPr>
              <w:ind w:left="460"/>
              <w:spacing w:after="0"/>
              <w:rPr>
                <w:sz w:val="20"/>
                <w:szCs w:val="20"/>
                <w:color w:val="auto"/>
              </w:rPr>
            </w:pPr>
            <w:r>
              <w:rPr>
                <w:rFonts w:ascii="Arial" w:cs="Arial" w:eastAsia="Arial" w:hAnsi="Arial"/>
                <w:sz w:val="18"/>
                <w:szCs w:val="18"/>
                <w:color w:val="auto"/>
              </w:rPr>
              <w:t>THE COMMITMENTS AND CREDIT EXTENSIONS</w:t>
            </w:r>
          </w:p>
        </w:tc>
        <w:tc>
          <w:tcPr>
            <w:tcW w:w="2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6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2.01.</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Loans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2.02.</w:t>
            </w:r>
          </w:p>
        </w:tc>
        <w:tc>
          <w:tcPr>
            <w:tcW w:w="7880" w:type="dxa"/>
            <w:vAlign w:val="bottom"/>
          </w:tcPr>
          <w:p>
            <w:pPr>
              <w:ind w:left="280"/>
              <w:spacing w:after="0"/>
              <w:rPr>
                <w:sz w:val="20"/>
                <w:szCs w:val="20"/>
                <w:color w:val="auto"/>
              </w:rPr>
            </w:pPr>
            <w:r>
              <w:rPr>
                <w:rFonts w:ascii="Arial" w:cs="Arial" w:eastAsia="Arial" w:hAnsi="Arial"/>
                <w:sz w:val="18"/>
                <w:szCs w:val="18"/>
                <w:color w:val="auto"/>
              </w:rPr>
              <w:t>Borrowings, Conversions and Continuations of Loans</w:t>
            </w:r>
          </w:p>
        </w:tc>
        <w:tc>
          <w:tcPr>
            <w:tcW w:w="2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2.03.</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Prepayments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2.04.</w:t>
            </w:r>
          </w:p>
        </w:tc>
        <w:tc>
          <w:tcPr>
            <w:tcW w:w="7880" w:type="dxa"/>
            <w:vAlign w:val="bottom"/>
          </w:tcPr>
          <w:p>
            <w:pPr>
              <w:ind w:left="280"/>
              <w:spacing w:after="0"/>
              <w:rPr>
                <w:sz w:val="20"/>
                <w:szCs w:val="20"/>
                <w:color w:val="auto"/>
              </w:rPr>
            </w:pPr>
            <w:r>
              <w:rPr>
                <w:rFonts w:ascii="Arial" w:cs="Arial" w:eastAsia="Arial" w:hAnsi="Arial"/>
                <w:sz w:val="18"/>
                <w:szCs w:val="18"/>
                <w:color w:val="auto"/>
              </w:rPr>
              <w:t>Termination or Reduction of Commitments</w:t>
            </w:r>
          </w:p>
        </w:tc>
        <w:tc>
          <w:tcPr>
            <w:tcW w:w="2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2.05.</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Repayment of Loans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2.06.</w:t>
            </w:r>
          </w:p>
        </w:tc>
        <w:tc>
          <w:tcPr>
            <w:tcW w:w="7880" w:type="dxa"/>
            <w:vAlign w:val="bottom"/>
          </w:tcPr>
          <w:p>
            <w:pPr>
              <w:ind w:left="280"/>
              <w:spacing w:after="0"/>
              <w:rPr>
                <w:sz w:val="20"/>
                <w:szCs w:val="20"/>
                <w:color w:val="auto"/>
              </w:rPr>
            </w:pPr>
            <w:r>
              <w:rPr>
                <w:rFonts w:ascii="Arial" w:cs="Arial" w:eastAsia="Arial" w:hAnsi="Arial"/>
                <w:sz w:val="18"/>
                <w:szCs w:val="18"/>
                <w:color w:val="auto"/>
              </w:rPr>
              <w:t>Interest</w:t>
            </w:r>
          </w:p>
        </w:tc>
        <w:tc>
          <w:tcPr>
            <w:tcW w:w="2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2.07.</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Fees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2.08.</w:t>
            </w:r>
          </w:p>
        </w:tc>
        <w:tc>
          <w:tcPr>
            <w:tcW w:w="7880" w:type="dxa"/>
            <w:vAlign w:val="bottom"/>
          </w:tcPr>
          <w:p>
            <w:pPr>
              <w:ind w:left="28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2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2.09.</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Evidence of Debt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2.10.</w:t>
            </w:r>
          </w:p>
        </w:tc>
        <w:tc>
          <w:tcPr>
            <w:tcW w:w="7880" w:type="dxa"/>
            <w:vAlign w:val="bottom"/>
          </w:tcPr>
          <w:p>
            <w:pPr>
              <w:ind w:left="280"/>
              <w:spacing w:after="0"/>
              <w:rPr>
                <w:sz w:val="20"/>
                <w:szCs w:val="20"/>
                <w:color w:val="auto"/>
              </w:rPr>
            </w:pPr>
            <w:r>
              <w:rPr>
                <w:rFonts w:ascii="Arial" w:cs="Arial" w:eastAsia="Arial" w:hAnsi="Arial"/>
                <w:sz w:val="18"/>
                <w:szCs w:val="18"/>
                <w:color w:val="auto"/>
              </w:rPr>
              <w:t>Payments Generally</w:t>
            </w:r>
          </w:p>
        </w:tc>
        <w:tc>
          <w:tcPr>
            <w:tcW w:w="2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2.11.</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Sharing of Payments by Lenders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4"/>
        </w:trPr>
        <w:tc>
          <w:tcPr>
            <w:tcW w:w="1280" w:type="dxa"/>
            <w:vAlign w:val="bottom"/>
            <w:gridSpan w:val="2"/>
          </w:tcPr>
          <w:p>
            <w:pPr>
              <w:spacing w:after="0"/>
              <w:rPr>
                <w:sz w:val="20"/>
                <w:szCs w:val="20"/>
                <w:color w:val="auto"/>
              </w:rPr>
            </w:pPr>
            <w:r>
              <w:rPr>
                <w:rFonts w:ascii="Arial" w:cs="Arial" w:eastAsia="Arial" w:hAnsi="Arial"/>
                <w:sz w:val="18"/>
                <w:szCs w:val="18"/>
                <w:color w:val="auto"/>
              </w:rPr>
              <w:t>ARTICLE III</w:t>
            </w:r>
          </w:p>
        </w:tc>
        <w:tc>
          <w:tcPr>
            <w:tcW w:w="7880" w:type="dxa"/>
            <w:vAlign w:val="bottom"/>
          </w:tcPr>
          <w:p>
            <w:pPr>
              <w:ind w:left="460"/>
              <w:spacing w:after="0"/>
              <w:rPr>
                <w:sz w:val="20"/>
                <w:szCs w:val="20"/>
                <w:color w:val="auto"/>
              </w:rPr>
            </w:pPr>
            <w:r>
              <w:rPr>
                <w:rFonts w:ascii="Arial" w:cs="Arial" w:eastAsia="Arial" w:hAnsi="Arial"/>
                <w:sz w:val="18"/>
                <w:szCs w:val="18"/>
                <w:color w:val="auto"/>
              </w:rPr>
              <w:t>TAXES, YIELD PROTECTION AND ILLEGALITY</w:t>
            </w:r>
          </w:p>
        </w:tc>
        <w:tc>
          <w:tcPr>
            <w:tcW w:w="2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6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3.01.</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Taxes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3.02.</w:t>
            </w:r>
          </w:p>
        </w:tc>
        <w:tc>
          <w:tcPr>
            <w:tcW w:w="7880" w:type="dxa"/>
            <w:vAlign w:val="bottom"/>
          </w:tcPr>
          <w:p>
            <w:pPr>
              <w:ind w:left="280"/>
              <w:spacing w:after="0"/>
              <w:rPr>
                <w:sz w:val="20"/>
                <w:szCs w:val="20"/>
                <w:color w:val="auto"/>
              </w:rPr>
            </w:pPr>
            <w:r>
              <w:rPr>
                <w:rFonts w:ascii="Arial" w:cs="Arial" w:eastAsia="Arial" w:hAnsi="Arial"/>
                <w:sz w:val="18"/>
                <w:szCs w:val="18"/>
                <w:color w:val="auto"/>
              </w:rPr>
              <w:t>Illegality</w:t>
            </w:r>
          </w:p>
        </w:tc>
        <w:tc>
          <w:tcPr>
            <w:tcW w:w="2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3.03.</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Inability to Determine Rates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3.04.</w:t>
            </w:r>
          </w:p>
        </w:tc>
        <w:tc>
          <w:tcPr>
            <w:tcW w:w="7880" w:type="dxa"/>
            <w:vAlign w:val="bottom"/>
          </w:tcPr>
          <w:p>
            <w:pPr>
              <w:ind w:left="280"/>
              <w:spacing w:after="0"/>
              <w:rPr>
                <w:sz w:val="20"/>
                <w:szCs w:val="20"/>
                <w:color w:val="auto"/>
              </w:rPr>
            </w:pPr>
            <w:r>
              <w:rPr>
                <w:rFonts w:ascii="Arial" w:cs="Arial" w:eastAsia="Arial" w:hAnsi="Arial"/>
                <w:sz w:val="18"/>
                <w:szCs w:val="18"/>
                <w:color w:val="auto"/>
              </w:rPr>
              <w:t>Increased Costs; Reserves on Eurodollar Rate Loans</w:t>
            </w:r>
          </w:p>
        </w:tc>
        <w:tc>
          <w:tcPr>
            <w:tcW w:w="2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3.05.</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Compensation for Losses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3.06.</w:t>
            </w:r>
          </w:p>
        </w:tc>
        <w:tc>
          <w:tcPr>
            <w:tcW w:w="7880" w:type="dxa"/>
            <w:vAlign w:val="bottom"/>
          </w:tcPr>
          <w:p>
            <w:pPr>
              <w:ind w:left="280"/>
              <w:spacing w:after="0"/>
              <w:rPr>
                <w:sz w:val="20"/>
                <w:szCs w:val="20"/>
                <w:color w:val="auto"/>
              </w:rPr>
            </w:pPr>
            <w:r>
              <w:rPr>
                <w:rFonts w:ascii="Arial" w:cs="Arial" w:eastAsia="Arial" w:hAnsi="Arial"/>
                <w:sz w:val="18"/>
                <w:szCs w:val="18"/>
                <w:color w:val="auto"/>
              </w:rPr>
              <w:t>Mitigation Obligations; Replacement of Lenders</w:t>
            </w:r>
          </w:p>
        </w:tc>
        <w:tc>
          <w:tcPr>
            <w:tcW w:w="2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3.07.</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Survival</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4"/>
        </w:trPr>
        <w:tc>
          <w:tcPr>
            <w:tcW w:w="1280" w:type="dxa"/>
            <w:vAlign w:val="bottom"/>
            <w:gridSpan w:val="2"/>
          </w:tcPr>
          <w:p>
            <w:pPr>
              <w:spacing w:after="0"/>
              <w:rPr>
                <w:sz w:val="20"/>
                <w:szCs w:val="20"/>
                <w:color w:val="auto"/>
              </w:rPr>
            </w:pPr>
            <w:r>
              <w:rPr>
                <w:rFonts w:ascii="Arial" w:cs="Arial" w:eastAsia="Arial" w:hAnsi="Arial"/>
                <w:sz w:val="18"/>
                <w:szCs w:val="18"/>
                <w:color w:val="auto"/>
              </w:rPr>
              <w:t>ARTICLE IV</w:t>
            </w:r>
          </w:p>
        </w:tc>
        <w:tc>
          <w:tcPr>
            <w:tcW w:w="7880" w:type="dxa"/>
            <w:vAlign w:val="bottom"/>
          </w:tcPr>
          <w:p>
            <w:pPr>
              <w:ind w:left="460"/>
              <w:spacing w:after="0"/>
              <w:rPr>
                <w:sz w:val="20"/>
                <w:szCs w:val="20"/>
                <w:color w:val="auto"/>
              </w:rPr>
            </w:pPr>
            <w:r>
              <w:rPr>
                <w:rFonts w:ascii="Arial" w:cs="Arial" w:eastAsia="Arial" w:hAnsi="Arial"/>
                <w:sz w:val="18"/>
                <w:szCs w:val="18"/>
                <w:color w:val="auto"/>
              </w:rPr>
              <w:t>CONDITIONS PRECEDENT</w:t>
            </w:r>
          </w:p>
        </w:tc>
        <w:tc>
          <w:tcPr>
            <w:tcW w:w="2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6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4.01.</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Conditions to Effectiveness and Borrowing</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4.02.</w:t>
            </w:r>
          </w:p>
        </w:tc>
        <w:tc>
          <w:tcPr>
            <w:tcW w:w="7880" w:type="dxa"/>
            <w:vAlign w:val="bottom"/>
          </w:tcPr>
          <w:p>
            <w:pPr>
              <w:ind w:left="280"/>
              <w:spacing w:after="0"/>
              <w:rPr>
                <w:sz w:val="20"/>
                <w:szCs w:val="20"/>
                <w:color w:val="auto"/>
              </w:rPr>
            </w:pPr>
            <w:r>
              <w:rPr>
                <w:rFonts w:ascii="Arial" w:cs="Arial" w:eastAsia="Arial" w:hAnsi="Arial"/>
                <w:sz w:val="18"/>
                <w:szCs w:val="18"/>
                <w:color w:val="auto"/>
              </w:rPr>
              <w:t>Conditions to Assumption of Borrower Obligations</w:t>
            </w:r>
          </w:p>
        </w:tc>
        <w:tc>
          <w:tcPr>
            <w:tcW w:w="2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ARTICLE V</w:t>
            </w:r>
          </w:p>
        </w:tc>
        <w:tc>
          <w:tcPr>
            <w:tcW w:w="7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REPRESENTATIONS AND WARRANTIES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4"/>
        </w:trPr>
        <w:tc>
          <w:tcPr>
            <w:tcW w:w="1280" w:type="dxa"/>
            <w:vAlign w:val="bottom"/>
            <w:gridSpan w:val="2"/>
          </w:tcPr>
          <w:p>
            <w:pPr>
              <w:jc w:val="right"/>
              <w:ind w:right="470"/>
              <w:spacing w:after="0"/>
              <w:rPr>
                <w:sz w:val="20"/>
                <w:szCs w:val="20"/>
                <w:color w:val="auto"/>
              </w:rPr>
            </w:pPr>
            <w:r>
              <w:rPr>
                <w:rFonts w:ascii="Arial" w:cs="Arial" w:eastAsia="Arial" w:hAnsi="Arial"/>
                <w:sz w:val="18"/>
                <w:szCs w:val="18"/>
                <w:color w:val="auto"/>
              </w:rPr>
              <w:t>5.01.</w:t>
            </w:r>
          </w:p>
        </w:tc>
        <w:tc>
          <w:tcPr>
            <w:tcW w:w="7880" w:type="dxa"/>
            <w:vAlign w:val="bottom"/>
          </w:tcPr>
          <w:p>
            <w:pPr>
              <w:ind w:left="280"/>
              <w:spacing w:after="0"/>
              <w:rPr>
                <w:sz w:val="20"/>
                <w:szCs w:val="20"/>
                <w:color w:val="auto"/>
              </w:rPr>
            </w:pPr>
            <w:r>
              <w:rPr>
                <w:rFonts w:ascii="Arial" w:cs="Arial" w:eastAsia="Arial" w:hAnsi="Arial"/>
                <w:sz w:val="18"/>
                <w:szCs w:val="18"/>
                <w:color w:val="auto"/>
              </w:rPr>
              <w:t>Existence, Qualification and Power</w:t>
            </w:r>
          </w:p>
        </w:tc>
        <w:tc>
          <w:tcPr>
            <w:tcW w:w="2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5.02.</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Authorization; No Contravention</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5.03.</w:t>
            </w:r>
          </w:p>
        </w:tc>
        <w:tc>
          <w:tcPr>
            <w:tcW w:w="7880" w:type="dxa"/>
            <w:vAlign w:val="bottom"/>
          </w:tcPr>
          <w:p>
            <w:pPr>
              <w:ind w:left="280"/>
              <w:spacing w:after="0"/>
              <w:rPr>
                <w:sz w:val="20"/>
                <w:szCs w:val="20"/>
                <w:color w:val="auto"/>
              </w:rPr>
            </w:pPr>
            <w:r>
              <w:rPr>
                <w:rFonts w:ascii="Arial" w:cs="Arial" w:eastAsia="Arial" w:hAnsi="Arial"/>
                <w:sz w:val="18"/>
                <w:szCs w:val="18"/>
                <w:color w:val="auto"/>
              </w:rPr>
              <w:t>Governmental Authorization; Other Consents</w:t>
            </w:r>
          </w:p>
        </w:tc>
        <w:tc>
          <w:tcPr>
            <w:tcW w:w="2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5.04.</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Binding Effect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5.05.</w:t>
            </w:r>
          </w:p>
        </w:tc>
        <w:tc>
          <w:tcPr>
            <w:tcW w:w="7880" w:type="dxa"/>
            <w:vAlign w:val="bottom"/>
          </w:tcPr>
          <w:p>
            <w:pPr>
              <w:ind w:left="280"/>
              <w:spacing w:after="0"/>
              <w:rPr>
                <w:sz w:val="20"/>
                <w:szCs w:val="20"/>
                <w:color w:val="auto"/>
              </w:rPr>
            </w:pPr>
            <w:r>
              <w:rPr>
                <w:rFonts w:ascii="Arial" w:cs="Arial" w:eastAsia="Arial" w:hAnsi="Arial"/>
                <w:sz w:val="18"/>
                <w:szCs w:val="18"/>
                <w:color w:val="auto"/>
              </w:rPr>
              <w:t>Financial Statements; No Material Adverse Effect; Solvency</w:t>
            </w:r>
          </w:p>
        </w:tc>
        <w:tc>
          <w:tcPr>
            <w:tcW w:w="2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5.06.</w:t>
            </w:r>
          </w:p>
        </w:tc>
        <w:tc>
          <w:tcPr>
            <w:tcW w:w="7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Litigation</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5.07.</w:t>
            </w:r>
          </w:p>
        </w:tc>
        <w:tc>
          <w:tcPr>
            <w:tcW w:w="7880" w:type="dxa"/>
            <w:vAlign w:val="bottom"/>
          </w:tcPr>
          <w:p>
            <w:pPr>
              <w:ind w:left="280"/>
              <w:spacing w:after="0"/>
              <w:rPr>
                <w:sz w:val="20"/>
                <w:szCs w:val="20"/>
                <w:color w:val="auto"/>
              </w:rPr>
            </w:pPr>
            <w:r>
              <w:rPr>
                <w:rFonts w:ascii="Arial" w:cs="Arial" w:eastAsia="Arial" w:hAnsi="Arial"/>
                <w:sz w:val="18"/>
                <w:szCs w:val="18"/>
                <w:color w:val="auto"/>
              </w:rPr>
              <w:t>No Default</w:t>
            </w:r>
          </w:p>
        </w:tc>
        <w:tc>
          <w:tcPr>
            <w:tcW w:w="2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0" w:type="dxa"/>
            <w:vAlign w:val="bottom"/>
          </w:tcPr>
          <w:p>
            <w:pPr>
              <w:ind w:left="3300"/>
              <w:spacing w:after="0"/>
              <w:rPr>
                <w:sz w:val="20"/>
                <w:szCs w:val="20"/>
                <w:color w:val="auto"/>
              </w:rPr>
            </w:pPr>
            <w:r>
              <w:rPr>
                <w:rFonts w:ascii="Arial" w:cs="Arial" w:eastAsia="Arial" w:hAnsi="Arial"/>
                <w:sz w:val="18"/>
                <w:szCs w:val="18"/>
                <w:color w:val="auto"/>
              </w:rPr>
              <w:t>Table of Contents (continued)</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5.08.</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Ownership of Property; Liens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5.09.</w:t>
            </w:r>
          </w:p>
        </w:tc>
        <w:tc>
          <w:tcPr>
            <w:tcW w:w="7600" w:type="dxa"/>
            <w:vAlign w:val="bottom"/>
          </w:tcPr>
          <w:p>
            <w:pPr>
              <w:ind w:left="240"/>
              <w:spacing w:after="0"/>
              <w:rPr>
                <w:sz w:val="20"/>
                <w:szCs w:val="20"/>
                <w:color w:val="auto"/>
              </w:rPr>
            </w:pPr>
            <w:r>
              <w:rPr>
                <w:rFonts w:ascii="Arial" w:cs="Arial" w:eastAsia="Arial" w:hAnsi="Arial"/>
                <w:sz w:val="18"/>
                <w:szCs w:val="18"/>
                <w:color w:val="auto"/>
              </w:rPr>
              <w:t>Environmental Compliance</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5.10.</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Insurance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5.11.</w:t>
            </w:r>
          </w:p>
        </w:tc>
        <w:tc>
          <w:tcPr>
            <w:tcW w:w="7600" w:type="dxa"/>
            <w:vAlign w:val="bottom"/>
          </w:tcPr>
          <w:p>
            <w:pPr>
              <w:ind w:left="24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5.12.</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ERISA Compliance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5.13.</w:t>
            </w:r>
          </w:p>
        </w:tc>
        <w:tc>
          <w:tcPr>
            <w:tcW w:w="7600" w:type="dxa"/>
            <w:vAlign w:val="bottom"/>
          </w:tcPr>
          <w:p>
            <w:pPr>
              <w:ind w:left="240"/>
              <w:spacing w:after="0"/>
              <w:rPr>
                <w:sz w:val="20"/>
                <w:szCs w:val="20"/>
                <w:color w:val="auto"/>
              </w:rPr>
            </w:pPr>
            <w:r>
              <w:rPr>
                <w:rFonts w:ascii="Arial" w:cs="Arial" w:eastAsia="Arial" w:hAnsi="Arial"/>
                <w:sz w:val="18"/>
                <w:szCs w:val="18"/>
                <w:color w:val="auto"/>
              </w:rPr>
              <w:t>Subsidiaries</w:t>
            </w:r>
          </w:p>
        </w:tc>
        <w:tc>
          <w:tcPr>
            <w:tcW w:w="24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5.14.</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Margin Regulations; Investment Company Act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5.15.</w:t>
            </w:r>
          </w:p>
        </w:tc>
        <w:tc>
          <w:tcPr>
            <w:tcW w:w="7600" w:type="dxa"/>
            <w:vAlign w:val="bottom"/>
          </w:tcPr>
          <w:p>
            <w:pPr>
              <w:ind w:left="240"/>
              <w:spacing w:after="0"/>
              <w:rPr>
                <w:sz w:val="20"/>
                <w:szCs w:val="20"/>
                <w:color w:val="auto"/>
              </w:rPr>
            </w:pPr>
            <w:r>
              <w:rPr>
                <w:rFonts w:ascii="Arial" w:cs="Arial" w:eastAsia="Arial" w:hAnsi="Arial"/>
                <w:sz w:val="18"/>
                <w:szCs w:val="18"/>
                <w:color w:val="auto"/>
              </w:rPr>
              <w:t>Disclosure</w:t>
            </w:r>
          </w:p>
        </w:tc>
        <w:tc>
          <w:tcPr>
            <w:tcW w:w="24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5.16.</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Compliance with Laws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5.17.</w:t>
            </w:r>
          </w:p>
        </w:tc>
        <w:tc>
          <w:tcPr>
            <w:tcW w:w="7600" w:type="dxa"/>
            <w:vAlign w:val="bottom"/>
          </w:tcPr>
          <w:p>
            <w:pPr>
              <w:ind w:left="240"/>
              <w:spacing w:after="0"/>
              <w:rPr>
                <w:sz w:val="20"/>
                <w:szCs w:val="20"/>
                <w:color w:val="auto"/>
              </w:rPr>
            </w:pPr>
            <w:r>
              <w:rPr>
                <w:rFonts w:ascii="Arial" w:cs="Arial" w:eastAsia="Arial" w:hAnsi="Arial"/>
                <w:sz w:val="18"/>
                <w:szCs w:val="18"/>
                <w:color w:val="auto"/>
              </w:rPr>
              <w:t>Taxpayer Identification Number</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5.18.</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Intellectual Property; Licenses, Etc.</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5.19.</w:t>
            </w:r>
          </w:p>
        </w:tc>
        <w:tc>
          <w:tcPr>
            <w:tcW w:w="7600" w:type="dxa"/>
            <w:vAlign w:val="bottom"/>
          </w:tcPr>
          <w:p>
            <w:pPr>
              <w:ind w:left="240"/>
              <w:spacing w:after="0"/>
              <w:rPr>
                <w:sz w:val="20"/>
                <w:szCs w:val="20"/>
                <w:color w:val="auto"/>
              </w:rPr>
            </w:pPr>
            <w:r>
              <w:rPr>
                <w:rFonts w:ascii="Arial" w:cs="Arial" w:eastAsia="Arial" w:hAnsi="Arial"/>
                <w:sz w:val="18"/>
                <w:szCs w:val="18"/>
                <w:color w:val="auto"/>
              </w:rPr>
              <w:t>Sanctions</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5.20.</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Anti-Corruption Laws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ARTICLE VI</w:t>
            </w:r>
          </w:p>
        </w:tc>
        <w:tc>
          <w:tcPr>
            <w:tcW w:w="7600" w:type="dxa"/>
            <w:vAlign w:val="bottom"/>
          </w:tcPr>
          <w:p>
            <w:pPr>
              <w:ind w:left="420"/>
              <w:spacing w:after="0"/>
              <w:rPr>
                <w:sz w:val="20"/>
                <w:szCs w:val="20"/>
                <w:color w:val="auto"/>
              </w:rPr>
            </w:pPr>
            <w:r>
              <w:rPr>
                <w:rFonts w:ascii="Arial" w:cs="Arial" w:eastAsia="Arial" w:hAnsi="Arial"/>
                <w:sz w:val="18"/>
                <w:szCs w:val="18"/>
                <w:color w:val="auto"/>
              </w:rPr>
              <w:t>AFFIRMATIVE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3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6.01.</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Financial Statements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6.02.</w:t>
            </w:r>
          </w:p>
        </w:tc>
        <w:tc>
          <w:tcPr>
            <w:tcW w:w="7600" w:type="dxa"/>
            <w:vAlign w:val="bottom"/>
          </w:tcPr>
          <w:p>
            <w:pPr>
              <w:ind w:left="240"/>
              <w:spacing w:after="0"/>
              <w:rPr>
                <w:sz w:val="20"/>
                <w:szCs w:val="20"/>
                <w:color w:val="auto"/>
              </w:rPr>
            </w:pPr>
            <w:r>
              <w:rPr>
                <w:rFonts w:ascii="Arial" w:cs="Arial" w:eastAsia="Arial" w:hAnsi="Arial"/>
                <w:sz w:val="18"/>
                <w:szCs w:val="18"/>
                <w:color w:val="auto"/>
              </w:rPr>
              <w:t>Certificates; Other Information</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6.03.</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6.04.</w:t>
            </w:r>
          </w:p>
        </w:tc>
        <w:tc>
          <w:tcPr>
            <w:tcW w:w="7600" w:type="dxa"/>
            <w:vAlign w:val="bottom"/>
          </w:tcPr>
          <w:p>
            <w:pPr>
              <w:ind w:left="240"/>
              <w:spacing w:after="0"/>
              <w:rPr>
                <w:sz w:val="20"/>
                <w:szCs w:val="20"/>
                <w:color w:val="auto"/>
              </w:rPr>
            </w:pPr>
            <w:r>
              <w:rPr>
                <w:rFonts w:ascii="Arial" w:cs="Arial" w:eastAsia="Arial" w:hAnsi="Arial"/>
                <w:sz w:val="18"/>
                <w:szCs w:val="18"/>
                <w:color w:val="auto"/>
              </w:rPr>
              <w:t>Payment of Obligations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6.05.</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Preservation of Existence, Etc.</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6.06.</w:t>
            </w:r>
          </w:p>
        </w:tc>
        <w:tc>
          <w:tcPr>
            <w:tcW w:w="7600" w:type="dxa"/>
            <w:vAlign w:val="bottom"/>
          </w:tcPr>
          <w:p>
            <w:pPr>
              <w:ind w:left="240"/>
              <w:spacing w:after="0"/>
              <w:rPr>
                <w:sz w:val="20"/>
                <w:szCs w:val="20"/>
                <w:color w:val="auto"/>
              </w:rPr>
            </w:pPr>
            <w:r>
              <w:rPr>
                <w:rFonts w:ascii="Arial" w:cs="Arial" w:eastAsia="Arial" w:hAnsi="Arial"/>
                <w:sz w:val="18"/>
                <w:szCs w:val="18"/>
                <w:color w:val="auto"/>
              </w:rPr>
              <w:t>Maintenance of Properties</w:t>
            </w:r>
          </w:p>
        </w:tc>
        <w:tc>
          <w:tcPr>
            <w:tcW w:w="24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6.07.</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Maintenance of Insurance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6.08.</w:t>
            </w:r>
          </w:p>
        </w:tc>
        <w:tc>
          <w:tcPr>
            <w:tcW w:w="760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24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6.09.</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Books and Records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6.10.</w:t>
            </w:r>
          </w:p>
        </w:tc>
        <w:tc>
          <w:tcPr>
            <w:tcW w:w="7600" w:type="dxa"/>
            <w:vAlign w:val="bottom"/>
          </w:tcPr>
          <w:p>
            <w:pPr>
              <w:ind w:left="240"/>
              <w:spacing w:after="0"/>
              <w:rPr>
                <w:sz w:val="20"/>
                <w:szCs w:val="20"/>
                <w:color w:val="auto"/>
              </w:rPr>
            </w:pPr>
            <w:r>
              <w:rPr>
                <w:rFonts w:ascii="Arial" w:cs="Arial" w:eastAsia="Arial" w:hAnsi="Arial"/>
                <w:sz w:val="18"/>
                <w:szCs w:val="18"/>
                <w:color w:val="auto"/>
              </w:rPr>
              <w:t>Inspection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6.11.</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Use of Proceeds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6.12.</w:t>
            </w:r>
          </w:p>
        </w:tc>
        <w:tc>
          <w:tcPr>
            <w:tcW w:w="7600" w:type="dxa"/>
            <w:vAlign w:val="bottom"/>
          </w:tcPr>
          <w:p>
            <w:pPr>
              <w:ind w:left="240"/>
              <w:spacing w:after="0"/>
              <w:rPr>
                <w:sz w:val="20"/>
                <w:szCs w:val="20"/>
                <w:color w:val="auto"/>
              </w:rPr>
            </w:pPr>
            <w:r>
              <w:rPr>
                <w:rFonts w:ascii="Arial" w:cs="Arial" w:eastAsia="Arial" w:hAnsi="Arial"/>
                <w:sz w:val="18"/>
                <w:szCs w:val="18"/>
                <w:color w:val="auto"/>
              </w:rPr>
              <w:t>Anti-Corruption Laws</w:t>
            </w:r>
          </w:p>
        </w:tc>
        <w:tc>
          <w:tcPr>
            <w:tcW w:w="24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8"/>
              </w:rPr>
              <w:t>ARTICLE VII</w:t>
            </w: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NEGATIVE COVENANTS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1340" w:type="dxa"/>
            <w:vAlign w:val="bottom"/>
            <w:gridSpan w:val="2"/>
          </w:tcPr>
          <w:p>
            <w:pPr>
              <w:jc w:val="center"/>
              <w:ind w:right="170"/>
              <w:spacing w:after="0"/>
              <w:rPr>
                <w:sz w:val="20"/>
                <w:szCs w:val="20"/>
                <w:color w:val="auto"/>
              </w:rPr>
            </w:pPr>
            <w:r>
              <w:rPr>
                <w:rFonts w:ascii="Arial" w:cs="Arial" w:eastAsia="Arial" w:hAnsi="Arial"/>
                <w:sz w:val="18"/>
                <w:szCs w:val="18"/>
                <w:color w:val="auto"/>
                <w:w w:val="89"/>
              </w:rPr>
              <w:t>7.01.</w:t>
            </w:r>
          </w:p>
        </w:tc>
        <w:tc>
          <w:tcPr>
            <w:tcW w:w="7600" w:type="dxa"/>
            <w:vAlign w:val="bottom"/>
          </w:tcPr>
          <w:p>
            <w:pPr>
              <w:ind w:left="240"/>
              <w:spacing w:after="0"/>
              <w:rPr>
                <w:sz w:val="20"/>
                <w:szCs w:val="20"/>
                <w:color w:val="auto"/>
              </w:rPr>
            </w:pPr>
            <w:r>
              <w:rPr>
                <w:rFonts w:ascii="Arial" w:cs="Arial" w:eastAsia="Arial" w:hAnsi="Arial"/>
                <w:sz w:val="18"/>
                <w:szCs w:val="18"/>
                <w:color w:val="auto"/>
              </w:rPr>
              <w:t>Liens</w:t>
            </w:r>
          </w:p>
        </w:tc>
        <w:tc>
          <w:tcPr>
            <w:tcW w:w="24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7.02.</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Indebtedness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7.03.</w:t>
            </w:r>
          </w:p>
        </w:tc>
        <w:tc>
          <w:tcPr>
            <w:tcW w:w="7600" w:type="dxa"/>
            <w:vAlign w:val="bottom"/>
          </w:tcPr>
          <w:p>
            <w:pPr>
              <w:ind w:left="240"/>
              <w:spacing w:after="0"/>
              <w:rPr>
                <w:sz w:val="20"/>
                <w:szCs w:val="20"/>
                <w:color w:val="auto"/>
              </w:rPr>
            </w:pPr>
            <w:r>
              <w:rPr>
                <w:rFonts w:ascii="Arial" w:cs="Arial" w:eastAsia="Arial" w:hAnsi="Arial"/>
                <w:sz w:val="18"/>
                <w:szCs w:val="18"/>
                <w:color w:val="auto"/>
              </w:rPr>
              <w:t>Fundamental Changes</w:t>
            </w:r>
          </w:p>
        </w:tc>
        <w:tc>
          <w:tcPr>
            <w:tcW w:w="24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7.04.</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Dispositions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7.05.</w:t>
            </w:r>
          </w:p>
        </w:tc>
        <w:tc>
          <w:tcPr>
            <w:tcW w:w="760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24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7.06.</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Fiscal Year</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7.07.</w:t>
            </w:r>
          </w:p>
        </w:tc>
        <w:tc>
          <w:tcPr>
            <w:tcW w:w="7600" w:type="dxa"/>
            <w:vAlign w:val="bottom"/>
          </w:tcPr>
          <w:p>
            <w:pPr>
              <w:ind w:left="240"/>
              <w:spacing w:after="0"/>
              <w:rPr>
                <w:sz w:val="20"/>
                <w:szCs w:val="20"/>
                <w:color w:val="auto"/>
              </w:rPr>
            </w:pPr>
            <w:r>
              <w:rPr>
                <w:rFonts w:ascii="Arial" w:cs="Arial" w:eastAsia="Arial" w:hAnsi="Arial"/>
                <w:sz w:val="18"/>
                <w:szCs w:val="18"/>
                <w:color w:val="auto"/>
              </w:rPr>
              <w:t>[Reserved]</w:t>
            </w:r>
          </w:p>
        </w:tc>
        <w:tc>
          <w:tcPr>
            <w:tcW w:w="24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7.08.</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Sanctions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7.09.</w:t>
            </w:r>
          </w:p>
        </w:tc>
        <w:tc>
          <w:tcPr>
            <w:tcW w:w="7600" w:type="dxa"/>
            <w:vAlign w:val="bottom"/>
          </w:tcPr>
          <w:p>
            <w:pPr>
              <w:ind w:left="240"/>
              <w:spacing w:after="0"/>
              <w:rPr>
                <w:sz w:val="20"/>
                <w:szCs w:val="20"/>
                <w:color w:val="auto"/>
              </w:rPr>
            </w:pPr>
            <w:r>
              <w:rPr>
                <w:rFonts w:ascii="Arial" w:cs="Arial" w:eastAsia="Arial" w:hAnsi="Arial"/>
                <w:sz w:val="18"/>
                <w:szCs w:val="18"/>
                <w:color w:val="auto"/>
              </w:rPr>
              <w:t>Anti-Corruption Laws</w:t>
            </w:r>
          </w:p>
        </w:tc>
        <w:tc>
          <w:tcPr>
            <w:tcW w:w="24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ARTICLE VIII</w:t>
            </w: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EVENTS OF DEFAULT AND REMEDIES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24"/>
        </w:trPr>
        <w:tc>
          <w:tcPr>
            <w:tcW w:w="1340" w:type="dxa"/>
            <w:vAlign w:val="bottom"/>
            <w:gridSpan w:val="2"/>
          </w:tcPr>
          <w:p>
            <w:pPr>
              <w:jc w:val="center"/>
              <w:ind w:right="170"/>
              <w:spacing w:after="0"/>
              <w:rPr>
                <w:sz w:val="20"/>
                <w:szCs w:val="20"/>
                <w:color w:val="auto"/>
              </w:rPr>
            </w:pPr>
            <w:r>
              <w:rPr>
                <w:rFonts w:ascii="Arial" w:cs="Arial" w:eastAsia="Arial" w:hAnsi="Arial"/>
                <w:sz w:val="18"/>
                <w:szCs w:val="18"/>
                <w:color w:val="auto"/>
                <w:w w:val="89"/>
              </w:rPr>
              <w:t>8.01.</w:t>
            </w:r>
          </w:p>
        </w:tc>
        <w:tc>
          <w:tcPr>
            <w:tcW w:w="7600" w:type="dxa"/>
            <w:vAlign w:val="bottom"/>
          </w:tcPr>
          <w:p>
            <w:pPr>
              <w:ind w:left="240"/>
              <w:spacing w:after="0"/>
              <w:rPr>
                <w:sz w:val="20"/>
                <w:szCs w:val="20"/>
                <w:color w:val="auto"/>
              </w:rPr>
            </w:pPr>
            <w:r>
              <w:rPr>
                <w:rFonts w:ascii="Arial" w:cs="Arial" w:eastAsia="Arial" w:hAnsi="Arial"/>
                <w:sz w:val="18"/>
                <w:szCs w:val="18"/>
                <w:color w:val="auto"/>
              </w:rPr>
              <w:t>Events of Default</w:t>
            </w:r>
          </w:p>
        </w:tc>
        <w:tc>
          <w:tcPr>
            <w:tcW w:w="24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8.02.</w:t>
            </w:r>
          </w:p>
        </w:tc>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Remedies Upon Event of Default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89"/>
              </w:rPr>
              <w:t>8.03.</w:t>
            </w:r>
          </w:p>
        </w:tc>
        <w:tc>
          <w:tcPr>
            <w:tcW w:w="7600" w:type="dxa"/>
            <w:vAlign w:val="bottom"/>
          </w:tcPr>
          <w:p>
            <w:pPr>
              <w:ind w:left="240"/>
              <w:spacing w:after="0"/>
              <w:rPr>
                <w:sz w:val="20"/>
                <w:szCs w:val="20"/>
                <w:color w:val="auto"/>
              </w:rPr>
            </w:pPr>
            <w:r>
              <w:rPr>
                <w:rFonts w:ascii="Arial" w:cs="Arial" w:eastAsia="Arial" w:hAnsi="Arial"/>
                <w:sz w:val="18"/>
                <w:szCs w:val="18"/>
                <w:color w:val="auto"/>
              </w:rPr>
              <w:t>Application of Funds</w:t>
            </w:r>
          </w:p>
        </w:tc>
        <w:tc>
          <w:tcPr>
            <w:tcW w:w="24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60" w:type="dxa"/>
            <w:vAlign w:val="bottom"/>
          </w:tcPr>
          <w:p>
            <w:pPr>
              <w:ind w:left="3360"/>
              <w:spacing w:after="0"/>
              <w:rPr>
                <w:sz w:val="20"/>
                <w:szCs w:val="20"/>
                <w:color w:val="auto"/>
              </w:rPr>
            </w:pPr>
            <w:r>
              <w:rPr>
                <w:rFonts w:ascii="Arial" w:cs="Arial" w:eastAsia="Arial" w:hAnsi="Arial"/>
                <w:sz w:val="18"/>
                <w:szCs w:val="18"/>
                <w:color w:val="auto"/>
              </w:rPr>
              <w:t>Table of Contents (continued)</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ARTICLE IX</w:t>
            </w:r>
          </w:p>
        </w:tc>
        <w:tc>
          <w:tcPr>
            <w:tcW w:w="7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ADMINISTRATIVE AGENT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24"/>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9.01.</w:t>
            </w:r>
          </w:p>
        </w:tc>
        <w:tc>
          <w:tcPr>
            <w:tcW w:w="7660" w:type="dxa"/>
            <w:vAlign w:val="bottom"/>
          </w:tcPr>
          <w:p>
            <w:pPr>
              <w:ind w:left="300"/>
              <w:spacing w:after="0"/>
              <w:rPr>
                <w:sz w:val="20"/>
                <w:szCs w:val="20"/>
                <w:color w:val="auto"/>
              </w:rPr>
            </w:pPr>
            <w:r>
              <w:rPr>
                <w:rFonts w:ascii="Arial" w:cs="Arial" w:eastAsia="Arial" w:hAnsi="Arial"/>
                <w:sz w:val="18"/>
                <w:szCs w:val="18"/>
                <w:color w:val="auto"/>
              </w:rPr>
              <w:t>Appointment and Authority</w:t>
            </w:r>
          </w:p>
        </w:tc>
        <w:tc>
          <w:tcPr>
            <w:tcW w:w="24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9.02.</w:t>
            </w:r>
          </w:p>
        </w:tc>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Rights as a Lender</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rPr>
              <w:t>9.03.</w:t>
            </w:r>
          </w:p>
        </w:tc>
        <w:tc>
          <w:tcPr>
            <w:tcW w:w="7660" w:type="dxa"/>
            <w:vAlign w:val="bottom"/>
          </w:tcPr>
          <w:p>
            <w:pPr>
              <w:ind w:left="300"/>
              <w:spacing w:after="0"/>
              <w:rPr>
                <w:sz w:val="20"/>
                <w:szCs w:val="20"/>
                <w:color w:val="auto"/>
              </w:rPr>
            </w:pPr>
            <w:r>
              <w:rPr>
                <w:rFonts w:ascii="Arial" w:cs="Arial" w:eastAsia="Arial" w:hAnsi="Arial"/>
                <w:sz w:val="18"/>
                <w:szCs w:val="18"/>
                <w:color w:val="auto"/>
              </w:rPr>
              <w:t>Exculpatory Provisions</w:t>
            </w:r>
          </w:p>
        </w:tc>
        <w:tc>
          <w:tcPr>
            <w:tcW w:w="24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9.04.</w:t>
            </w:r>
          </w:p>
        </w:tc>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Reliance by Administrative Agent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rPr>
              <w:t>9.05.</w:t>
            </w:r>
          </w:p>
        </w:tc>
        <w:tc>
          <w:tcPr>
            <w:tcW w:w="7660" w:type="dxa"/>
            <w:vAlign w:val="bottom"/>
          </w:tcPr>
          <w:p>
            <w:pPr>
              <w:ind w:left="300"/>
              <w:spacing w:after="0"/>
              <w:rPr>
                <w:sz w:val="20"/>
                <w:szCs w:val="20"/>
                <w:color w:val="auto"/>
              </w:rPr>
            </w:pPr>
            <w:r>
              <w:rPr>
                <w:rFonts w:ascii="Arial" w:cs="Arial" w:eastAsia="Arial" w:hAnsi="Arial"/>
                <w:sz w:val="18"/>
                <w:szCs w:val="18"/>
                <w:color w:val="auto"/>
              </w:rPr>
              <w:t>Delegation of Duties</w:t>
            </w:r>
          </w:p>
        </w:tc>
        <w:tc>
          <w:tcPr>
            <w:tcW w:w="24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9.06.</w:t>
            </w:r>
          </w:p>
        </w:tc>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Resignation of Administrative Agent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rPr>
              <w:t>9.07.</w:t>
            </w:r>
          </w:p>
        </w:tc>
        <w:tc>
          <w:tcPr>
            <w:tcW w:w="7660" w:type="dxa"/>
            <w:vAlign w:val="bottom"/>
          </w:tcPr>
          <w:p>
            <w:pPr>
              <w:ind w:left="300"/>
              <w:spacing w:after="0"/>
              <w:rPr>
                <w:sz w:val="20"/>
                <w:szCs w:val="20"/>
                <w:color w:val="auto"/>
              </w:rPr>
            </w:pPr>
            <w:r>
              <w:rPr>
                <w:rFonts w:ascii="Arial" w:cs="Arial" w:eastAsia="Arial" w:hAnsi="Arial"/>
                <w:sz w:val="18"/>
                <w:szCs w:val="18"/>
                <w:color w:val="auto"/>
              </w:rPr>
              <w:t>Non-Reliance on Administrative Agent and Other Lenders</w:t>
            </w:r>
          </w:p>
        </w:tc>
        <w:tc>
          <w:tcPr>
            <w:tcW w:w="24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9.08.</w:t>
            </w:r>
          </w:p>
        </w:tc>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 Other Duties, Etc.</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rPr>
              <w:t>9.09.</w:t>
            </w:r>
          </w:p>
        </w:tc>
        <w:tc>
          <w:tcPr>
            <w:tcW w:w="7660" w:type="dxa"/>
            <w:vAlign w:val="bottom"/>
          </w:tcPr>
          <w:p>
            <w:pPr>
              <w:ind w:left="300"/>
              <w:spacing w:after="0"/>
              <w:rPr>
                <w:sz w:val="20"/>
                <w:szCs w:val="20"/>
                <w:color w:val="auto"/>
              </w:rPr>
            </w:pPr>
            <w:r>
              <w:rPr>
                <w:rFonts w:ascii="Arial" w:cs="Arial" w:eastAsia="Arial" w:hAnsi="Arial"/>
                <w:sz w:val="18"/>
                <w:szCs w:val="18"/>
                <w:color w:val="auto"/>
              </w:rPr>
              <w:t>Administrative Agent May File Proofs of Claim</w:t>
            </w:r>
          </w:p>
        </w:tc>
        <w:tc>
          <w:tcPr>
            <w:tcW w:w="24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ARTICLE X</w:t>
            </w:r>
          </w:p>
        </w:tc>
        <w:tc>
          <w:tcPr>
            <w:tcW w:w="7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MISCELLANEOUS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10.01.</w:t>
            </w:r>
          </w:p>
        </w:tc>
        <w:tc>
          <w:tcPr>
            <w:tcW w:w="7660" w:type="dxa"/>
            <w:vAlign w:val="bottom"/>
          </w:tcPr>
          <w:p>
            <w:pPr>
              <w:ind w:left="300"/>
              <w:spacing w:after="0"/>
              <w:rPr>
                <w:sz w:val="20"/>
                <w:szCs w:val="20"/>
                <w:color w:val="auto"/>
              </w:rPr>
            </w:pPr>
            <w:r>
              <w:rPr>
                <w:rFonts w:ascii="Arial" w:cs="Arial" w:eastAsia="Arial" w:hAnsi="Arial"/>
                <w:sz w:val="18"/>
                <w:szCs w:val="18"/>
                <w:color w:val="auto"/>
              </w:rPr>
              <w:t>Amendments, Etc.</w:t>
            </w:r>
          </w:p>
        </w:tc>
        <w:tc>
          <w:tcPr>
            <w:tcW w:w="24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10.02.</w:t>
            </w:r>
          </w:p>
        </w:tc>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Notices; Effectiveness; Electronic Communication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rPr>
              <w:t>10.03.</w:t>
            </w:r>
          </w:p>
        </w:tc>
        <w:tc>
          <w:tcPr>
            <w:tcW w:w="7660" w:type="dxa"/>
            <w:vAlign w:val="bottom"/>
          </w:tcPr>
          <w:p>
            <w:pPr>
              <w:ind w:left="300"/>
              <w:spacing w:after="0"/>
              <w:rPr>
                <w:sz w:val="20"/>
                <w:szCs w:val="20"/>
                <w:color w:val="auto"/>
              </w:rPr>
            </w:pPr>
            <w:r>
              <w:rPr>
                <w:rFonts w:ascii="Arial" w:cs="Arial" w:eastAsia="Arial" w:hAnsi="Arial"/>
                <w:sz w:val="18"/>
                <w:szCs w:val="18"/>
                <w:color w:val="auto"/>
              </w:rPr>
              <w:t>No Waiver; Cumulative Remedies; Enforcement</w:t>
            </w:r>
          </w:p>
        </w:tc>
        <w:tc>
          <w:tcPr>
            <w:tcW w:w="24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10.04.</w:t>
            </w:r>
          </w:p>
        </w:tc>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Expenses; Indemnity; Damage Waiver</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rPr>
              <w:t>10.05.</w:t>
            </w:r>
          </w:p>
        </w:tc>
        <w:tc>
          <w:tcPr>
            <w:tcW w:w="7660" w:type="dxa"/>
            <w:vAlign w:val="bottom"/>
          </w:tcPr>
          <w:p>
            <w:pPr>
              <w:ind w:left="300"/>
              <w:spacing w:after="0"/>
              <w:rPr>
                <w:sz w:val="20"/>
                <w:szCs w:val="20"/>
                <w:color w:val="auto"/>
              </w:rPr>
            </w:pPr>
            <w:r>
              <w:rPr>
                <w:rFonts w:ascii="Arial" w:cs="Arial" w:eastAsia="Arial" w:hAnsi="Arial"/>
                <w:sz w:val="18"/>
                <w:szCs w:val="18"/>
                <w:color w:val="auto"/>
              </w:rPr>
              <w:t>Payments Set Aside</w:t>
            </w:r>
          </w:p>
        </w:tc>
        <w:tc>
          <w:tcPr>
            <w:tcW w:w="24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10.06.</w:t>
            </w:r>
          </w:p>
        </w:tc>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Successors and Assigns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rPr>
              <w:t>10.07.</w:t>
            </w:r>
          </w:p>
        </w:tc>
        <w:tc>
          <w:tcPr>
            <w:tcW w:w="7660" w:type="dxa"/>
            <w:vAlign w:val="bottom"/>
          </w:tcPr>
          <w:p>
            <w:pPr>
              <w:ind w:left="300"/>
              <w:spacing w:after="0"/>
              <w:rPr>
                <w:sz w:val="20"/>
                <w:szCs w:val="20"/>
                <w:color w:val="auto"/>
              </w:rPr>
            </w:pPr>
            <w:r>
              <w:rPr>
                <w:rFonts w:ascii="Arial" w:cs="Arial" w:eastAsia="Arial" w:hAnsi="Arial"/>
                <w:sz w:val="18"/>
                <w:szCs w:val="18"/>
                <w:color w:val="auto"/>
              </w:rPr>
              <w:t>Treatment of Certain Information; Confidentiality</w:t>
            </w:r>
          </w:p>
        </w:tc>
        <w:tc>
          <w:tcPr>
            <w:tcW w:w="24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10.08.</w:t>
            </w:r>
          </w:p>
        </w:tc>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Right of Setoff</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rPr>
              <w:t>10.09.</w:t>
            </w:r>
          </w:p>
        </w:tc>
        <w:tc>
          <w:tcPr>
            <w:tcW w:w="7660" w:type="dxa"/>
            <w:vAlign w:val="bottom"/>
          </w:tcPr>
          <w:p>
            <w:pPr>
              <w:ind w:left="300"/>
              <w:spacing w:after="0"/>
              <w:rPr>
                <w:sz w:val="20"/>
                <w:szCs w:val="20"/>
                <w:color w:val="auto"/>
              </w:rPr>
            </w:pPr>
            <w:r>
              <w:rPr>
                <w:rFonts w:ascii="Arial" w:cs="Arial" w:eastAsia="Arial" w:hAnsi="Arial"/>
                <w:sz w:val="18"/>
                <w:szCs w:val="18"/>
                <w:color w:val="auto"/>
              </w:rPr>
              <w:t>Interest Rate Limitation</w:t>
            </w:r>
          </w:p>
        </w:tc>
        <w:tc>
          <w:tcPr>
            <w:tcW w:w="24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10.10.</w:t>
            </w:r>
          </w:p>
        </w:tc>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Counterparts; Integration; Effectiveness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rPr>
              <w:t>10.11.</w:t>
            </w:r>
          </w:p>
        </w:tc>
        <w:tc>
          <w:tcPr>
            <w:tcW w:w="7660" w:type="dxa"/>
            <w:vAlign w:val="bottom"/>
          </w:tcPr>
          <w:p>
            <w:pPr>
              <w:ind w:left="300"/>
              <w:spacing w:after="0"/>
              <w:rPr>
                <w:sz w:val="20"/>
                <w:szCs w:val="20"/>
                <w:color w:val="auto"/>
              </w:rPr>
            </w:pPr>
            <w:r>
              <w:rPr>
                <w:rFonts w:ascii="Arial" w:cs="Arial" w:eastAsia="Arial" w:hAnsi="Arial"/>
                <w:sz w:val="18"/>
                <w:szCs w:val="18"/>
                <w:color w:val="auto"/>
              </w:rPr>
              <w:t>Survival of Representations and Warranties</w:t>
            </w:r>
          </w:p>
        </w:tc>
        <w:tc>
          <w:tcPr>
            <w:tcW w:w="24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10.12.</w:t>
            </w:r>
          </w:p>
        </w:tc>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Severability</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rPr>
              <w:t>10.13.</w:t>
            </w:r>
          </w:p>
        </w:tc>
        <w:tc>
          <w:tcPr>
            <w:tcW w:w="7660" w:type="dxa"/>
            <w:vAlign w:val="bottom"/>
          </w:tcPr>
          <w:p>
            <w:pPr>
              <w:ind w:left="300"/>
              <w:spacing w:after="0"/>
              <w:rPr>
                <w:sz w:val="20"/>
                <w:szCs w:val="20"/>
                <w:color w:val="auto"/>
              </w:rPr>
            </w:pPr>
            <w:r>
              <w:rPr>
                <w:rFonts w:ascii="Arial" w:cs="Arial" w:eastAsia="Arial" w:hAnsi="Arial"/>
                <w:sz w:val="18"/>
                <w:szCs w:val="18"/>
                <w:color w:val="auto"/>
              </w:rPr>
              <w:t>Replacement of Lenders</w:t>
            </w:r>
          </w:p>
        </w:tc>
        <w:tc>
          <w:tcPr>
            <w:tcW w:w="24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10.14.</w:t>
            </w:r>
          </w:p>
        </w:tc>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Governing Law; Jurisdiction; Etc.</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rPr>
              <w:t>10.15.</w:t>
            </w:r>
          </w:p>
        </w:tc>
        <w:tc>
          <w:tcPr>
            <w:tcW w:w="7660" w:type="dxa"/>
            <w:vAlign w:val="bottom"/>
          </w:tcPr>
          <w:p>
            <w:pPr>
              <w:ind w:left="300"/>
              <w:spacing w:after="0"/>
              <w:rPr>
                <w:sz w:val="20"/>
                <w:szCs w:val="20"/>
                <w:color w:val="auto"/>
              </w:rPr>
            </w:pPr>
            <w:r>
              <w:rPr>
                <w:rFonts w:ascii="Arial" w:cs="Arial" w:eastAsia="Arial" w:hAnsi="Arial"/>
                <w:sz w:val="18"/>
                <w:szCs w:val="18"/>
                <w:color w:val="auto"/>
              </w:rPr>
              <w:t>Waiver of Jury Trial</w:t>
            </w:r>
          </w:p>
        </w:tc>
        <w:tc>
          <w:tcPr>
            <w:tcW w:w="24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10.16.</w:t>
            </w:r>
          </w:p>
        </w:tc>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 Advisory or Fiduciary Responsibility</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rPr>
              <w:t>10.17.</w:t>
            </w:r>
          </w:p>
        </w:tc>
        <w:tc>
          <w:tcPr>
            <w:tcW w:w="7660" w:type="dxa"/>
            <w:vAlign w:val="bottom"/>
          </w:tcPr>
          <w:p>
            <w:pPr>
              <w:ind w:left="300"/>
              <w:spacing w:after="0"/>
              <w:rPr>
                <w:sz w:val="20"/>
                <w:szCs w:val="20"/>
                <w:color w:val="auto"/>
              </w:rPr>
            </w:pPr>
            <w:r>
              <w:rPr>
                <w:rFonts w:ascii="Arial" w:cs="Arial" w:eastAsia="Arial" w:hAnsi="Arial"/>
                <w:sz w:val="18"/>
                <w:szCs w:val="18"/>
                <w:color w:val="auto"/>
              </w:rPr>
              <w:t>Electronic Execution of Assignments and Certain Other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10.18.</w:t>
            </w:r>
          </w:p>
        </w:tc>
        <w:tc>
          <w:tcPr>
            <w:tcW w:w="7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USA PATRIOT ACT NOTICE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rPr>
              <w:t>10.19.</w:t>
            </w:r>
          </w:p>
        </w:tc>
        <w:tc>
          <w:tcPr>
            <w:tcW w:w="7660" w:type="dxa"/>
            <w:vAlign w:val="bottom"/>
          </w:tcPr>
          <w:p>
            <w:pPr>
              <w:ind w:left="30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4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SCHEDULES</w:t>
            </w:r>
          </w:p>
        </w:tc>
        <w:tc>
          <w:tcPr>
            <w:tcW w:w="4720" w:type="dxa"/>
            <w:vAlign w:val="bottom"/>
          </w:tcPr>
          <w:p>
            <w:pPr>
              <w:spacing w:after="0"/>
              <w:rPr>
                <w:sz w:val="20"/>
                <w:szCs w:val="20"/>
                <w:color w:val="auto"/>
              </w:rPr>
            </w:pPr>
          </w:p>
        </w:tc>
      </w:tr>
      <w:tr>
        <w:trPr>
          <w:trHeight w:val="310"/>
        </w:trPr>
        <w:tc>
          <w:tcPr>
            <w:tcW w:w="1340" w:type="dxa"/>
            <w:vAlign w:val="bottom"/>
          </w:tcPr>
          <w:p>
            <w:pPr>
              <w:ind w:left="360"/>
              <w:spacing w:after="0"/>
              <w:rPr>
                <w:sz w:val="20"/>
                <w:szCs w:val="20"/>
                <w:color w:val="auto"/>
              </w:rPr>
            </w:pPr>
            <w:r>
              <w:rPr>
                <w:rFonts w:ascii="Arial" w:cs="Arial" w:eastAsia="Arial" w:hAnsi="Arial"/>
                <w:sz w:val="18"/>
                <w:szCs w:val="18"/>
                <w:color w:val="auto"/>
              </w:rPr>
              <w:t>1.01</w:t>
            </w:r>
          </w:p>
        </w:tc>
        <w:tc>
          <w:tcPr>
            <w:tcW w:w="4720" w:type="dxa"/>
            <w:vAlign w:val="bottom"/>
          </w:tcPr>
          <w:p>
            <w:pPr>
              <w:ind w:left="280"/>
              <w:spacing w:after="0"/>
              <w:rPr>
                <w:sz w:val="20"/>
                <w:szCs w:val="20"/>
                <w:color w:val="auto"/>
              </w:rPr>
            </w:pPr>
            <w:r>
              <w:rPr>
                <w:rFonts w:ascii="Arial" w:cs="Arial" w:eastAsia="Arial" w:hAnsi="Arial"/>
                <w:sz w:val="18"/>
                <w:szCs w:val="18"/>
                <w:color w:val="auto"/>
              </w:rPr>
              <w:t>Consolidated EBITDA Add-backs</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2.01</w:t>
            </w:r>
          </w:p>
        </w:tc>
        <w:tc>
          <w:tcPr>
            <w:tcW w:w="4720" w:type="dxa"/>
            <w:vAlign w:val="bottom"/>
          </w:tcPr>
          <w:p>
            <w:pPr>
              <w:ind w:left="280"/>
              <w:spacing w:after="0"/>
              <w:rPr>
                <w:sz w:val="20"/>
                <w:szCs w:val="20"/>
                <w:color w:val="auto"/>
              </w:rPr>
            </w:pPr>
            <w:r>
              <w:rPr>
                <w:rFonts w:ascii="Arial" w:cs="Arial" w:eastAsia="Arial" w:hAnsi="Arial"/>
                <w:sz w:val="18"/>
                <w:szCs w:val="18"/>
                <w:color w:val="auto"/>
              </w:rPr>
              <w:t>Commitments</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5.13</w:t>
            </w:r>
          </w:p>
        </w:tc>
        <w:tc>
          <w:tcPr>
            <w:tcW w:w="4720" w:type="dxa"/>
            <w:vAlign w:val="bottom"/>
          </w:tcPr>
          <w:p>
            <w:pPr>
              <w:ind w:left="280"/>
              <w:spacing w:after="0"/>
              <w:rPr>
                <w:sz w:val="20"/>
                <w:szCs w:val="20"/>
                <w:color w:val="auto"/>
              </w:rPr>
            </w:pPr>
            <w:r>
              <w:rPr>
                <w:rFonts w:ascii="Arial" w:cs="Arial" w:eastAsia="Arial" w:hAnsi="Arial"/>
                <w:sz w:val="18"/>
                <w:szCs w:val="18"/>
                <w:color w:val="auto"/>
              </w:rPr>
              <w:t>Material Subsidiaries</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5.17</w:t>
            </w:r>
          </w:p>
        </w:tc>
        <w:tc>
          <w:tcPr>
            <w:tcW w:w="4720" w:type="dxa"/>
            <w:vAlign w:val="bottom"/>
          </w:tcPr>
          <w:p>
            <w:pPr>
              <w:ind w:left="280"/>
              <w:spacing w:after="0"/>
              <w:rPr>
                <w:sz w:val="20"/>
                <w:szCs w:val="20"/>
                <w:color w:val="auto"/>
              </w:rPr>
            </w:pPr>
            <w:r>
              <w:rPr>
                <w:rFonts w:ascii="Arial" w:cs="Arial" w:eastAsia="Arial" w:hAnsi="Arial"/>
                <w:sz w:val="18"/>
                <w:szCs w:val="18"/>
                <w:color w:val="auto"/>
              </w:rPr>
              <w:t>Taxpayer Identification Number</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7.01</w:t>
            </w:r>
          </w:p>
        </w:tc>
        <w:tc>
          <w:tcPr>
            <w:tcW w:w="4720" w:type="dxa"/>
            <w:vAlign w:val="bottom"/>
          </w:tcPr>
          <w:p>
            <w:pPr>
              <w:ind w:left="280"/>
              <w:spacing w:after="0"/>
              <w:rPr>
                <w:sz w:val="20"/>
                <w:szCs w:val="20"/>
                <w:color w:val="auto"/>
              </w:rPr>
            </w:pPr>
            <w:r>
              <w:rPr>
                <w:rFonts w:ascii="Arial" w:cs="Arial" w:eastAsia="Arial" w:hAnsi="Arial"/>
                <w:sz w:val="18"/>
                <w:szCs w:val="18"/>
                <w:color w:val="auto"/>
              </w:rPr>
              <w:t>Liens</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7.02</w:t>
            </w:r>
          </w:p>
        </w:tc>
        <w:tc>
          <w:tcPr>
            <w:tcW w:w="4720" w:type="dxa"/>
            <w:vAlign w:val="bottom"/>
          </w:tcPr>
          <w:p>
            <w:pPr>
              <w:ind w:left="280"/>
              <w:spacing w:after="0"/>
              <w:rPr>
                <w:sz w:val="20"/>
                <w:szCs w:val="20"/>
                <w:color w:val="auto"/>
              </w:rPr>
            </w:pPr>
            <w:r>
              <w:rPr>
                <w:rFonts w:ascii="Arial" w:cs="Arial" w:eastAsia="Arial" w:hAnsi="Arial"/>
                <w:sz w:val="18"/>
                <w:szCs w:val="18"/>
                <w:color w:val="auto"/>
              </w:rPr>
              <w:t>Indebtedness</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10.02</w:t>
            </w:r>
          </w:p>
        </w:tc>
        <w:tc>
          <w:tcPr>
            <w:tcW w:w="4720" w:type="dxa"/>
            <w:vAlign w:val="bottom"/>
          </w:tcPr>
          <w:p>
            <w:pPr>
              <w:ind w:left="280"/>
              <w:spacing w:after="0"/>
              <w:rPr>
                <w:sz w:val="20"/>
                <w:szCs w:val="20"/>
                <w:color w:val="auto"/>
              </w:rPr>
            </w:pPr>
            <w:r>
              <w:rPr>
                <w:rFonts w:ascii="Arial" w:cs="Arial" w:eastAsia="Arial" w:hAnsi="Arial"/>
                <w:sz w:val="18"/>
                <w:szCs w:val="18"/>
                <w:color w:val="auto"/>
                <w:w w:val="92"/>
              </w:rPr>
              <w:t>Administrative Agent’s Office; Certain Addresses for Notices</w:t>
            </w:r>
          </w:p>
        </w:tc>
      </w:tr>
      <w:tr>
        <w:trPr>
          <w:trHeight w:val="540"/>
        </w:trPr>
        <w:tc>
          <w:tcPr>
            <w:tcW w:w="1340" w:type="dxa"/>
            <w:vAlign w:val="bottom"/>
          </w:tcPr>
          <w:p>
            <w:pPr>
              <w:spacing w:after="0"/>
              <w:rPr>
                <w:sz w:val="20"/>
                <w:szCs w:val="20"/>
                <w:color w:val="auto"/>
              </w:rPr>
            </w:pPr>
            <w:r>
              <w:rPr>
                <w:rFonts w:ascii="Arial" w:cs="Arial" w:eastAsia="Arial" w:hAnsi="Arial"/>
                <w:sz w:val="18"/>
                <w:szCs w:val="18"/>
                <w:color w:val="auto"/>
              </w:rPr>
              <w:t>EXHIBITS</w:t>
            </w:r>
          </w:p>
        </w:tc>
        <w:tc>
          <w:tcPr>
            <w:tcW w:w="472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4720" w:type="dxa"/>
            <w:vAlign w:val="bottom"/>
          </w:tcPr>
          <w:p>
            <w:pPr>
              <w:ind w:left="280"/>
              <w:spacing w:after="0"/>
              <w:rPr>
                <w:sz w:val="20"/>
                <w:szCs w:val="20"/>
                <w:color w:val="auto"/>
              </w:rPr>
            </w:pPr>
            <w:r>
              <w:rPr>
                <w:rFonts w:ascii="Arial" w:cs="Arial" w:eastAsia="Arial" w:hAnsi="Arial"/>
                <w:sz w:val="18"/>
                <w:szCs w:val="18"/>
                <w:i w:val="1"/>
                <w:iCs w:val="1"/>
                <w:color w:val="auto"/>
              </w:rPr>
              <w:t>Form of</w:t>
            </w:r>
          </w:p>
        </w:tc>
      </w:tr>
      <w:tr>
        <w:trPr>
          <w:trHeight w:val="310"/>
        </w:trPr>
        <w:tc>
          <w:tcPr>
            <w:tcW w:w="1340" w:type="dxa"/>
            <w:vAlign w:val="bottom"/>
          </w:tcPr>
          <w:p>
            <w:pPr>
              <w:ind w:left="360"/>
              <w:spacing w:after="0"/>
              <w:rPr>
                <w:sz w:val="20"/>
                <w:szCs w:val="20"/>
                <w:color w:val="auto"/>
              </w:rPr>
            </w:pPr>
            <w:r>
              <w:rPr>
                <w:rFonts w:ascii="Arial" w:cs="Arial" w:eastAsia="Arial" w:hAnsi="Arial"/>
                <w:sz w:val="18"/>
                <w:szCs w:val="18"/>
                <w:color w:val="auto"/>
              </w:rPr>
              <w:t>1.01</w:t>
            </w:r>
          </w:p>
        </w:tc>
        <w:tc>
          <w:tcPr>
            <w:tcW w:w="4720" w:type="dxa"/>
            <w:vAlign w:val="bottom"/>
          </w:tcPr>
          <w:p>
            <w:pPr>
              <w:ind w:left="280"/>
              <w:spacing w:after="0"/>
              <w:rPr>
                <w:sz w:val="20"/>
                <w:szCs w:val="20"/>
                <w:color w:val="auto"/>
              </w:rPr>
            </w:pPr>
            <w:r>
              <w:rPr>
                <w:rFonts w:ascii="Arial" w:cs="Arial" w:eastAsia="Arial" w:hAnsi="Arial"/>
                <w:sz w:val="18"/>
                <w:szCs w:val="18"/>
                <w:color w:val="auto"/>
              </w:rPr>
              <w:t>Assumption, Release and Guarantee Agreement</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2.02</w:t>
            </w:r>
          </w:p>
        </w:tc>
        <w:tc>
          <w:tcPr>
            <w:tcW w:w="4720" w:type="dxa"/>
            <w:vAlign w:val="bottom"/>
          </w:tcPr>
          <w:p>
            <w:pPr>
              <w:ind w:left="280"/>
              <w:spacing w:after="0"/>
              <w:rPr>
                <w:sz w:val="20"/>
                <w:szCs w:val="20"/>
                <w:color w:val="auto"/>
              </w:rPr>
            </w:pPr>
            <w:r>
              <w:rPr>
                <w:rFonts w:ascii="Arial" w:cs="Arial" w:eastAsia="Arial" w:hAnsi="Arial"/>
                <w:sz w:val="18"/>
                <w:szCs w:val="18"/>
                <w:color w:val="auto"/>
              </w:rPr>
              <w:t>Loan Notice</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2.09</w:t>
            </w:r>
          </w:p>
        </w:tc>
        <w:tc>
          <w:tcPr>
            <w:tcW w:w="4720" w:type="dxa"/>
            <w:vAlign w:val="bottom"/>
          </w:tcPr>
          <w:p>
            <w:pPr>
              <w:ind w:left="280"/>
              <w:spacing w:after="0"/>
              <w:rPr>
                <w:sz w:val="20"/>
                <w:szCs w:val="20"/>
                <w:color w:val="auto"/>
              </w:rPr>
            </w:pPr>
            <w:r>
              <w:rPr>
                <w:rFonts w:ascii="Arial" w:cs="Arial" w:eastAsia="Arial" w:hAnsi="Arial"/>
                <w:sz w:val="18"/>
                <w:szCs w:val="18"/>
                <w:color w:val="auto"/>
              </w:rPr>
              <w:t>Note</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3.01</w:t>
            </w:r>
          </w:p>
        </w:tc>
        <w:tc>
          <w:tcPr>
            <w:tcW w:w="4720" w:type="dxa"/>
            <w:vAlign w:val="bottom"/>
          </w:tcPr>
          <w:p>
            <w:pPr>
              <w:ind w:left="280"/>
              <w:spacing w:after="0"/>
              <w:rPr>
                <w:sz w:val="20"/>
                <w:szCs w:val="20"/>
                <w:color w:val="auto"/>
              </w:rPr>
            </w:pPr>
            <w:r>
              <w:rPr>
                <w:rFonts w:ascii="Arial" w:cs="Arial" w:eastAsia="Arial" w:hAnsi="Arial"/>
                <w:sz w:val="18"/>
                <w:szCs w:val="18"/>
                <w:color w:val="auto"/>
              </w:rPr>
              <w:t>U.S. Tax Compliance Certificates</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4.01</w:t>
            </w:r>
          </w:p>
        </w:tc>
        <w:tc>
          <w:tcPr>
            <w:tcW w:w="4720" w:type="dxa"/>
            <w:vAlign w:val="bottom"/>
          </w:tcPr>
          <w:p>
            <w:pPr>
              <w:ind w:left="280"/>
              <w:spacing w:after="0"/>
              <w:rPr>
                <w:sz w:val="20"/>
                <w:szCs w:val="20"/>
                <w:color w:val="auto"/>
              </w:rPr>
            </w:pPr>
            <w:r>
              <w:rPr>
                <w:rFonts w:ascii="Arial" w:cs="Arial" w:eastAsia="Arial" w:hAnsi="Arial"/>
                <w:sz w:val="18"/>
                <w:szCs w:val="18"/>
                <w:color w:val="auto"/>
              </w:rPr>
              <w:t>Solvency Certificate</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6.02</w:t>
            </w:r>
          </w:p>
        </w:tc>
        <w:tc>
          <w:tcPr>
            <w:tcW w:w="4720" w:type="dxa"/>
            <w:vAlign w:val="bottom"/>
          </w:tcPr>
          <w:p>
            <w:pPr>
              <w:ind w:left="280"/>
              <w:spacing w:after="0"/>
              <w:rPr>
                <w:sz w:val="20"/>
                <w:szCs w:val="20"/>
                <w:color w:val="auto"/>
              </w:rPr>
            </w:pPr>
            <w:r>
              <w:rPr>
                <w:rFonts w:ascii="Arial" w:cs="Arial" w:eastAsia="Arial" w:hAnsi="Arial"/>
                <w:sz w:val="18"/>
                <w:szCs w:val="18"/>
                <w:color w:val="auto"/>
              </w:rPr>
              <w:t>Compliance Certificate</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10.06</w:t>
            </w:r>
          </w:p>
        </w:tc>
        <w:tc>
          <w:tcPr>
            <w:tcW w:w="4720" w:type="dxa"/>
            <w:vAlign w:val="bottom"/>
          </w:tcPr>
          <w:p>
            <w:pPr>
              <w:ind w:left="280"/>
              <w:spacing w:after="0"/>
              <w:rPr>
                <w:sz w:val="20"/>
                <w:szCs w:val="20"/>
                <w:color w:val="auto"/>
              </w:rPr>
            </w:pPr>
            <w:r>
              <w:rPr>
                <w:rFonts w:ascii="Arial" w:cs="Arial" w:eastAsia="Arial" w:hAnsi="Arial"/>
                <w:sz w:val="18"/>
                <w:szCs w:val="18"/>
                <w:color w:val="auto"/>
              </w:rPr>
              <w:t>Assignment and Assumption</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74"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BRIDGE CREDIT AGREEMENT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This BRIDGE CREDIT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March 10, 2017, among ANALOG DEVICES, INC., a Massachusetts corporation (“</w:t>
      </w:r>
      <w:r>
        <w:rPr>
          <w:rFonts w:ascii="Arial" w:cs="Arial" w:eastAsia="Arial" w:hAnsi="Arial"/>
          <w:sz w:val="18"/>
          <w:szCs w:val="18"/>
          <w:u w:val="single" w:color="auto"/>
          <w:color w:val="auto"/>
        </w:rPr>
        <w:t>ADI</w:t>
      </w:r>
      <w:r>
        <w:rPr>
          <w:rFonts w:ascii="Arial" w:cs="Arial" w:eastAsia="Arial" w:hAnsi="Arial"/>
          <w:sz w:val="18"/>
          <w:szCs w:val="18"/>
          <w:color w:val="auto"/>
        </w:rPr>
        <w:t>”),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and JPMORGAN CHASE BANK, N.A., as Administrative Agent.</w:t>
      </w:r>
    </w:p>
    <w:p>
      <w:pPr>
        <w:spacing w:after="0" w:line="18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WHEREAS, ADI has entered into an Agreement and Plan of Merger dated as of July 26, 2016 (as the same may be amended, supplemented or otherwise modified from time to time in accordance with the provisions hereof and thereof,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Tahoe Acquisition Corp., a Delaware corporation and Wholly Owned Subsidiary of ADI (“</w:t>
      </w:r>
      <w:r>
        <w:rPr>
          <w:rFonts w:ascii="Arial" w:cs="Arial" w:eastAsia="Arial" w:hAnsi="Arial"/>
          <w:sz w:val="18"/>
          <w:szCs w:val="18"/>
          <w:u w:val="single" w:color="auto"/>
          <w:color w:val="auto"/>
        </w:rPr>
        <w:t>Merger Sub</w:t>
      </w:r>
      <w:r>
        <w:rPr>
          <w:rFonts w:ascii="Arial" w:cs="Arial" w:eastAsia="Arial" w:hAnsi="Arial"/>
          <w:sz w:val="18"/>
          <w:szCs w:val="18"/>
          <w:color w:val="auto"/>
        </w:rPr>
        <w:t>”), and Linear Technology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which, on the terms and conditions set forth therein, Merger Sub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with the Company surviving the Merger as a Wholly Owned Subsidiary of ADI (the “</w:t>
      </w:r>
      <w:r>
        <w:rPr>
          <w:rFonts w:ascii="Arial" w:cs="Arial" w:eastAsia="Arial" w:hAnsi="Arial"/>
          <w:sz w:val="18"/>
          <w:szCs w:val="18"/>
          <w:u w:val="single" w:color="auto"/>
          <w:color w:val="auto"/>
        </w:rPr>
        <w:t>Acquisition</w:t>
      </w:r>
      <w:r>
        <w:rPr>
          <w:rFonts w:ascii="Arial" w:cs="Arial" w:eastAsia="Arial" w:hAnsi="Arial"/>
          <w:sz w:val="18"/>
          <w:szCs w:val="18"/>
          <w:color w:val="auto"/>
        </w:rPr>
        <w:t>”); and</w:t>
      </w:r>
    </w:p>
    <w:p>
      <w:pPr>
        <w:spacing w:after="0" w:line="188"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WHEREAS, in connection with the Acquisition, ADI has requested that the Lenders make Loans on the Closing Date (such term and each other capitalized term used and not otherwise defined herein having the meaning specified in Section 1.01) in an aggregate principal amount up to $4,100,000,000, the proceeds of which will be used, together with the proceeds of the Term Loan Facilities and the Debt Securities (or any other term loan incurred or debt securities issued in lieu or replacement thereof) and cash on hand of ADI, to (a) pay the aggregate cash consideration for the Acquisition and (b) pay the fees and expenses and any costs associated with refinancing indebtedness of the Company or its Subsidiaries in connection with the Acquisition.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Accordingly, in consideration of the mutual covenants and agreements herein contained, the parties hereto covenant and agree as follows: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ACCOUNTING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Defined Terms.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ADI</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Eurodollar Rate</w:t>
      </w:r>
      <w:r>
        <w:rPr>
          <w:rFonts w:ascii="Arial" w:cs="Arial" w:eastAsia="Arial" w:hAnsi="Arial"/>
          <w:sz w:val="17"/>
          <w:szCs w:val="17"/>
          <w:color w:val="auto"/>
        </w:rPr>
        <w:t>” means, with respect to any Eurodollar Borrowing for any Interest Period, an interest rate per annum (rounded upwards, if necessary, to the next 1/100 of 1%) equal to (a) the Eurodollar Rate for such Interest Period multiplied by (b) the Statutory Reserve Rate.</w:t>
      </w:r>
    </w:p>
    <w:p>
      <w:pPr>
        <w:spacing w:after="0" w:line="147" w:lineRule="exact"/>
        <w:rPr>
          <w:sz w:val="20"/>
          <w:szCs w:val="20"/>
          <w:color w:val="auto"/>
        </w:rPr>
      </w:pPr>
    </w:p>
    <w:p>
      <w:pPr>
        <w:jc w:val="center"/>
        <w:ind w:right="6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JPMCB in its capacity as administrative agent under the Loan Documents, or any successor administrative agent. 1</w:t>
      </w:r>
    </w:p>
    <w:p>
      <w:pPr>
        <w:sectPr>
          <w:pgSz w:w="11900" w:h="16838" w:orient="portrait"/>
          <w:cols w:equalWidth="0" w:num="1">
            <w:col w:w="11420"/>
          </w:cols>
          <w:pgMar w:left="240" w:top="274" w:right="239" w:bottom="1440" w:gutter="0" w:footer="0" w:header="0"/>
        </w:sectPr>
      </w:pPr>
    </w:p>
    <w:bookmarkStart w:id="13" w:name="page14"/>
    <w:bookmarkEnd w:id="13"/>
    <w:p>
      <w:pPr>
        <w:jc w:val="both"/>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or such other address or account as the Administrative Agent may from time to time notify to ADI and the Lenders.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10.02(c)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Bridge Credit Agreement, as amended, modified or supplemented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5.20(a)</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any Lender at any time, the percentage (carried out to the ninth decimal place) of (a) prior to the making of the Loans on the Closing Date, the aggregate Commitments represented by such Lender’s Commitment at such time and (b) thereafter, the aggregate principal amount of all Loans outstanding at such time represented by such Lender’s outstanding Loans at such time. If the aggregate Commitments have terminated and the Loans have been repaid in full, then the Applicable Percentage of each Lender will be determined based on the Applicable Percentage of such Lender most recently in effect, giving effect to any subsequent assignments.</w:t>
      </w:r>
    </w:p>
    <w:p>
      <w:pPr>
        <w:spacing w:after="0" w:line="18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with respect to any Loan, the percentages per annum specified below for the applicable Type of Loan, based upon ADI’s current Debt Rating:</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color w:val="auto"/>
                <w:w w:val="94"/>
              </w:rPr>
              <w:t>Pricing Level</w:t>
            </w: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right="520"/>
              <w:spacing w:after="0"/>
              <w:rPr>
                <w:sz w:val="20"/>
                <w:szCs w:val="20"/>
                <w:color w:val="auto"/>
              </w:rPr>
            </w:pPr>
            <w:r>
              <w:rPr>
                <w:rFonts w:ascii="Arial" w:cs="Arial" w:eastAsia="Arial" w:hAnsi="Arial"/>
                <w:sz w:val="14"/>
                <w:szCs w:val="14"/>
                <w:color w:val="auto"/>
                <w:w w:val="94"/>
              </w:rPr>
              <w:t>Debt Ratings S&amp;P/</w:t>
            </w:r>
          </w:p>
        </w:tc>
        <w:tc>
          <w:tcPr>
            <w:tcW w:w="1300" w:type="dxa"/>
            <w:vAlign w:val="bottom"/>
            <w:gridSpan w:val="2"/>
          </w:tcPr>
          <w:p>
            <w:pPr>
              <w:jc w:val="right"/>
              <w:ind w:right="660"/>
              <w:spacing w:after="0"/>
              <w:rPr>
                <w:sz w:val="20"/>
                <w:szCs w:val="20"/>
                <w:color w:val="auto"/>
              </w:rPr>
            </w:pPr>
            <w:r>
              <w:rPr>
                <w:rFonts w:ascii="Arial" w:cs="Arial" w:eastAsia="Arial" w:hAnsi="Arial"/>
                <w:sz w:val="14"/>
                <w:szCs w:val="14"/>
                <w:color w:val="auto"/>
                <w:w w:val="97"/>
              </w:rPr>
              <w:t>Eurodollar</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Base Rate</w:t>
            </w:r>
          </w:p>
        </w:tc>
        <w:tc>
          <w:tcPr>
            <w:tcW w:w="0" w:type="dxa"/>
            <w:vAlign w:val="bottom"/>
          </w:tcPr>
          <w:p>
            <w:pPr>
              <w:spacing w:after="0"/>
              <w:rPr>
                <w:sz w:val="1"/>
                <w:szCs w:val="1"/>
                <w:color w:val="auto"/>
              </w:rPr>
            </w:pPr>
          </w:p>
        </w:tc>
      </w:tr>
      <w:tr>
        <w:trPr>
          <w:trHeight w:val="159"/>
        </w:trPr>
        <w:tc>
          <w:tcPr>
            <w:tcW w:w="780" w:type="dxa"/>
            <w:vAlign w:val="bottom"/>
            <w:tcBorders>
              <w:bottom w:val="single" w:sz="8" w:color="auto"/>
            </w:tcBorders>
            <w:vMerge w:val="continue"/>
          </w:tcPr>
          <w:p>
            <w:pPr>
              <w:spacing w:after="0"/>
              <w:rPr>
                <w:sz w:val="13"/>
                <w:szCs w:val="13"/>
                <w:color w:val="auto"/>
              </w:rPr>
            </w:pPr>
          </w:p>
        </w:tc>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4"/>
          </w:tcPr>
          <w:p>
            <w:pPr>
              <w:jc w:val="center"/>
              <w:ind w:right="900"/>
              <w:spacing w:after="0" w:line="154" w:lineRule="exact"/>
              <w:rPr>
                <w:sz w:val="20"/>
                <w:szCs w:val="20"/>
                <w:color w:val="auto"/>
              </w:rPr>
            </w:pPr>
            <w:r>
              <w:rPr>
                <w:rFonts w:ascii="Arial" w:cs="Arial" w:eastAsia="Arial" w:hAnsi="Arial"/>
                <w:sz w:val="14"/>
                <w:szCs w:val="14"/>
                <w:color w:val="auto"/>
                <w:w w:val="95"/>
              </w:rPr>
              <w:t>Moody’s</w:t>
            </w:r>
          </w:p>
        </w:tc>
        <w:tc>
          <w:tcPr>
            <w:tcW w:w="1300" w:type="dxa"/>
            <w:vAlign w:val="bottom"/>
            <w:gridSpan w:val="2"/>
          </w:tcPr>
          <w:p>
            <w:pPr>
              <w:jc w:val="right"/>
              <w:ind w:right="640"/>
              <w:spacing w:after="0" w:line="154" w:lineRule="exact"/>
              <w:rPr>
                <w:sz w:val="20"/>
                <w:szCs w:val="20"/>
                <w:color w:val="auto"/>
              </w:rPr>
            </w:pPr>
            <w:r>
              <w:rPr>
                <w:rFonts w:ascii="Arial" w:cs="Arial" w:eastAsia="Arial" w:hAnsi="Arial"/>
                <w:sz w:val="14"/>
                <w:szCs w:val="14"/>
                <w:color w:val="auto"/>
                <w:w w:val="89"/>
              </w:rPr>
              <w:t>Rate Loans</w:t>
            </w:r>
          </w:p>
        </w:tc>
        <w:tc>
          <w:tcPr>
            <w:tcW w:w="78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Loans</w:t>
            </w:r>
          </w:p>
        </w:tc>
        <w:tc>
          <w:tcPr>
            <w:tcW w:w="0" w:type="dxa"/>
            <w:vAlign w:val="bottom"/>
          </w:tcPr>
          <w:p>
            <w:pPr>
              <w:spacing w:after="0"/>
              <w:rPr>
                <w:sz w:val="1"/>
                <w:szCs w:val="1"/>
                <w:color w:val="auto"/>
              </w:rPr>
            </w:pPr>
          </w:p>
        </w:tc>
      </w:tr>
      <w:tr>
        <w:trPr>
          <w:trHeight w:val="20"/>
        </w:trPr>
        <w:tc>
          <w:tcPr>
            <w:tcW w:w="780" w:type="dxa"/>
            <w:vAlign w:val="bottom"/>
            <w:vMerge w:val="restart"/>
            <w:shd w:val="clear" w:color="auto" w:fill="CCEEFF"/>
          </w:tcPr>
          <w:p>
            <w:pPr>
              <w:spacing w:after="0" w:line="182" w:lineRule="exact"/>
              <w:rPr>
                <w:sz w:val="20"/>
                <w:szCs w:val="20"/>
                <w:color w:val="auto"/>
              </w:rPr>
            </w:pPr>
            <w:r>
              <w:rPr>
                <w:rFonts w:ascii="Arial" w:cs="Arial" w:eastAsia="Arial" w:hAnsi="Arial"/>
                <w:sz w:val="18"/>
                <w:szCs w:val="18"/>
                <w:color w:val="auto"/>
              </w:rPr>
              <w:t>I</w:t>
            </w:r>
          </w:p>
        </w:tc>
        <w:tc>
          <w:tcPr>
            <w:tcW w:w="47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continue"/>
            <w:shd w:val="clear" w:color="auto" w:fill="CCEEFF"/>
          </w:tcPr>
          <w:p>
            <w:pPr>
              <w:spacing w:after="0"/>
              <w:rPr>
                <w:sz w:val="15"/>
                <w:szCs w:val="15"/>
                <w:color w:val="auto"/>
              </w:rPr>
            </w:pPr>
          </w:p>
        </w:tc>
        <w:tc>
          <w:tcPr>
            <w:tcW w:w="4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center"/>
              <w:ind w:right="480"/>
              <w:spacing w:after="0" w:line="163" w:lineRule="exact"/>
              <w:rPr>
                <w:sz w:val="20"/>
                <w:szCs w:val="20"/>
                <w:color w:val="auto"/>
              </w:rPr>
            </w:pPr>
            <w:r>
              <w:rPr>
                <w:rFonts w:ascii="Arial" w:cs="Arial" w:eastAsia="Arial" w:hAnsi="Arial"/>
                <w:sz w:val="18"/>
                <w:szCs w:val="18"/>
                <w:color w:val="auto"/>
                <w:w w:val="99"/>
              </w:rPr>
              <w:t>&gt;A+/A1</w:t>
            </w:r>
          </w:p>
        </w:tc>
        <w:tc>
          <w:tcPr>
            <w:tcW w:w="440" w:type="dxa"/>
            <w:vAlign w:val="bottom"/>
            <w:vMerge w:val="continue"/>
            <w:shd w:val="clear" w:color="auto" w:fill="CCEEFF"/>
          </w:tcPr>
          <w:p>
            <w:pPr>
              <w:spacing w:after="0"/>
              <w:rPr>
                <w:sz w:val="15"/>
                <w:szCs w:val="15"/>
                <w:color w:val="auto"/>
              </w:rPr>
            </w:pPr>
          </w:p>
        </w:tc>
        <w:tc>
          <w:tcPr>
            <w:tcW w:w="1300" w:type="dxa"/>
            <w:vAlign w:val="bottom"/>
            <w:gridSpan w:val="2"/>
            <w:shd w:val="clear" w:color="auto" w:fill="CCEEFF"/>
          </w:tcPr>
          <w:p>
            <w:pPr>
              <w:jc w:val="right"/>
              <w:ind w:right="480"/>
              <w:spacing w:after="0" w:line="163" w:lineRule="exact"/>
              <w:rPr>
                <w:sz w:val="20"/>
                <w:szCs w:val="20"/>
                <w:color w:val="auto"/>
              </w:rPr>
            </w:pPr>
            <w:r>
              <w:rPr>
                <w:rFonts w:ascii="Arial" w:cs="Arial" w:eastAsia="Arial" w:hAnsi="Arial"/>
                <w:sz w:val="18"/>
                <w:szCs w:val="18"/>
                <w:color w:val="auto"/>
              </w:rPr>
              <w:t>0.750%</w:t>
            </w:r>
          </w:p>
        </w:tc>
        <w:tc>
          <w:tcPr>
            <w:tcW w:w="780" w:type="dxa"/>
            <w:vAlign w:val="bottom"/>
            <w:gridSpan w:val="2"/>
            <w:shd w:val="clear" w:color="auto" w:fill="CCEEFF"/>
          </w:tcPr>
          <w:p>
            <w:pPr>
              <w:jc w:val="right"/>
              <w:ind w:right="60"/>
              <w:spacing w:after="0" w:line="163" w:lineRule="exact"/>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II</w:t>
            </w:r>
          </w:p>
        </w:tc>
        <w:tc>
          <w:tcPr>
            <w:tcW w:w="4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CCEEFF"/>
            </w:tcBorders>
            <w:gridSpan w:val="3"/>
          </w:tcPr>
          <w:p>
            <w:pPr>
              <w:jc w:val="center"/>
              <w:ind w:right="1020"/>
              <w:spacing w:after="0"/>
              <w:rPr>
                <w:sz w:val="20"/>
                <w:szCs w:val="20"/>
                <w:color w:val="auto"/>
              </w:rPr>
            </w:pPr>
            <w:r>
              <w:rPr>
                <w:rFonts w:ascii="Arial" w:cs="Arial" w:eastAsia="Arial" w:hAnsi="Arial"/>
                <w:sz w:val="18"/>
                <w:szCs w:val="18"/>
                <w:color w:val="auto"/>
              </w:rPr>
              <w:t>A/A2</w:t>
            </w:r>
          </w:p>
        </w:tc>
        <w:tc>
          <w:tcPr>
            <w:tcW w:w="1300" w:type="dxa"/>
            <w:vAlign w:val="bottom"/>
            <w:tcBorders>
              <w:top w:val="single" w:sz="8" w:color="CCEEFF"/>
            </w:tcBorders>
            <w:gridSpan w:val="2"/>
          </w:tcPr>
          <w:p>
            <w:pPr>
              <w:jc w:val="right"/>
              <w:ind w:right="480"/>
              <w:spacing w:after="0"/>
              <w:rPr>
                <w:sz w:val="20"/>
                <w:szCs w:val="20"/>
                <w:color w:val="auto"/>
              </w:rPr>
            </w:pPr>
            <w:r>
              <w:rPr>
                <w:rFonts w:ascii="Arial" w:cs="Arial" w:eastAsia="Arial" w:hAnsi="Arial"/>
                <w:sz w:val="18"/>
                <w:szCs w:val="18"/>
                <w:color w:val="auto"/>
              </w:rPr>
              <w:t>0.875%</w:t>
            </w:r>
          </w:p>
        </w:tc>
        <w:tc>
          <w:tcPr>
            <w:tcW w:w="7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center"/>
              <w:ind w:right="900"/>
              <w:spacing w:after="0"/>
              <w:rPr>
                <w:sz w:val="20"/>
                <w:szCs w:val="20"/>
                <w:color w:val="auto"/>
              </w:rPr>
            </w:pPr>
            <w:r>
              <w:rPr>
                <w:rFonts w:ascii="Arial" w:cs="Arial" w:eastAsia="Arial" w:hAnsi="Arial"/>
                <w:sz w:val="18"/>
                <w:szCs w:val="18"/>
                <w:color w:val="auto"/>
              </w:rPr>
              <w:t>A-/A3</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IV</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6"/>
          </w:tcPr>
          <w:p>
            <w:pPr>
              <w:jc w:val="center"/>
              <w:ind w:right="540"/>
              <w:spacing w:after="0"/>
              <w:rPr>
                <w:sz w:val="20"/>
                <w:szCs w:val="20"/>
                <w:color w:val="auto"/>
              </w:rPr>
            </w:pPr>
            <w:r>
              <w:rPr>
                <w:rFonts w:ascii="Arial" w:cs="Arial" w:eastAsia="Arial" w:hAnsi="Arial"/>
                <w:sz w:val="18"/>
                <w:szCs w:val="18"/>
                <w:color w:val="auto"/>
                <w:w w:val="94"/>
              </w:rPr>
              <w:t>BBB+/Baa1</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1.125%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V</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center"/>
              <w:ind w:right="780"/>
              <w:spacing w:after="0"/>
              <w:rPr>
                <w:sz w:val="20"/>
                <w:szCs w:val="20"/>
                <w:color w:val="auto"/>
              </w:rPr>
            </w:pPr>
            <w:r>
              <w:rPr>
                <w:rFonts w:ascii="Arial" w:cs="Arial" w:eastAsia="Arial" w:hAnsi="Arial"/>
                <w:sz w:val="18"/>
                <w:szCs w:val="18"/>
                <w:color w:val="auto"/>
                <w:w w:val="93"/>
              </w:rPr>
              <w:t>BBB/Baa2</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VI</w:t>
            </w:r>
          </w:p>
        </w:tc>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5"/>
          </w:tcPr>
          <w:p>
            <w:pPr>
              <w:jc w:val="center"/>
              <w:ind w:right="800"/>
              <w:spacing w:after="0" w:line="176" w:lineRule="exact"/>
              <w:rPr>
                <w:sz w:val="20"/>
                <w:szCs w:val="20"/>
                <w:color w:val="auto"/>
              </w:rPr>
            </w:pPr>
            <w:r>
              <w:rPr>
                <w:rFonts w:ascii="Arial" w:cs="Arial" w:eastAsia="Arial" w:hAnsi="Arial"/>
                <w:sz w:val="18"/>
                <w:szCs w:val="18"/>
                <w:color w:val="auto"/>
                <w:w w:val="94"/>
              </w:rPr>
              <w:t>BBB-/Baa3</w:t>
            </w:r>
          </w:p>
        </w:tc>
        <w:tc>
          <w:tcPr>
            <w:tcW w:w="1300" w:type="dxa"/>
            <w:vAlign w:val="bottom"/>
            <w:gridSpan w:val="2"/>
          </w:tcPr>
          <w:p>
            <w:pPr>
              <w:jc w:val="right"/>
              <w:ind w:right="480"/>
              <w:spacing w:after="0" w:line="176" w:lineRule="exact"/>
              <w:rPr>
                <w:sz w:val="20"/>
                <w:szCs w:val="20"/>
                <w:color w:val="auto"/>
              </w:rPr>
            </w:pPr>
            <w:r>
              <w:rPr>
                <w:rFonts w:ascii="Arial" w:cs="Arial" w:eastAsia="Arial" w:hAnsi="Arial"/>
                <w:sz w:val="18"/>
                <w:szCs w:val="18"/>
                <w:color w:val="auto"/>
              </w:rPr>
              <w:t>1.375%</w:t>
            </w: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VII</w:t>
            </w:r>
          </w:p>
        </w:tc>
        <w:tc>
          <w:tcPr>
            <w:tcW w:w="4720" w:type="dxa"/>
            <w:vAlign w:val="bottom"/>
            <w:shd w:val="clear" w:color="auto" w:fill="CCEEFF"/>
          </w:tcPr>
          <w:p>
            <w:pPr>
              <w:spacing w:after="0"/>
              <w:rPr>
                <w:sz w:val="15"/>
                <w:szCs w:val="15"/>
                <w:color w:val="auto"/>
              </w:rPr>
            </w:pPr>
          </w:p>
        </w:tc>
        <w:tc>
          <w:tcPr>
            <w:tcW w:w="2000" w:type="dxa"/>
            <w:vAlign w:val="bottom"/>
            <w:gridSpan w:val="7"/>
            <w:shd w:val="clear" w:color="auto" w:fill="CCEEFF"/>
          </w:tcPr>
          <w:p>
            <w:pPr>
              <w:jc w:val="center"/>
              <w:ind w:right="440"/>
              <w:spacing w:after="0" w:line="176" w:lineRule="exact"/>
              <w:rPr>
                <w:sz w:val="20"/>
                <w:szCs w:val="20"/>
                <w:color w:val="auto"/>
              </w:rPr>
            </w:pPr>
            <w:r>
              <w:rPr>
                <w:rFonts w:ascii="Arial" w:cs="Arial" w:eastAsia="Arial" w:hAnsi="Arial"/>
                <w:sz w:val="18"/>
                <w:szCs w:val="18"/>
                <w:color w:val="auto"/>
                <w:w w:val="92"/>
              </w:rPr>
              <w:t>&lt;BB+/Ba1 or unrated</w:t>
            </w:r>
          </w:p>
        </w:tc>
        <w:tc>
          <w:tcPr>
            <w:tcW w:w="1300" w:type="dxa"/>
            <w:vAlign w:val="bottom"/>
            <w:gridSpan w:val="2"/>
            <w:shd w:val="clear" w:color="auto" w:fill="CCEEFF"/>
          </w:tcPr>
          <w:p>
            <w:pPr>
              <w:jc w:val="right"/>
              <w:ind w:right="480"/>
              <w:spacing w:after="0" w:line="176" w:lineRule="exact"/>
              <w:rPr>
                <w:sz w:val="20"/>
                <w:szCs w:val="20"/>
                <w:color w:val="auto"/>
              </w:rPr>
            </w:pPr>
            <w:r>
              <w:rPr>
                <w:rFonts w:ascii="Arial" w:cs="Arial" w:eastAsia="Arial" w:hAnsi="Arial"/>
                <w:sz w:val="18"/>
                <w:szCs w:val="18"/>
                <w:color w:val="auto"/>
              </w:rPr>
              <w:t>1.625%</w:t>
            </w: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0.625%</w:t>
            </w:r>
          </w:p>
        </w:tc>
        <w:tc>
          <w:tcPr>
            <w:tcW w:w="0" w:type="dxa"/>
            <w:vAlign w:val="bottom"/>
          </w:tcPr>
          <w:p>
            <w:pPr>
              <w:spacing w:after="0"/>
              <w:rPr>
                <w:sz w:val="1"/>
                <w:szCs w:val="1"/>
                <w:color w:val="auto"/>
              </w:rPr>
            </w:pP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Each change in the Applicable Rate resulting from a publicly announced change in the Debt Rating shall be effective</w:t>
      </w:r>
      <w:r>
        <w:rPr>
          <w:rFonts w:ascii="Arial" w:cs="Arial" w:eastAsia="Arial" w:hAnsi="Arial"/>
          <w:sz w:val="18"/>
          <w:szCs w:val="18"/>
          <w:b w:val="1"/>
          <w:bCs w:val="1"/>
          <w:color w:val="auto"/>
        </w:rPr>
        <w:t>,</w:t>
      </w:r>
      <w:r>
        <w:rPr>
          <w:rFonts w:ascii="Arial" w:cs="Arial" w:eastAsia="Arial" w:hAnsi="Arial"/>
          <w:sz w:val="18"/>
          <w:szCs w:val="18"/>
          <w:color w:val="auto"/>
        </w:rPr>
        <w:t xml:space="preserve"> in the case of an upgrade, during the period commencing on the date of delivery by ADI to the Administrative Agent of notice thereof pursuant to </w:t>
      </w:r>
      <w:r>
        <w:rPr>
          <w:rFonts w:ascii="Arial" w:cs="Arial" w:eastAsia="Arial" w:hAnsi="Arial"/>
          <w:sz w:val="18"/>
          <w:szCs w:val="18"/>
          <w:u w:val="single" w:color="auto"/>
          <w:color w:val="auto"/>
        </w:rPr>
        <w:t>Section 6.03(c)</w:t>
      </w:r>
      <w:r>
        <w:rPr>
          <w:rFonts w:ascii="Arial" w:cs="Arial" w:eastAsia="Arial" w:hAnsi="Arial"/>
          <w:sz w:val="18"/>
          <w:szCs w:val="18"/>
          <w:color w:val="auto"/>
        </w:rPr>
        <w:t xml:space="preserve"> and ending on the date immediately preceding the effective date of the next such change and, in the case of a downgrade</w:t>
      </w:r>
      <w:r>
        <w:rPr>
          <w:rFonts w:ascii="Arial" w:cs="Arial" w:eastAsia="Arial" w:hAnsi="Arial"/>
          <w:sz w:val="18"/>
          <w:szCs w:val="18"/>
          <w:b w:val="1"/>
          <w:bCs w:val="1"/>
          <w:color w:val="auto"/>
        </w:rPr>
        <w:t>,</w:t>
      </w:r>
      <w:r>
        <w:rPr>
          <w:rFonts w:ascii="Arial" w:cs="Arial" w:eastAsia="Arial" w:hAnsi="Arial"/>
          <w:sz w:val="18"/>
          <w:szCs w:val="18"/>
          <w:color w:val="auto"/>
        </w:rPr>
        <w:t xml:space="preserve"> during the period commencing on the date of the public announcement thereof and ending on the date immediately preceding the effective date of the next such change. If the Debt Ratings differ by one level, then the Pricing Level for the higher of such Debt Ratings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apply (with the Debt Rating for Pricing Level I being the highest and the Debt Rating for Pricing Level VII being the lowest). If there is a split in Debt Ratings of more than one level, then the Pricing Level that is one level lower than the Pricing Level of the higher Debt Rating shall apply. If ADI has only one Debt Rating, the Pricing Level that is one level lower than that of such Debt Rating shall apply. If ADI does not have any Debt Rating, Pricing Level VII shall apply.</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xml:space="preserve">” means the Persons named as joint lead arrangers and joint bookrunners on the cover page of this Agreement, acting in such capacities;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Merrill Lynch, Pierce, Fenner &amp; Smith Incorporated (“</w:t>
      </w:r>
      <w:r>
        <w:rPr>
          <w:rFonts w:ascii="Arial" w:cs="Arial" w:eastAsia="Arial" w:hAnsi="Arial"/>
          <w:sz w:val="18"/>
          <w:szCs w:val="18"/>
          <w:u w:val="single" w:color="auto"/>
          <w:color w:val="auto"/>
        </w:rPr>
        <w:t>MLPF&amp;S</w:t>
      </w:r>
      <w:r>
        <w:rPr>
          <w:rFonts w:ascii="Arial" w:cs="Arial" w:eastAsia="Arial" w:hAnsi="Arial"/>
          <w:sz w:val="18"/>
          <w:szCs w:val="18"/>
          <w:color w:val="auto"/>
        </w:rPr>
        <w:t>”) may, without notice to ADI, assign its rights and obligations under this Agreement to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w:t>
      </w:r>
    </w:p>
    <w:p>
      <w:pPr>
        <w:spacing w:after="0" w:line="18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means an assignment and assumption entered into by a Lender and an Eligible Assignee (with the consent of any party whose consent is required by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and accepted by the Administrative Agent, in substantially the form of </w:t>
      </w:r>
      <w:r>
        <w:rPr>
          <w:rFonts w:ascii="Arial" w:cs="Arial" w:eastAsia="Arial" w:hAnsi="Arial"/>
          <w:sz w:val="16"/>
          <w:szCs w:val="16"/>
          <w:u w:val="single" w:color="auto"/>
          <w:color w:val="auto"/>
        </w:rPr>
        <w:t>Exhibit 10.06</w:t>
      </w:r>
      <w:r>
        <w:rPr>
          <w:rFonts w:ascii="Arial" w:cs="Arial" w:eastAsia="Arial" w:hAnsi="Arial"/>
          <w:sz w:val="16"/>
          <w:szCs w:val="16"/>
          <w:color w:val="auto"/>
        </w:rPr>
        <w:t xml:space="preserve"> or any other form (including electronic documentation generated by any electronic platform) approved by the Administrative Agent and reasonably acceptable to ADI.</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Assumption of Borrower Obligations</w:t>
      </w:r>
      <w:r>
        <w:rPr>
          <w:rFonts w:ascii="Arial" w:cs="Arial" w:eastAsia="Arial" w:hAnsi="Arial"/>
          <w:sz w:val="18"/>
          <w:szCs w:val="18"/>
          <w:color w:val="auto"/>
        </w:rPr>
        <w:t>” means the assumption by the Subsidiary Borrower of all or a portion of the Borrower Obligations of ADI, the release of ADI as primary obligor in respect of such Borrower Obligations and the accession of ADI as Guarantor in respect of such Borrower Obligations, in each case pursuant to an Assumption, Release and Guarantee Agreement.</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Assumption, Release and Guarantee Agreement</w:t>
      </w:r>
      <w:r>
        <w:rPr>
          <w:rFonts w:ascii="Arial" w:cs="Arial" w:eastAsia="Arial" w:hAnsi="Arial"/>
          <w:sz w:val="18"/>
          <w:szCs w:val="18"/>
          <w:color w:val="auto"/>
        </w:rPr>
        <w:t xml:space="preserve">” means an Assumption, Release and Guarantee Agreement in the form of </w:t>
      </w:r>
      <w:r>
        <w:rPr>
          <w:rFonts w:ascii="Arial" w:cs="Arial" w:eastAsia="Arial" w:hAnsi="Arial"/>
          <w:sz w:val="18"/>
          <w:szCs w:val="18"/>
          <w:u w:val="single" w:color="auto"/>
          <w:color w:val="auto"/>
        </w:rPr>
        <w:t>Exhibit 1.01</w:t>
      </w:r>
      <w:r>
        <w:rPr>
          <w:rFonts w:ascii="Arial" w:cs="Arial" w:eastAsia="Arial" w:hAnsi="Arial"/>
          <w:sz w:val="18"/>
          <w:szCs w:val="18"/>
          <w:color w:val="auto"/>
        </w:rPr>
        <w:t xml:space="preserve"> hereto or any other form agreed upon by ADI and the Administrative Agent.</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ADI and its Subsidiaries for the fiscal year ended October 29, 2016, and the related consolidated statements of income or operations, shareholders’ equity and cash flows for such fiscal year of ADI and its Subsidiaries, including the notes thereto.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5" w:name="page16"/>
    <w:bookmarkEnd w:id="15"/>
    <w:p>
      <w:pPr>
        <w:jc w:val="both"/>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for any day a fluctuating rate per annum equal to the highest of (a) the NYFRB Rate plus 1/2 of 1%, (b) the rate of interest in effect for such day as publicly announced from time to time by JPMCB as its “prime rate” and (c) the Adjusted Eurodollar Rate on such day (or if such day is not a Business Day, the immediately preceding Business Day) for a one-month interest period, plus 1.00%. For purposes of this definition, the Adjusted Eurodollar Rate for any day shall be based on the Eurodollar Screen Rate at approximately 11:00 a.m., London time, on such day for deposits in Dollars with a maturity of one month. The “prime rate” is a rate set by JPMCB based upon various factors including JPMCB’s costs and desired return, general economic conditions and other factors, and is used as a reference point for pricing some loans, which may be priced at, above, or below such announced rate. Any change in the “prime rate” announced by JPMCB shall take effect at the opening of business on the day specified in the public announcement of such change.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Borrowing</w:t>
      </w:r>
      <w:r>
        <w:rPr>
          <w:rFonts w:ascii="Arial" w:cs="Arial" w:eastAsia="Arial" w:hAnsi="Arial"/>
          <w:sz w:val="18"/>
          <w:szCs w:val="18"/>
          <w:color w:val="auto"/>
        </w:rPr>
        <w:t>” means a Borrowing comprised of Base Rate Loans.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(a) prior to the Assumption of Borrower Obligations, ADI and (b) from and after the Assumption of Borrower Obligations, the Subsidiary Borrower and if the Subsidiary Borrower shall have assumed only a portion of ADI’s Borrower Obligations, ADI.</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Obligations</w:t>
      </w:r>
      <w:r>
        <w:rPr>
          <w:rFonts w:ascii="Arial" w:cs="Arial" w:eastAsia="Arial" w:hAnsi="Arial"/>
          <w:sz w:val="18"/>
          <w:szCs w:val="18"/>
          <w:color w:val="auto"/>
        </w:rPr>
        <w:t>” means, as to ADI or the Subsidiary Borrower , the Obligations in respect of the principal amount of Loans and interest accrued thereon that are incurred or assumed by such Person in its capacity as a Borrower (but not, for the avoidance of doubt, any Obligations incurred by ADI in its capacity as a Guarantor).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Loans of the same Type and, in the case of Eurodollar Rate Loans, having the same Interest Period.</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 Commitment Letter</w:t>
      </w:r>
      <w:r>
        <w:rPr>
          <w:rFonts w:ascii="Arial" w:cs="Arial" w:eastAsia="Arial" w:hAnsi="Arial"/>
          <w:sz w:val="18"/>
          <w:szCs w:val="18"/>
          <w:color w:val="auto"/>
        </w:rPr>
        <w:t>” means the commitment letter dated July 26, 2016, among ADI, the Arrangers and certain Affiliates of the Arrangers, providing for bridge term loan facilities, including the facility established hereby, in an aggregate principal amount of $11,600,000,000, as amended or supplemented from time to time.</w:t>
      </w:r>
    </w:p>
    <w:p>
      <w:pPr>
        <w:spacing w:after="0" w:line="181"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commercial banks are authorized to close under the Laws of, or are in fact closed in, New York City, and if such day relates to any Eurodollar Rate Loan, means any such day that is also a London Banking Day.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6" w:name="page17"/>
    <w:bookmarkEnd w:id="16"/>
    <w:p>
      <w:pPr>
        <w:jc w:val="both"/>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 that</w:t>
      </w:r>
      <w:r>
        <w:rPr>
          <w:rFonts w:ascii="Arial" w:cs="Arial" w:eastAsia="Arial" w:hAnsi="Arial"/>
          <w:sz w:val="18"/>
          <w:szCs w:val="18"/>
          <w:color w:val="auto"/>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Arial" w:cs="Arial" w:eastAsia="Arial" w:hAnsi="Arial"/>
          <w:sz w:val="18"/>
          <w:szCs w:val="18"/>
          <w:u w:val="single" w:color="auto"/>
          <w:color w:val="auto"/>
        </w:rPr>
        <w:t>Change in Law</w:t>
      </w:r>
      <w:r>
        <w:rPr>
          <w:rFonts w:ascii="Arial" w:cs="Arial" w:eastAsia="Arial" w:hAnsi="Arial"/>
          <w:sz w:val="18"/>
          <w:szCs w:val="18"/>
          <w:color w:val="auto"/>
        </w:rPr>
        <w:t>”, regardless of the date enacted, adopted or issued.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117" w:lineRule="exact"/>
        <w:rPr>
          <w:sz w:val="20"/>
          <w:szCs w:val="20"/>
          <w:color w:val="auto"/>
        </w:rPr>
      </w:pPr>
    </w:p>
    <w:p>
      <w:pPr>
        <w:jc w:val="both"/>
        <w:ind w:left="460" w:firstLine="443"/>
        <w:spacing w:after="0" w:line="272" w:lineRule="auto"/>
        <w:tabs>
          <w:tab w:leader="none" w:pos="1164"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40% or more of the equity securities of ADI entitled to vote for members of the board of directors or equivalent governing body of ADI on a fully-diluted basis (and taking into account all such securities that such person or group has the right to acquire pursuant to any option right); or</w:t>
      </w:r>
    </w:p>
    <w:p>
      <w:pPr>
        <w:spacing w:after="0" w:line="69" w:lineRule="exact"/>
        <w:rPr>
          <w:rFonts w:ascii="Arial" w:cs="Arial" w:eastAsia="Arial" w:hAnsi="Arial"/>
          <w:sz w:val="17"/>
          <w:szCs w:val="17"/>
          <w:color w:val="auto"/>
        </w:rPr>
      </w:pPr>
    </w:p>
    <w:p>
      <w:pPr>
        <w:ind w:left="1160" w:hanging="257"/>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of directors of ADI shall cease to consist of a majority of Continuing Directors; or</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any time when the Subsidiary Borrower is a Borrower, the Subsidiary Borrower shall fail to be a Subsidiary.</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date on which this Agreement is executed and delivered by the parties hereto and the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as to each Lender, its obligation to make a Loan to the Borrower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in a principal amount not to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shall have assumed its Commitment, as applicable, as such amount may be adjusted from time to time in accordance with this Agreement. The aggregate amount of the Commitments on the Closing Date is $4,100,000,000.</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recitals hereto.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7" w:name="page18"/>
    <w:bookmarkEnd w:id="17"/>
    <w:p>
      <w:pPr>
        <w:jc w:val="both"/>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means any fact, change, circumstance, event, occurrence, condition, development or combination of the foregoing which is materially adverse to the business, results of operations or financial condition of the Company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Company Material Adverse Effect shall not be deemed to include the impact of: (A) changes after the date of the Merger Agreement in GAAP;</w:t>
      </w:r>
    </w:p>
    <w:p>
      <w:pPr>
        <w:jc w:val="both"/>
        <w:ind w:firstLine="8"/>
        <w:spacing w:after="0" w:line="281" w:lineRule="auto"/>
        <w:tabs>
          <w:tab w:leader="none" w:pos="302"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after the date of the Merger Agreement in Laws; (C) changes after the date of the Merger Agreement in global, national or regional political conditions (including the outbreak of war or acts of terrorism) or in economic or market conditions (including securities markets, credit markets, currency markets and other financial markets) in any country; (D) earthquakes, hurricanes, tsunamis, tornadoes, floods, mudslides, wild fires or other natural disasters, weather conditions and other force majeure events; (E) the announcement, pendency or consummation of the Merger Agreement, including the identity of ADI or any of its Affiliates, or any communication by ADI or any of its Affiliates (including any impact on the relationship of the Company or any of the Company’s Subsidiaries, contractual or otherwise, with its customers, suppliers, distributors, vendors, licensors, licensees, lenders, employees or partners);</w:t>
      </w:r>
    </w:p>
    <w:p>
      <w:pPr>
        <w:spacing w:after="0" w:line="4" w:lineRule="exact"/>
        <w:rPr>
          <w:rFonts w:ascii="Arial" w:cs="Arial" w:eastAsia="Arial" w:hAnsi="Arial"/>
          <w:sz w:val="16"/>
          <w:szCs w:val="16"/>
          <w:color w:val="auto"/>
        </w:rPr>
      </w:pPr>
    </w:p>
    <w:p>
      <w:pPr>
        <w:jc w:val="both"/>
        <w:ind w:firstLine="8"/>
        <w:spacing w:after="0" w:line="267" w:lineRule="auto"/>
        <w:tabs>
          <w:tab w:leader="none" w:pos="266"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change in the trading price of the Company Common Stock, any suspension of trading in the Company Common Stock, or the failure of the Company to meet public projections, estimates or expectations of the Company’s revenue, earnings or other financial performance or results of operations for any period, or any failure by the Company to meet any internal budgets, plans or forecasts of its revenues, earnings or other financial performance or results of operations (but not, in each case, the underlying cause of such changes or failures, unless such underlying cause would otherwise be excepted from this definition); (G) any breach, violation or non-performance of any provision of the Merger Agreement by ADI or any of its Affiliates; (H) any actions taken or omitted to be taken by the Company or any of its Subsidiaries at the written request of ADI; and (I) any claims or actions arising from allegations of breach of fiduciary duty or otherwise relating to the Merger Agreement or the Merger; except, with respect to clauses (A), (B), (C) or (D), to the extent that the effects of such change are disproportionately adverse to the business, properties, results of operations or financial condition of the Company and its Subsidiaries, taken as a whole, as compared to other companies in the industries in which the Company and its Subsidiaries operate, in which case only the incremental disproportionate impact may be taken into account in determining whether there has been a Company Material Adverse Effect. Capitalized terms used but not defined in this definition (other than the terms Merger Agreement and Company Material Adverse Effect) shall have the meanings assigned to such terms in the Merger Agreement as in effect on July 26, 2016.</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6.02</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 Jurisdiction</w:t>
      </w:r>
      <w:r>
        <w:rPr>
          <w:rFonts w:ascii="Arial" w:cs="Arial" w:eastAsia="Arial" w:hAnsi="Arial"/>
          <w:sz w:val="18"/>
          <w:szCs w:val="18"/>
          <w:color w:val="auto"/>
        </w:rPr>
        <w:t xml:space="preserve">” means any member state of the European Union as of the date hereof that is not a Permitted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contained herein, in no event shall Bulgaria, Cyprus, Estonia or Latvia be a Consent Jurisdiction.</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xml:space="preserve">” means, for any period, for ADI and its Subsidiaries on a consolidated basis, an amount equal to Consolidated Net Income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 the following to the extent deducted in calculating such Consolidated Net Income and without duplication: (i) Consolidated Interest Charges for such period, (ii) the provision for federal, state, local and foreign income taxes payable by ADI and its Subsidiaries for such period,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8" w:name="page19"/>
    <w:bookmarkEnd w:id="18"/>
    <w:p>
      <w:pPr>
        <w:jc w:val="both"/>
        <w:ind w:firstLine="8"/>
        <w:spacing w:after="0" w:line="289" w:lineRule="auto"/>
        <w:tabs>
          <w:tab w:leader="none" w:pos="345"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depreciation and amortization expense for such period, (iv) non-cash stock-based compensation expense for such period, (v) certain non-recurring expenses of ADI and its Subsidiaries incurred prior to the date hereof, as more fully set forth on </w:t>
      </w:r>
      <w:r>
        <w:rPr>
          <w:rFonts w:ascii="Arial" w:cs="Arial" w:eastAsia="Arial" w:hAnsi="Arial"/>
          <w:sz w:val="16"/>
          <w:szCs w:val="16"/>
          <w:u w:val="single" w:color="auto"/>
          <w:color w:val="auto"/>
        </w:rPr>
        <w:t>Schedule 1.01</w:t>
      </w:r>
      <w:r>
        <w:rPr>
          <w:rFonts w:ascii="Arial" w:cs="Arial" w:eastAsia="Arial" w:hAnsi="Arial"/>
          <w:sz w:val="16"/>
          <w:szCs w:val="16"/>
          <w:color w:val="auto"/>
        </w:rPr>
        <w:t xml:space="preserve">, for such period, and non-recurring cash expenses relating to pension liabilities incurred after July 10, 2015, in an aggregate amount not to exceed $300,000,000, (vi) non-recurring expenses (whether or not separately identified on the profit and loss statement) of ADI and its Subsidiaries reducing such Consolidated Net Income which do not represent a cash item in such period or any future period, (vii) non-recurring cash expenses (whether or not separately identified on the profit and loss statement) of ADI and its Subsidiaries reducing such Consolidated Net Income to the extent such cash expenses are not paid in such period but will be paid in a future period (it being understood that such non-recurring cash expenses will reduce Consolidated EBITDA, but only when paid), (viii) fees and expenses in connection with the Transactions, and (ix) merger and integration costs in connection with the Transactions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to the extent included in calculating such Consolidated Net Income, all non-recurring non-cash items increasing Consolidated Net Income for such period, all as determined in accordance with GAAP.</w:t>
      </w:r>
    </w:p>
    <w:p>
      <w:pPr>
        <w:spacing w:after="0" w:line="16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Charges</w:t>
      </w:r>
      <w:r>
        <w:rPr>
          <w:rFonts w:ascii="Arial" w:cs="Arial" w:eastAsia="Arial" w:hAnsi="Arial"/>
          <w:sz w:val="17"/>
          <w:szCs w:val="17"/>
          <w:color w:val="auto"/>
        </w:rPr>
        <w:t>” means, for any period, for ADI and its Subsidiaries on a consolidated basis, the sum of (a) all interest, premium payments, debt discount, fees, charges and related expenses of ADI and its Subsidiaries in connection with borrowed money (including capitalized interest) or in connection with the deferred purchase price of assets, in each case to the extent treated as interest in accordance with GAAP, and (b) the portion of rent expense of ADI and its Subsidiaries with respect to such period under capital leases that is treated as interest in accordance with GAAP.</w:t>
      </w:r>
    </w:p>
    <w:p>
      <w:pPr>
        <w:spacing w:after="0" w:line="17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for ADI and its Subsidiaries on a consolidated basis, the net income of ADI and its Subsidiaries (excluding extraordinary gains and extraordinary losses) for that period, in each case as determined in accordance with GAAP.</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Tangible Assets</w:t>
      </w:r>
      <w:r>
        <w:rPr>
          <w:rFonts w:ascii="Arial" w:cs="Arial" w:eastAsia="Arial" w:hAnsi="Arial"/>
          <w:sz w:val="18"/>
          <w:szCs w:val="18"/>
          <w:color w:val="auto"/>
        </w:rPr>
        <w:t>” means, at any time, the consolidated tangible assets of ADI and its Subsidiaries, as determined in accordance with GAAP.</w:t>
      </w:r>
    </w:p>
    <w:p>
      <w:pPr>
        <w:spacing w:after="0" w:line="170"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Continuing Directors</w:t>
      </w:r>
      <w:r>
        <w:rPr>
          <w:rFonts w:ascii="Arial" w:cs="Arial" w:eastAsia="Arial" w:hAnsi="Arial"/>
          <w:sz w:val="16"/>
          <w:szCs w:val="16"/>
          <w:color w:val="auto"/>
        </w:rPr>
        <w:t>” means the directors of ADI on the date hereof, and each other director whose election by the board of directors of ADI or whose nomination for election by the stockholders of ADI was approved by a vote of at least a majority of the directors who were either directors of ADI on the date hereof or whose election or nomination for election was previously so approved by directors who were Continuing Directors (in each case, such approval either by a specific vote or by approval of ADI’s proxy statement in which such director was named as a nominee for election as a director).</w:t>
      </w:r>
    </w:p>
    <w:p>
      <w:pPr>
        <w:spacing w:after="0" w:line="154"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9" w:name="page20"/>
    <w:bookmarkEnd w:id="19"/>
    <w:p>
      <w:pPr>
        <w:jc w:val="both"/>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of any date of determination, the rating as determined by S&amp;P and Moody’s (collectively, the “</w:t>
      </w:r>
      <w:r>
        <w:rPr>
          <w:rFonts w:ascii="Arial" w:cs="Arial" w:eastAsia="Arial" w:hAnsi="Arial"/>
          <w:sz w:val="18"/>
          <w:szCs w:val="18"/>
          <w:u w:val="single" w:color="auto"/>
          <w:color w:val="auto"/>
        </w:rPr>
        <w:t>Debt Ratings</w:t>
      </w:r>
      <w:r>
        <w:rPr>
          <w:rFonts w:ascii="Arial" w:cs="Arial" w:eastAsia="Arial" w:hAnsi="Arial"/>
          <w:sz w:val="18"/>
          <w:szCs w:val="18"/>
          <w:color w:val="auto"/>
        </w:rPr>
        <w:t>”) of ADI’s non-credit-enhanced, senior unsecured long-term debt.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1"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Securities</w:t>
      </w:r>
      <w:r>
        <w:rPr>
          <w:rFonts w:ascii="Arial" w:cs="Arial" w:eastAsia="Arial" w:hAnsi="Arial"/>
          <w:sz w:val="17"/>
          <w:szCs w:val="17"/>
          <w:color w:val="auto"/>
        </w:rPr>
        <w:t>” means (a) the $400,000,000 in aggregate principal amount of 2.500% Senior Notes due December 5, 2021, (b) the $550,000,000 in aggregate principal amount of 3.125% Senior Notes due December 5, 2023, (c) the $900,000,000 in aggregate principal amount of 3.500% Senior Notes due December 5, 2026 and (d) the $250,000,000 in aggregate principal amount of 4.500% Senior Notes due December 5, 2036, in each case, issued pursuant to that certain Indenture, dated as of June 3, 2013, as supplemented by that certain Supplemental Indenture, dated as of December 5, 2016, by and between ADI and the Bank of New York Mellon Trust Company, N.A., as trustee.</w:t>
      </w:r>
    </w:p>
    <w:p>
      <w:pPr>
        <w:spacing w:after="0" w:line="173"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means an interest rate equal to (i) the Base Rate plus (ii) the Applicable Rate, if any, applicable to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 Eurodollar Rate Loan, the Default Rate shall be an interest rate equal to the interest rate (including any Applicable Rate) otherwise applicable to such Loan plus 2% per annum, in each case to the fullest extent permitted by applicable Laws.</w:t>
      </w:r>
    </w:p>
    <w:p>
      <w:pPr>
        <w:spacing w:after="0" w:line="166"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(a) has failed to (i) fund all or any portion of its Loans within two Business Days of the date such Loans were required to be funded hereunder, or (ii) pay to the Administrative Agent or any Lender any other amount required to be paid by it hereunder within two Business Days of the date when due, (b) has notified ADI or the Administrative Agent in writing that it does not intend to comply with its funding obligations hereunder, or has made a public statement to that effect, (c) has failed, within three Business Days after written request by the Administrative Agent or ADI,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the Administrative Agent and ADI), or</w:t>
      </w:r>
    </w:p>
    <w:p>
      <w:pPr>
        <w:spacing w:after="0" w:line="5"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has, or has a direct or indirect parent company that has, (i) become the subject of a proceeding under any Debtor Relief Law or any Bail-In Action, or</w:t>
      </w:r>
    </w:p>
    <w:p>
      <w:pPr>
        <w:spacing w:after="0" w:line="32" w:lineRule="exact"/>
        <w:rPr>
          <w:rFonts w:ascii="Arial" w:cs="Arial" w:eastAsia="Arial" w:hAnsi="Arial"/>
          <w:sz w:val="16"/>
          <w:szCs w:val="16"/>
          <w:color w:val="auto"/>
        </w:rPr>
      </w:pPr>
    </w:p>
    <w:p>
      <w:pPr>
        <w:jc w:val="both"/>
        <w:ind w:firstLine="8"/>
        <w:spacing w:after="0" w:line="253" w:lineRule="auto"/>
        <w:tabs>
          <w:tab w:leader="none" w:pos="302"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Interests in that Lender or any direct or indirect parent company thereof by a Governmental Authority so long as such ownership interest does not result in or provide such Lender with immunity from the jurisdiction of courts within the United States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0" w:name="page21"/>
    <w:bookmarkEnd w:id="20"/>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and of the effective date of such status, shall be conclusive and binding absent manifest error, and such Lender shall be deemed to be a Defaulting Lender as of the date established therefor by the Administrative Agent in a written notice of such determination, which shall be delivered by the Administrative Agent to ADI and each other Lender promptly following such determination.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is the subject of any Sanction.</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property of any Person, including any sale, assignment, transfer or other disposal, with or without recourse, of any notes or accounts receivable or any rights and claims associated therewith.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jc w:val="both"/>
        <w:ind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w:t>
      </w:r>
    </w:p>
    <w:p>
      <w:pPr>
        <w:ind w:right="20" w:firstLine="8"/>
        <w:spacing w:after="0" w:line="261" w:lineRule="auto"/>
        <w:tabs>
          <w:tab w:leader="none" w:pos="2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institution established in an EEA Member Country which is a subsidiary of an institution described in clause (a) or (b) of this definition and is subject to consolidated supervision with its parent.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applicable federal, state, local, foreign and other applicable statutes, laws, regulations, ordinances, rules, judgments, orders, decrees, permits, concessions, grants, franchises, governmental licenses, governmental agreements or governmental restrictions relating to pollution or the protection of the environment or the release of any materials into the environment, including those related to hazardous substances or wastes, air emissions and discharges to waste or public systems.</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ADI or any of its Subsidiaries directly or indirectly resulting from or based upon (a) violation of any Environmental Law, (b) the generation, use, handling, transportation, storage, treatment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1" w:name="page22"/>
    <w:bookmarkEnd w:id="21"/>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1"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under common control with ADI within the meaning of Section 414(b) or (c) of the Code (and Sections 414(m) and (o) of the Code for purposes of provisions relating to Section 412 of the Code).</w:t>
      </w:r>
    </w:p>
    <w:p>
      <w:pPr>
        <w:spacing w:after="0" w:line="170"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a withdrawal by ADI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ADI or any ERISA Affiliate from a Multiemployer Plan or notification that a Multiemployer Plan is in reorganization; (d) the filing of a notice of intent to terminate, the treatment of a Pension Plan amendment as a termination under Section 4041 or 4041A of ERISA, or the institution by the PBGC of proceedings to terminate a Pension Plan; (e) any event or condition which constitutes grounds under Section 4042 of ERISA for the termination of, or the appointment of a trustee to administer, any Pension Plan; (f) the imposition of any liability under Title IV of ERISA, other than for PBGC premiums due but not delinquent under Section 4007 of ERISA, upon ADI or any ERISA Affiliate; or (g) the determination that any Pension Plan is considered an at-risk plan or a plan in endangered or critical status within the meaning of Sections 430, 431 and 432 of the Code or Sections 303, 304 and 305 of ERISA.</w:t>
      </w:r>
    </w:p>
    <w:p>
      <w:pPr>
        <w:spacing w:after="0" w:line="182"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Rate</w:t>
      </w:r>
      <w:r>
        <w:rPr>
          <w:rFonts w:ascii="Arial" w:cs="Arial" w:eastAsia="Arial" w:hAnsi="Arial"/>
          <w:sz w:val="17"/>
          <w:szCs w:val="17"/>
          <w:color w:val="auto"/>
        </w:rPr>
        <w:t xml:space="preserve">” means, with respect to any Eurodollar Rate Loan for any Interest Period, the Eurodollar Screen Rate at approximately 11:00 a.m., London time, two Business Days prior to the commencement of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Eurodollar Screen Rate shall be available at such time for such Interest Period but Eurodollar Screen Rates shall be available for maturities both longer and shorter than such Interest Period, then the Eurodollar Rate for such Interest Period shall be the Interpolated Screen Rate. Notwithstanding the foregoing, if the Eurodollar Rate, determined as provided above, would otherwise be less than zero, then the Eurodollar Rate shall be deemed to be zero for all purposes.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Eurodollar Rate Borrowing</w:t>
      </w:r>
      <w:r>
        <w:rPr>
          <w:rFonts w:ascii="Arial" w:cs="Arial" w:eastAsia="Arial" w:hAnsi="Arial"/>
          <w:sz w:val="18"/>
          <w:szCs w:val="18"/>
          <w:color w:val="auto"/>
        </w:rPr>
        <w:t>” means a Borrowing comprised of Eurodollar Rate Loans.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Loan that bears interest at the Eurodollar Rate.</w:t>
      </w:r>
    </w:p>
    <w:p>
      <w:pPr>
        <w:spacing w:after="0" w:line="22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Screen Rate</w:t>
      </w:r>
      <w:r>
        <w:rPr>
          <w:rFonts w:ascii="Arial" w:cs="Arial" w:eastAsia="Arial" w:hAnsi="Arial"/>
          <w:sz w:val="16"/>
          <w:szCs w:val="16"/>
          <w:color w:val="auto"/>
        </w:rPr>
        <w:t>” means, for any day and time, with respect to any Eurodollar Rate Loan for any Interest Period, the London interbank offered rate as administered by the ICE Benchmark Administration (or any other Person that takes over the administration of such rate) for deposits in Dollars (for delivery on the first day of such Interest Period) for a period equal in length to such Interest Period as displayed on the Reuters screen page that displays such rate (currently page LIBOR01 or LIBOR02) or, in the event such rate does not appear on a page of the Reuters screen, on the appropriate page of such other information service that publishes such rate from time to time as selected by the Administrative Agent in its reasonable discretion.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jc w:val="both"/>
        <w:ind w:firstLine="8"/>
        <w:spacing w:after="0" w:line="281" w:lineRule="auto"/>
        <w:tabs>
          <w:tab w:leader="none" w:pos="229"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and, solely with respect to payments made by the Subsidiary Borrower, Republic of Ireland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ADI under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amounts with respect to such Taxes were payable either to such Lender’s assignor immediately before such Lender acquired the applicable interest in such Loan or to such Lender immediately before it changed its Lending Office,</w:t>
      </w:r>
    </w:p>
    <w:p>
      <w:pPr>
        <w:spacing w:after="0" w:line="4" w:lineRule="exact"/>
        <w:rPr>
          <w:rFonts w:ascii="Arial" w:cs="Arial" w:eastAsia="Arial" w:hAnsi="Arial"/>
          <w:sz w:val="16"/>
          <w:szCs w:val="16"/>
          <w:color w:val="auto"/>
        </w:rPr>
      </w:pPr>
    </w:p>
    <w:p>
      <w:pPr>
        <w:ind w:left="240" w:hanging="232"/>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Taxes attributable to such Recipient’s failure to comply with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and (d) any U.S. federal withholding Taxes imposed under FATCA.</w:t>
      </w:r>
    </w:p>
    <w:p>
      <w:pPr>
        <w:spacing w:after="0" w:line="22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 (b) (1) of the Code.</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rate shall be less than zero, such rate shall be deemed to be zero for all purposes of this Agreement.</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(a) the Administrative Agent Fee Letter dated July 26, 2016, between ADI and the Administrative Agent and (b) the Arranger Fee Letter dated July 26, 2016, among ADI, JPMCB, Bank of America, N.A., MLPF&amp;S, Credit Suisse Securities (USA) LLC and Credit Suisse AG, Cayman Islands Branch.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U.S. Person.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means, as to any Person, (a) any obligation, contingent or otherwise, of such Person guaranteeing any Indebtedness or other monetary obligation payable by another Person (the “primary obligor”)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w:t>
      </w:r>
    </w:p>
    <w:p>
      <w:pPr>
        <w:spacing w:after="0" w:line="5" w:lineRule="exact"/>
        <w:rPr>
          <w:sz w:val="20"/>
          <w:szCs w:val="20"/>
          <w:color w:val="auto"/>
        </w:rPr>
      </w:pPr>
    </w:p>
    <w:p>
      <w:pPr>
        <w:jc w:val="both"/>
        <w:ind w:firstLine="8"/>
        <w:spacing w:after="0" w:line="252"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entered into for the purpose of assuring in any other manner the obligee in respect of such Indebtedness or other monetary obligation of the payment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4" w:name="page25"/>
    <w:bookmarkEnd w:id="24"/>
    <w:p>
      <w:pPr>
        <w:jc w:val="both"/>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Guarantor</w:t>
      </w:r>
      <w:r>
        <w:rPr>
          <w:rFonts w:ascii="Arial" w:cs="Arial" w:eastAsia="Arial" w:hAnsi="Arial"/>
          <w:sz w:val="18"/>
          <w:szCs w:val="18"/>
          <w:color w:val="auto"/>
        </w:rPr>
        <w:t>” means, from and after the date of the Assumption of Borrower Obligations, ADI in its capacity as guarantor of the Obligations of the Subsidiary Borrower.</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460" w:firstLine="443"/>
        <w:spacing w:after="0" w:line="277" w:lineRule="auto"/>
        <w:tabs>
          <w:tab w:leader="none" w:pos="11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direct or contingent obligations of such Person arising in respect of letters of credit (including standby and commercial), bankers’ acceptances, bank guaranties, surety bonds and similar instruments;</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117" w:lineRule="exact"/>
        <w:rPr>
          <w:rFonts w:ascii="Arial" w:cs="Arial" w:eastAsia="Arial" w:hAnsi="Arial"/>
          <w:sz w:val="18"/>
          <w:szCs w:val="18"/>
          <w:color w:val="auto"/>
        </w:rPr>
      </w:pPr>
    </w:p>
    <w:p>
      <w:pPr>
        <w:jc w:val="both"/>
        <w:ind w:left="460" w:firstLine="443"/>
        <w:spacing w:after="0" w:line="312" w:lineRule="auto"/>
        <w:tabs>
          <w:tab w:leader="none" w:pos="115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obligations of such Person to pay the deferred purchase price of property or services (other than (i) trade accounts payable in the ordinary course of business and (ii) earnouts or other earned deferred payment obligations measured in whole or in part by events or performance occurring after the purchase, to the extent such obligations have not yet been recorded as liabilities on the consolidated balance sheet of such Person);</w:t>
      </w:r>
    </w:p>
    <w:p>
      <w:pPr>
        <w:spacing w:after="0" w:line="38" w:lineRule="exact"/>
        <w:rPr>
          <w:rFonts w:ascii="Arial" w:cs="Arial" w:eastAsia="Arial" w:hAnsi="Arial"/>
          <w:sz w:val="16"/>
          <w:szCs w:val="16"/>
          <w:color w:val="auto"/>
        </w:rPr>
      </w:pPr>
    </w:p>
    <w:p>
      <w:pPr>
        <w:jc w:val="both"/>
        <w:ind w:left="460" w:firstLine="443"/>
        <w:spacing w:after="0" w:line="264" w:lineRule="auto"/>
        <w:tabs>
          <w:tab w:leader="none" w:pos="11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leases and Synthetic Lease Obligations;</w:t>
      </w:r>
    </w:p>
    <w:p>
      <w:pPr>
        <w:spacing w:after="0" w:line="117" w:lineRule="exact"/>
        <w:rPr>
          <w:rFonts w:ascii="Arial" w:cs="Arial" w:eastAsia="Arial" w:hAnsi="Arial"/>
          <w:sz w:val="18"/>
          <w:szCs w:val="18"/>
          <w:color w:val="auto"/>
        </w:rPr>
      </w:pPr>
    </w:p>
    <w:p>
      <w:pPr>
        <w:jc w:val="both"/>
        <w:ind w:left="460" w:firstLine="443"/>
        <w:spacing w:after="0" w:line="264" w:lineRule="auto"/>
        <w:tabs>
          <w:tab w:leader="none" w:pos="11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plus accrued and unpaid dividends;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5" w:name="page26"/>
    <w:bookmarkEnd w:id="25"/>
    <w:p>
      <w:pPr>
        <w:jc w:val="both"/>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4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as to any Loan other than a Base Rate Loan, the last day of each Interest Period applicable to such Loan and the Maturity Date; and (b) as to any Base Rate Loan, the last Business Day of each March, June, September and December and the Maturity Date.</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one, two or three months thereafter, as selected by the Borrower in the applicable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460" w:firstLine="443"/>
        <w:spacing w:after="0" w:line="308" w:lineRule="auto"/>
        <w:tabs>
          <w:tab w:leader="none" w:pos="1143"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38" w:lineRule="exact"/>
        <w:rPr>
          <w:rFonts w:ascii="Arial" w:cs="Arial" w:eastAsia="Arial" w:hAnsi="Arial"/>
          <w:sz w:val="17"/>
          <w:szCs w:val="17"/>
          <w:color w:val="auto"/>
        </w:rPr>
      </w:pPr>
    </w:p>
    <w:p>
      <w:pPr>
        <w:jc w:val="both"/>
        <w:ind w:left="460" w:firstLine="443"/>
        <w:spacing w:after="0" w:line="342" w:lineRule="auto"/>
        <w:tabs>
          <w:tab w:leader="none" w:pos="11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5" w:lineRule="exact"/>
        <w:rPr>
          <w:rFonts w:ascii="Arial" w:cs="Arial" w:eastAsia="Arial" w:hAnsi="Arial"/>
          <w:sz w:val="16"/>
          <w:szCs w:val="16"/>
          <w:color w:val="auto"/>
        </w:rPr>
      </w:pPr>
    </w:p>
    <w:p>
      <w:pPr>
        <w:ind w:left="1140" w:hanging="237"/>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Interest Period shall extend beyond the applicable Maturity Date.</w:t>
      </w:r>
    </w:p>
    <w:p>
      <w:pPr>
        <w:spacing w:after="0" w:line="225"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Interpolated Screen Rate</w:t>
      </w:r>
      <w:r>
        <w:rPr>
          <w:rFonts w:ascii="Arial" w:cs="Arial" w:eastAsia="Arial" w:hAnsi="Arial"/>
          <w:sz w:val="16"/>
          <w:szCs w:val="16"/>
          <w:color w:val="auto"/>
        </w:rPr>
        <w:t>” means, with respect to any Eurodollar Rate Loan for any Interest Period, a rate per annum which results from interpolating on a linear basis between (a) the applicable Eurodollar Screen Rate for the longest maturity for which a Eurodollar Screen Rate is available that is shorter than such Interest Period and (b) the applicable Eurodollar Screen Rate for the shortest maturity for which a Eurodollar Screen Rate is available that is longer than such Interest Period, in each case at approximately 11:00 a.m., London time, two Business Days prior to the commencement of such Interest Period.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JPMCB</w:t>
      </w:r>
      <w:r>
        <w:rPr>
          <w:rFonts w:ascii="Arial" w:cs="Arial" w:eastAsia="Arial" w:hAnsi="Arial"/>
          <w:sz w:val="18"/>
          <w:szCs w:val="18"/>
          <w:color w:val="auto"/>
        </w:rPr>
        <w:t>” means JPMorgan Chase Bank, N.A., and its successors.</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6" w:name="page27"/>
    <w:bookmarkEnd w:id="26"/>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Governmental Authority charged with the enforcement, interpretation or administration thereof, and all applicable administrative orders, directed duties, requests, licenses, authorizations and permits of, and agreements with, any Governmental Authority (other than agreements consisting of contracts with Governmental Authorities entered into by a Person in the ordinary course of business), in each case whether or not having the force of law.</w:t>
      </w:r>
    </w:p>
    <w:p>
      <w:pPr>
        <w:spacing w:after="0" w:line="166"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means each of the Persons listed on Schedule 2.01 and any other Person that shall have become a party hereto pursuant to an Assignment and Assumption, other than any such Person that shall have ceased to be a party hereto pursuant to an Assignment and Assumption.</w:t>
      </w:r>
    </w:p>
    <w:p>
      <w:pPr>
        <w:spacing w:after="0" w:line="14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ADI and the Administrative Agent.</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each Note, the Fee Letters and each Assumption, Release and Guarantee Agreement.</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Notice</w:t>
      </w:r>
      <w:r>
        <w:rPr>
          <w:rFonts w:ascii="Arial" w:cs="Arial" w:eastAsia="Arial" w:hAnsi="Arial"/>
          <w:sz w:val="18"/>
          <w:szCs w:val="18"/>
          <w:color w:val="auto"/>
        </w:rPr>
        <w:t xml:space="preserve">” means a notice of (a) a borrowing of Loans, (b) a conversion of Loans from one Type to the other, or (c) a continuation of Eurodollar Rate Loans, which, if in writing, shall be substantially in the form of </w:t>
      </w:r>
      <w:r>
        <w:rPr>
          <w:rFonts w:ascii="Arial" w:cs="Arial" w:eastAsia="Arial" w:hAnsi="Arial"/>
          <w:sz w:val="18"/>
          <w:szCs w:val="18"/>
          <w:u w:val="single" w:color="auto"/>
          <w:color w:val="auto"/>
        </w:rPr>
        <w:t>Exhibit 2.02</w:t>
      </w:r>
      <w:r>
        <w:rPr>
          <w:rFonts w:ascii="Arial" w:cs="Arial" w:eastAsia="Arial" w:hAnsi="Arial"/>
          <w:sz w:val="18"/>
          <w:szCs w:val="18"/>
          <w:color w:val="auto"/>
        </w:rPr>
        <w: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(a) prior to the Assumption of Borrower Obligations, ADI (as Borrower) and (b) from and after the Assumption of Borrower Obligations, the Subsidiary Borrower (as Borrower) and ADI (as Guarantor and, if the Subsidiary Borrower shall have assumed only a portion of ADI’s Borrower Obligations, as a Borrower).</w:t>
      </w:r>
    </w:p>
    <w:p>
      <w:pPr>
        <w:spacing w:after="0" w:line="18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a material adverse change in, or a material adverse effect upon, the operations, business, assets, properties, liabilities (actual or contingent) or financial condition of ADI and its Subsidiaries, taken as a whole; (b) a material impairment of the rights and remedies of the Administrative Agent or any Lender under this Agreement or the Loan Documents, taken as a whole, or the ability of the Loan Parties, taken as a whole, to perform their obligations under this Agreement or the Loan Documents, taken as a whole; or (c) a material adverse effect upon the legality, validity, binding effect or enforceability against the Loan Parties of this Agreement or the Loan Documents, taken as a whole.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7" w:name="page28"/>
    <w:bookmarkEnd w:id="27"/>
    <w:p>
      <w:pPr>
        <w:jc w:val="both"/>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each Subsidiary now existing or hereafter acquired or formed, and each successor thereto, together with its Subsidiaries on a consolidated basis, with respect to which any of the following criteria has been met: (a) the aggregate revenue generated by such Subsidiary and its Subsidiaries on a consolidated basis for the twelve month period ending as of the most recently completed fiscal quarter of ADI equals or exceeds 5% of the consolidated gross revenues of ADI and its Subsidiaries for such period, (b) the Consolidated EBITDA attributable to such Subsidiary and its Subsidiaries on a consolidated basis for the twelve month period ending as of the most recently completed fiscal quarter of ADI equals or exceeds 5% of Consolidated EBITDA for such period or (c) the aggregate book value of the assets of such Subsidiary and its Subsidiaries on a consolidated basis as of the last day of the most recently completed fiscal quarter of ADI equals or exceeds 5% of the book value of all of the assets of ADI and its Subsidiaries as of the last day of such period.</w:t>
      </w:r>
    </w:p>
    <w:p>
      <w:pPr>
        <w:spacing w:after="0" w:line="192"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the day that is 90 days after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the Maturity Date shall be the immediately succeeding Business Day.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Agreement Representations</w:t>
      </w:r>
      <w:r>
        <w:rPr>
          <w:rFonts w:ascii="Arial" w:cs="Arial" w:eastAsia="Arial" w:hAnsi="Arial"/>
          <w:sz w:val="16"/>
          <w:szCs w:val="16"/>
          <w:color w:val="auto"/>
        </w:rPr>
        <w:t>” means such of the representations and warranties made by the Company in the Merger Agreement as are material to the interests of the Lenders (in their capacities as such), but only to the extent that ADI (or any of its Affiliates) has the right to terminate its obligations under the Merger Agreement or the right to elect not to consummate the Acquisition as a result of a breach of such representations in the Merger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described in Section 4001(a)(3) of ERISA, to which ADI or any ERISA Affiliate makes or is obligated to make contributions, or during the preceding five plan years, has made or been obligated to make contributions.</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Pension Plan which has two or more contributing sponsors (including ADI or any ERISA Affiliate) at least two of whom are not under common control, as such a plan is described in Section 4064 of ERISA.</w:t>
      </w:r>
    </w:p>
    <w:p>
      <w:pPr>
        <w:spacing w:after="0" w:line="170"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(b) has been approved by the Required Lenders.</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made by the Borrower in favor of a Lender evidencing Loans made by such Lender to the Borrower, substantially in the form of </w:t>
      </w:r>
      <w:r>
        <w:rPr>
          <w:rFonts w:ascii="Arial" w:cs="Arial" w:eastAsia="Arial" w:hAnsi="Arial"/>
          <w:sz w:val="18"/>
          <w:szCs w:val="18"/>
          <w:u w:val="single" w:color="auto"/>
          <w:color w:val="auto"/>
        </w:rPr>
        <w:t>Exhibit 2.09</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Illegality</w:t>
      </w:r>
      <w:r>
        <w:rPr>
          <w:rFonts w:ascii="Arial" w:cs="Arial" w:eastAsia="Arial" w:hAnsi="Arial"/>
          <w:sz w:val="18"/>
          <w:szCs w:val="18"/>
          <w:color w:val="auto"/>
        </w:rPr>
        <w:t xml:space="preserve">” has the meaning specified in the last proviso to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8" w:name="page29"/>
    <w:bookmarkEnd w:id="28"/>
    <w:p>
      <w:pPr>
        <w:jc w:val="both"/>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NYFRB Rate</w:t>
      </w:r>
      <w:r>
        <w:rPr>
          <w:rFonts w:ascii="Arial" w:cs="Arial" w:eastAsia="Arial" w:hAnsi="Arial"/>
          <w:sz w:val="18"/>
          <w:szCs w:val="18"/>
          <w:color w:val="auto"/>
        </w:rPr>
        <w:t xml:space="preserve">” means, for any day, the greater of (a) the Federal Funds Rate in effect on such day and (b) the Overnight Bank Funding Rate in effect on such day (or for any day that is not a Business Day, for the immediately preceding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none of such rates are published for any day that is a Business Day, “NYFRB Rate” shall mean the rate for a federal funds transaction quoted at 11:00 a.m., New York City time, on such day received by the Administrative Agent from a Federal funds broker of recognized standing selected by it;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if any of the aforesaid rates shall be less than zero, such rate shall be deemed to be zero for purposes of this Agreement.</w:t>
      </w:r>
    </w:p>
    <w:p>
      <w:pPr>
        <w:spacing w:after="0" w:line="18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with respect to any Loan or otherwise under any Loan Document,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the certificate or articles of incorporation and the bylaws (or equivalent or comparable constitutive documents).</w:t>
      </w:r>
    </w:p>
    <w:p>
      <w:pPr>
        <w:spacing w:after="0" w:line="2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Date</w:t>
      </w:r>
      <w:r>
        <w:rPr>
          <w:rFonts w:ascii="Arial" w:cs="Arial" w:eastAsia="Arial" w:hAnsi="Arial"/>
          <w:sz w:val="18"/>
          <w:szCs w:val="18"/>
          <w:color w:val="auto"/>
        </w:rPr>
        <w:t>” means October 26, 2017.</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ADI or any ERISA Affiliate and is either covered by Title IV of ERISA or is subject to minimum funding standards under Section 412 of the Code.</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Jurisdiction</w:t>
      </w:r>
      <w:r>
        <w:rPr>
          <w:rFonts w:ascii="Arial" w:cs="Arial" w:eastAsia="Arial" w:hAnsi="Arial"/>
          <w:sz w:val="18"/>
          <w:szCs w:val="18"/>
          <w:color w:val="auto"/>
        </w:rPr>
        <w:t>” means any State of the United States, the District of Columbia, Belgium, Finland, Germany, Hong Kong, Ireland, Luxembourg, the Netherlands, Singapore, Sweden, Switzerland or the United Kingdom.</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any employee benefit plan within the meaning of Section 3(3) of ERISA (including a Pension Plan), maintained for employees of ADI or any ERISA Affiliate or any such Plan to which ADI or any ERISA Affiliate is required to contribute on behalf of any of its employees.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or any other recipient of any payment to be made by or on account of any obligation of the Borrower 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9.06(b)</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30-day notice period has been waived.</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Commitments or Loans representing more than 50% of the aggregate Commitments or Loans, as the case may be, outstanding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or Loans of any Defaulting Lender shall be disregarded in determining Required Lenders at any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9.06(a)</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the chief executive officer, president, chief financial officer, treasurer, assistant treasurer, chief accounting officer or controller of ADI and any other officer of ADI so designated by any of the foregoing officers in a written notice to the Administrative Agent</w:t>
      </w:r>
      <w:r>
        <w:rPr>
          <w:rFonts w:ascii="Arial" w:cs="Arial" w:eastAsia="Arial" w:hAnsi="Arial"/>
          <w:sz w:val="16"/>
          <w:szCs w:val="16"/>
          <w:b w:val="1"/>
          <w:bCs w:val="1"/>
          <w:color w:val="auto"/>
        </w:rPr>
        <w:t>.</w:t>
      </w:r>
      <w:r>
        <w:rPr>
          <w:rFonts w:ascii="Arial" w:cs="Arial" w:eastAsia="Arial" w:hAnsi="Arial"/>
          <w:sz w:val="16"/>
          <w:szCs w:val="16"/>
          <w:color w:val="auto"/>
        </w:rPr>
        <w:t xml:space="preserve"> Any document delivered hereunder that is signed by a Responsible Officer of ADI shall be conclusively presumed to have been authorized by all necessary corporate, partnership and/or other action on the part of ADI and such Responsible Officer shall be conclusively presumed to have acted on behalf of ADI.</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and any successor thereto.</w:t>
      </w:r>
    </w:p>
    <w:p>
      <w:pPr>
        <w:spacing w:after="0" w:line="225"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w:t>
      </w:r>
      <w:r>
        <w:rPr>
          <w:rFonts w:ascii="Arial" w:cs="Arial" w:eastAsia="Arial" w:hAnsi="Arial"/>
          <w:sz w:val="16"/>
          <w:szCs w:val="16"/>
          <w:color w:val="auto"/>
        </w:rPr>
        <w:t>” means any international economic sanction administered or enforced by the United States government (including, without limitation, OFAC and the USA PATRIOT Act), the United Nations Security Council, the European Union, Her Majesty’s Treasury or other relevant sanctions authority.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xml:space="preserve">” means the representations and warranties made by ADI in </w:t>
      </w:r>
      <w:r>
        <w:rPr>
          <w:rFonts w:ascii="Arial" w:cs="Arial" w:eastAsia="Arial" w:hAnsi="Arial"/>
          <w:sz w:val="18"/>
          <w:szCs w:val="18"/>
          <w:u w:val="single" w:color="auto"/>
          <w:color w:val="auto"/>
        </w:rPr>
        <w:t>Sections 5.01(a)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5.04</w:t>
      </w:r>
      <w:r>
        <w:rPr>
          <w:rFonts w:ascii="Arial" w:cs="Arial" w:eastAsia="Arial" w:hAnsi="Arial"/>
          <w:sz w:val="18"/>
          <w:szCs w:val="18"/>
          <w:color w:val="auto"/>
        </w:rPr>
        <w:t xml:space="preserve">, </w:t>
      </w:r>
      <w:r>
        <w:rPr>
          <w:rFonts w:ascii="Arial" w:cs="Arial" w:eastAsia="Arial" w:hAnsi="Arial"/>
          <w:sz w:val="18"/>
          <w:szCs w:val="18"/>
          <w:u w:val="single" w:color="auto"/>
          <w:color w:val="auto"/>
        </w:rPr>
        <w:t>5.14</w:t>
      </w:r>
      <w:r>
        <w:rPr>
          <w:rFonts w:ascii="Arial" w:cs="Arial" w:eastAsia="Arial" w:hAnsi="Arial"/>
          <w:sz w:val="18"/>
          <w:szCs w:val="18"/>
          <w:color w:val="auto"/>
        </w:rPr>
        <w:t xml:space="preserve">, </w:t>
      </w:r>
      <w:r>
        <w:rPr>
          <w:rFonts w:ascii="Arial" w:cs="Arial" w:eastAsia="Arial" w:hAnsi="Arial"/>
          <w:sz w:val="18"/>
          <w:szCs w:val="18"/>
          <w:u w:val="single" w:color="auto"/>
          <w:color w:val="auto"/>
        </w:rPr>
        <w:t>5.19(b)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5.20(b)</w:t>
      </w:r>
      <w:r>
        <w:rPr>
          <w:rFonts w:ascii="Arial" w:cs="Arial" w:eastAsia="Arial" w:hAnsi="Arial"/>
          <w:sz w:val="18"/>
          <w:szCs w:val="18"/>
          <w:color w:val="auto"/>
        </w:rPr>
        <w:t xml:space="preserve"> (insofar as it relates to Sanctions administered or enforced by the United States government</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170"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FRB to which the Administrative Agent is subject for eurocurrency funding (currently referred to as “Eurocurrency Liabilities” in Regulation D of the FRB). Such reserve percentages shall include those imposed pursuant to such Regulation D. Eurodollar Rate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78"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ADI (including, at all times on and after the Closing Date, the Company and its Subsidiaries).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1" w:name="page32"/>
    <w:bookmarkEnd w:id="31"/>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Subsidiary Borrower</w:t>
      </w:r>
      <w:r>
        <w:rPr>
          <w:rFonts w:ascii="Arial" w:cs="Arial" w:eastAsia="Arial" w:hAnsi="Arial"/>
          <w:sz w:val="18"/>
          <w:szCs w:val="18"/>
          <w:color w:val="auto"/>
        </w:rPr>
        <w:t xml:space="preserve">” means Analog Devices Technology Unlimited Company, a company incorporated under the laws of the Republic of Ireland, a Bermuda tax resident as of the Closing Date, and a Wholly Owned Subsidiary of ADI, or any of its successors or assigns to the extent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7.03(e)</w:t>
      </w:r>
      <w:r>
        <w:rPr>
          <w:rFonts w:ascii="Arial" w:cs="Arial" w:eastAsia="Arial" w:hAnsi="Arial"/>
          <w:sz w:val="18"/>
          <w:szCs w:val="18"/>
          <w:color w:val="auto"/>
        </w:rPr>
        <w:t xml:space="preserve"> and the last proviso to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81"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182"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firstLine="8"/>
        <w:spacing w:after="0" w:line="290" w:lineRule="auto"/>
        <w:tabs>
          <w:tab w:leader="none" w:pos="279"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6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Credit Agreement</w:t>
      </w:r>
      <w:r>
        <w:rPr>
          <w:rFonts w:ascii="Arial" w:cs="Arial" w:eastAsia="Arial" w:hAnsi="Arial"/>
          <w:sz w:val="16"/>
          <w:szCs w:val="16"/>
          <w:color w:val="auto"/>
        </w:rPr>
        <w:t>” means that certain Credit Agreement dated as of September 23, 2016, among the Borrower, the lenders party thereto and JPMorgan Chase Bank, N.A., as Administrative Agent, relating to the Term Loan Facilities, as amended, modified or supplemented from time to time.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2" w:name="page33"/>
    <w:bookmarkEnd w:id="32"/>
    <w:p>
      <w:pPr>
        <w:jc w:val="both"/>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Term Loan Facilities</w:t>
      </w:r>
      <w:r>
        <w:rPr>
          <w:rFonts w:ascii="Arial" w:cs="Arial" w:eastAsia="Arial" w:hAnsi="Arial"/>
          <w:sz w:val="18"/>
          <w:szCs w:val="18"/>
          <w:color w:val="auto"/>
        </w:rPr>
        <w:t>” means the delayed draw three-year and five-year term loan facilities in an aggregate principal amount of up to $5,000,000,000 established pursuant to the Term Loan Credit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Subsequent Subsidiary Borrower</w:t>
      </w:r>
      <w:r>
        <w:rPr>
          <w:rFonts w:ascii="Arial" w:cs="Arial" w:eastAsia="Arial" w:hAnsi="Arial"/>
          <w:sz w:val="17"/>
          <w:szCs w:val="17"/>
          <w:color w:val="auto"/>
        </w:rPr>
        <w:t>” means any “Subsequent Subsidiary Borrower” as defined in the Term Loan Credit Agreement.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$250,000,000.</w:t>
      </w:r>
    </w:p>
    <w:p>
      <w:pPr>
        <w:spacing w:after="0" w:line="117"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collectively, (a) the execution, delivery and performance of this Agreement by each Loan Party, (b) the making of the Loans hereunder and use of proceeds thereof, (c) the payment of fees and expenses incurred in connection with the foregoing and (d) the Acquisition.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Eurodollar Rate Loan.</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Financial Statements</w:t>
      </w:r>
      <w:r>
        <w:rPr>
          <w:rFonts w:ascii="Arial" w:cs="Arial" w:eastAsia="Arial" w:hAnsi="Arial"/>
          <w:sz w:val="18"/>
          <w:szCs w:val="18"/>
          <w:color w:val="auto"/>
        </w:rPr>
        <w:t>” means the unaudited condensed consolidated balance sheet of ADI and its Subsidiaries as at the end of the fiscal quarter ended January 28, 2017, and the related unaudited condensed consolidated statements of income, comprehensive income and cash flows for such fiscal quarter of ADI and its Subsidiaries, including the notes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within the meaning of Section 7701(a)(30) of the Code.</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means any Person 100% of whose Equity Interests (other than qualifying shares required in connection with a Subsidiary organized and domiciled outside of the United States) are at the time owned, directly or indirectly, by ADI.</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Other Interpretive Provisions.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117" w:lineRule="exact"/>
        <w:rPr>
          <w:sz w:val="20"/>
          <w:szCs w:val="20"/>
          <w:color w:val="auto"/>
        </w:rPr>
      </w:pPr>
    </w:p>
    <w:p>
      <w:pPr>
        <w:jc w:val="both"/>
        <w:ind w:left="460" w:firstLine="443"/>
        <w:spacing w:after="0" w:line="286" w:lineRule="auto"/>
        <w:tabs>
          <w:tab w:leader="none" w:pos="11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7"/>
          <w:szCs w:val="17"/>
          <w:u w:val="single" w:color="auto"/>
          <w:color w:val="auto"/>
        </w:rPr>
        <w:t>include</w:t>
      </w:r>
      <w:r>
        <w:rPr>
          <w:rFonts w:ascii="Arial" w:cs="Arial" w:eastAsia="Arial" w:hAnsi="Arial"/>
          <w:sz w:val="17"/>
          <w:szCs w:val="17"/>
          <w:color w:val="auto"/>
        </w:rPr>
        <w:t>”, “</w:t>
      </w:r>
      <w:r>
        <w:rPr>
          <w:rFonts w:ascii="Arial" w:cs="Arial" w:eastAsia="Arial" w:hAnsi="Arial"/>
          <w:sz w:val="17"/>
          <w:szCs w:val="17"/>
          <w:u w:val="single" w:color="auto"/>
          <w:color w:val="auto"/>
        </w:rPr>
        <w:t>includes</w:t>
      </w:r>
      <w:r>
        <w:rPr>
          <w:rFonts w:ascii="Arial" w:cs="Arial" w:eastAsia="Arial" w:hAnsi="Arial"/>
          <w:sz w:val="17"/>
          <w:szCs w:val="17"/>
          <w:color w:val="auto"/>
        </w:rPr>
        <w:t>” and “</w:t>
      </w:r>
      <w:r>
        <w:rPr>
          <w:rFonts w:ascii="Arial" w:cs="Arial" w:eastAsia="Arial" w:hAnsi="Arial"/>
          <w:sz w:val="17"/>
          <w:szCs w:val="17"/>
          <w:u w:val="single" w:color="auto"/>
          <w:color w:val="auto"/>
        </w:rPr>
        <w:t>including</w:t>
      </w:r>
      <w:r>
        <w:rPr>
          <w:rFonts w:ascii="Arial" w:cs="Arial" w:eastAsia="Arial" w:hAnsi="Arial"/>
          <w:sz w:val="17"/>
          <w:szCs w:val="17"/>
          <w:color w:val="auto"/>
        </w:rPr>
        <w:t>” shall be deemed to be followed by the phrase “without limitation”. The word “</w:t>
      </w:r>
      <w:r>
        <w:rPr>
          <w:rFonts w:ascii="Arial" w:cs="Arial" w:eastAsia="Arial" w:hAnsi="Arial"/>
          <w:sz w:val="17"/>
          <w:szCs w:val="17"/>
          <w:u w:val="single" w:color="auto"/>
          <w:color w:val="auto"/>
        </w:rPr>
        <w:t>will</w:t>
      </w:r>
      <w:r>
        <w:rPr>
          <w:rFonts w:ascii="Arial" w:cs="Arial" w:eastAsia="Arial" w:hAnsi="Arial"/>
          <w:sz w:val="17"/>
          <w:szCs w:val="17"/>
          <w:color w:val="auto"/>
        </w:rPr>
        <w:t>” shall be construed to have the same meaning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3" w:name="page34"/>
    <w:bookmarkEnd w:id="33"/>
    <w:p>
      <w:pPr>
        <w:jc w:val="both"/>
        <w:ind w:left="4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as the word “</w:t>
      </w:r>
      <w:r>
        <w:rPr>
          <w:rFonts w:ascii="Arial" w:cs="Arial" w:eastAsia="Arial" w:hAnsi="Arial"/>
          <w:sz w:val="17"/>
          <w:szCs w:val="17"/>
          <w:u w:val="single" w:color="auto"/>
          <w:color w:val="auto"/>
        </w:rPr>
        <w:t>shall</w:t>
      </w:r>
      <w:r>
        <w:rPr>
          <w:rFonts w:ascii="Arial" w:cs="Arial" w:eastAsia="Arial" w:hAnsi="Arial"/>
          <w:sz w:val="17"/>
          <w:szCs w:val="17"/>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7"/>
          <w:szCs w:val="17"/>
          <w:u w:val="single" w:color="auto"/>
          <w:color w:val="auto"/>
        </w:rPr>
        <w:t>herein</w:t>
      </w:r>
      <w:r>
        <w:rPr>
          <w:rFonts w:ascii="Arial" w:cs="Arial" w:eastAsia="Arial" w:hAnsi="Arial"/>
          <w:sz w:val="17"/>
          <w:szCs w:val="17"/>
          <w:color w:val="auto"/>
        </w:rPr>
        <w:t>”, “</w:t>
      </w:r>
      <w:r>
        <w:rPr>
          <w:rFonts w:ascii="Arial" w:cs="Arial" w:eastAsia="Arial" w:hAnsi="Arial"/>
          <w:sz w:val="17"/>
          <w:szCs w:val="17"/>
          <w:u w:val="single" w:color="auto"/>
          <w:color w:val="auto"/>
        </w:rPr>
        <w:t>hereof</w:t>
      </w:r>
      <w:r>
        <w:rPr>
          <w:rFonts w:ascii="Arial" w:cs="Arial" w:eastAsia="Arial" w:hAnsi="Arial"/>
          <w:sz w:val="17"/>
          <w:szCs w:val="17"/>
          <w:color w:val="auto"/>
        </w:rPr>
        <w:t>” and “</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7"/>
          <w:szCs w:val="17"/>
          <w:u w:val="single" w:color="auto"/>
          <w:color w:val="auto"/>
        </w:rPr>
        <w:t>asset</w:t>
      </w:r>
      <w:r>
        <w:rPr>
          <w:rFonts w:ascii="Arial" w:cs="Arial" w:eastAsia="Arial" w:hAnsi="Arial"/>
          <w:sz w:val="17"/>
          <w:szCs w:val="17"/>
          <w:color w:val="auto"/>
        </w:rPr>
        <w:t>” and “</w:t>
      </w:r>
      <w:r>
        <w:rPr>
          <w:rFonts w:ascii="Arial" w:cs="Arial" w:eastAsia="Arial" w:hAnsi="Arial"/>
          <w:sz w:val="17"/>
          <w:szCs w:val="17"/>
          <w:u w:val="single" w:color="auto"/>
          <w:color w:val="auto"/>
        </w:rPr>
        <w:t>property</w:t>
      </w:r>
      <w:r>
        <w:rPr>
          <w:rFonts w:ascii="Arial" w:cs="Arial" w:eastAsia="Arial" w:hAnsi="Arial"/>
          <w:sz w:val="17"/>
          <w:szCs w:val="17"/>
          <w:color w:val="auto"/>
        </w:rPr>
        <w:t>” shall be construed to have the same meaning and effect and to refer to any and all tangible and intangible assets and properties, including cash, securities, accounts and contract rights.</w:t>
      </w:r>
    </w:p>
    <w:p>
      <w:pPr>
        <w:spacing w:after="0" w:line="75" w:lineRule="exact"/>
        <w:rPr>
          <w:sz w:val="20"/>
          <w:szCs w:val="20"/>
          <w:color w:val="auto"/>
        </w:rPr>
      </w:pPr>
    </w:p>
    <w:p>
      <w:pPr>
        <w:ind w:left="460" w:firstLine="443"/>
        <w:spacing w:after="0" w:line="277" w:lineRule="auto"/>
        <w:tabs>
          <w:tab w:leader="none" w:pos="11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firstLine="443"/>
        <w:spacing w:after="0" w:line="277" w:lineRule="auto"/>
        <w:tabs>
          <w:tab w:leader="none" w:pos="11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Accounting Terms.</w:t>
      </w:r>
    </w:p>
    <w:p>
      <w:pPr>
        <w:spacing w:after="0" w:line="117" w:lineRule="exact"/>
        <w:rPr>
          <w:sz w:val="20"/>
          <w:szCs w:val="20"/>
          <w:color w:val="auto"/>
        </w:rPr>
      </w:pPr>
    </w:p>
    <w:p>
      <w:pPr>
        <w:jc w:val="both"/>
        <w:ind w:firstLine="464"/>
        <w:spacing w:after="0" w:line="259" w:lineRule="auto"/>
        <w:tabs>
          <w:tab w:leader="none" w:pos="70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w:t>
      </w:r>
    </w:p>
    <w:p>
      <w:pPr>
        <w:spacing w:after="0" w:line="186" w:lineRule="exact"/>
        <w:rPr>
          <w:rFonts w:ascii="Arial" w:cs="Arial" w:eastAsia="Arial" w:hAnsi="Arial"/>
          <w:sz w:val="18"/>
          <w:szCs w:val="18"/>
          <w:color w:val="auto"/>
        </w:rPr>
      </w:pPr>
    </w:p>
    <w:p>
      <w:pPr>
        <w:jc w:val="both"/>
        <w:ind w:firstLine="464"/>
        <w:spacing w:after="0" w:line="255" w:lineRule="auto"/>
        <w:tabs>
          <w:tab w:leader="none" w:pos="73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(including the early adoption by ADI of any provision of GAAP) would affect the computation of any financial ratio or requirement set forth in any Loan Document, and either ADI or the Required Lenders shall so request, the Administrative Agent, the Lenders and ADI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or requirement shall continue to be computed in accordance with GAAP prior to such change therein and (ii) ADI shall provide to the Administrative Agent and the Lenders financial statements and other documents required under this Agreement or as reasonably requested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hereunder setting forth a reconciliation between calculations of such ratio or requirement made before and after giving effect to such change in GAAP. Notwithstanding the foregoing, leases shall continue to be classified and accounted for on a basis consistent with that reflected in the Audited Financial Statements notwithstanding any change in GAAP related thereto.</w:t>
      </w:r>
    </w:p>
    <w:p>
      <w:pPr>
        <w:spacing w:after="0" w:line="181" w:lineRule="exact"/>
        <w:rPr>
          <w:sz w:val="20"/>
          <w:szCs w:val="20"/>
          <w:color w:val="auto"/>
        </w:rPr>
      </w:pPr>
    </w:p>
    <w:p>
      <w:pPr>
        <w:jc w:val="both"/>
        <w:ind w:firstLine="464"/>
        <w:spacing w:after="0" w:line="259" w:lineRule="auto"/>
        <w:tabs>
          <w:tab w:leader="none" w:pos="74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ADI and its Subsidiaries or to the determination of any amount for ADI and its Subsidiaries on a consolidated basis or any similar reference shall, in each case, be deemed to include each variable interest entity that ADI is required to consolidate pursuant to FASB Interpretation No. 46 – Consolidation of Variable Interest Entities: an interpretation of ARB No. 51 (January 2003) as if such variable interest entity were a Subsidiary as defined 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Any financial ratios required to be maintained by ADI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Times of Day.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specified, all references herein to times of day shall be references to Eastern time (daylight or standard, as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Assumption of Borrower Obligations.</w:t>
      </w:r>
    </w:p>
    <w:p>
      <w:pPr>
        <w:spacing w:after="0" w:line="117" w:lineRule="exact"/>
        <w:rPr>
          <w:sz w:val="20"/>
          <w:szCs w:val="20"/>
          <w:color w:val="auto"/>
        </w:rPr>
      </w:pPr>
    </w:p>
    <w:p>
      <w:pPr>
        <w:jc w:val="both"/>
        <w:ind w:firstLine="464"/>
        <w:spacing w:after="0" w:line="270" w:lineRule="auto"/>
        <w:tabs>
          <w:tab w:leader="none" w:pos="70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ADI shall have the right, at any time after the borrowing on the Closing Date, upon not fewer than five Business Days’ notice to the Administrative Agent (which shall promptly make such notice available to the Lenders), to cause all or a portion of its Borrower Obligations to be assumed by the Subsidiary Borrower. Subject to the satisfaction of the conditions set forth in Section 4.02, the Assumption of Borrower Obligations shall become effective on the date specified in such notice, and at the time of such effectiveness, (i) the Subsidiary Borrower shall become a party to this Agreement, shall assume and succeed to ADI’s Borrower Obligations or such portion thereof as shall be specified in the Assumption, Release and Guarantee Agreement and, as to such Borrower Obligations or portion thereof, shall thenceforth be “the Borrower” for all purposes hereof, (ii) ADI shall be released from its obligations as Borrower in respect of the Borrower Obligations so assumed by the Subsidiary Borrower (but shall remain “the Borrower” in respect of any Borrower Obligations not assumed by the Subsidiary Borrower) and (iii) ADI shall guarantee the Borrower Obligations so assumed by the Subsidiary Borrower pursuant to the Assumption, Release and Guarantee Agreement.</w:t>
      </w:r>
    </w:p>
    <w:p>
      <w:pPr>
        <w:spacing w:after="0" w:line="181" w:lineRule="exact"/>
        <w:rPr>
          <w:rFonts w:ascii="Arial" w:cs="Arial" w:eastAsia="Arial" w:hAnsi="Arial"/>
          <w:sz w:val="17"/>
          <w:szCs w:val="17"/>
          <w:color w:val="auto"/>
        </w:rPr>
      </w:pPr>
    </w:p>
    <w:p>
      <w:pPr>
        <w:jc w:val="both"/>
        <w:ind w:firstLine="464"/>
        <w:spacing w:after="0" w:line="312" w:lineRule="auto"/>
        <w:tabs>
          <w:tab w:leader="none" w:pos="717"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In the event the Assumption of Borrower Obligations shall involve a portion of, but not all, the Borrower Obligations of ADI, all references in this Agreement and the other Loan Documents to “the Borrower” shall, after the effectiveness of the Assumption of Borrower Obligations, apply separately to ADI and the Subsidiary Borrower in respect of the Borrower Obligations (if any) assumed or retained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notice or other document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to be delivered to “the Borrower” shall be deemed to have been delivered to each Borrower if delivered to ADI, (ii) any notice required to be delivered by “the Borrower” shall be deemed to have been delivered if delivered by ADI, (iii) the Obligations of the Subsidiary Borrower shall be several and not joint and (iv) neither the Administrative Agent nor any Lender shall exercise any rights of setoff or any other remedies against the property of the Subsidiary Borrower other than with respect to the direct obligations of the Subsidiary Borrower.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COMMITMENTS AND CREDIT EXTENSIONS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Loans.</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Subject to the terms and conditions set forth herein, each Lender agrees to make a term loan (each such loan, a “</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to the Borrower in Dollars on the Closing Date in a principal amount not to exceed the amount of its Commitment in effect on such date. Amounts borrowed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and repaid or prepaid may not be reborrowed. Loans may be Base Rate Loans or Eurodollar Rate Loans, as further provided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Borrowings, Conversions and Continuations of Loans.</w:t>
      </w:r>
    </w:p>
    <w:p>
      <w:pPr>
        <w:spacing w:after="0" w:line="117" w:lineRule="exact"/>
        <w:rPr>
          <w:sz w:val="20"/>
          <w:szCs w:val="20"/>
          <w:color w:val="auto"/>
        </w:rPr>
      </w:pPr>
    </w:p>
    <w:p>
      <w:pPr>
        <w:jc w:val="both"/>
        <w:ind w:firstLine="464"/>
        <w:spacing w:after="0" w:line="257" w:lineRule="auto"/>
        <w:tabs>
          <w:tab w:leader="none" w:pos="7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Borrowing, each conversion of any Borrowing from one Type to the other, and each continuation of any Eurodollar Rate Borrowing will be made upon the Borrower’s irrevocable notice to the Administrative Agent, which may be given by telephone (promptly confirmed in writing). Each such notice must be received by the Administrative Agent not later than 11:00 a.m. (i) three Business Days prior to the requested date of any Borrowing of, conversion to or continuation of Eurodollar Rate Loans or of any conversion of Eurodollar Rate Loans to Base Rate Loans, and (ii) one Business Day prior to the requested date of any Borrowing of Base Rate Loans.</w:t>
      </w:r>
    </w:p>
    <w:p>
      <w:pPr>
        <w:spacing w:after="0" w:line="188" w:lineRule="exact"/>
        <w:rPr>
          <w:rFonts w:ascii="Arial" w:cs="Arial" w:eastAsia="Arial" w:hAnsi="Arial"/>
          <w:sz w:val="18"/>
          <w:szCs w:val="18"/>
          <w:color w:val="auto"/>
        </w:rPr>
      </w:pPr>
    </w:p>
    <w:p>
      <w:pPr>
        <w:jc w:val="both"/>
        <w:ind w:firstLine="464"/>
        <w:spacing w:after="0" w:line="254" w:lineRule="auto"/>
        <w:tabs>
          <w:tab w:leader="none" w:pos="7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Each Loan shall be made as part of a Borrowing consisting of Loans of the same Type made by the Lenders ratably in accordance with their respective Commitments. Each Borrowing initially shall be of the Type specified in the applicable Loan Notice and, in the case of a Eurodollar Rate Borrowing, shall have an initial Interest Period as specified in such Loan Notice. Thereafter, the Borrower may elect to convert such Borrowing to a Borrowing of a different Type or to continue such Borrowing and, in the case of a Eurodollar Rate Borrowing, may elect Interest Periods therefor, all as provided in </w:t>
      </w:r>
      <w:r>
        <w:rPr>
          <w:rFonts w:ascii="Arial" w:cs="Arial" w:eastAsia="Arial" w:hAnsi="Arial"/>
          <w:sz w:val="18"/>
          <w:szCs w:val="18"/>
          <w:u w:val="single" w:color="auto"/>
          <w:color w:val="auto"/>
        </w:rPr>
        <w:t>Section 2.02(a)</w:t>
      </w:r>
      <w:r>
        <w:rPr>
          <w:rFonts w:ascii="Arial" w:cs="Arial" w:eastAsia="Arial" w:hAnsi="Arial"/>
          <w:sz w:val="18"/>
          <w:szCs w:val="18"/>
          <w:color w:val="auto"/>
        </w:rPr>
        <w:t>. The Borrower may elect different conversion or continuation options with respect to different portions of the affected Borrowing (and all references herein to conversion or continuation of a Borrowing shall be understood to include any such election of different options with respect thereto), in which case each such portion shall be allocated ratably among the Lenders holding the Loans comprising such Borrowing, and the Loans comprising each such portion shall be considered a separate Borrowing.</w:t>
      </w:r>
    </w:p>
    <w:p>
      <w:pPr>
        <w:spacing w:after="0" w:line="192" w:lineRule="exact"/>
        <w:rPr>
          <w:rFonts w:ascii="Arial" w:cs="Arial" w:eastAsia="Arial" w:hAnsi="Arial"/>
          <w:sz w:val="18"/>
          <w:szCs w:val="18"/>
          <w:color w:val="auto"/>
        </w:rPr>
      </w:pPr>
    </w:p>
    <w:p>
      <w:pPr>
        <w:jc w:val="both"/>
        <w:ind w:firstLine="464"/>
        <w:spacing w:after="0" w:line="264" w:lineRule="auto"/>
        <w:tabs>
          <w:tab w:leader="none" w:pos="7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the commencement of each Interest Period for any Eurodollar Rate Borrowing, such Borrowing shall be in a principal amount of $5,000,000 or a whole multiple of $1,000,000 in excess thereof. On the Closing Date, each Base Rate Borrowing shall be in a principal amount of $5,000,000 or a whole multiple of $1,000,000 in excess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6" w:name="page37"/>
    <w:bookmarkEnd w:id="36"/>
    <w:p>
      <w:pPr>
        <w:jc w:val="both"/>
        <w:ind w:firstLine="464"/>
        <w:spacing w:after="0" w:line="289" w:lineRule="auto"/>
        <w:tabs>
          <w:tab w:leader="none" w:pos="717"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Loan Notice (whether telephonic or written) will specify (i) whether the Borrower is requesting a Borrowing, a conversion of any Borrowing from one Type to the other, or a continuation of any Eurodollar Rate Borrowing, (ii) the requested date of such Borrowing, conversion or continuation, as the case may be (which shall be a Business Day), (iii) the aggregate principal amount of Loans to be borrowed or the existing Borrowing that is to be converted or continued (and, if different conversion or continuation options are being elected with respect to different portions thereof, the portions thereof to be allocated to each resulting Borrowing), (iv) the Type of each requested resulting Borrowing and (v) the duration of the Interest Period with respect to each requested resulting Eurodollar Rate Borrowing. If the Borrower fails to specify the Type of the Loans requested in a Loan Notice, then the applicable Loans will be made as Base Rate Loans. If the Borrower fails to give timely notice requesting a conversion or continuation of any Eurodollar Rate Borrowing, such Eurodollar Rate Borrowing will be continued with an Interest Period of one month. If the Borrower requests a Borrowing of, or conversion to or continuation of, Eurodollar Rate Loans in any Loan Notice, but fails to specify an Interest Period, it will be deemed to have specified an Interest Period of one month.</w:t>
      </w:r>
    </w:p>
    <w:p>
      <w:pPr>
        <w:spacing w:after="0" w:line="166" w:lineRule="exact"/>
        <w:rPr>
          <w:rFonts w:ascii="Arial" w:cs="Arial" w:eastAsia="Arial" w:hAnsi="Arial"/>
          <w:sz w:val="16"/>
          <w:szCs w:val="16"/>
          <w:color w:val="auto"/>
        </w:rPr>
      </w:pPr>
    </w:p>
    <w:p>
      <w:pPr>
        <w:jc w:val="both"/>
        <w:ind w:firstLine="464"/>
        <w:spacing w:after="0" w:line="272" w:lineRule="auto"/>
        <w:tabs>
          <w:tab w:leader="none" w:pos="721"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Following receipt of a Loan Notice, the Administrative Agent shall promptly notify each Lender of the details thereof and of the amount of its Applicable Percentage of the applicable Loans, and if no timely notice of a conversion or continuation is provided by the Borrower, the Administrative Agent shall notify each Lender of the details of any automatic conversion or continuation described in the preceding paragraph. In the case of a Borrowing, each Lender shall make the amount of its Loan available to the Administrative Agent in immediately available funds at the Administrative Agent’s Office not later than 1:00 p.m. on the Business Day specified in the applicable Loan Notice. Upon satisfaction of the conditions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the Administrative Agent shall make all funds so received available to the Borrower in like funds as received by the Administrative Agent by wire transfer of such funds in accordance with instructions provided to (and reasonably acceptable to) the Administrative Agent by the Borrower.</w:t>
      </w:r>
    </w:p>
    <w:p>
      <w:pPr>
        <w:spacing w:after="0" w:line="177" w:lineRule="exact"/>
        <w:rPr>
          <w:rFonts w:ascii="Arial" w:cs="Arial" w:eastAsia="Arial" w:hAnsi="Arial"/>
          <w:sz w:val="17"/>
          <w:szCs w:val="17"/>
          <w:color w:val="auto"/>
        </w:rPr>
      </w:pPr>
    </w:p>
    <w:p>
      <w:pPr>
        <w:jc w:val="both"/>
        <w:ind w:firstLine="464"/>
        <w:spacing w:after="0" w:line="264"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During the existence of a Default, if the Required Lenders shall so stipulate in a notice delivered to the Borrower and the Administrative Agent, no Loans may be requested as, converted to or continued as Eurodollar Rate Loans.</w:t>
      </w:r>
    </w:p>
    <w:p>
      <w:pPr>
        <w:spacing w:after="0" w:line="181" w:lineRule="exact"/>
        <w:rPr>
          <w:rFonts w:ascii="Arial" w:cs="Arial" w:eastAsia="Arial" w:hAnsi="Arial"/>
          <w:sz w:val="18"/>
          <w:szCs w:val="18"/>
          <w:color w:val="auto"/>
        </w:rPr>
      </w:pPr>
    </w:p>
    <w:p>
      <w:pPr>
        <w:jc w:val="both"/>
        <w:ind w:firstLine="464"/>
        <w:spacing w:after="0" w:line="312" w:lineRule="auto"/>
        <w:tabs>
          <w:tab w:leader="none" w:pos="72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JPMCB’s prime rate used in determining the Base Rate promptly following the announcement of such change.</w:t>
      </w:r>
    </w:p>
    <w:p>
      <w:pPr>
        <w:spacing w:after="0" w:line="146" w:lineRule="exact"/>
        <w:rPr>
          <w:rFonts w:ascii="Arial" w:cs="Arial" w:eastAsia="Arial" w:hAnsi="Arial"/>
          <w:sz w:val="16"/>
          <w:szCs w:val="16"/>
          <w:color w:val="auto"/>
        </w:rPr>
      </w:pPr>
    </w:p>
    <w:p>
      <w:pPr>
        <w:ind w:firstLine="464"/>
        <w:spacing w:after="0" w:line="277" w:lineRule="auto"/>
        <w:tabs>
          <w:tab w:leader="none" w:pos="7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six Interest Periods in effect with respect to Loans.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2.03. </w:t>
      </w:r>
      <w:r>
        <w:rPr>
          <w:rFonts w:ascii="Arial" w:cs="Arial" w:eastAsia="Arial" w:hAnsi="Arial"/>
          <w:sz w:val="18"/>
          <w:szCs w:val="18"/>
          <w:u w:val="single" w:color="auto"/>
          <w:color w:val="auto"/>
        </w:rPr>
        <w:t>Prepayments.</w:t>
      </w:r>
    </w:p>
    <w:p>
      <w:pPr>
        <w:spacing w:after="0" w:line="11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 xml:space="preserve">The Borrower may, upon notice to the Administrative Agent, at any time or from time to time voluntarily prepay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in a form acceptable to the Administrative Agent (and may be conditioned upon the occurrence or non-occurrence of one or more events or circumstances) and received by the Administrative Agent not later than 11:00 a.m. (A) three Business Days prior to any date of prepayment of Eurodollar Rate Loans and (B) on the date of prepayment of Base Rate Loans; and (ii) any prepayment of Loans shall be in a principal amount of $5,000,000 or a whole multiple of $1,000,000 in excess thereof or, if less, the entire principal amount of the Loans of the applicable Type then outstanding. Each such notice shall specify the date and amount of such prepayment and the Type of Loans to be prepaid and, if Eurodollar Rate Loans are to be prepaid, the Interest Period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Each such prepayment shall be applied to the Loans of the Lenders in accordance with their respective Applicable Percentages.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Termination or Reduction of Commitments.</w:t>
      </w:r>
    </w:p>
    <w:p>
      <w:pPr>
        <w:spacing w:after="0" w:line="117" w:lineRule="exact"/>
        <w:rPr>
          <w:sz w:val="20"/>
          <w:szCs w:val="20"/>
          <w:color w:val="auto"/>
        </w:rPr>
      </w:pPr>
    </w:p>
    <w:p>
      <w:pPr>
        <w:jc w:val="both"/>
        <w:ind w:firstLine="464"/>
        <w:spacing w:after="0" w:line="255" w:lineRule="auto"/>
        <w:tabs>
          <w:tab w:leader="none" w:pos="716"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ADI may, upon written notice to the Administrative Agent, terminate or permanently reduce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notice shall be received by the Administrative Agent not later than 11:00 a.m. five Business Days prior to the date of termination or reduction (and may be conditioned upon the occurrence or non-occurrence of one or more events or circumstances) and (ii) any such partial reduction shall be in an aggregate amount of $5,000,000 or any whole multiple of $1,000,000 in excess thereof. The Administrative Agent will promptly notify Lenders of the details of any such notice. Any partial reduction of the Commitments will be applied to the Commitments of the Lenders in accordance with their respective Applicable Percentages. Any termination or reduction of the Commitments shall be permanent.</w:t>
      </w:r>
    </w:p>
    <w:p>
      <w:pPr>
        <w:spacing w:after="0" w:line="193" w:lineRule="exact"/>
        <w:rPr>
          <w:rFonts w:ascii="Arial" w:cs="Arial" w:eastAsia="Arial" w:hAnsi="Arial"/>
          <w:sz w:val="18"/>
          <w:szCs w:val="18"/>
          <w:color w:val="auto"/>
        </w:rPr>
      </w:pPr>
    </w:p>
    <w:p>
      <w:pPr>
        <w:ind w:firstLine="464"/>
        <w:spacing w:after="0" w:line="308" w:lineRule="auto"/>
        <w:tabs>
          <w:tab w:leader="none" w:pos="7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Unless previously terminated, the Commitments shall terminate automatically on the earliest of (i) 11:59 p.m., New York City time, on the Outside Date, (ii) the consummation of the Acquisition without the borrowing of any Loans hereunder and (iii) the making of Loans on the Closing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Repayment of Loans.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will repay the outstanding principal amount of the Loans on the 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Interest.</w:t>
      </w:r>
    </w:p>
    <w:p>
      <w:pPr>
        <w:spacing w:after="0" w:line="117" w:lineRule="exact"/>
        <w:rPr>
          <w:sz w:val="20"/>
          <w:szCs w:val="20"/>
          <w:color w:val="auto"/>
        </w:rPr>
      </w:pPr>
    </w:p>
    <w:p>
      <w:pPr>
        <w:ind w:firstLine="464"/>
        <w:spacing w:after="0" w:line="277" w:lineRule="auto"/>
        <w:tabs>
          <w:tab w:leader="none" w:pos="7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(i) each Eurodollar Rate Loan shall bear interest on the outstanding principal amount thereof for each Interest Period at a rate per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8" w:name="page39"/>
    <w:bookmarkEnd w:id="38"/>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annum equal to the Adjusted Eurodollar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and (ii) each Base Rate Loan shall bear interest on the outstanding principal amount thereof at a rate per annum equal to the Base Rate plus the Applicable Rate.</w:t>
      </w:r>
    </w:p>
    <w:p>
      <w:pPr>
        <w:spacing w:after="0" w:line="170" w:lineRule="exact"/>
        <w:rPr>
          <w:sz w:val="20"/>
          <w:szCs w:val="20"/>
          <w:color w:val="auto"/>
        </w:rPr>
      </w:pPr>
    </w:p>
    <w:p>
      <w:pPr>
        <w:jc w:val="both"/>
        <w:ind w:firstLine="464"/>
        <w:spacing w:after="0" w:line="264" w:lineRule="auto"/>
        <w:tabs>
          <w:tab w:leader="none" w:pos="7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73" w:lineRule="exact"/>
        <w:rPr>
          <w:rFonts w:ascii="Arial" w:cs="Arial" w:eastAsia="Arial" w:hAnsi="Arial"/>
          <w:sz w:val="18"/>
          <w:szCs w:val="18"/>
          <w:color w:val="auto"/>
        </w:rPr>
      </w:pPr>
    </w:p>
    <w:p>
      <w:pPr>
        <w:jc w:val="both"/>
        <w:ind w:left="460" w:firstLine="443"/>
        <w:spacing w:after="0" w:line="259" w:lineRule="auto"/>
        <w:tabs>
          <w:tab w:leader="none" w:pos="1166"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78" w:lineRule="exact"/>
        <w:rPr>
          <w:rFonts w:ascii="Arial" w:cs="Arial" w:eastAsia="Arial" w:hAnsi="Arial"/>
          <w:sz w:val="18"/>
          <w:szCs w:val="18"/>
          <w:color w:val="auto"/>
        </w:rPr>
      </w:pPr>
    </w:p>
    <w:p>
      <w:pPr>
        <w:jc w:val="both"/>
        <w:ind w:left="460" w:firstLine="443"/>
        <w:spacing w:after="0" w:line="264" w:lineRule="auto"/>
        <w:tabs>
          <w:tab w:leader="none" w:pos="1221" w:val="left"/>
        </w:tabs>
        <w:numPr>
          <w:ilvl w:val="1"/>
          <w:numId w:val="26"/>
        </w:numPr>
        <w:rPr>
          <w:rFonts w:ascii="Arial" w:cs="Arial" w:eastAsia="Arial" w:hAnsi="Arial"/>
          <w:sz w:val="18"/>
          <w:szCs w:val="18"/>
          <w:color w:val="auto"/>
        </w:rPr>
      </w:pPr>
      <w:r>
        <w:rPr>
          <w:rFonts w:ascii="Arial" w:cs="Arial" w:eastAsia="Arial" w:hAnsi="Arial"/>
          <w:sz w:val="18"/>
          <w:szCs w:val="18"/>
          <w:color w:val="auto"/>
        </w:rPr>
        <w:t>Upon the request of the Required Lenders, while any Event of Default exists, the Borrower shall pay interest on the principal amount of all outstanding Obligations hereunder at a fluctuating interest rate per annum at all times equal to the Default Rate to the fullest extent permitted by applicable Laws.</w:t>
      </w:r>
    </w:p>
    <w:p>
      <w:pPr>
        <w:spacing w:after="0" w:line="73" w:lineRule="exact"/>
        <w:rPr>
          <w:rFonts w:ascii="Arial" w:cs="Arial" w:eastAsia="Arial" w:hAnsi="Arial"/>
          <w:sz w:val="18"/>
          <w:szCs w:val="18"/>
          <w:color w:val="auto"/>
        </w:rPr>
      </w:pPr>
    </w:p>
    <w:p>
      <w:pPr>
        <w:ind w:left="1200" w:hanging="297"/>
        <w:spacing w:after="0"/>
        <w:tabs>
          <w:tab w:leader="none" w:pos="12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Accrued and unpaid interest on past due amounts (including interest on past due interest) shall be due and payable upon demand.</w:t>
      </w:r>
    </w:p>
    <w:p>
      <w:pPr>
        <w:spacing w:after="0" w:line="236" w:lineRule="exact"/>
        <w:rPr>
          <w:rFonts w:ascii="Arial" w:cs="Arial" w:eastAsia="Arial" w:hAnsi="Arial"/>
          <w:sz w:val="17"/>
          <w:szCs w:val="17"/>
          <w:color w:val="auto"/>
        </w:rPr>
      </w:pPr>
    </w:p>
    <w:p>
      <w:pPr>
        <w:jc w:val="both"/>
        <w:ind w:firstLine="464"/>
        <w:spacing w:after="0" w:line="264" w:lineRule="auto"/>
        <w:tabs>
          <w:tab w:leader="none" w:pos="72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Fees.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ADI shall pay to the Administrative Agent for its own account and for the accounts of the Arrangers (or their Affiliates) and the Lenders, as applicable, fees in the amounts and at the times separately agreed upon in the Bridge Commitment Letter and the Fee Letters.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Computation of Interest and Fees; Retroactive Adjustments of Applicable Rate.</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2.10(a)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2.09. </w:t>
      </w:r>
      <w:r>
        <w:rPr>
          <w:rFonts w:ascii="Arial" w:cs="Arial" w:eastAsia="Arial" w:hAnsi="Arial"/>
          <w:sz w:val="18"/>
          <w:szCs w:val="18"/>
          <w:u w:val="single" w:color="auto"/>
          <w:color w:val="auto"/>
        </w:rPr>
        <w:t>Evidence of Debt.</w:t>
      </w:r>
    </w:p>
    <w:p>
      <w:pPr>
        <w:spacing w:after="0" w:line="11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The Loans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amounts of the Loans made by the Lenders to the Borrower and the interest accrued and payments received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the Borrower made through the Administrative Agent, the Borrower shall execute and deliver to such Lender (through the Administrative Agent) a Note evidencing such Lender’s Loans to the Borrower. Each Lender may attach schedules to a Note and endorse thereon the date, Type, amount and maturity of its Loans and payments received with respect thereto.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Payments Generally.</w:t>
      </w:r>
    </w:p>
    <w:p>
      <w:pPr>
        <w:spacing w:after="0" w:line="117" w:lineRule="exact"/>
        <w:rPr>
          <w:sz w:val="20"/>
          <w:szCs w:val="20"/>
          <w:color w:val="auto"/>
        </w:rPr>
      </w:pPr>
    </w:p>
    <w:p>
      <w:pPr>
        <w:jc w:val="both"/>
        <w:ind w:firstLine="464"/>
        <w:spacing w:after="0" w:line="270" w:lineRule="auto"/>
        <w:tabs>
          <w:tab w:leader="none" w:pos="701"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Except as otherwise specifically provided in </w:t>
      </w:r>
      <w:r>
        <w:rPr>
          <w:rFonts w:ascii="Arial" w:cs="Arial" w:eastAsia="Arial" w:hAnsi="Arial"/>
          <w:sz w:val="17"/>
          <w:szCs w:val="17"/>
          <w:u w:val="single" w:color="auto"/>
          <w:color w:val="auto"/>
        </w:rPr>
        <w:t>Section 3.01</w:t>
      </w:r>
      <w:r>
        <w:rPr>
          <w:rFonts w:ascii="Arial" w:cs="Arial" w:eastAsia="Arial" w:hAnsi="Arial"/>
          <w:sz w:val="17"/>
          <w:szCs w:val="17"/>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Subject to the definition of “Interest Period”,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81" w:lineRule="exact"/>
        <w:rPr>
          <w:rFonts w:ascii="Arial" w:cs="Arial" w:eastAsia="Arial" w:hAnsi="Arial"/>
          <w:sz w:val="17"/>
          <w:szCs w:val="17"/>
          <w:color w:val="auto"/>
        </w:rPr>
      </w:pPr>
    </w:p>
    <w:p>
      <w:pPr>
        <w:jc w:val="both"/>
        <w:ind w:firstLine="464"/>
        <w:spacing w:after="0" w:line="290" w:lineRule="auto"/>
        <w:tabs>
          <w:tab w:leader="none" w:pos="718"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of Eurodollar Rate Loans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40" w:name="page41"/>
    <w:bookmarkEnd w:id="40"/>
    <w:p>
      <w:pPr>
        <w:jc w:val="both"/>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banking industry rules on interbank compensation, plus any administrative, processing or similar fees customarily charged by the Administrative Agent in connection with the foregoing, and (B) in the case of a payment to be made by the Borrower, the interest rate applicable to Loans of the applicable Type.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57" w:lineRule="exact"/>
        <w:rPr>
          <w:sz w:val="20"/>
          <w:szCs w:val="20"/>
          <w:color w:val="auto"/>
        </w:rPr>
      </w:pPr>
    </w:p>
    <w:p>
      <w:pPr>
        <w:jc w:val="both"/>
        <w:ind w:left="460" w:firstLine="443"/>
        <w:spacing w:after="0" w:line="254" w:lineRule="auto"/>
        <w:tabs>
          <w:tab w:leader="none" w:pos="119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Payments by Borrower; Presumptions by Administrative Agent</w:t>
      </w:r>
      <w:r>
        <w:rPr>
          <w:rFonts w:ascii="Arial" w:cs="Arial" w:eastAsia="Arial" w:hAnsi="Arial"/>
          <w:sz w:val="18"/>
          <w:szCs w:val="18"/>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clause (b) shall be conclusive, absent manifest error.</w:t>
      </w:r>
    </w:p>
    <w:p>
      <w:pPr>
        <w:spacing w:after="0" w:line="170" w:lineRule="exact"/>
        <w:rPr>
          <w:sz w:val="20"/>
          <w:szCs w:val="20"/>
          <w:color w:val="auto"/>
        </w:rPr>
      </w:pPr>
    </w:p>
    <w:p>
      <w:pPr>
        <w:jc w:val="both"/>
        <w:ind w:firstLine="464"/>
        <w:spacing w:after="0" w:line="259" w:lineRule="auto"/>
        <w:tabs>
          <w:tab w:leader="none" w:pos="70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Failure to Satisfy Conditions Precedent</w:t>
      </w:r>
      <w:r>
        <w:rPr>
          <w:rFonts w:ascii="Arial" w:cs="Arial" w:eastAsia="Arial" w:hAnsi="Arial"/>
          <w:sz w:val="18"/>
          <w:szCs w:val="18"/>
          <w:color w:val="auto"/>
        </w:rPr>
        <w:t xml:space="preserve">. If any Lender makes available to the Administrative Agent funds for any Loan to be made by such Lender to the Borrower as provided in the foregoing provisions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such funds are not made available to the Borrower by the Administrative Agent because the conditions to the applicable Borrowing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186" w:lineRule="exact"/>
        <w:rPr>
          <w:rFonts w:ascii="Arial" w:cs="Arial" w:eastAsia="Arial" w:hAnsi="Arial"/>
          <w:sz w:val="18"/>
          <w:szCs w:val="18"/>
          <w:color w:val="auto"/>
        </w:rPr>
      </w:pPr>
    </w:p>
    <w:p>
      <w:pPr>
        <w:jc w:val="both"/>
        <w:ind w:firstLine="464"/>
        <w:spacing w:after="0" w:line="279" w:lineRule="auto"/>
        <w:tabs>
          <w:tab w:leader="none" w:pos="71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Obligations of Lenders Several</w:t>
      </w:r>
      <w:r>
        <w:rPr>
          <w:rFonts w:ascii="Arial" w:cs="Arial" w:eastAsia="Arial" w:hAnsi="Arial"/>
          <w:sz w:val="17"/>
          <w:szCs w:val="17"/>
          <w:color w:val="auto"/>
        </w:rPr>
        <w:t xml:space="preserve">. The obligations of the Lenders hereunder to make Loans and to make payments pursuant to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are several and not joint. The failure of any Lender to make any Loan, to fund any such participation or to make any payment under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on any date required hereunder shall not relieve any other Lender of its corresponding obligation to do so on such date, and no Lender shall be responsible for the failure of any other Lender so to make its Loan, to purchase its participation or to make its payment under </w:t>
      </w:r>
      <w:r>
        <w:rPr>
          <w:rFonts w:ascii="Arial" w:cs="Arial" w:eastAsia="Arial" w:hAnsi="Arial"/>
          <w:sz w:val="17"/>
          <w:szCs w:val="17"/>
          <w:u w:val="single" w:color="auto"/>
          <w:color w:val="auto"/>
        </w:rPr>
        <w:t>Section 10.04(c)</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464"/>
        <w:spacing w:after="0" w:line="308" w:lineRule="auto"/>
        <w:tabs>
          <w:tab w:leader="none" w:pos="70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6" w:lineRule="exact"/>
        <w:rPr>
          <w:rFonts w:ascii="Arial" w:cs="Arial" w:eastAsia="Arial" w:hAnsi="Arial"/>
          <w:sz w:val="17"/>
          <w:szCs w:val="17"/>
          <w:color w:val="auto"/>
        </w:rPr>
      </w:pPr>
    </w:p>
    <w:p>
      <w:pPr>
        <w:jc w:val="both"/>
        <w:ind w:firstLine="464"/>
        <w:spacing w:after="0" w:line="312"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Lender Payments.</w:t>
      </w:r>
      <w:r>
        <w:rPr>
          <w:rFonts w:ascii="Arial" w:cs="Arial" w:eastAsia="Arial" w:hAnsi="Arial"/>
          <w:sz w:val="16"/>
          <w:szCs w:val="16"/>
          <w:color w:val="auto"/>
        </w:rPr>
        <w:t xml:space="preserve"> If any Lender shall fail to make any payment required to be made by it pursuant to </w:t>
      </w:r>
      <w:r>
        <w:rPr>
          <w:rFonts w:ascii="Arial" w:cs="Arial" w:eastAsia="Arial" w:hAnsi="Arial"/>
          <w:sz w:val="16"/>
          <w:szCs w:val="16"/>
          <w:u w:val="single" w:color="auto"/>
          <w:color w:val="auto"/>
        </w:rPr>
        <w:t>Section 2.10(b)(i)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10.04(c)</w:t>
      </w:r>
      <w:r>
        <w:rPr>
          <w:rFonts w:ascii="Arial" w:cs="Arial" w:eastAsia="Arial" w:hAnsi="Arial"/>
          <w:sz w:val="16"/>
          <w:szCs w:val="16"/>
          <w:color w:val="auto"/>
        </w:rPr>
        <w:t>, then the Administrative Agent may, in its discretion and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2.11. </w:t>
      </w:r>
      <w:r>
        <w:rPr>
          <w:rFonts w:ascii="Arial" w:cs="Arial" w:eastAsia="Arial" w:hAnsi="Arial"/>
          <w:sz w:val="18"/>
          <w:szCs w:val="18"/>
          <w:u w:val="single" w:color="auto"/>
          <w:color w:val="auto"/>
        </w:rPr>
        <w:t>Sharing of Payments by Lenders.</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If any Lender shall, by exercising any right of setoff or counterclaim or otherwise, obtain payment in respect of any principal of or interest on any of the Loans made by it resulting in such Lender’s receiving payment of a proportion of the aggregate amount of such Loans or participations and accrued interest thereon greater than its pro rata share thereof as provided herein,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70" w:lineRule="exact"/>
        <w:rPr>
          <w:sz w:val="20"/>
          <w:szCs w:val="20"/>
          <w:color w:val="auto"/>
        </w:rPr>
      </w:pPr>
    </w:p>
    <w:p>
      <w:pPr>
        <w:ind w:left="460" w:right="20" w:firstLine="443"/>
        <w:spacing w:after="0" w:line="308" w:lineRule="auto"/>
        <w:tabs>
          <w:tab w:leader="none" w:pos="113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38" w:lineRule="exact"/>
        <w:rPr>
          <w:rFonts w:ascii="Arial" w:cs="Arial" w:eastAsia="Arial" w:hAnsi="Arial"/>
          <w:sz w:val="17"/>
          <w:szCs w:val="17"/>
          <w:color w:val="auto"/>
        </w:rPr>
      </w:pPr>
    </w:p>
    <w:p>
      <w:pPr>
        <w:jc w:val="both"/>
        <w:ind w:left="460" w:firstLine="443"/>
        <w:spacing w:after="0" w:line="259" w:lineRule="auto"/>
        <w:tabs>
          <w:tab w:leader="none" w:pos="11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not be construed to apply to (x) any payment made by or on behalf of the Borrower pursuant to and in accordance with the express terms of this Agreement or (y) any payment obtained by a Lender as consideration for the assignment of or sale of a participation in any of its Loans to any assignee or participant, other than to the Borrower or any Subsidiary (as to which the provisions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apply).</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Loan Parties consent to the foregoing and agree, to the extent they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such Loan Party in the amount of such participation.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TAXES, YIELD PROTECTION AND ILLEGALITY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Taxes.</w:t>
      </w:r>
    </w:p>
    <w:p>
      <w:pPr>
        <w:spacing w:after="0" w:line="117" w:lineRule="exact"/>
        <w:rPr>
          <w:sz w:val="20"/>
          <w:szCs w:val="20"/>
          <w:color w:val="auto"/>
        </w:rPr>
      </w:pPr>
    </w:p>
    <w:p>
      <w:pPr>
        <w:ind w:firstLine="464"/>
        <w:spacing w:after="0" w:line="277" w:lineRule="auto"/>
        <w:tabs>
          <w:tab w:leader="none" w:pos="70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 xml:space="preserve"> (i) Any and all payments by or on account of any obligation of any Loan Party under any Loan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42" w:name="page43"/>
    <w:bookmarkEnd w:id="42"/>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Document shall be made without deduction or withholding for any Taxes, except as required by applicable Laws. If any applicable Laws (as determined in the good faith discretion of the Administrative Agent or the Borrower, as applicable) require the deduction or withholding of any Tax from any such payment by the Administrative Agent or the Borrower, then the Administrative Agent or the applicable Loan Party shall be entitled to make such deduction or withholding, upon the basis of the information and documentation to be delivered pursuant to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below.</w:t>
      </w:r>
    </w:p>
    <w:p>
      <w:pPr>
        <w:spacing w:after="0" w:line="63" w:lineRule="exact"/>
        <w:rPr>
          <w:sz w:val="20"/>
          <w:szCs w:val="20"/>
          <w:color w:val="auto"/>
        </w:rPr>
      </w:pPr>
    </w:p>
    <w:p>
      <w:pPr>
        <w:jc w:val="both"/>
        <w:ind w:left="460" w:firstLine="443"/>
        <w:spacing w:after="0" w:line="290" w:lineRule="auto"/>
        <w:tabs>
          <w:tab w:leader="none" w:pos="1170"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If any Loan Party or the Administrative Agent shall be required by applicable Law to withhold or deduct any Taxes, including United States Federal backup withholding Taxes, from any payment, then (A) such Loan Party or the Administrative Agent shall withhold or make such deductions (in the case of the Administrative Agent, in the amount determined by it to be required based upon the information and documentation it has received pursuant to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below), (B) such Loan Party or the Administrative Agent shall timely pay the full amount withheld or deducted to the relevant Governmental Authority in accordance with applicable Law,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the applicable Recipient receives an amount equal to the sum it would have received had no such withholding or deduction of Indemnified Taxes been made.</w:t>
      </w:r>
    </w:p>
    <w:p>
      <w:pPr>
        <w:spacing w:after="0" w:line="166" w:lineRule="exact"/>
        <w:rPr>
          <w:rFonts w:ascii="Arial" w:cs="Arial" w:eastAsia="Arial" w:hAnsi="Arial"/>
          <w:sz w:val="16"/>
          <w:szCs w:val="16"/>
          <w:color w:val="auto"/>
        </w:rPr>
      </w:pPr>
    </w:p>
    <w:p>
      <w:pPr>
        <w:jc w:val="both"/>
        <w:ind w:firstLine="464"/>
        <w:spacing w:after="0" w:line="264" w:lineRule="auto"/>
        <w:tabs>
          <w:tab w:leader="none" w:pos="72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the Loan Parties shall timely pay to the relevant Governmental Authority in accordance with applicable Law, or at the option of the Administrative Agent timely reimburse it for the payment of, any Other Taxes.</w:t>
      </w:r>
    </w:p>
    <w:p>
      <w:pPr>
        <w:spacing w:after="0" w:line="181" w:lineRule="exact"/>
        <w:rPr>
          <w:rFonts w:ascii="Arial" w:cs="Arial" w:eastAsia="Arial" w:hAnsi="Arial"/>
          <w:sz w:val="18"/>
          <w:szCs w:val="18"/>
          <w:color w:val="auto"/>
        </w:rPr>
      </w:pPr>
    </w:p>
    <w:p>
      <w:pPr>
        <w:jc w:val="both"/>
        <w:ind w:firstLine="464"/>
        <w:spacing w:after="0" w:line="288" w:lineRule="auto"/>
        <w:tabs>
          <w:tab w:leader="none" w:pos="701"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xml:space="preserve"> (i) Each Loan Party shall, and does hereby, severally indemnify each Recipient, and shall make payment in respect thereof within ten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payable or paid by such Recipient or required to be withheld or deducted from a payment by such Loan Party to such Recipient, and any penalties, interest and reasonable expenses arising therefrom or with respect thereto, other than penalties, interest or reasonable expenses arising from the gross negligence or willful misconduct on the part of the Recipient as determined by a court of competent jurisdiction by final and nonappealable judgment,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Each Loan Party shall, and does hereby severally indemnify the Administrative Agent, and shall make payment in respect thereof within ten days after demand therefor, for any amount which a Lender for any reason fails to pay indefeasibly to the Administrative Agent as required pursuant to </w:t>
      </w:r>
      <w:r>
        <w:rPr>
          <w:rFonts w:ascii="Arial" w:cs="Arial" w:eastAsia="Arial" w:hAnsi="Arial"/>
          <w:sz w:val="16"/>
          <w:szCs w:val="16"/>
          <w:u w:val="single" w:color="auto"/>
          <w:color w:val="auto"/>
        </w:rPr>
        <w:t>Section 3.01(c)(ii)</w:t>
      </w:r>
      <w:r>
        <w:rPr>
          <w:rFonts w:ascii="Arial" w:cs="Arial" w:eastAsia="Arial" w:hAnsi="Arial"/>
          <w:sz w:val="16"/>
          <w:szCs w:val="16"/>
          <w:color w:val="auto"/>
        </w:rPr>
        <w:t xml:space="preserve"> below.</w:t>
      </w:r>
    </w:p>
    <w:p>
      <w:pPr>
        <w:spacing w:after="0" w:line="61" w:lineRule="exact"/>
        <w:rPr>
          <w:rFonts w:ascii="Arial" w:cs="Arial" w:eastAsia="Arial" w:hAnsi="Arial"/>
          <w:sz w:val="16"/>
          <w:szCs w:val="16"/>
          <w:color w:val="auto"/>
        </w:rPr>
      </w:pPr>
    </w:p>
    <w:p>
      <w:pPr>
        <w:ind w:left="1180" w:hanging="277"/>
        <w:spacing w:after="0"/>
        <w:tabs>
          <w:tab w:leader="none" w:pos="11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Each Lender shall, and does hereby, severally indemnify, and shall make payment in respect thereof within 10 days after demand therefor,</w:t>
      </w:r>
    </w:p>
    <w:p>
      <w:pPr>
        <w:spacing w:after="0" w:line="46" w:lineRule="exact"/>
        <w:rPr>
          <w:rFonts w:ascii="Arial" w:cs="Arial" w:eastAsia="Arial" w:hAnsi="Arial"/>
          <w:sz w:val="16"/>
          <w:szCs w:val="16"/>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Administrative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43" w:name="page44"/>
    <w:bookmarkEnd w:id="43"/>
    <w:p>
      <w:pPr>
        <w:jc w:val="both"/>
        <w:ind w:left="4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Agent against any Indemnified Taxes attributable to such Lender (but only to the extent that any Loan Party has not already indemnified the Administrative Agent for such Indemnified Taxes and without limiting the obligation of the Loan Parties to do so), (y) the Administrative Agent against any Taxes attributable to such Lender’s failure to comply with the provisions of </w:t>
      </w:r>
      <w:r>
        <w:rPr>
          <w:rFonts w:ascii="Arial" w:cs="Arial" w:eastAsia="Arial" w:hAnsi="Arial"/>
          <w:sz w:val="16"/>
          <w:szCs w:val="16"/>
          <w:u w:val="single" w:color="auto"/>
          <w:color w:val="auto"/>
        </w:rPr>
        <w:t>Section 10.06(d)</w:t>
      </w:r>
      <w:r>
        <w:rPr>
          <w:rFonts w:ascii="Arial" w:cs="Arial" w:eastAsia="Arial" w:hAnsi="Arial"/>
          <w:sz w:val="16"/>
          <w:szCs w:val="16"/>
          <w:color w:val="auto"/>
        </w:rPr>
        <w:t xml:space="preserve"> relating to the maintenance of a Participant Register and (z) the Administrative Agent and the Borrower, as applicable, against any Excluded Taxes attributable to such Lender that are payable or paid by the Administrative Agent or the Borrower in connection with any Loan Document, and any penalties, interest and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w:t>
      </w:r>
    </w:p>
    <w:p>
      <w:pPr>
        <w:spacing w:after="0" w:line="167" w:lineRule="exact"/>
        <w:rPr>
          <w:sz w:val="20"/>
          <w:szCs w:val="20"/>
          <w:color w:val="auto"/>
        </w:rPr>
      </w:pPr>
    </w:p>
    <w:p>
      <w:pPr>
        <w:jc w:val="both"/>
        <w:ind w:firstLine="464"/>
        <w:spacing w:after="0" w:line="257" w:lineRule="auto"/>
        <w:tabs>
          <w:tab w:leader="none" w:pos="71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Administrative Agent, as the case may be, after any payment of Taxes by the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88" w:lineRule="exact"/>
        <w:rPr>
          <w:rFonts w:ascii="Arial" w:cs="Arial" w:eastAsia="Arial" w:hAnsi="Arial"/>
          <w:sz w:val="18"/>
          <w:szCs w:val="18"/>
          <w:color w:val="auto"/>
        </w:rPr>
      </w:pPr>
    </w:p>
    <w:p>
      <w:pPr>
        <w:jc w:val="both"/>
        <w:ind w:firstLine="464"/>
        <w:spacing w:after="0" w:line="284" w:lineRule="auto"/>
        <w:tabs>
          <w:tab w:leader="none" w:pos="728"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Status of Lenders; Tax Documentation.</w:t>
      </w:r>
      <w:r>
        <w:rPr>
          <w:rFonts w:ascii="Arial" w:cs="Arial" w:eastAsia="Arial" w:hAnsi="Arial"/>
          <w:sz w:val="16"/>
          <w:szCs w:val="16"/>
          <w:color w:val="auto"/>
        </w:rPr>
        <w:t xml:space="preserve">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or information reasonably requested by the Borrower or the Administrative Agent as will permit such payments to be, or evidence that such payments may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3.01(e)(ii)</w:t>
      </w:r>
    </w:p>
    <w:p>
      <w:pPr>
        <w:spacing w:after="0" w:line="1"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53" w:lineRule="exact"/>
        <w:rPr>
          <w:rFonts w:ascii="Arial" w:cs="Arial" w:eastAsia="Arial" w:hAnsi="Arial"/>
          <w:sz w:val="16"/>
          <w:szCs w:val="16"/>
          <w:color w:val="auto"/>
        </w:rPr>
      </w:pPr>
    </w:p>
    <w:p>
      <w:pPr>
        <w:ind w:left="1160" w:hanging="257"/>
        <w:spacing w:after="0"/>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44" w:name="page45"/>
    <w:bookmarkEnd w:id="44"/>
    <w:p>
      <w:pPr>
        <w:jc w:val="both"/>
        <w:ind w:left="-280" w:firstLine="421"/>
        <w:spacing w:after="0" w:line="286" w:lineRule="auto"/>
        <w:tabs>
          <w:tab w:leader="none" w:pos="454"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57" w:lineRule="exact"/>
        <w:rPr>
          <w:rFonts w:ascii="Arial" w:cs="Arial" w:eastAsia="Arial" w:hAnsi="Arial"/>
          <w:sz w:val="17"/>
          <w:szCs w:val="17"/>
          <w:color w:val="auto"/>
        </w:rPr>
      </w:pPr>
    </w:p>
    <w:p>
      <w:pPr>
        <w:jc w:val="both"/>
        <w:ind w:left="-280" w:firstLine="421"/>
        <w:spacing w:after="0" w:line="259" w:lineRule="auto"/>
        <w:tabs>
          <w:tab w:leader="none" w:pos="4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8" w:lineRule="exact"/>
        <w:rPr>
          <w:rFonts w:ascii="Arial" w:cs="Arial" w:eastAsia="Arial" w:hAnsi="Arial"/>
          <w:sz w:val="18"/>
          <w:szCs w:val="18"/>
          <w:color w:val="auto"/>
        </w:rPr>
      </w:pPr>
    </w:p>
    <w:p>
      <w:pPr>
        <w:jc w:val="both"/>
        <w:ind w:left="300" w:firstLine="389"/>
        <w:spacing w:after="0" w:line="255" w:lineRule="auto"/>
        <w:tabs>
          <w:tab w:leader="none" w:pos="943"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originals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(II) executed originals of IRS Form W-8ECI;</w:t>
      </w:r>
    </w:p>
    <w:p>
      <w:pPr>
        <w:spacing w:after="0" w:line="117" w:lineRule="exact"/>
        <w:rPr>
          <w:sz w:val="20"/>
          <w:szCs w:val="20"/>
          <w:color w:val="auto"/>
        </w:rPr>
      </w:pPr>
    </w:p>
    <w:p>
      <w:pPr>
        <w:ind w:left="1040" w:hanging="351"/>
        <w:spacing w:after="0"/>
        <w:tabs>
          <w:tab w:leader="none" w:pos="10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jc w:val="both"/>
        <w:ind w:left="300" w:hanging="8"/>
        <w:spacing w:after="0" w:line="254" w:lineRule="auto"/>
        <w:tabs>
          <w:tab w:leader="none" w:pos="5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 certificate substantially in the form of </w:t>
      </w:r>
      <w:r>
        <w:rPr>
          <w:rFonts w:ascii="Arial" w:cs="Arial" w:eastAsia="Arial" w:hAnsi="Arial"/>
          <w:sz w:val="18"/>
          <w:szCs w:val="18"/>
          <w:u w:val="single" w:color="auto"/>
          <w:color w:val="auto"/>
        </w:rPr>
        <w:t>Exhibit 3.01(a)</w:t>
      </w:r>
      <w:r>
        <w:rPr>
          <w:rFonts w:ascii="Arial" w:cs="Arial" w:eastAsia="Arial" w:hAnsi="Arial"/>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originals of IRS Form W-8BEN or IRS Form W-8BEN-E, as applicable; or</w:t>
      </w:r>
    </w:p>
    <w:p>
      <w:pPr>
        <w:spacing w:after="0" w:line="82" w:lineRule="exact"/>
        <w:rPr>
          <w:sz w:val="20"/>
          <w:szCs w:val="20"/>
          <w:color w:val="auto"/>
        </w:rPr>
      </w:pPr>
    </w:p>
    <w:p>
      <w:pPr>
        <w:jc w:val="both"/>
        <w:ind w:left="300" w:firstLine="397"/>
        <w:spacing w:after="0" w:line="255" w:lineRule="auto"/>
        <w:rPr>
          <w:sz w:val="20"/>
          <w:szCs w:val="20"/>
          <w:color w:val="auto"/>
        </w:rPr>
      </w:pPr>
      <w:r>
        <w:rPr>
          <w:rFonts w:ascii="Arial" w:cs="Arial" w:eastAsia="Arial" w:hAnsi="Arial"/>
          <w:sz w:val="18"/>
          <w:szCs w:val="18"/>
          <w:color w:val="auto"/>
        </w:rPr>
        <w:t xml:space="preserve">(IV) to the extent a Foreign Lender is not the beneficial owner, executed originals of IRS Form W-8IMY, accompanied by IRS Form W-8ECI, IRS Form W-8BEN or IRS Form W-8BEN-E, as applicable, a U.S. Tax Compliance Certificate substantially in the form of </w:t>
      </w:r>
      <w:r>
        <w:rPr>
          <w:rFonts w:ascii="Arial" w:cs="Arial" w:eastAsia="Arial" w:hAnsi="Arial"/>
          <w:sz w:val="18"/>
          <w:szCs w:val="18"/>
          <w:u w:val="single" w:color="auto"/>
          <w:color w:val="auto"/>
        </w:rPr>
        <w:t>Exhibit 3.01(b)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3.01(c)</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3.01(d)</w:t>
      </w:r>
      <w:r>
        <w:rPr>
          <w:rFonts w:ascii="Arial" w:cs="Arial" w:eastAsia="Arial" w:hAnsi="Arial"/>
          <w:sz w:val="18"/>
          <w:szCs w:val="18"/>
          <w:color w:val="auto"/>
        </w:rPr>
        <w:t xml:space="preserve"> on behalf of each such direct and indirect partner;</w:t>
      </w:r>
    </w:p>
    <w:p>
      <w:pPr>
        <w:spacing w:after="0" w:line="1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20"/>
          </w:cols>
          <w:pgMar w:left="1440" w:top="274" w:right="239" w:bottom="1440" w:gutter="0" w:footer="0" w:header="0"/>
        </w:sectPr>
      </w:pPr>
    </w:p>
    <w:bookmarkStart w:id="45" w:name="page46"/>
    <w:bookmarkEnd w:id="45"/>
    <w:p>
      <w:pPr>
        <w:jc w:val="both"/>
        <w:ind w:left="920" w:firstLine="421"/>
        <w:spacing w:after="0" w:line="255" w:lineRule="auto"/>
        <w:tabs>
          <w:tab w:leader="none" w:pos="1641"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85" w:lineRule="exact"/>
        <w:rPr>
          <w:rFonts w:ascii="Arial" w:cs="Arial" w:eastAsia="Arial" w:hAnsi="Arial"/>
          <w:sz w:val="18"/>
          <w:szCs w:val="18"/>
          <w:color w:val="auto"/>
        </w:rPr>
      </w:pPr>
    </w:p>
    <w:p>
      <w:pPr>
        <w:jc w:val="both"/>
        <w:ind w:left="920" w:firstLine="421"/>
        <w:spacing w:after="0" w:line="253" w:lineRule="auto"/>
        <w:tabs>
          <w:tab w:leader="none" w:pos="1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8"/>
          <w:szCs w:val="18"/>
          <w:u w:val="single" w:color="auto"/>
          <w:color w:val="auto"/>
        </w:rPr>
        <w:t>clause (D)</w:t>
      </w:r>
      <w:r>
        <w:rPr>
          <w:rFonts w:ascii="Arial" w:cs="Arial" w:eastAsia="Arial" w:hAnsi="Arial"/>
          <w:sz w:val="18"/>
          <w:szCs w:val="18"/>
          <w:color w:val="auto"/>
        </w:rPr>
        <w:t>, “FATCA” shall include any amendments made to FATCA after the date of this Agreement.</w:t>
      </w:r>
    </w:p>
    <w:p>
      <w:pPr>
        <w:spacing w:after="0" w:line="19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 xml:space="preserve">Each Lender agrees that if any form or certification it previously delivered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24" w:lineRule="exact"/>
        <w:rPr>
          <w:sz w:val="20"/>
          <w:szCs w:val="20"/>
          <w:color w:val="auto"/>
        </w:rPr>
      </w:pPr>
    </w:p>
    <w:p>
      <w:pPr>
        <w:jc w:val="both"/>
        <w:ind w:firstLine="464"/>
        <w:spacing w:after="0" w:line="253"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 Loan Party or with respect to which a Loan Party has paid additional amounts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it shall pay to the applicable Loan Party an amount equal to such refund (but only to the extent of indemnity payments made, or additional amounts paid, by such Loan Party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Loan Party, upon the request of the Recipient, agrees to repay the amount paid over to such Loan Party (plus any penalties, interest or other charges imposed by the relevant Governmental Authority, other than any penalties, interest, or other charges attributable to the gross negligence or willful misconduct on the part of the Recipient 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46" w:name="page47"/>
    <w:bookmarkEnd w:id="46"/>
    <w:p>
      <w:pPr>
        <w:jc w:val="both"/>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determined by a court of competent jurisdiction by final and nonappealable judgment) to the Recipient in the event the Recipient is required to repay such refund to such Governmental Authority. Notwithstanding anything to the contrary in this subsection, in no event will the applicable Recipient be required to pay any amount to any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65" w:lineRule="exact"/>
        <w:rPr>
          <w:sz w:val="20"/>
          <w:szCs w:val="20"/>
          <w:color w:val="auto"/>
        </w:rPr>
      </w:pPr>
    </w:p>
    <w:p>
      <w:pPr>
        <w:jc w:val="both"/>
        <w:ind w:firstLine="464"/>
        <w:spacing w:after="0" w:line="264" w:lineRule="auto"/>
        <w:tabs>
          <w:tab w:leader="none" w:pos="73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term “applicable Law” or “applicable Laws” includes FATCA.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Illegality.</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If any Lender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w:t>
      </w:r>
    </w:p>
    <w:p>
      <w:pPr>
        <w:spacing w:after="0" w:line="2"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obligation of such Lender to make or continue Eurodollar Rate Loans or to convert Base Rate Loans to Eurodollar Rate Loans shall be suspended and</w:t>
      </w:r>
    </w:p>
    <w:p>
      <w:pPr>
        <w:spacing w:after="0" w:line="32" w:lineRule="exact"/>
        <w:rPr>
          <w:rFonts w:ascii="Arial" w:cs="Arial" w:eastAsia="Arial" w:hAnsi="Arial"/>
          <w:sz w:val="16"/>
          <w:szCs w:val="16"/>
          <w:color w:val="auto"/>
        </w:rPr>
      </w:pPr>
    </w:p>
    <w:p>
      <w:pPr>
        <w:jc w:val="both"/>
        <w:ind w:firstLine="8"/>
        <w:spacing w:after="0" w:line="286" w:lineRule="auto"/>
        <w:tabs>
          <w:tab w:leader="none" w:pos="279"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such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 to determine or charge interest rates based upon the Eurodollar Rate. Upon any such prepayment or conversion, the Borrower shall also pay accrued interest on the amount so prepaid or converted.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Inability to Determine Rates.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in connection with any request for a Eurodollar Rate Loan or a conversion to or continuation thereof, (a) the Administrative Agent determines that</w:t>
      </w:r>
    </w:p>
    <w:p>
      <w:pPr>
        <w:spacing w:after="0" w:line="46" w:lineRule="exact"/>
        <w:rPr>
          <w:sz w:val="20"/>
          <w:szCs w:val="20"/>
          <w:color w:val="auto"/>
        </w:rPr>
      </w:pPr>
    </w:p>
    <w:p>
      <w:pPr>
        <w:jc w:val="both"/>
        <w:ind w:firstLine="8"/>
        <w:spacing w:after="0" w:line="267" w:lineRule="auto"/>
        <w:tabs>
          <w:tab w:leader="none" w:pos="219"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Dollar deposits are not being offered to banks in the London interbank eurodollar market for the applicable amount and Interest Period of such Eurodollar Rate Loan (in each case with respect to this </w:t>
      </w:r>
      <w:r>
        <w:rPr>
          <w:rFonts w:ascii="Arial" w:cs="Arial" w:eastAsia="Arial" w:hAnsi="Arial"/>
          <w:sz w:val="17"/>
          <w:szCs w:val="17"/>
          <w:u w:val="single" w:color="auto"/>
          <w:color w:val="auto"/>
        </w:rPr>
        <w:t>clause (a)(i)</w:t>
      </w:r>
      <w:r>
        <w:rPr>
          <w:rFonts w:ascii="Arial" w:cs="Arial" w:eastAsia="Arial" w:hAnsi="Arial"/>
          <w:sz w:val="17"/>
          <w:szCs w:val="17"/>
          <w:color w:val="auto"/>
        </w:rPr>
        <w:t>, “</w:t>
      </w:r>
      <w:r>
        <w:rPr>
          <w:rFonts w:ascii="Arial" w:cs="Arial" w:eastAsia="Arial" w:hAnsi="Arial"/>
          <w:sz w:val="17"/>
          <w:szCs w:val="17"/>
          <w:u w:val="single" w:color="auto"/>
          <w:color w:val="auto"/>
        </w:rPr>
        <w:t>Impacted Loans</w:t>
      </w:r>
      <w:r>
        <w:rPr>
          <w:rFonts w:ascii="Arial" w:cs="Arial" w:eastAsia="Arial" w:hAnsi="Arial"/>
          <w:sz w:val="17"/>
          <w:szCs w:val="17"/>
          <w:color w:val="auto"/>
        </w:rPr>
        <w:t>”), or (ii) adequate and reasonable means do not exist for determining the Eurodollar Rate for any requested Interest Period with respect to a proposed Eurodollar Rate Loan or in connection with an existing or proposed Base Rate Loan, or (b)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85"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 xml:space="preserve">Notwithstanding the foregoing, if the Administrative Agent has made the determination described in </w:t>
      </w:r>
      <w:r>
        <w:rPr>
          <w:rFonts w:ascii="Arial" w:cs="Arial" w:eastAsia="Arial" w:hAnsi="Arial"/>
          <w:sz w:val="17"/>
          <w:szCs w:val="17"/>
          <w:u w:val="single" w:color="auto"/>
          <w:color w:val="auto"/>
        </w:rPr>
        <w:t>clause (a)(i)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the Administrative Agent, in consultation with the Borrower and the Required Lenders, may establish an alternative interest rate for the Impacted Loans, in which case, such alternative rate of interest shall apply with respect to the Impacted Loans until (1) the Administrative Agent revokes the notice delivered with respect to the Impacted Loans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first sentence of this </w:t>
      </w:r>
      <w:r>
        <w:rPr>
          <w:rFonts w:ascii="Arial" w:cs="Arial" w:eastAsia="Arial" w:hAnsi="Arial"/>
          <w:sz w:val="17"/>
          <w:szCs w:val="17"/>
          <w:u w:val="single" w:color="auto"/>
          <w:color w:val="auto"/>
        </w:rPr>
        <w:t>Section 3.03</w:t>
      </w:r>
      <w:r>
        <w:rPr>
          <w:rFonts w:ascii="Arial" w:cs="Arial" w:eastAsia="Arial" w:hAnsi="Arial"/>
          <w:sz w:val="17"/>
          <w:szCs w:val="17"/>
          <w:color w:val="auto"/>
        </w:rPr>
        <w:t>, (2) the 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Increased Costs; Reserves on Eurodollar Rate Loans.</w:t>
      </w:r>
    </w:p>
    <w:p>
      <w:pPr>
        <w:spacing w:after="0" w:line="117" w:lineRule="exact"/>
        <w:rPr>
          <w:sz w:val="20"/>
          <w:szCs w:val="20"/>
          <w:color w:val="auto"/>
        </w:rPr>
      </w:pPr>
    </w:p>
    <w:p>
      <w:pPr>
        <w:ind w:left="700" w:hanging="23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xml:space="preserve"> If any Change in Law shall:</w:t>
      </w:r>
    </w:p>
    <w:p>
      <w:pPr>
        <w:spacing w:after="0" w:line="117" w:lineRule="exact"/>
        <w:rPr>
          <w:rFonts w:ascii="Arial" w:cs="Arial" w:eastAsia="Arial" w:hAnsi="Arial"/>
          <w:sz w:val="18"/>
          <w:szCs w:val="18"/>
          <w:color w:val="auto"/>
        </w:rPr>
      </w:pPr>
    </w:p>
    <w:p>
      <w:pPr>
        <w:jc w:val="both"/>
        <w:ind w:left="460" w:firstLine="443"/>
        <w:spacing w:after="0" w:line="264" w:lineRule="auto"/>
        <w:tabs>
          <w:tab w:leader="none" w:pos="11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Eurodollar Rate);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8" w:name="page49"/>
    <w:bookmarkEnd w:id="48"/>
    <w:p>
      <w:pPr>
        <w:jc w:val="both"/>
        <w:ind w:left="460" w:firstLine="443"/>
        <w:spacing w:after="0" w:line="264" w:lineRule="auto"/>
        <w:tabs>
          <w:tab w:leader="none" w:pos="1172"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any Recipient to any Taxes (other than (A) Indemnified Taxes and (B) the imposition of, or any change in the rate of, any Excluded Tax) on its loans, loan principal, letters of credit, commitments, or other obligations, or its deposits, reserves, other liabilities or capital attributable thereto; or</w:t>
      </w:r>
    </w:p>
    <w:p>
      <w:pPr>
        <w:spacing w:after="0" w:line="73" w:lineRule="exact"/>
        <w:rPr>
          <w:rFonts w:ascii="Arial" w:cs="Arial" w:eastAsia="Arial" w:hAnsi="Arial"/>
          <w:sz w:val="18"/>
          <w:szCs w:val="18"/>
          <w:color w:val="auto"/>
        </w:rPr>
      </w:pPr>
    </w:p>
    <w:p>
      <w:pPr>
        <w:ind w:left="460" w:right="20" w:firstLine="443"/>
        <w:spacing w:after="0" w:line="277" w:lineRule="auto"/>
        <w:tabs>
          <w:tab w:leader="none" w:pos="12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affecting this Agreement or Eurodollar Rate Loans made by such Lender;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result of any of the foregoing shall be to increase the cost to such Lender of making or maintaining any Eurodollar Rate Loan (or of maintaining its obligation to make any such Loan), or to reduce the amount of any sum received or receivable by such Lender hereunder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187" w:lineRule="exact"/>
        <w:rPr>
          <w:sz w:val="20"/>
          <w:szCs w:val="20"/>
          <w:color w:val="auto"/>
        </w:rPr>
      </w:pPr>
    </w:p>
    <w:p>
      <w:pPr>
        <w:jc w:val="both"/>
        <w:ind w:firstLine="464"/>
        <w:spacing w:after="0" w:line="255" w:lineRule="auto"/>
        <w:tabs>
          <w:tab w:leader="none" w:pos="72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xml:space="preserve">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would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w:t>
      </w:r>
    </w:p>
    <w:p>
      <w:pPr>
        <w:spacing w:after="0" w:line="189" w:lineRule="exact"/>
        <w:rPr>
          <w:rFonts w:ascii="Arial" w:cs="Arial" w:eastAsia="Arial" w:hAnsi="Arial"/>
          <w:sz w:val="18"/>
          <w:szCs w:val="18"/>
          <w:color w:val="auto"/>
        </w:rPr>
      </w:pPr>
    </w:p>
    <w:p>
      <w:pPr>
        <w:jc w:val="both"/>
        <w:ind w:firstLine="464"/>
        <w:spacing w:after="0" w:line="286" w:lineRule="auto"/>
        <w:tabs>
          <w:tab w:leader="none" w:pos="701"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xml:space="preserve"> A certificate of a Lender setting forth the amount or amounts necessary to compensate such Lender or its holding company, as the case may be, as specified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and delivered to the Borrower shall be conclusive absent manifest error. The Borrower shall pay such Lender the amount shown as due on any such certificate within 10 days after receipt thereof.</w:t>
      </w:r>
    </w:p>
    <w:p>
      <w:pPr>
        <w:spacing w:after="0" w:line="165" w:lineRule="exact"/>
        <w:rPr>
          <w:rFonts w:ascii="Arial" w:cs="Arial" w:eastAsia="Arial" w:hAnsi="Arial"/>
          <w:sz w:val="17"/>
          <w:szCs w:val="17"/>
          <w:color w:val="auto"/>
        </w:rPr>
      </w:pPr>
    </w:p>
    <w:p>
      <w:pPr>
        <w:jc w:val="both"/>
        <w:ind w:firstLine="464"/>
        <w:spacing w:after="0" w:line="273" w:lineRule="auto"/>
        <w:tabs>
          <w:tab w:leader="none" w:pos="72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to demand compensation pursuant to the foregoing provisions of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shall not constitute a waiver of such Lender’s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pursuant to the foregoing provisions of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for any increased costs incurred or reductions suffered more than six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3.05. </w:t>
      </w:r>
      <w:r>
        <w:rPr>
          <w:rFonts w:ascii="Arial" w:cs="Arial" w:eastAsia="Arial" w:hAnsi="Arial"/>
          <w:sz w:val="18"/>
          <w:szCs w:val="18"/>
          <w:u w:val="single" w:color="auto"/>
          <w:color w:val="auto"/>
        </w:rPr>
        <w:t>Compensation for Losses.</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Upon demand of any Lender (with a copy to the Administrative Agent) from time to time, the Borrower shall promptly compensate such Lender for and hold such Lender harmless from any loss, cost or expense (but not loss of anticipated profits or margin) incurred by it as a result of:</w:t>
      </w:r>
    </w:p>
    <w:p>
      <w:pPr>
        <w:spacing w:after="0" w:line="38" w:lineRule="exact"/>
        <w:rPr>
          <w:sz w:val="20"/>
          <w:szCs w:val="20"/>
          <w:color w:val="auto"/>
        </w:rPr>
      </w:pPr>
    </w:p>
    <w:p>
      <w:pPr>
        <w:ind w:left="920" w:firstLine="421"/>
        <w:spacing w:after="0" w:line="277" w:lineRule="auto"/>
        <w:tabs>
          <w:tab w:leader="none" w:pos="159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62" w:lineRule="exact"/>
        <w:rPr>
          <w:rFonts w:ascii="Arial" w:cs="Arial" w:eastAsia="Arial" w:hAnsi="Arial"/>
          <w:sz w:val="18"/>
          <w:szCs w:val="18"/>
          <w:color w:val="auto"/>
        </w:rPr>
      </w:pPr>
    </w:p>
    <w:p>
      <w:pPr>
        <w:ind w:left="920" w:firstLine="421"/>
        <w:spacing w:after="0" w:line="277" w:lineRule="auto"/>
        <w:tabs>
          <w:tab w:leader="none" w:pos="160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62" w:lineRule="exact"/>
        <w:rPr>
          <w:rFonts w:ascii="Arial" w:cs="Arial" w:eastAsia="Arial" w:hAnsi="Arial"/>
          <w:sz w:val="18"/>
          <w:szCs w:val="18"/>
          <w:color w:val="auto"/>
        </w:rPr>
      </w:pPr>
    </w:p>
    <w:p>
      <w:pPr>
        <w:ind w:left="920" w:firstLine="421"/>
        <w:spacing w:after="0" w:line="277" w:lineRule="auto"/>
        <w:tabs>
          <w:tab w:leader="none" w:pos="1591"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including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For purposes of calculating amounts payable by the Borrower to the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each Lender shall be deemed to have funded each Eurodollar Rate Loan made by it at the Eurodollar Rate used in determining the Eurodollar Rate for such Loan by a matching deposit or other borrowing in the London interbank eurodollar market for a comparable amount and for a comparable period, whether or not such Eurodollar Rate Loan was in fact so funded. A certificate of a Lender setting forth the amount or amounts necessary to compensate such Lender as specified in this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delivered to the Borrower shall be conclusive absent manifest error.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Mitigation Obligations; Replacement of Lenders.</w:t>
      </w:r>
    </w:p>
    <w:p>
      <w:pPr>
        <w:spacing w:after="0" w:line="117" w:lineRule="exact"/>
        <w:rPr>
          <w:sz w:val="20"/>
          <w:szCs w:val="20"/>
          <w:color w:val="auto"/>
        </w:rPr>
      </w:pPr>
    </w:p>
    <w:p>
      <w:pPr>
        <w:jc w:val="both"/>
        <w:ind w:firstLine="464"/>
        <w:spacing w:after="0" w:line="255" w:lineRule="auto"/>
        <w:tabs>
          <w:tab w:leader="none" w:pos="72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of Illegality pursuant to the last proviso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at the request of the Borrower,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as the case may be, in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future, or eliminate the need for the Notice of Illegality pursuant to the last proviso to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w:t>
      </w:r>
    </w:p>
    <w:p>
      <w:pPr>
        <w:spacing w:after="0" w:line="46" w:lineRule="exact"/>
        <w:rPr>
          <w:sz w:val="20"/>
          <w:szCs w:val="20"/>
          <w:color w:val="auto"/>
        </w:rPr>
      </w:pPr>
    </w:p>
    <w:p>
      <w:pPr>
        <w:ind w:firstLine="8"/>
        <w:spacing w:after="0" w:line="290" w:lineRule="auto"/>
        <w:tabs>
          <w:tab w:leader="none" w:pos="288"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61" w:lineRule="exact"/>
        <w:rPr>
          <w:rFonts w:ascii="Arial" w:cs="Arial" w:eastAsia="Arial" w:hAnsi="Arial"/>
          <w:sz w:val="17"/>
          <w:szCs w:val="17"/>
          <w:color w:val="auto"/>
        </w:rPr>
      </w:pPr>
    </w:p>
    <w:p>
      <w:pPr>
        <w:jc w:val="both"/>
        <w:ind w:firstLine="464"/>
        <w:spacing w:after="0" w:line="257" w:lineRule="auto"/>
        <w:tabs>
          <w:tab w:leader="none" w:pos="711"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shall have delivered a Notice of Illegality pursuant to the last proviso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then the Borrower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Commitments, repayment of all other Obligations hereunder and resignation of the Administrative Agent.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Conditions to Effectiveness and Borrowing.</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This Agreement and the obligations of the Lenders to make Loans hereunder on the Closing Date shall become effective upon satisfaction of the following conditions precedent:</w:t>
      </w:r>
    </w:p>
    <w:p>
      <w:pPr>
        <w:spacing w:after="0" w:line="62" w:lineRule="exact"/>
        <w:rPr>
          <w:sz w:val="20"/>
          <w:szCs w:val="20"/>
          <w:color w:val="auto"/>
        </w:rPr>
      </w:pPr>
    </w:p>
    <w:p>
      <w:pPr>
        <w:ind w:left="920" w:firstLine="421"/>
        <w:spacing w:after="0" w:line="277" w:lineRule="auto"/>
        <w:tabs>
          <w:tab w:leader="none" w:pos="158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Receipt by the Administrative Agent of executed counterparts of this Agreement properly executed by a Responsible Officer of ADI and by each Lender.</w:t>
      </w:r>
    </w:p>
    <w:p>
      <w:pPr>
        <w:spacing w:after="0" w:line="62" w:lineRule="exact"/>
        <w:rPr>
          <w:rFonts w:ascii="Arial" w:cs="Arial" w:eastAsia="Arial" w:hAnsi="Arial"/>
          <w:sz w:val="18"/>
          <w:szCs w:val="18"/>
          <w:color w:val="auto"/>
        </w:rPr>
      </w:pPr>
    </w:p>
    <w:p>
      <w:pPr>
        <w:ind w:left="920" w:firstLine="421"/>
        <w:spacing w:after="0" w:line="308" w:lineRule="auto"/>
        <w:tabs>
          <w:tab w:leader="none" w:pos="1649"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Opinions of Counsel.</w:t>
      </w:r>
      <w:r>
        <w:rPr>
          <w:rFonts w:ascii="Arial" w:cs="Arial" w:eastAsia="Arial" w:hAnsi="Arial"/>
          <w:sz w:val="17"/>
          <w:szCs w:val="17"/>
          <w:color w:val="auto"/>
        </w:rPr>
        <w:t xml:space="preserve"> Receipt by the Administrative Agent of favorable opinions of legal counsel to ADI, addressed to the Administrative Agent and each Lender, dated as of the Closing Date and in form and substance satisfactory to the Administrative Agent.</w:t>
      </w:r>
    </w:p>
    <w:p>
      <w:pPr>
        <w:spacing w:after="0" w:line="38" w:lineRule="exact"/>
        <w:rPr>
          <w:rFonts w:ascii="Arial" w:cs="Arial" w:eastAsia="Arial" w:hAnsi="Arial"/>
          <w:sz w:val="17"/>
          <w:szCs w:val="17"/>
          <w:color w:val="auto"/>
        </w:rPr>
      </w:pPr>
    </w:p>
    <w:p>
      <w:pPr>
        <w:jc w:val="both"/>
        <w:ind w:left="920" w:firstLine="421"/>
        <w:spacing w:after="0" w:line="259" w:lineRule="auto"/>
        <w:tabs>
          <w:tab w:leader="none" w:pos="163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Organization Documents, Resolutions, Etc.</w:t>
      </w:r>
      <w:r>
        <w:rPr>
          <w:rFonts w:ascii="Arial" w:cs="Arial" w:eastAsia="Arial" w:hAnsi="Arial"/>
          <w:sz w:val="18"/>
          <w:szCs w:val="18"/>
          <w:color w:val="auto"/>
        </w:rPr>
        <w:t xml:space="preserve"> Receipt by the Administrative Agent of such documents and certificates as the Administrative Agent may reasonably request relating to the organization, existence and good standing of ADI, the authorization of the Transactions, the incumbency of the Responsible Officers executing documents and any other legal matters relating to ADI, the Loan Documents or the Transactions, all in form and substance reasonably satisfactory to the Administrative Agent.</w:t>
      </w:r>
    </w:p>
    <w:p>
      <w:pPr>
        <w:spacing w:after="0" w:line="78" w:lineRule="exact"/>
        <w:rPr>
          <w:rFonts w:ascii="Arial" w:cs="Arial" w:eastAsia="Arial" w:hAnsi="Arial"/>
          <w:sz w:val="18"/>
          <w:szCs w:val="18"/>
          <w:color w:val="auto"/>
        </w:rPr>
      </w:pPr>
    </w:p>
    <w:p>
      <w:pPr>
        <w:jc w:val="both"/>
        <w:ind w:left="920" w:firstLine="421"/>
        <w:spacing w:after="0" w:line="264" w:lineRule="auto"/>
        <w:tabs>
          <w:tab w:leader="none" w:pos="160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xml:space="preserve"> The Administrative Agent shall have received a certificate in the form of </w:t>
      </w:r>
      <w:r>
        <w:rPr>
          <w:rFonts w:ascii="Arial" w:cs="Arial" w:eastAsia="Arial" w:hAnsi="Arial"/>
          <w:sz w:val="18"/>
          <w:szCs w:val="18"/>
          <w:u w:val="single" w:color="auto"/>
          <w:color w:val="auto"/>
        </w:rPr>
        <w:t>Exhibit 4.01</w:t>
      </w:r>
      <w:r>
        <w:rPr>
          <w:rFonts w:ascii="Arial" w:cs="Arial" w:eastAsia="Arial" w:hAnsi="Arial"/>
          <w:sz w:val="18"/>
          <w:szCs w:val="18"/>
          <w:color w:val="auto"/>
        </w:rPr>
        <w:t xml:space="preserve"> from ADI, executed by its chief financial officer certifying that ADI and its subsidiaries, on a consolidated basis after giving effect to the Transactions to occur on the Closing Date, are solvent.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51" w:name="page52"/>
    <w:bookmarkEnd w:id="51"/>
    <w:p>
      <w:pPr>
        <w:jc w:val="both"/>
        <w:ind w:left="-280" w:firstLine="421"/>
        <w:spacing w:after="0" w:line="259" w:lineRule="auto"/>
        <w:tabs>
          <w:tab w:leader="none" w:pos="41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Officer’s Closing Certificate.</w:t>
      </w:r>
      <w:r>
        <w:rPr>
          <w:rFonts w:ascii="Arial" w:cs="Arial" w:eastAsia="Arial" w:hAnsi="Arial"/>
          <w:sz w:val="18"/>
          <w:szCs w:val="18"/>
          <w:color w:val="auto"/>
        </w:rPr>
        <w:t xml:space="preserve"> The Administrative Agent shall have received a certificate of ADI signed by a Responsible Officer certifying (i) that the conditions specified in </w:t>
      </w:r>
      <w:r>
        <w:rPr>
          <w:rFonts w:ascii="Arial" w:cs="Arial" w:eastAsia="Arial" w:hAnsi="Arial"/>
          <w:sz w:val="18"/>
          <w:szCs w:val="18"/>
          <w:u w:val="single" w:color="auto"/>
          <w:color w:val="auto"/>
        </w:rPr>
        <w:t>Section 4.01(h)</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4.01(j)</w:t>
      </w:r>
      <w:r>
        <w:rPr>
          <w:rFonts w:ascii="Arial" w:cs="Arial" w:eastAsia="Arial" w:hAnsi="Arial"/>
          <w:sz w:val="18"/>
          <w:szCs w:val="18"/>
          <w:color w:val="auto"/>
        </w:rPr>
        <w:t xml:space="preserve"> (as to the Specified Representations only) and </w:t>
      </w:r>
      <w:r>
        <w:rPr>
          <w:rFonts w:ascii="Arial" w:cs="Arial" w:eastAsia="Arial" w:hAnsi="Arial"/>
          <w:sz w:val="18"/>
          <w:szCs w:val="18"/>
          <w:u w:val="single" w:color="auto"/>
          <w:color w:val="auto"/>
        </w:rPr>
        <w:t>Section 4.01(k)</w:t>
      </w:r>
      <w:r>
        <w:rPr>
          <w:rFonts w:ascii="Arial" w:cs="Arial" w:eastAsia="Arial" w:hAnsi="Arial"/>
          <w:sz w:val="18"/>
          <w:szCs w:val="18"/>
          <w:color w:val="auto"/>
        </w:rPr>
        <w:t xml:space="preserve"> have been satisfied and (ii) that, to the best knowledge of ADI, the condition specified in </w:t>
      </w:r>
      <w:r>
        <w:rPr>
          <w:rFonts w:ascii="Arial" w:cs="Arial" w:eastAsia="Arial" w:hAnsi="Arial"/>
          <w:sz w:val="18"/>
          <w:szCs w:val="18"/>
          <w:u w:val="single" w:color="auto"/>
          <w:color w:val="auto"/>
        </w:rPr>
        <w:t>Section 4.01(j)</w:t>
      </w:r>
      <w:r>
        <w:rPr>
          <w:rFonts w:ascii="Arial" w:cs="Arial" w:eastAsia="Arial" w:hAnsi="Arial"/>
          <w:sz w:val="18"/>
          <w:szCs w:val="18"/>
          <w:color w:val="auto"/>
        </w:rPr>
        <w:t xml:space="preserve"> (as to the Merger Agreement Representations) has been satisfied.</w:t>
      </w:r>
    </w:p>
    <w:p>
      <w:pPr>
        <w:spacing w:after="0" w:line="78" w:lineRule="exact"/>
        <w:rPr>
          <w:rFonts w:ascii="Arial" w:cs="Arial" w:eastAsia="Arial" w:hAnsi="Arial"/>
          <w:sz w:val="18"/>
          <w:szCs w:val="18"/>
          <w:color w:val="auto"/>
        </w:rPr>
      </w:pPr>
    </w:p>
    <w:p>
      <w:pPr>
        <w:ind w:left="360" w:hanging="219"/>
        <w:spacing w:after="0"/>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Loan Notice.</w:t>
      </w:r>
      <w:r>
        <w:rPr>
          <w:rFonts w:ascii="Arial" w:cs="Arial" w:eastAsia="Arial" w:hAnsi="Arial"/>
          <w:sz w:val="18"/>
          <w:szCs w:val="18"/>
          <w:color w:val="auto"/>
        </w:rPr>
        <w:t xml:space="preserve"> The Administrative Agent shall have received a Loan Notice in accordance with the requirements hereof.</w:t>
      </w:r>
    </w:p>
    <w:p>
      <w:pPr>
        <w:spacing w:after="0" w:line="117" w:lineRule="exact"/>
        <w:rPr>
          <w:rFonts w:ascii="Arial" w:cs="Arial" w:eastAsia="Arial" w:hAnsi="Arial"/>
          <w:sz w:val="18"/>
          <w:szCs w:val="18"/>
          <w:color w:val="auto"/>
        </w:rPr>
      </w:pPr>
    </w:p>
    <w:p>
      <w:pPr>
        <w:jc w:val="both"/>
        <w:ind w:left="-280" w:firstLine="421"/>
        <w:spacing w:after="0" w:line="259" w:lineRule="auto"/>
        <w:tabs>
          <w:tab w:leader="none" w:pos="39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“Know Your Customer” Documentation and Related Information.</w:t>
      </w:r>
      <w:r>
        <w:rPr>
          <w:rFonts w:ascii="Arial" w:cs="Arial" w:eastAsia="Arial" w:hAnsi="Arial"/>
          <w:sz w:val="18"/>
          <w:szCs w:val="18"/>
          <w:color w:val="auto"/>
        </w:rPr>
        <w:t xml:space="preserve"> The Administrative Agent shall have received, at least three Business Days prior to the Closing Date, all documentation and other information reasonably requested in writing at least ten Business Days prior to the Closing Date that is required by regulatory authorities under applicable “know your customer” and anti-money laundering rules and regulations, including without limitation, the USA PATRIOT Act.</w:t>
      </w:r>
    </w:p>
    <w:p>
      <w:pPr>
        <w:spacing w:after="0" w:line="78" w:lineRule="exact"/>
        <w:rPr>
          <w:rFonts w:ascii="Arial" w:cs="Arial" w:eastAsia="Arial" w:hAnsi="Arial"/>
          <w:sz w:val="18"/>
          <w:szCs w:val="18"/>
          <w:color w:val="auto"/>
        </w:rPr>
      </w:pPr>
    </w:p>
    <w:p>
      <w:pPr>
        <w:jc w:val="both"/>
        <w:ind w:left="-280" w:firstLine="421"/>
        <w:spacing w:after="0" w:line="297" w:lineRule="auto"/>
        <w:tabs>
          <w:tab w:leader="none" w:pos="39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xml:space="preserve"> The Acquisition shall be consummated substantially concurrently with the making of the Loans hereunder on the Closing Date in all material respects in accordance with the terms of the Merger Agreement. The Merger Agreement shall not have been amended or modified in any respect, or any provision or condition therein waived, or any consent granted thereunder (directly or indirectly), by ADI, in each case after July 26, 2016, if such amendment, modification, waiver or consent would be material and adverse to the interests of the Lenders (in their capacities as such) without the Arrangers’ prior written consent (such consent not to be unreasonably withheld, delayed or conditioned).</w:t>
      </w:r>
    </w:p>
    <w:p>
      <w:pPr>
        <w:spacing w:after="0" w:line="50" w:lineRule="exact"/>
        <w:rPr>
          <w:rFonts w:ascii="Arial" w:cs="Arial" w:eastAsia="Arial" w:hAnsi="Arial"/>
          <w:sz w:val="16"/>
          <w:szCs w:val="16"/>
          <w:color w:val="auto"/>
        </w:rPr>
      </w:pPr>
    </w:p>
    <w:p>
      <w:pPr>
        <w:jc w:val="both"/>
        <w:ind w:left="-280" w:firstLine="421"/>
        <w:spacing w:after="0" w:line="273" w:lineRule="auto"/>
        <w:tabs>
          <w:tab w:leader="none" w:pos="35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The Arrangers shall have received (i) U.S. GAAP audited consolidated balance sheets and related statements of income, stockholders’ equity and cash flows of each of ADI and the Company, in each case for the last three fiscal years to have been completed at least 90 days prior to the Closing Date, and (ii) U.S. GAAP unaudited consolidated balance sheets and related statements of income and cash flows of each of ADI and the Company for each subsequent fiscal quarter ended at least 45 days prior to the Closing Date (it being agreed that all such information referred to in subclauses (i) and (ii) of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for all relevant periods ended on or prior to (A) for ADI, January 28, 2017 and (B) for the Company, January 1, 2017, has been received).</w:t>
      </w:r>
    </w:p>
    <w:p>
      <w:pPr>
        <w:spacing w:after="0" w:line="70" w:lineRule="exact"/>
        <w:rPr>
          <w:rFonts w:ascii="Arial" w:cs="Arial" w:eastAsia="Arial" w:hAnsi="Arial"/>
          <w:sz w:val="17"/>
          <w:szCs w:val="17"/>
          <w:color w:val="auto"/>
        </w:rPr>
      </w:pPr>
    </w:p>
    <w:p>
      <w:pPr>
        <w:ind w:left="-280" w:firstLine="421"/>
        <w:spacing w:after="0" w:line="277" w:lineRule="auto"/>
        <w:tabs>
          <w:tab w:leader="none" w:pos="36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xml:space="preserve"> The Merger Agreement Representations and the Specified Representations shall be true and correct in all material respects on and as of the Closing Date.</w:t>
      </w:r>
    </w:p>
    <w:p>
      <w:pPr>
        <w:spacing w:after="0" w:line="62" w:lineRule="exact"/>
        <w:rPr>
          <w:rFonts w:ascii="Arial" w:cs="Arial" w:eastAsia="Arial" w:hAnsi="Arial"/>
          <w:sz w:val="18"/>
          <w:szCs w:val="18"/>
          <w:color w:val="auto"/>
        </w:rPr>
      </w:pPr>
    </w:p>
    <w:p>
      <w:pPr>
        <w:ind w:left="-280" w:firstLine="421"/>
        <w:spacing w:after="0" w:line="277" w:lineRule="auto"/>
        <w:tabs>
          <w:tab w:leader="none" w:pos="39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xml:space="preserve"> Except as disclosed in (a) the Company SEC Documents (as defined in the Merger Agreement as in effect on July 26, 2016) filed or furnished since June 28, 2015 and prior to July 26, 2016 (excluding any</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20"/>
          </w:cols>
          <w:pgMar w:left="1440" w:top="274" w:right="239" w:bottom="1440" w:gutter="0" w:footer="0" w:header="0"/>
        </w:sectPr>
      </w:pPr>
    </w:p>
    <w:bookmarkStart w:id="52" w:name="page53"/>
    <w:bookmarkEnd w:id="52"/>
    <w:p>
      <w:pPr>
        <w:jc w:val="both"/>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disclosures set forth in any “risk factor” or “forward-looking statements” sections) or (b) the Company Disclosure Schedule (as defined in the Merger Agreement as in effect on July 26, 2016) provided to certain of the Arrangers immediately prior to the execution of the Bridge Commitment Letter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disclosure in any section of such Company Disclosure Schedule shall apply only to the corresponding section of the Merger Agreement except to the extent that the relevance of such disclosure to another section or representation is reasonably apparent), since April 3, 2016, there shall not have been any fact, change, circumstance, event, occurrence, condition or development that has had or would reasonably be expected to have, individually or in the aggregate, a Company Material Adverse Effect.</w:t>
      </w:r>
    </w:p>
    <w:p>
      <w:pPr>
        <w:spacing w:after="0" w:line="85" w:lineRule="exact"/>
        <w:rPr>
          <w:sz w:val="20"/>
          <w:szCs w:val="20"/>
          <w:color w:val="auto"/>
        </w:rPr>
      </w:pPr>
    </w:p>
    <w:p>
      <w:pPr>
        <w:jc w:val="both"/>
        <w:ind w:left="460" w:firstLine="443"/>
        <w:spacing w:after="0" w:line="286" w:lineRule="auto"/>
        <w:tabs>
          <w:tab w:leader="none" w:pos="1126"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Fees and Expenses.</w:t>
      </w:r>
      <w:r>
        <w:rPr>
          <w:rFonts w:ascii="Arial" w:cs="Arial" w:eastAsia="Arial" w:hAnsi="Arial"/>
          <w:sz w:val="17"/>
          <w:szCs w:val="17"/>
          <w:color w:val="auto"/>
        </w:rPr>
        <w:t xml:space="preserve"> The Administrative Agent shall have received all fees and other amounts due and payable by ADI on or prior to the Closing Date (including, to the extent such amounts are invoiced at least two business days prior to the Closing Date, payment or reimbursement of all fees and expenses required to be paid or reimbursed by ADI) under the Bridge Commitment Letter, the Fee Letters or this Agreement.</w:t>
      </w:r>
    </w:p>
    <w:p>
      <w:pPr>
        <w:spacing w:after="0" w:line="1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Administrative Agent shall notify ADI and the Lenders of the Closing Date, and such notice shall be conclusive and binding. Each Lender, by delivering its signature page to this Agreement on the Closing Date shall be deemed to have acknowledged receipt of, and consented to and approved, each Loan Document and each other document required to be delivered to, or be approved by or satisfactory to, the Administrative Agent, the Arrangers or the Lenders on the Closing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Conditions to Assumption of Borrower Obligations.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effectiveness of the Assumption of Borrower Obligations shall be subject to (a) the execution and delivery of an Assumption, Release and Guarantee Agreement by ADI and the Subsidiary Borrower and (b) satisfaction of the conditions precedent set forth in the Assumption, Release and Guarantee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ADI represents and warrants to the Administrative Agent and the Lenders as of the Closing Date as follows, it being understood that the failure of any representation or warranty (other than the Specified Representations and the Merger Agreement Representations to the extent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to be true and correct on the Closing Date will not constitute the failure of a condition precedent to the funding of the Loans on the Closing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Existence, Qualification and Power.</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ADI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in which it is currently engaged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53" w:name="page54"/>
    <w:bookmarkEnd w:id="53"/>
    <w:p>
      <w:pPr>
        <w:jc w:val="both"/>
        <w:ind w:firstLine="8"/>
        <w:spacing w:after="0" w:line="259" w:lineRule="auto"/>
        <w:tabs>
          <w:tab w:leader="none" w:pos="266"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to the extent that failure to do so would not reasonably be expected to have a Material Adverse Effect.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Authorization; No Contravention.</w:t>
      </w:r>
    </w:p>
    <w:p>
      <w:pPr>
        <w:spacing w:after="0" w:line="117"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 xml:space="preserve">The execution, delivery and performance by ADI of each Loan Document have been duly authorized by all necessary corporate or other organizational action, and do not and will not (a) contravene the terms of any of ADI’s Organization Documents; (b) conflict with or result in any breach or contravention of, or the creation of any Lien under, or require any payment to be made under (i) any material Contractual Obligation to which ADI is a party or affecting ADI or the properties of ADI or any of its Subsidiaries or (ii) any order, injunction, writ or decree of any Governmental Authority or any arbitral award to which ADI or any of its Subsidiaries or their properties are subject; or (c) violate any Law, except, in each case referred to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to the extent that such matters, individually or in the aggregate, would not reasonably be expected to have a Material Adverse Effect.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Governmental Authorization; Other Consents.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No approval, consent, exemption, authorization or other action by, or notice to, or filing with, any Governmental Authority or any other Person is necessary or required in connection with the execution, delivery or performance by, or enforcement against, ADI of this Agreement or any other Loan Document.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5.04. </w:t>
      </w:r>
      <w:r>
        <w:rPr>
          <w:rFonts w:ascii="Arial" w:cs="Arial" w:eastAsia="Arial" w:hAnsi="Arial"/>
          <w:sz w:val="18"/>
          <w:szCs w:val="18"/>
          <w:u w:val="single" w:color="auto"/>
          <w:color w:val="auto"/>
        </w:rPr>
        <w:t>Binding Effect.</w:t>
      </w:r>
    </w:p>
    <w:p>
      <w:pPr>
        <w:spacing w:after="0" w:line="11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This Agreement has been, and each other Loan Document, when delivered hereunder, will have been, duly executed and delivered by ADI. This Agreement constitutes, and each other Loan Document when so delivered will constitute, a valid and binding obligation of ADI, enforceable against ADI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Financial Statements; No Material Adverse Effect; Solvency.</w:t>
      </w:r>
    </w:p>
    <w:p>
      <w:pPr>
        <w:spacing w:after="0" w:line="117" w:lineRule="exact"/>
        <w:rPr>
          <w:sz w:val="20"/>
          <w:szCs w:val="20"/>
          <w:color w:val="auto"/>
        </w:rPr>
      </w:pPr>
    </w:p>
    <w:p>
      <w:pPr>
        <w:jc w:val="both"/>
        <w:ind w:firstLine="464"/>
        <w:spacing w:after="0" w:line="257" w:lineRule="auto"/>
        <w:tabs>
          <w:tab w:leader="none" w:pos="7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Audited Financial Statements and the Unaudited Financial Statements (i) were prepared in accordance with GAAP, consistently applied throughout the periods covered thereby, except as otherwise expressly noted therein and (ii) fairly present in all material respects the financial condition of ADI and its Subsidiaries as of the date thereof and their results of operations for the periods covered thereby in accordance with GAAP consistently applied throughout the periods covered thereby, except as otherwise expressly noted therein, subject to normal year-end audit adjustments and the absence of certain footnotes in the case of the Unaudited Financial Statements.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54" w:name="page55"/>
    <w:bookmarkEnd w:id="54"/>
    <w:p>
      <w:pPr>
        <w:ind w:firstLine="464"/>
        <w:spacing w:after="0" w:line="277" w:lineRule="auto"/>
        <w:tabs>
          <w:tab w:leader="none" w:pos="717"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 the date of the Audited Financial Statements, there has been no event or circumstance, either individually or in the aggregate, that has had or would reasonably be expected to have a Material Adverse Effect.</w:t>
      </w:r>
    </w:p>
    <w:p>
      <w:pPr>
        <w:spacing w:after="0" w:line="170" w:lineRule="exact"/>
        <w:rPr>
          <w:rFonts w:ascii="Arial" w:cs="Arial" w:eastAsia="Arial" w:hAnsi="Arial"/>
          <w:sz w:val="18"/>
          <w:szCs w:val="18"/>
          <w:color w:val="auto"/>
        </w:rPr>
      </w:pPr>
    </w:p>
    <w:p>
      <w:pPr>
        <w:jc w:val="both"/>
        <w:ind w:firstLine="464"/>
        <w:spacing w:after="0" w:line="271" w:lineRule="auto"/>
        <w:tabs>
          <w:tab w:leader="none" w:pos="702" w:val="left"/>
        </w:tabs>
        <w:numPr>
          <w:ilvl w:val="0"/>
          <w:numId w:val="55"/>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Transactions to occur on the Closing Date, including the making of each Loan to be made on the Closing Date and the application of the proceeds thereof, (i) the fair value of the assets of ADI and its Subsidiaries, on a consolidated basis, at a fair valuation, will exceed their debts and liabilities, subordinated, contingent or otherwise, (ii) the present fair saleable value of the property of ADI and its Subsidiaries, on a consolidated basis, will be greater than the amount that will be required to pay the probable liabilities on their debts and other liabilities, subordinated, contingent or otherwise, as such debts and other liabilities become absolute and matured, (iii) ADI and its Subsidiaries, on a consolidated basis, will be able to pay their debts and liabilities, subordinated, contingent or otherwise, as such debts and liabilities become absolute and matured and (iv) ADI and its Subsidiaries, on a consolidated basis, will not have an unreasonably small capital with which to conduct the businesses in which they are engaged as such businesses are conducted on and proposed to be conducted following the Closing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5.06. </w:t>
      </w:r>
      <w:r>
        <w:rPr>
          <w:rFonts w:ascii="Arial" w:cs="Arial" w:eastAsia="Arial" w:hAnsi="Arial"/>
          <w:sz w:val="18"/>
          <w:szCs w:val="18"/>
          <w:u w:val="single" w:color="auto"/>
          <w:color w:val="auto"/>
        </w:rPr>
        <w:t>Litigation.</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There are no actions, suits, proceedings, claims or disputes pending or, to the knowledge of ADI, threatened or contemplated, at law, in equity, in arbitration or before any Governmental Authority, by or against ADI or any of its Subsidiaries or against any of their properties or revenues that (a) could reasonably be expected to affect the legality, validity or enforceability of this Agreement or any other Loan Document, or any of the transactions contemplated hereby, or (b) either individually or in the aggregate would reasonably be expected to have a Material Adverse Effect.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5.07. </w:t>
      </w:r>
      <w:r>
        <w:rPr>
          <w:rFonts w:ascii="Arial" w:cs="Arial" w:eastAsia="Arial" w:hAnsi="Arial"/>
          <w:sz w:val="18"/>
          <w:szCs w:val="18"/>
          <w:u w:val="single" w:color="auto"/>
          <w:color w:val="auto"/>
        </w:rPr>
        <w:t>No Default.</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No Default has occurred and is continuing or would result from the consummation of the transactions contemplated by this Agreement or any other Loan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u w:val="single" w:color="auto"/>
          <w:color w:val="auto"/>
        </w:rPr>
        <w:t>Ownership of Property; Liens.</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ADI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ADI and its Subsidiaries is subject to no Liens, other than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5.09. </w:t>
      </w:r>
      <w:r>
        <w:rPr>
          <w:rFonts w:ascii="Arial" w:cs="Arial" w:eastAsia="Arial" w:hAnsi="Arial"/>
          <w:sz w:val="18"/>
          <w:szCs w:val="18"/>
          <w:u w:val="single" w:color="auto"/>
          <w:color w:val="auto"/>
        </w:rPr>
        <w:t>Environmental Compliance.</w:t>
      </w:r>
    </w:p>
    <w:p>
      <w:pPr>
        <w:spacing w:after="0" w:line="117" w:lineRule="exact"/>
        <w:rPr>
          <w:sz w:val="20"/>
          <w:szCs w:val="20"/>
          <w:color w:val="auto"/>
        </w:rPr>
      </w:pPr>
    </w:p>
    <w:p>
      <w:pPr>
        <w:jc w:val="both"/>
        <w:ind w:firstLine="464"/>
        <w:spacing w:after="0" w:line="286" w:lineRule="auto"/>
        <w:tabs>
          <w:tab w:leader="none" w:pos="72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There exists no claim alleging potential liability or responsibility for violation of any Environmental Law with respect to ADI’s or any of its Subsidiaries’ respective businesses, operations and properties and (b) there exists no violation of any Environmental Law, in each case to the extent such liability, responsibility or violation would, individually or in the aggregate, reasonably be expected to have a Material Adverse Effect.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5.10. </w:t>
      </w:r>
      <w:r>
        <w:rPr>
          <w:rFonts w:ascii="Arial" w:cs="Arial" w:eastAsia="Arial" w:hAnsi="Arial"/>
          <w:sz w:val="18"/>
          <w:szCs w:val="18"/>
          <w:u w:val="single" w:color="auto"/>
          <w:color w:val="auto"/>
        </w:rPr>
        <w:t>Insurance.</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properties of ADI and its Subsidiaries are insured with insurance companies not Affiliates of ADI (and, to ADI’s knowledge, such insurance companies are financially sound and reputable), in such amounts, with such deductibles and covering such risks as are customarily carried by companies engaged in similar businesses and owning similar properties in localities where ADI or the applicable Subsidiary operates.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Taxes.</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ADI and its Subsidiaries have (a) filed all federal, state and other material Tax returns and reports required to be filed, and (b) paid all federal, state and other material Taxes, assessments, fees and other governmental charges levied or imposed upon them or their properties, income or assets otherwise due and payable, except those which are (i) being contested in good faith by appropriate proceedings diligently conducted and for which adequate reserves have been provided in accordance with GAAP or (ii) would not reasonably be expected to have a Material Adverse Effect. There is no proposed written Tax assessment against ADI or any Subsidiary that has been delivered to ADI or such Subsidiary that would, if made, have a Material Adverse Effect.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ERISA Compliance.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would not reasonably be expected to have a Material Adverse Effect:</w:t>
      </w:r>
    </w:p>
    <w:p>
      <w:pPr>
        <w:spacing w:after="0" w:line="117" w:lineRule="exact"/>
        <w:rPr>
          <w:sz w:val="20"/>
          <w:szCs w:val="20"/>
          <w:color w:val="auto"/>
        </w:rPr>
      </w:pPr>
    </w:p>
    <w:p>
      <w:pPr>
        <w:jc w:val="both"/>
        <w:ind w:left="460" w:firstLine="443"/>
        <w:spacing w:after="0" w:line="297" w:lineRule="auto"/>
        <w:tabs>
          <w:tab w:leader="none" w:pos="11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best knowledge of ADI, nothing has occurred that would prevent, or cause the loss of, such Tax-qualified status.</w:t>
      </w:r>
    </w:p>
    <w:p>
      <w:pPr>
        <w:spacing w:after="0" w:line="50" w:lineRule="exact"/>
        <w:rPr>
          <w:rFonts w:ascii="Arial" w:cs="Arial" w:eastAsia="Arial" w:hAnsi="Arial"/>
          <w:sz w:val="16"/>
          <w:szCs w:val="16"/>
          <w:color w:val="auto"/>
        </w:rPr>
      </w:pPr>
    </w:p>
    <w:p>
      <w:pPr>
        <w:ind w:left="460" w:firstLine="443"/>
        <w:spacing w:after="0" w:line="308" w:lineRule="auto"/>
        <w:tabs>
          <w:tab w:leader="none" w:pos="115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There are no pending or, to the best knowledge of ADI, threatened claims, actions or lawsuits, or action by any Governmental Authority, with respect to any Plan. There has been no prohibited transaction or violation of the fiduciary responsibility rules with respect to any Plan.</w:t>
      </w:r>
    </w:p>
    <w:p>
      <w:pPr>
        <w:spacing w:after="0" w:line="38" w:lineRule="exact"/>
        <w:rPr>
          <w:rFonts w:ascii="Arial" w:cs="Arial" w:eastAsia="Arial" w:hAnsi="Arial"/>
          <w:sz w:val="17"/>
          <w:szCs w:val="17"/>
          <w:color w:val="auto"/>
        </w:rPr>
      </w:pPr>
    </w:p>
    <w:p>
      <w:pPr>
        <w:jc w:val="both"/>
        <w:ind w:left="460" w:firstLine="443"/>
        <w:spacing w:after="0" w:line="255" w:lineRule="auto"/>
        <w:tabs>
          <w:tab w:leader="none" w:pos="11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No ERISA Event has occurred and neither ADI nor any ERISA Affiliate is aware of any fact, event or circumstance that could reasonably be expected to constitute or result in an ERISA Event with respect to any Pension Plan; (ii) ADI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sixty percent (60%) or higher and neither ADI nor any ERISA Affiliate knows of any facts or circumstances that could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56" w:name="page57"/>
    <w:bookmarkEnd w:id="56"/>
    <w:p>
      <w:pPr>
        <w:jc w:val="both"/>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reasonably be expected to cause the funding target attainment percentage for any such plan to drop below sixty percent (60%) as of the most recent valuation date; (iv) neither ADI nor any ERISA Affiliate has incurred any liability to the PBGC other than for the payment of premiums, and there are no premium payments which have become due that are unpaid; (v) neither ADI nor any ERISA Affiliate has engaged in a transaction that is reasonably likely to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Subsidiaries.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is a complete and accurate list of each Material Subsidiary of ADI, together with jurisdiction of organization, as of the date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Margin Regulations; Investment Company Act.</w:t>
      </w:r>
    </w:p>
    <w:p>
      <w:pPr>
        <w:spacing w:after="0" w:line="117" w:lineRule="exact"/>
        <w:rPr>
          <w:sz w:val="20"/>
          <w:szCs w:val="20"/>
          <w:color w:val="auto"/>
        </w:rPr>
      </w:pPr>
    </w:p>
    <w:p>
      <w:pPr>
        <w:jc w:val="both"/>
        <w:ind w:firstLine="464"/>
        <w:spacing w:after="0" w:line="286" w:lineRule="auto"/>
        <w:tabs>
          <w:tab w:leader="none" w:pos="706" w:val="left"/>
        </w:tabs>
        <w:numPr>
          <w:ilvl w:val="0"/>
          <w:numId w:val="58"/>
        </w:numPr>
        <w:rPr>
          <w:rFonts w:ascii="Arial" w:cs="Arial" w:eastAsia="Arial" w:hAnsi="Arial"/>
          <w:sz w:val="17"/>
          <w:szCs w:val="17"/>
          <w:color w:val="auto"/>
        </w:rPr>
      </w:pPr>
      <w:r>
        <w:rPr>
          <w:rFonts w:ascii="Arial" w:cs="Arial" w:eastAsia="Arial" w:hAnsi="Arial"/>
          <w:sz w:val="17"/>
          <w:szCs w:val="17"/>
          <w:color w:val="auto"/>
        </w:rPr>
        <w:t>ADI is not engaged and does not intend to engage, principally or as one of its important activities, in the business of purchasing or carrying margin stock (within the meaning of Regulation U issued by the FRB) in violation of Regulation U, or extending credit for the purpose of purchasing or carrying margin stock. The making of the Loans hereunder and the use of the proceeds thereof will not result in a violation of Regulation U.</w:t>
      </w:r>
    </w:p>
    <w:p>
      <w:pPr>
        <w:spacing w:after="0" w:line="165" w:lineRule="exact"/>
        <w:rPr>
          <w:rFonts w:ascii="Arial" w:cs="Arial" w:eastAsia="Arial" w:hAnsi="Arial"/>
          <w:sz w:val="17"/>
          <w:szCs w:val="17"/>
          <w:color w:val="auto"/>
        </w:rPr>
      </w:pPr>
    </w:p>
    <w:p>
      <w:pPr>
        <w:ind w:left="720" w:hanging="256"/>
        <w:spacing w:after="0"/>
        <w:tabs>
          <w:tab w:leader="none" w:pos="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None of ADI or any Subsidiary is or is required to be registered as an “investment company” under the Investment Company Act of 1940.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Disclosure.</w:t>
      </w:r>
    </w:p>
    <w:p>
      <w:pPr>
        <w:spacing w:after="0" w:line="117"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 xml:space="preserve">No report, financial statement, certificate or other information furnished (whether in writing or orally) by or on behalf of ADI to the Administrative Agent or any Lender in connection with the transactions contemplated hereby and the negotiation of this Agreement or delivered hereunder or under any other Loan Document (in each case, as modified or supplemented by other information so furnished) contains, as of the date of such report, financial statement, certificate or other information, any material misstatement of fact or omits to state any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ADI represents only that such information was prepared in good faith based upon assumptions believed to be reasonable at the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Compliance with Laws.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ADI and each of its Subsidiaries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5.17. </w:t>
      </w:r>
      <w:r>
        <w:rPr>
          <w:rFonts w:ascii="Arial" w:cs="Arial" w:eastAsia="Arial" w:hAnsi="Arial"/>
          <w:sz w:val="18"/>
          <w:szCs w:val="18"/>
          <w:u w:val="single" w:color="auto"/>
          <w:color w:val="auto"/>
        </w:rPr>
        <w:t>Taxpayer Identification Number.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true and correct U.S. taxpayer identification number of ADI is set forth on </w:t>
      </w:r>
      <w:r>
        <w:rPr>
          <w:rFonts w:ascii="Arial" w:cs="Arial" w:eastAsia="Arial" w:hAnsi="Arial"/>
          <w:sz w:val="18"/>
          <w:szCs w:val="18"/>
          <w:u w:val="single" w:color="auto"/>
          <w:color w:val="auto"/>
        </w:rPr>
        <w:t>Schedule 5.17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Intellectual Property; Licenses, Etc.</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Unless failure to do so would not reasonably be expected to result in a Material Adverse Effect, (a) ADI and its Subsidiaries own, or possess the right to use, all of the trademarks, service marks, trade names, copyrights, patents, patent rights, franchises, licenses and other intellectual property rights that are reasonably necessary for the operation of their respective businesses as currently engaged, without conflict with the rights of any other Person and (b) no slogan or other advertising device, product, process, method, substance, part or other material now employed, or now contemplated to be employed, by ADI or any Subsidiary infringes upon any rights held by any other Person. No claim or litigation regarding any of the foregoing is pending or, to ADI’s knowledge, threatened which either individually, or in the aggregate, would reasonably be expected to have a Material Adverse Effect.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Sanctions.</w:t>
      </w:r>
    </w:p>
    <w:p>
      <w:pPr>
        <w:spacing w:after="0" w:line="117" w:lineRule="exact"/>
        <w:rPr>
          <w:sz w:val="20"/>
          <w:szCs w:val="20"/>
          <w:color w:val="auto"/>
        </w:rPr>
      </w:pPr>
    </w:p>
    <w:p>
      <w:pPr>
        <w:jc w:val="both"/>
        <w:ind w:firstLine="464"/>
        <w:spacing w:after="0" w:line="259" w:lineRule="auto"/>
        <w:tabs>
          <w:tab w:leader="none" w:pos="7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Neither ADI nor any of its Subsidiaries, nor, to the knowledge of ADI and its Subsidiaries, any director, officer or employee thereof, is an individual or entity that is, or is owned or controlled by any individual or entity that is (i) currently the subject of any Sanctions, (ii) included on OFAC’s List of Specially Designated Nationals or Her Majesty’s Treasury’s Consolidated List of Financial Sanctions Targets and the Investment Ban List or (iii) located, organized or resident in a Designated Jurisdiction.</w:t>
      </w:r>
    </w:p>
    <w:p>
      <w:pPr>
        <w:spacing w:after="0" w:line="186" w:lineRule="exact"/>
        <w:rPr>
          <w:rFonts w:ascii="Arial" w:cs="Arial" w:eastAsia="Arial" w:hAnsi="Arial"/>
          <w:sz w:val="18"/>
          <w:szCs w:val="18"/>
          <w:color w:val="auto"/>
        </w:rPr>
      </w:pPr>
    </w:p>
    <w:p>
      <w:pPr>
        <w:jc w:val="both"/>
        <w:ind w:firstLine="464"/>
        <w:spacing w:after="0" w:line="259" w:lineRule="auto"/>
        <w:tabs>
          <w:tab w:leader="none" w:pos="713"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Loan, or the proceeds of any Loan, will be used by ADI, directly or indirectly, to fund any activity or business in any Designated Jurisdiction or, to the knowledge of ADI, to fund any activity or business of any Person located, organized or residing in any Designated Jurisdiction or who is the subject of any Sanctions, or, to the knowledge of ADI, in any other manner that, in each case, will result in any violation by any Person (including any Lender, any Arranger or the Administrative Agent) of Sanctions.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Anti-Corruption Laws.</w:t>
      </w:r>
    </w:p>
    <w:p>
      <w:pPr>
        <w:spacing w:after="0" w:line="117" w:lineRule="exact"/>
        <w:rPr>
          <w:sz w:val="20"/>
          <w:szCs w:val="20"/>
          <w:color w:val="auto"/>
        </w:rPr>
      </w:pPr>
    </w:p>
    <w:p>
      <w:pPr>
        <w:jc w:val="both"/>
        <w:ind w:firstLine="464"/>
        <w:spacing w:after="0" w:line="264" w:lineRule="auto"/>
        <w:tabs>
          <w:tab w:leader="none" w:pos="702"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ADI and its Subsidiaries have conducted their businesses in all material respects in compliance with the United States Foreign Corrupt Practices Act of 1977 and the UK Bribery Act 2010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ADI has instituted and maintained policies and procedures reasonably designed to promote and achieve compliance with Anti-Corruption Laws.</w:t>
      </w:r>
    </w:p>
    <w:p>
      <w:pPr>
        <w:spacing w:after="0" w:line="181" w:lineRule="exact"/>
        <w:rPr>
          <w:rFonts w:ascii="Arial" w:cs="Arial" w:eastAsia="Arial" w:hAnsi="Arial"/>
          <w:sz w:val="18"/>
          <w:szCs w:val="18"/>
          <w:color w:val="auto"/>
        </w:rPr>
      </w:pPr>
    </w:p>
    <w:p>
      <w:pPr>
        <w:ind w:firstLine="464"/>
        <w:spacing w:after="0" w:line="277" w:lineRule="auto"/>
        <w:tabs>
          <w:tab w:leader="none" w:pos="7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Loan, or the proceeds of any Loan, will be used by ADI, directly or indirectly, in furtherance of an offer, payment, promise to pay, or authorization of the payment or giving of money, or anything else of value, to any Person in violation of Anti-Corruption Laws.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So long as any Lender shall have any Commitment hereunder, or any Loan or other Obligation hereunder shall remain unpaid or unsatisfied, ADI shall, and shall (except in the case of the covenants set forth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6.03</w:t>
      </w:r>
      <w:r>
        <w:rPr>
          <w:rFonts w:ascii="Arial" w:cs="Arial" w:eastAsia="Arial" w:hAnsi="Arial"/>
          <w:sz w:val="18"/>
          <w:szCs w:val="18"/>
          <w:color w:val="auto"/>
        </w:rPr>
        <w:t>) cause each Subsidiary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Financial Statements.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Deliver to the Administrative Agent (for delivery to each Lender), in form and detail satisfactory to the Administrative Agent:</w:t>
      </w:r>
    </w:p>
    <w:p>
      <w:pPr>
        <w:spacing w:after="0" w:line="117" w:lineRule="exact"/>
        <w:rPr>
          <w:sz w:val="20"/>
          <w:szCs w:val="20"/>
          <w:color w:val="auto"/>
        </w:rPr>
      </w:pPr>
    </w:p>
    <w:p>
      <w:pPr>
        <w:jc w:val="both"/>
        <w:ind w:left="460" w:firstLine="443"/>
        <w:spacing w:after="0" w:line="273" w:lineRule="auto"/>
        <w:tabs>
          <w:tab w:leader="none" w:pos="1158" w:val="left"/>
        </w:tabs>
        <w:numPr>
          <w:ilvl w:val="0"/>
          <w:numId w:val="61"/>
        </w:numPr>
        <w:rPr>
          <w:rFonts w:ascii="Arial" w:cs="Arial" w:eastAsia="Arial" w:hAnsi="Arial"/>
          <w:sz w:val="17"/>
          <w:szCs w:val="17"/>
          <w:color w:val="auto"/>
        </w:rPr>
      </w:pPr>
      <w:r>
        <w:rPr>
          <w:rFonts w:ascii="Arial" w:cs="Arial" w:eastAsia="Arial" w:hAnsi="Arial"/>
          <w:sz w:val="17"/>
          <w:szCs w:val="17"/>
          <w:color w:val="auto"/>
        </w:rPr>
        <w:t>as soon as available, but in any event within 90 days after the end of each fiscal year of ADI, a consolidated balance sheet of ADI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70" w:lineRule="exact"/>
        <w:rPr>
          <w:rFonts w:ascii="Arial" w:cs="Arial" w:eastAsia="Arial" w:hAnsi="Arial"/>
          <w:sz w:val="17"/>
          <w:szCs w:val="17"/>
          <w:color w:val="auto"/>
        </w:rPr>
      </w:pPr>
    </w:p>
    <w:p>
      <w:pPr>
        <w:jc w:val="both"/>
        <w:ind w:left="460" w:firstLine="443"/>
        <w:spacing w:after="0" w:line="291" w:lineRule="auto"/>
        <w:tabs>
          <w:tab w:leader="none" w:pos="1174" w:val="left"/>
        </w:tabs>
        <w:numPr>
          <w:ilvl w:val="0"/>
          <w:numId w:val="61"/>
        </w:numPr>
        <w:rPr>
          <w:rFonts w:ascii="Arial" w:cs="Arial" w:eastAsia="Arial" w:hAnsi="Arial"/>
          <w:sz w:val="16"/>
          <w:szCs w:val="16"/>
          <w:color w:val="auto"/>
        </w:rPr>
      </w:pPr>
      <w:r>
        <w:rPr>
          <w:rFonts w:ascii="Arial" w:cs="Arial" w:eastAsia="Arial" w:hAnsi="Arial"/>
          <w:sz w:val="16"/>
          <w:szCs w:val="16"/>
          <w:color w:val="auto"/>
        </w:rPr>
        <w:t>as soon as available, but in any event within 45 days after the end of each of the first three fiscal quarters of each fiscal year of ADI, a consolidated balance sheet of ADI and its Subsidiaries as at the end of such fiscal quarter, the related consolidated statements of income or operations for such fiscal quarter and for the portion of ADI’s fiscal year then ended, and the related consolidated statement of cash flows for the portion of ADI’s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ADI as fairly presenting the financial condition, results of operations, shareholders’ equity and cash flows of ADI and its Subsidiaries in accordance with GAAP, subject only to normal year-end audit adjustments and the absence of footnotes.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ADI shall not be separately required to furnish such information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Certificates; Other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Deliver to the Administrative Agent (for delivery to each Lender), in form and detail satisfactory to the Administrative Agent:</w:t>
      </w:r>
    </w:p>
    <w:p>
      <w:pPr>
        <w:spacing w:after="0" w:line="117" w:lineRule="exact"/>
        <w:rPr>
          <w:sz w:val="20"/>
          <w:szCs w:val="20"/>
          <w:color w:val="auto"/>
        </w:rPr>
      </w:pPr>
    </w:p>
    <w:p>
      <w:pPr>
        <w:ind w:left="460" w:firstLine="443"/>
        <w:spacing w:after="0" w:line="277" w:lineRule="auto"/>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the chief executive officer, chief financial officer, treasurer or controller of ADI;</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59" w:name="page60"/>
    <w:bookmarkEnd w:id="59"/>
    <w:p>
      <w:pPr>
        <w:jc w:val="both"/>
        <w:ind w:left="460" w:firstLine="443"/>
        <w:spacing w:after="0" w:line="259" w:lineRule="auto"/>
        <w:tabs>
          <w:tab w:leader="none" w:pos="1158"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after the same are available, copies of each annual report, proxy or financial statement or other report or communication sent to the stockholders of ADI, and copies of all annual, regular, periodic and special reports and registration statements which ADI may file or be required to file with the SEC under Section 13 or 15(d) of the Securities Exchange Act of 1934, that are not otherwise required to be delivered to the Administrative Agent and each Lender pursuant hereto;</w:t>
      </w:r>
    </w:p>
    <w:p>
      <w:pPr>
        <w:spacing w:after="0" w:line="78" w:lineRule="exact"/>
        <w:rPr>
          <w:rFonts w:ascii="Arial" w:cs="Arial" w:eastAsia="Arial" w:hAnsi="Arial"/>
          <w:sz w:val="18"/>
          <w:szCs w:val="18"/>
          <w:color w:val="auto"/>
        </w:rPr>
      </w:pPr>
    </w:p>
    <w:p>
      <w:pPr>
        <w:jc w:val="both"/>
        <w:ind w:left="460" w:right="20" w:firstLine="443"/>
        <w:spacing w:after="0" w:line="264" w:lineRule="auto"/>
        <w:tabs>
          <w:tab w:leader="none" w:pos="11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promptly after the furnishing thereof, copies of any statement or report furnished to any holder of debt securities of ADI or any of its Subsidiaries pursuant to the terms of any indenture, loan or credit or similar agreement and not otherwise required to be furnished to the Administrative Agent and each Lender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any other clause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jc w:val="both"/>
        <w:ind w:left="460" w:firstLine="443"/>
        <w:spacing w:after="0" w:line="286" w:lineRule="auto"/>
        <w:tabs>
          <w:tab w:leader="none" w:pos="1165"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promptly, and in any event within five Business Days after receipt thereof by ADI or any of its Subsidiaries, copies of each notice or other correspondence received from the SEC (or comparable agency in any applicable non-U.S. jurisdiction) concerning any investigation or possible investigation or other inquiry by such agency regarding financial or other operational results of ADI or any of its Subsidiaries; and</w:t>
      </w:r>
    </w:p>
    <w:p>
      <w:pPr>
        <w:spacing w:after="0" w:line="57" w:lineRule="exact"/>
        <w:rPr>
          <w:rFonts w:ascii="Arial" w:cs="Arial" w:eastAsia="Arial" w:hAnsi="Arial"/>
          <w:sz w:val="17"/>
          <w:szCs w:val="17"/>
          <w:color w:val="auto"/>
        </w:rPr>
      </w:pPr>
    </w:p>
    <w:p>
      <w:pPr>
        <w:ind w:left="460" w:right="20" w:firstLine="443"/>
        <w:spacing w:after="0" w:line="277" w:lineRule="auto"/>
        <w:tabs>
          <w:tab w:leader="none" w:pos="11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or corporate affairs of ADI or any of its Subsidiaries, or compliance with the terms of the Loan Documents, as the Administrative Agent or any Lender may from time to time reasonably request.</w:t>
      </w:r>
    </w:p>
    <w:p>
      <w:pPr>
        <w:spacing w:after="0" w:line="170"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6.02(b)</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date (i) on which ADI posts such documents, or provides a link thereto, on ADI’s website on the Internet at the website address listed on </w:t>
      </w:r>
      <w:r>
        <w:rPr>
          <w:rFonts w:ascii="Arial" w:cs="Arial" w:eastAsia="Arial" w:hAnsi="Arial"/>
          <w:sz w:val="17"/>
          <w:szCs w:val="17"/>
          <w:u w:val="single" w:color="auto"/>
          <w:color w:val="auto"/>
        </w:rPr>
        <w:t>Schedule 10.02</w:t>
      </w:r>
      <w:r>
        <w:rPr>
          <w:rFonts w:ascii="Arial" w:cs="Arial" w:eastAsia="Arial" w:hAnsi="Arial"/>
          <w:sz w:val="17"/>
          <w:szCs w:val="17"/>
          <w:color w:val="auto"/>
        </w:rPr>
        <w:t xml:space="preserve">; or (ii) on which such documents are posted on ADI’s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ADI shall deliver paper copies of such documents to the Administrative Agent or any Lender that requests ADI to deliver such paper copies until a written request to cease delivering paper copies is given by the Administrative Agent or such Lender and (ii) ADI shall notify the Administrative Agent (by facsimile or electronic mail) of the posting of any such documents and provide to the Administrative Agent by electronic mail electronic versions (</w:t>
      </w:r>
      <w:r>
        <w:rPr>
          <w:rFonts w:ascii="Arial" w:cs="Arial" w:eastAsia="Arial" w:hAnsi="Arial"/>
          <w:sz w:val="17"/>
          <w:szCs w:val="17"/>
          <w:u w:val="single" w:color="auto"/>
          <w:color w:val="auto"/>
        </w:rPr>
        <w:t>i.e.</w:t>
      </w:r>
      <w:r>
        <w:rPr>
          <w:rFonts w:ascii="Arial" w:cs="Arial" w:eastAsia="Arial" w:hAnsi="Arial"/>
          <w:sz w:val="17"/>
          <w:szCs w:val="17"/>
          <w:color w:val="auto"/>
        </w:rPr>
        <w:t>, soft copies) of such documents. The Administrative Agent shall have no obligation to request the delivery or to maintain copies of the documents referred to above, and in any event shall have no responsibility to monitor compliance by ADI with any such request for delivery, and each Lender shall be solely responsible for requesting delivery to it or maintaining its copies of such documents.</w:t>
      </w:r>
    </w:p>
    <w:p>
      <w:pPr>
        <w:spacing w:after="0" w:line="1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ADI hereby acknowledges that (a) the Administrative Agent and/or the Arrangers may, but shall not be obligated to, make available to the Lenders information provided by or on behalf of ADI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Debt Domain, Syndtrak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60" w:name="page61"/>
    <w:bookmarkEnd w:id="60"/>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 material non-public information with respect to ADI or its Affiliates, or the respective securities of any of the foregoing, and who may be engaged in investment and other market-related activities with respect to such Persons’ securities. ADI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ADI shall be deemed to have authorized the Administrative Agent, the Arrangers and the Lenders to treat such Borrower Materials as not containing any material non-public information (although it may be sensitive and proprietary) with respect to ADI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10.07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ADI shall not be under any obligation to mark any Borrower Materials “PUBLIC.”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Notices.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Promptly notify the Administrative Agent (for delivery to each Lender):</w:t>
      </w:r>
    </w:p>
    <w:p>
      <w:pPr>
        <w:spacing w:after="0" w:line="117" w:lineRule="exact"/>
        <w:rPr>
          <w:sz w:val="20"/>
          <w:szCs w:val="20"/>
          <w:color w:val="auto"/>
        </w:rPr>
      </w:pPr>
    </w:p>
    <w:p>
      <w:pPr>
        <w:ind w:left="1140" w:hanging="237"/>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of the occurrence of any Default of which a Responsible Officer of a Loan Party has knowledge;</w:t>
      </w:r>
    </w:p>
    <w:p>
      <w:pPr>
        <w:spacing w:after="0" w:line="117" w:lineRule="exact"/>
        <w:rPr>
          <w:rFonts w:ascii="Arial" w:cs="Arial" w:eastAsia="Arial" w:hAnsi="Arial"/>
          <w:sz w:val="18"/>
          <w:szCs w:val="18"/>
          <w:color w:val="auto"/>
        </w:rPr>
      </w:pPr>
    </w:p>
    <w:p>
      <w:pPr>
        <w:jc w:val="both"/>
        <w:ind w:left="460" w:firstLine="443"/>
        <w:spacing w:after="0" w:line="297" w:lineRule="auto"/>
        <w:tabs>
          <w:tab w:leader="none" w:pos="1170"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of any matter that has resulted or would reasonably be expected to result in a Material Adverse Effect, including (to the extent any of the following in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has resulted or would reasonably be expected to result in a Material Adverse Effect) (i) breach or non-performance of, or any default under, a Contractual Obligation of ADI or any Subsidiary; (ii) any dispute, litigation, investigation, proceeding or suspension between ADI or any Subsidiary and any Governmental Authority; (iii) the commencement of, or any material development in, any litigation or proceeding affecting ADI or any Subsidiary, including pursuant to any applicable Environmental Laws; or (iv) the occurrence of any ERISA Event; and</w:t>
      </w:r>
    </w:p>
    <w:p>
      <w:pPr>
        <w:spacing w:after="0" w:line="50" w:lineRule="exact"/>
        <w:rPr>
          <w:rFonts w:ascii="Arial" w:cs="Arial" w:eastAsia="Arial" w:hAnsi="Arial"/>
          <w:sz w:val="16"/>
          <w:szCs w:val="16"/>
          <w:color w:val="auto"/>
        </w:rPr>
      </w:pPr>
    </w:p>
    <w:p>
      <w:pPr>
        <w:ind w:left="1140" w:hanging="237"/>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of any announcement by Moody’s or S&amp;P of any change in a Debt Rating.</w:t>
      </w:r>
    </w:p>
    <w:p>
      <w:pPr>
        <w:spacing w:after="0" w:line="225"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6.03(c)</w:t>
      </w:r>
      <w:r>
        <w:rPr>
          <w:rFonts w:ascii="Arial" w:cs="Arial" w:eastAsia="Arial" w:hAnsi="Arial"/>
          <w:sz w:val="16"/>
          <w:szCs w:val="16"/>
          <w:color w:val="auto"/>
        </w:rPr>
        <w:t xml:space="preserve">) shall be accompanied by a statement of a Responsible Officer of ADI setting forth details of the occurrence referred to therein and stating what action ADI has taken and proposes to take with respect thereto. Each notice pursuant to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describe with particularity any and all provisions of this Agreement and any other Loan Document that have been breached.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Payment of Obligations.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Pay and discharge, as the same shall become due and payable, (a) all Tax liabilities, assessments and governmental charges or levies upon it or its properties or assets, and (b) all lawful claims which, if unpaid, would by law become a Lien upon its property (other than Liens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61" w:name="page62"/>
    <w:bookmarkEnd w:id="6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permitted by </w:t>
      </w:r>
      <w:r>
        <w:rPr>
          <w:rFonts w:ascii="Arial" w:cs="Arial" w:eastAsia="Arial" w:hAnsi="Arial"/>
          <w:sz w:val="18"/>
          <w:szCs w:val="18"/>
          <w:u w:val="single" w:color="auto"/>
          <w:color w:val="auto"/>
        </w:rPr>
        <w:t>Section 7.01(c)</w:t>
      </w:r>
      <w:r>
        <w:rPr>
          <w:rFonts w:ascii="Arial" w:cs="Arial" w:eastAsia="Arial" w:hAnsi="Arial"/>
          <w:sz w:val="18"/>
          <w:szCs w:val="18"/>
          <w:color w:val="auto"/>
        </w:rPr>
        <w:t>), except in each case (i) to the extent that the same are being contested in good faith by appropriate proceedings diligently conducted and adequate reserves in accordance with GAAP are being maintained by ADI or such Subsidiary, or (ii) where any failure to do so could not reasonably be expected to result in a Material Adverse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Preservation of Existence, Etc.</w:t>
      </w:r>
    </w:p>
    <w:p>
      <w:pPr>
        <w:spacing w:after="0" w:line="117" w:lineRule="exact"/>
        <w:rPr>
          <w:sz w:val="20"/>
          <w:szCs w:val="20"/>
          <w:color w:val="auto"/>
        </w:rPr>
      </w:pPr>
    </w:p>
    <w:p>
      <w:pPr>
        <w:jc w:val="both"/>
        <w:ind w:firstLine="464"/>
        <w:spacing w:after="0" w:line="273" w:lineRule="auto"/>
        <w:tabs>
          <w:tab w:leader="none" w:pos="718"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Preserve, renew and maintain in full force and effect its legal existence and good standing under the Laws of the jurisdiction of its organization except in a transaction permitted by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and except in the case of Subsidiaries (other than Material Subsidiaries) where the failure to do so would not, individually or in the aggregate, reasonably be expected to have a Material Adverse Effect; (b) take all reasonable action to maintain all rights, privileges, permits, licenses and franchises necessary or desirable in the normal conduct of its business, except to the extent that failure to do so would not reasonably be expected to have a Material Adverse Effect; and (c) preserve or renew all of its registered copyrights, patents, trademarks, trade names and service marks, the non-preservation of which would have or be reasonably expected to have a Material Adverse Effect.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6.06. </w:t>
      </w:r>
      <w:r>
        <w:rPr>
          <w:rFonts w:ascii="Arial" w:cs="Arial" w:eastAsia="Arial" w:hAnsi="Arial"/>
          <w:sz w:val="18"/>
          <w:szCs w:val="18"/>
          <w:u w:val="single" w:color="auto"/>
          <w:color w:val="auto"/>
        </w:rPr>
        <w:t>Maintenance of Properties.</w:t>
      </w:r>
    </w:p>
    <w:p>
      <w:pPr>
        <w:spacing w:after="0" w:line="117" w:lineRule="exact"/>
        <w:rPr>
          <w:sz w:val="20"/>
          <w:szCs w:val="20"/>
          <w:color w:val="auto"/>
        </w:rPr>
      </w:pPr>
    </w:p>
    <w:p>
      <w:pPr>
        <w:jc w:val="both"/>
        <w:ind w:firstLine="464"/>
        <w:spacing w:after="0" w:line="259" w:lineRule="auto"/>
        <w:tabs>
          <w:tab w:leader="none" w:pos="719"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Maintain, preserve and protect all of its material properties and equipment necessary in the operation of its business in good working order and condition, ordinary wear and tear excepted; (b) make all necessary repairs thereto and renewals and replacements thereof except, in each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where the failure to do so would not reasonably be expected to have a Material Adverse Effect; and (c) use the reasonable standard of care typical in the industry in the operation and maintenance of its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Maintenance of Insurance.</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Maintain insurance with insurance companies (and, to ADI’s knowledge, with such insurance companies that are financially sound and reputable)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Compliance with Laws.</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Comply in all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6.09. </w:t>
      </w:r>
      <w:r>
        <w:rPr>
          <w:rFonts w:ascii="Arial" w:cs="Arial" w:eastAsia="Arial" w:hAnsi="Arial"/>
          <w:sz w:val="18"/>
          <w:szCs w:val="18"/>
          <w:u w:val="single" w:color="auto"/>
          <w:color w:val="auto"/>
        </w:rPr>
        <w:t>Books and Records.</w:t>
      </w:r>
    </w:p>
    <w:p>
      <w:pPr>
        <w:spacing w:after="0" w:line="117" w:lineRule="exact"/>
        <w:rPr>
          <w:sz w:val="20"/>
          <w:szCs w:val="20"/>
          <w:color w:val="auto"/>
        </w:rPr>
      </w:pPr>
    </w:p>
    <w:p>
      <w:pPr>
        <w:ind w:firstLine="464"/>
        <w:spacing w:after="0" w:line="277" w:lineRule="auto"/>
        <w:tabs>
          <w:tab w:leader="none" w:pos="7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Maintain proper books of record and account, in which full, true and correct entries in conformity with GAAP consistently applied shall be made of all financial transactions and matters involving the assets and business of ADI and its Subsidiaries, and (b) maintain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books of record and account in material conformity with all applicable requirements of any Governmental Authority having regulatory jurisdiction over ADI or any Subsidiary, as the case may be.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Inspection Rights.</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 xml:space="preserve">Permit representatives and independent contractors of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at such reasonable times during normal business hours and as often as may be reasonably desired, upon reasonable advance notice to ADI;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unless an Event of Default shall have occurred and be continuing, the Administrative Agent shall not (whether at its own request or at the request of a Lender) exercise such rights more than one time in any calendar year,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when an Event of Default exists the Administrative Agent or any Lender (or any of their respective representatives or independent contractors) may do any of the foregoing at the expense of ADI at any time during normal business hours and without advance notice.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Use of Proceeds.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Use the proceeds of the Loans only for the purposes described in the recitals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Anti-Corruption Laws.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Conduct its businesses in all material respects in compliance with the Anti-Corruption Laws and maintain policies and procedures reasonably designed to promote and achieve compliance by ADI and its Subsidiaries with such 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So long as any Lender shall have any Commitment hereunder, or any Loan or other Obligation hereunder shall remain unpaid or unsatisfied: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ADI shall not, nor shall it permit any Subsidiary to, directly or indirectly, create, incur, assume or suffer to exist any Lien upon any of its property, assets or revenues, whether now owned or hereafter acquired, other than the following:</w:t>
      </w:r>
    </w:p>
    <w:p>
      <w:pPr>
        <w:spacing w:after="0" w:line="62" w:lineRule="exact"/>
        <w:rPr>
          <w:sz w:val="20"/>
          <w:szCs w:val="20"/>
          <w:color w:val="auto"/>
        </w:rPr>
      </w:pPr>
    </w:p>
    <w:p>
      <w:pPr>
        <w:jc w:val="both"/>
        <w:ind w:left="460" w:firstLine="443"/>
        <w:spacing w:after="0" w:line="264" w:lineRule="auto"/>
        <w:tabs>
          <w:tab w:leader="none" w:pos="11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Liens pursuant to any Loan Document and Liens existing on the date hereof and set forth on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and any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property covered thereby is not changed, (ii) the amount secured or benefited thereby is not increased and (iii) the direct or any contingent obligor with respect thereto is not changed.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63" w:name="page64"/>
    <w:bookmarkEnd w:id="63"/>
    <w:p>
      <w:pPr>
        <w:ind w:firstLine="443"/>
        <w:spacing w:after="0" w:line="277" w:lineRule="auto"/>
        <w:tabs>
          <w:tab w:leader="none" w:pos="716"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62" w:lineRule="exact"/>
        <w:rPr>
          <w:rFonts w:ascii="Arial" w:cs="Arial" w:eastAsia="Arial" w:hAnsi="Arial"/>
          <w:sz w:val="18"/>
          <w:szCs w:val="18"/>
          <w:color w:val="auto"/>
        </w:rPr>
      </w:pPr>
    </w:p>
    <w:p>
      <w:pPr>
        <w:jc w:val="both"/>
        <w:ind w:right="20" w:firstLine="443"/>
        <w:spacing w:after="0" w:line="264" w:lineRule="auto"/>
        <w:tabs>
          <w:tab w:leader="none" w:pos="6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w:t>
      </w:r>
    </w:p>
    <w:p>
      <w:pPr>
        <w:spacing w:after="0" w:line="73" w:lineRule="exact"/>
        <w:rPr>
          <w:rFonts w:ascii="Arial" w:cs="Arial" w:eastAsia="Arial" w:hAnsi="Arial"/>
          <w:sz w:val="18"/>
          <w:szCs w:val="18"/>
          <w:color w:val="auto"/>
        </w:rPr>
      </w:pPr>
    </w:p>
    <w:p>
      <w:pPr>
        <w:ind w:firstLine="443"/>
        <w:spacing w:after="0" w:line="277" w:lineRule="auto"/>
        <w:tabs>
          <w:tab w:leader="none" w:pos="7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62" w:lineRule="exact"/>
        <w:rPr>
          <w:rFonts w:ascii="Arial" w:cs="Arial" w:eastAsia="Arial" w:hAnsi="Arial"/>
          <w:sz w:val="18"/>
          <w:szCs w:val="18"/>
          <w:color w:val="auto"/>
        </w:rPr>
      </w:pPr>
    </w:p>
    <w:p>
      <w:pPr>
        <w:jc w:val="both"/>
        <w:ind w:firstLine="443"/>
        <w:spacing w:after="0" w:line="264" w:lineRule="auto"/>
        <w:tabs>
          <w:tab w:leader="none" w:pos="6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and leases, statutory obligations, surety and appeal bonds, performance bonds and other obligations of a like nature (other than Indebtedness) incurred in the ordinary course of business, including deposits securing reimbursement obligations under commercial letters of credit that do not constitute Indebtedness;</w:t>
      </w:r>
    </w:p>
    <w:p>
      <w:pPr>
        <w:spacing w:after="0" w:line="73" w:lineRule="exact"/>
        <w:rPr>
          <w:rFonts w:ascii="Arial" w:cs="Arial" w:eastAsia="Arial" w:hAnsi="Arial"/>
          <w:sz w:val="18"/>
          <w:szCs w:val="18"/>
          <w:color w:val="auto"/>
        </w:rPr>
      </w:pPr>
    </w:p>
    <w:p>
      <w:pPr>
        <w:jc w:val="both"/>
        <w:ind w:firstLine="443"/>
        <w:spacing w:after="0" w:line="264" w:lineRule="auto"/>
        <w:tabs>
          <w:tab w:leader="none" w:pos="676"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73" w:lineRule="exact"/>
        <w:rPr>
          <w:rFonts w:ascii="Arial" w:cs="Arial" w:eastAsia="Arial" w:hAnsi="Arial"/>
          <w:sz w:val="18"/>
          <w:szCs w:val="18"/>
          <w:color w:val="auto"/>
        </w:rPr>
      </w:pPr>
    </w:p>
    <w:p>
      <w:pPr>
        <w:ind w:firstLine="443"/>
        <w:spacing w:after="0" w:line="277" w:lineRule="auto"/>
        <w:tabs>
          <w:tab w:leader="none" w:pos="706"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 xml:space="preserve"> or securing appeal or other surety bonds related to such judgments;</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precautionary UCC filings in respect of operating leases;</w:t>
      </w:r>
    </w:p>
    <w:p>
      <w:pPr>
        <w:spacing w:after="0" w:line="117" w:lineRule="exact"/>
        <w:rPr>
          <w:rFonts w:ascii="Arial" w:cs="Arial" w:eastAsia="Arial" w:hAnsi="Arial"/>
          <w:sz w:val="18"/>
          <w:szCs w:val="18"/>
          <w:color w:val="auto"/>
        </w:rPr>
      </w:pPr>
    </w:p>
    <w:p>
      <w:pPr>
        <w:ind w:firstLine="443"/>
        <w:spacing w:after="0" w:line="277" w:lineRule="auto"/>
        <w:tabs>
          <w:tab w:leader="none" w:pos="658"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in the ordinary course of business which do not (i) interfere in any material respect with the business of ADI or ADI and its Subsidiaries taken as a whole or (ii) secure any Indebtedness;</w:t>
      </w:r>
    </w:p>
    <w:p>
      <w:pPr>
        <w:spacing w:after="0" w:line="62" w:lineRule="exact"/>
        <w:rPr>
          <w:rFonts w:ascii="Arial" w:cs="Arial" w:eastAsia="Arial" w:hAnsi="Arial"/>
          <w:sz w:val="18"/>
          <w:szCs w:val="18"/>
          <w:color w:val="auto"/>
        </w:rPr>
      </w:pPr>
    </w:p>
    <w:p>
      <w:pPr>
        <w:ind w:left="660" w:hanging="217"/>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Liens securing Swap Contracts permitted under </w:t>
      </w:r>
      <w:r>
        <w:rPr>
          <w:rFonts w:ascii="Arial" w:cs="Arial" w:eastAsia="Arial" w:hAnsi="Arial"/>
          <w:sz w:val="18"/>
          <w:szCs w:val="18"/>
          <w:u w:val="single" w:color="auto"/>
          <w:color w:val="auto"/>
        </w:rPr>
        <w:t>Section 7.02(e)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3"/>
        <w:spacing w:after="0" w:line="277" w:lineRule="auto"/>
        <w:tabs>
          <w:tab w:leader="none" w:pos="694"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Liens in favor of a lessor under any lease entered into by ADI or any Subsidiary in the ordinary course of business but only with respect to the assets so leased;</w:t>
      </w:r>
    </w:p>
    <w:p>
      <w:pPr>
        <w:spacing w:after="0" w:line="62" w:lineRule="exact"/>
        <w:rPr>
          <w:rFonts w:ascii="Arial" w:cs="Arial" w:eastAsia="Arial" w:hAnsi="Arial"/>
          <w:sz w:val="18"/>
          <w:szCs w:val="18"/>
          <w:color w:val="auto"/>
        </w:rPr>
      </w:pPr>
    </w:p>
    <w:p>
      <w:pPr>
        <w:jc w:val="both"/>
        <w:ind w:firstLine="443"/>
        <w:spacing w:after="0" w:line="264" w:lineRule="auto"/>
        <w:tabs>
          <w:tab w:leader="none" w:pos="6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7.02(f)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700" w:top="274" w:right="239" w:bottom="1440" w:gutter="0" w:footer="0" w:header="0"/>
        </w:sectPr>
      </w:pPr>
    </w:p>
    <w:bookmarkStart w:id="64" w:name="page65"/>
    <w:bookmarkEnd w:id="64"/>
    <w:p>
      <w:pPr>
        <w:ind w:left="460" w:firstLine="443"/>
        <w:spacing w:after="0" w:line="277" w:lineRule="auto"/>
        <w:tabs>
          <w:tab w:leader="none" w:pos="121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Liens on assets of any entity acquired by ADI or any of its Subsidiaries in a transaction permitted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in existence on the date of such acquisition and not created in anticipation thereof; and</w:t>
      </w:r>
    </w:p>
    <w:p>
      <w:pPr>
        <w:spacing w:after="0" w:line="62" w:lineRule="exact"/>
        <w:rPr>
          <w:rFonts w:ascii="Arial" w:cs="Arial" w:eastAsia="Arial" w:hAnsi="Arial"/>
          <w:sz w:val="18"/>
          <w:szCs w:val="18"/>
          <w:color w:val="auto"/>
        </w:rPr>
      </w:pPr>
    </w:p>
    <w:p>
      <w:pPr>
        <w:ind w:left="460" w:firstLine="443"/>
        <w:spacing w:after="0" w:line="277" w:lineRule="auto"/>
        <w:tabs>
          <w:tab w:leader="none" w:pos="1159"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Liens securing Indebtedness of ADI and its Subsidiaries (in addition to </w:t>
      </w:r>
      <w:r>
        <w:rPr>
          <w:rFonts w:ascii="Arial" w:cs="Arial" w:eastAsia="Arial" w:hAnsi="Arial"/>
          <w:sz w:val="18"/>
          <w:szCs w:val="18"/>
          <w:u w:val="single" w:color="auto"/>
          <w:color w:val="auto"/>
        </w:rPr>
        <w:t>Sections 7.01(l)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w:t>
      </w:r>
      <w:r>
        <w:rPr>
          <w:rFonts w:ascii="Arial" w:cs="Arial" w:eastAsia="Arial" w:hAnsi="Arial"/>
          <w:sz w:val="18"/>
          <w:szCs w:val="18"/>
          <w:color w:val="auto"/>
        </w:rPr>
        <w:t xml:space="preserve"> above) in an aggregate principal amount not to exceed, at any one time, the greater of (i)$375,000,000 and (ii) 5% of Consolidated 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Indebtedness.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ADI will not permit its Subsidiaries, directly or indirectly, to create, assume or incur any Indebtedness except for the following:</w:t>
      </w:r>
    </w:p>
    <w:p>
      <w:pPr>
        <w:spacing w:after="0" w:line="117" w:lineRule="exact"/>
        <w:rPr>
          <w:sz w:val="20"/>
          <w:szCs w:val="20"/>
          <w:color w:val="auto"/>
        </w:rPr>
      </w:pPr>
    </w:p>
    <w:p>
      <w:pPr>
        <w:ind w:left="1140" w:hanging="237"/>
        <w:spacing w:after="0"/>
        <w:tabs>
          <w:tab w:leader="none" w:pos="1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Indebtedness created under the Loan Documents;</w:t>
      </w:r>
    </w:p>
    <w:p>
      <w:pPr>
        <w:spacing w:after="0" w:line="117" w:lineRule="exact"/>
        <w:rPr>
          <w:rFonts w:ascii="Arial" w:cs="Arial" w:eastAsia="Arial" w:hAnsi="Arial"/>
          <w:sz w:val="18"/>
          <w:szCs w:val="18"/>
          <w:color w:val="auto"/>
        </w:rPr>
      </w:pPr>
    </w:p>
    <w:p>
      <w:pPr>
        <w:jc w:val="both"/>
        <w:ind w:left="460" w:firstLine="443"/>
        <w:spacing w:after="0" w:line="264" w:lineRule="auto"/>
        <w:tabs>
          <w:tab w:leader="none" w:pos="1159"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Indebtedness existing on the date hereof and set forth on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and extensions, renewals and replacements of any such Indebtedness in a principal amount not in excess of that outstanding as of the date hereof plus amounts equal to a reasonable premium or other reasonable amounts paid and fees and expenses reasonably incurred in connection with such financing;</w:t>
      </w:r>
    </w:p>
    <w:p>
      <w:pPr>
        <w:spacing w:after="0" w:line="73" w:lineRule="exact"/>
        <w:rPr>
          <w:rFonts w:ascii="Arial" w:cs="Arial" w:eastAsia="Arial" w:hAnsi="Arial"/>
          <w:sz w:val="18"/>
          <w:szCs w:val="18"/>
          <w:color w:val="auto"/>
        </w:rPr>
      </w:pPr>
    </w:p>
    <w:p>
      <w:pPr>
        <w:ind w:left="1140" w:hanging="237"/>
        <w:spacing w:after="0"/>
        <w:tabs>
          <w:tab w:leader="none" w:pos="1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Indebtedness of any Subsidiary to ADI or any other Subsidiary;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Guarantees by any Subsidiary of Indebtedness of any other Subsidiary permitted hereunder;</w:t>
      </w:r>
    </w:p>
    <w:p>
      <w:pPr>
        <w:spacing w:after="0" w:line="117" w:lineRule="exact"/>
        <w:rPr>
          <w:rFonts w:ascii="Arial" w:cs="Arial" w:eastAsia="Arial" w:hAnsi="Arial"/>
          <w:sz w:val="18"/>
          <w:szCs w:val="18"/>
          <w:color w:val="auto"/>
        </w:rPr>
      </w:pPr>
    </w:p>
    <w:p>
      <w:pPr>
        <w:jc w:val="both"/>
        <w:ind w:left="460" w:firstLine="443"/>
        <w:spacing w:after="0" w:line="259" w:lineRule="auto"/>
        <w:tabs>
          <w:tab w:leader="none" w:pos="1157"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of any Subsidiary existing or arising under any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obligations are (or were) entered into by such Subsidiary in the ordinary course of business for the purpose of directly mitigating risks associated with liabilities, commitments, investments, assets, or property held or reasonably anticipated by such Subsidiary, or changes in the value of securities issued by such Subsidiary, and not for purposes of speculation or taking a “market view”;</w:t>
      </w:r>
    </w:p>
    <w:p>
      <w:pPr>
        <w:spacing w:after="0" w:line="78" w:lineRule="exact"/>
        <w:rPr>
          <w:rFonts w:ascii="Arial" w:cs="Arial" w:eastAsia="Arial" w:hAnsi="Arial"/>
          <w:sz w:val="18"/>
          <w:szCs w:val="18"/>
          <w:color w:val="auto"/>
        </w:rPr>
      </w:pPr>
    </w:p>
    <w:p>
      <w:pPr>
        <w:ind w:left="460" w:firstLine="443"/>
        <w:spacing w:after="0" w:line="277" w:lineRule="auto"/>
        <w:tabs>
          <w:tab w:leader="none" w:pos="1157"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Indebtedness in respect of capital leases, Synthetic Lease Obligations and purchase money obligations for fixed or capital assets in an aggregate amount not to exceed, at any one time, $300,000,000;</w:t>
      </w:r>
    </w:p>
    <w:p>
      <w:pPr>
        <w:spacing w:after="0" w:line="62" w:lineRule="exact"/>
        <w:rPr>
          <w:rFonts w:ascii="Arial" w:cs="Arial" w:eastAsia="Arial" w:hAnsi="Arial"/>
          <w:sz w:val="18"/>
          <w:szCs w:val="18"/>
          <w:color w:val="auto"/>
        </w:rPr>
      </w:pPr>
    </w:p>
    <w:p>
      <w:pPr>
        <w:jc w:val="both"/>
        <w:ind w:left="460" w:firstLine="443"/>
        <w:spacing w:after="0" w:line="276" w:lineRule="auto"/>
        <w:tabs>
          <w:tab w:leader="none" w:pos="1168"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unsecured Indebtedness of any Subsidiary under the Term Loan Facilities and the Debt Securities (and any refinancing or refunding of the Term Loan Facilities or the Debt Securities with additional unsecured Indebtedness incurred under this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principal amount of Indebtedness under the Term Loan Facilities (or any Indebtedness refinancing or refunding all or part thereof under this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shall not exceed $5,000,000,000 and the aggregate principal amount of Indebtedness under the Debt Securities (or any Indebtedness refinancing or refunding all or part thereof under this </w:t>
      </w:r>
      <w:r>
        <w:rPr>
          <w:rFonts w:ascii="Arial" w:cs="Arial" w:eastAsia="Arial" w:hAnsi="Arial"/>
          <w:sz w:val="17"/>
          <w:szCs w:val="17"/>
          <w:u w:val="single" w:color="auto"/>
          <w:color w:val="auto"/>
        </w:rPr>
        <w:t>clause (g)</w:t>
      </w:r>
      <w:r>
        <w:rPr>
          <w:rFonts w:ascii="Arial" w:cs="Arial" w:eastAsia="Arial" w:hAnsi="Arial"/>
          <w:sz w:val="17"/>
          <w:szCs w:val="17"/>
          <w:color w:val="auto"/>
        </w:rPr>
        <w:t>) shall not exceed $2,500,000,000;</w:t>
      </w:r>
    </w:p>
    <w:p>
      <w:pPr>
        <w:spacing w:after="0" w:line="64" w:lineRule="exact"/>
        <w:rPr>
          <w:rFonts w:ascii="Arial" w:cs="Arial" w:eastAsia="Arial" w:hAnsi="Arial"/>
          <w:sz w:val="17"/>
          <w:szCs w:val="17"/>
          <w:color w:val="auto"/>
        </w:rPr>
      </w:pPr>
    </w:p>
    <w:p>
      <w:pPr>
        <w:ind w:left="460" w:firstLine="443"/>
        <w:spacing w:after="0" w:line="277" w:lineRule="auto"/>
        <w:tabs>
          <w:tab w:leader="none" w:pos="11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Indebtedness of the Company or any of its Subsidiaries existing at the Closing Date that is permitted under the Merger Agreement (as in effect on July 26, 2016), to remain outstanding following the Closing Date, and any refinancings,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65" w:name="page66"/>
    <w:bookmarkEnd w:id="65"/>
    <w:p>
      <w:pPr>
        <w:jc w:val="both"/>
        <w:ind w:left="4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refundings,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Subsidiary shall be a primary obligor or guarantor with respect thereto unless such Subsidiary was (or pursuant to the terms thereof would have been required to become) a primary obligor or guarantor with respect thereto immediately prior to the Closing Date and (ii) the aggregate principal amount of such Indebtedness does not exceed the principal amount thereof outstanding immediately prior to the Closing Date, except by an amount equal to a reasonable premium or other reasonable amount paid, and fees and expenses reasonably incurred, in connection with any such refinancings, refundings, renewals or extensions thereof; and</w:t>
      </w:r>
    </w:p>
    <w:p>
      <w:pPr>
        <w:spacing w:after="0" w:line="64" w:lineRule="exact"/>
        <w:rPr>
          <w:sz w:val="20"/>
          <w:szCs w:val="20"/>
          <w:color w:val="auto"/>
        </w:rPr>
      </w:pPr>
    </w:p>
    <w:p>
      <w:pPr>
        <w:ind w:left="460" w:firstLine="443"/>
        <w:spacing w:after="0" w:line="277" w:lineRule="auto"/>
        <w:tabs>
          <w:tab w:leader="none" w:pos="1116"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Indebtedness in an aggregate principal amount not to exceed, at any one time outstanding, the greater of (i) $1,125,000,000 and (ii) 15% of Consolidated 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Fundamental Changes.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ADI shall not, nor shall it permit any Subsidiary to, directly or indirectly, merge, dissolve, liquidate, consolidate or amalgamate with or into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 except that:</w:t>
      </w:r>
    </w:p>
    <w:p>
      <w:pPr>
        <w:spacing w:after="0" w:line="103" w:lineRule="exact"/>
        <w:rPr>
          <w:sz w:val="20"/>
          <w:szCs w:val="20"/>
          <w:color w:val="auto"/>
        </w:rPr>
      </w:pPr>
    </w:p>
    <w:p>
      <w:pPr>
        <w:ind w:left="1140" w:hanging="237"/>
        <w:spacing w:after="0"/>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ADI may merge with another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ADI is the continuing or surviving Person;</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Merger Sub may merge with the Company to consummate the Merger;</w:t>
      </w:r>
    </w:p>
    <w:p>
      <w:pPr>
        <w:spacing w:after="0" w:line="117" w:lineRule="exact"/>
        <w:rPr>
          <w:rFonts w:ascii="Arial" w:cs="Arial" w:eastAsia="Arial" w:hAnsi="Arial"/>
          <w:sz w:val="18"/>
          <w:szCs w:val="18"/>
          <w:color w:val="auto"/>
        </w:rPr>
      </w:pPr>
    </w:p>
    <w:p>
      <w:pPr>
        <w:jc w:val="both"/>
        <w:ind w:left="460" w:firstLine="443"/>
        <w:spacing w:after="0" w:line="259" w:lineRule="auto"/>
        <w:tabs>
          <w:tab w:leader="none" w:pos="11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Subsidiary (other than the Subsidiary Borrower at any time when it is a Borrower) may merge, consolidate, amalgamate, liquidate or dissolve if such merger, consolidation, amalgamation, liquidation or dissolution does not cause or is not reasonably expected to cause a Material Adverse Effect, and, for the avoidance of doubt, to the extent not involving a merger, consolidation, amalgamation, liquidation or dissolution not otherwise permitted by this clause, may change its jurisdiction of organization and/or tax residence;</w:t>
      </w:r>
    </w:p>
    <w:p>
      <w:pPr>
        <w:spacing w:after="0" w:line="78" w:lineRule="exact"/>
        <w:rPr>
          <w:rFonts w:ascii="Arial" w:cs="Arial" w:eastAsia="Arial" w:hAnsi="Arial"/>
          <w:sz w:val="18"/>
          <w:szCs w:val="18"/>
          <w:color w:val="auto"/>
        </w:rPr>
      </w:pPr>
    </w:p>
    <w:p>
      <w:pPr>
        <w:jc w:val="both"/>
        <w:ind w:left="460" w:firstLine="443"/>
        <w:spacing w:after="0" w:line="259" w:lineRule="auto"/>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upon not fewer than 10 Business Days’ notice to the Administrative Agent (which shall promptly make such notice available to the Lenders), the Subsidiary Borrower may change its jurisdiction of organization to any Permitted Jurisdiction and/or tax residence to any Permitted Jurisdiction or Consent Jurisdiction and (ii) any Term Loan Subsequent Subsidiary Borrower may change its jurisdiction of organization and/or tax residence; and</w:t>
      </w:r>
    </w:p>
    <w:p>
      <w:pPr>
        <w:spacing w:after="0" w:line="78" w:lineRule="exact"/>
        <w:rPr>
          <w:rFonts w:ascii="Arial" w:cs="Arial" w:eastAsia="Arial" w:hAnsi="Arial"/>
          <w:sz w:val="18"/>
          <w:szCs w:val="18"/>
          <w:color w:val="auto"/>
        </w:rPr>
      </w:pPr>
    </w:p>
    <w:p>
      <w:pPr>
        <w:jc w:val="both"/>
        <w:ind w:left="460" w:firstLine="443"/>
        <w:spacing w:after="0" w:line="255" w:lineRule="auto"/>
        <w:tabs>
          <w:tab w:leader="none" w:pos="117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upon not fewer than 10 Business Days’ notice to the Administrative Agent (which shall promptly make such notice available to the Lenders), the Subsidiary Borrower may consolidate, amalgamate or merge with or into or liquidate, wind up or convert into (whether or not the Subsidiary Borrower is the surviving Person) any Person so long as the surviving Person (A) is a Subsidiary, (B) is organized in a Permitted Jurisdiction and (C) if other than the Subsidiary Borrower, (x) expressly assumes all Borrower Obligations of the Subsidiary Borrower pursuant to an Assumption, Release and Guarantee Agreement (with such changes to the form thereof as are reasonably required to give effect to such assumption) or documentation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66" w:name="page67"/>
    <w:bookmarkEnd w:id="66"/>
    <w:p>
      <w:pPr>
        <w:jc w:val="both"/>
        <w:ind w:left="4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in form and substance reasonably satisfactory to the Administrative Agent and (y) is substituted for and becomes the “Subsidiary Borrower” and, as to the Borrower Obligations or portion thereof previously assumed by the Subsidiary Borrower, the “Borrower”, in each case, for all purposes hereof and (ii) any Term Loan Subsequent Subsidiary Borrower may consolidate, amalgamate or merge with or into or liquidate, wind up or convert into (whether or not any Term Loan Subsequent Subsidiary Borrower is the surviving Person) any Person so long as the surviving Person is a Subsidiary;</w:t>
      </w:r>
    </w:p>
    <w:p>
      <w:pPr>
        <w:spacing w:after="0" w:line="80"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clauses (d)(i)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(e)(i)</w:t>
      </w:r>
      <w:r>
        <w:rPr>
          <w:rFonts w:ascii="Arial" w:cs="Arial" w:eastAsia="Arial" w:hAnsi="Arial"/>
          <w:sz w:val="16"/>
          <w:szCs w:val="16"/>
          <w:color w:val="auto"/>
        </w:rPr>
        <w:t xml:space="preserve"> above, (i) such transaction would not result in a violation of any Laws by (A) ADI or the Subsidiary Borrower (or, if not the original Subsidiary Borrower, the surviving Person of any consolidation, amalgamation, merger, liquidation, winding up or conversion of the Subsidiary Borrower) that would reasonably be expected to have a Material Adverse Effect or (B) the Administrative Agent or any Lender, (ii) the Administrative Agent shall have received all documentation required under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under Section 5 of the Assumption, Release and Guarantee Agreement, to the extent such provisions are applicable, (iii) if the original Subsidiary Borrower is not the surviving Person of any consolidation, amalgamation, merger, liquidation, winding up or conversion of the Subsidiary Borrower, (A) the Subsidiary Borrower shall have furnished to each Lender all such information as such Lender shall reasonably request relating to such surviving Person (including any information required for compliance with the USA PATRIOT Act or other “know-your-customer” laws) promptly after it is requested by such Lender, (B) in the event any Lender shall notify the Subsidiary Borrower and the Administrative Agent that it shall be unlawful under Federal or applicable state or foreign law for such Lender to make or hold Loans to such surviving Person (a “</w:t>
      </w:r>
      <w:r>
        <w:rPr>
          <w:rFonts w:ascii="Arial" w:cs="Arial" w:eastAsia="Arial" w:hAnsi="Arial"/>
          <w:sz w:val="16"/>
          <w:szCs w:val="16"/>
          <w:u w:val="single" w:color="auto"/>
          <w:color w:val="auto"/>
        </w:rPr>
        <w:t>Notice of Illegality</w:t>
      </w:r>
      <w:r>
        <w:rPr>
          <w:rFonts w:ascii="Arial" w:cs="Arial" w:eastAsia="Arial" w:hAnsi="Arial"/>
          <w:sz w:val="16"/>
          <w:szCs w:val="16"/>
          <w:color w:val="auto"/>
        </w:rPr>
        <w:t xml:space="preserve">”), the requested consolidation, amalgamation, merger, liquidation, winding up or conversion of the Subsidiary Borrower shall not become effective until such time as such Lender withdraws such Notice of Illegality or ceases to be a Lender hereunder pursuant to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10.13</w:t>
      </w:r>
      <w:r>
        <w:rPr>
          <w:rFonts w:ascii="Arial" w:cs="Arial" w:eastAsia="Arial" w:hAnsi="Arial"/>
          <w:sz w:val="16"/>
          <w:szCs w:val="16"/>
          <w:color w:val="auto"/>
        </w:rPr>
        <w:t>, and (C) ADI shall guarantee the Borrower Obligations so assumed by such surviving Person pursuant to the applicable Assumption, Release and Guarantee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Dispositions.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ADI shall not, nor shall it permit any Subsidiary to, directly or indirectly, make any Disposition or enter into any agreement to make any Disposition, except:</w:t>
      </w:r>
    </w:p>
    <w:p>
      <w:pPr>
        <w:spacing w:after="0" w:line="62" w:lineRule="exact"/>
        <w:rPr>
          <w:sz w:val="20"/>
          <w:szCs w:val="20"/>
          <w:color w:val="auto"/>
        </w:rPr>
      </w:pPr>
    </w:p>
    <w:p>
      <w:pPr>
        <w:ind w:left="1140" w:hanging="237"/>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Dispositions of obsolete or worn out property, whether now owned or hereafter acquired, in the ordinary course of business;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Dispositions of inventory in the ordinary course of business;</w:t>
      </w:r>
    </w:p>
    <w:p>
      <w:pPr>
        <w:spacing w:after="0" w:line="117" w:lineRule="exact"/>
        <w:rPr>
          <w:rFonts w:ascii="Arial" w:cs="Arial" w:eastAsia="Arial" w:hAnsi="Arial"/>
          <w:sz w:val="18"/>
          <w:szCs w:val="18"/>
          <w:color w:val="auto"/>
        </w:rPr>
      </w:pPr>
    </w:p>
    <w:p>
      <w:pPr>
        <w:ind w:left="460" w:right="20" w:firstLine="443"/>
        <w:spacing w:after="0" w:line="342" w:lineRule="auto"/>
        <w:tabs>
          <w:tab w:leader="none" w:pos="1159" w:val="left"/>
        </w:tabs>
        <w:numPr>
          <w:ilvl w:val="0"/>
          <w:numId w:val="74"/>
        </w:numPr>
        <w:rPr>
          <w:rFonts w:ascii="Arial" w:cs="Arial" w:eastAsia="Arial" w:hAnsi="Arial"/>
          <w:sz w:val="16"/>
          <w:szCs w:val="16"/>
          <w:color w:val="auto"/>
        </w:rPr>
      </w:pPr>
      <w:r>
        <w:rPr>
          <w:rFonts w:ascii="Arial" w:cs="Arial" w:eastAsia="Arial" w:hAnsi="Arial"/>
          <w:sz w:val="16"/>
          <w:szCs w:val="16"/>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67" w:name="page68"/>
    <w:bookmarkEnd w:id="67"/>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Dispositions of property from ADI to a Subsidiary or from a Subsidiary to ADI or another Subsidiary;</w:t>
      </w:r>
    </w:p>
    <w:p>
      <w:pPr>
        <w:spacing w:after="0" w:line="117" w:lineRule="exact"/>
        <w:rPr>
          <w:rFonts w:ascii="Arial" w:cs="Arial" w:eastAsia="Arial" w:hAnsi="Arial"/>
          <w:sz w:val="18"/>
          <w:szCs w:val="18"/>
          <w:color w:val="auto"/>
        </w:rPr>
      </w:pPr>
    </w:p>
    <w:p>
      <w:pPr>
        <w:ind w:left="460" w:firstLine="443"/>
        <w:spacing w:after="0" w:line="277" w:lineRule="auto"/>
        <w:tabs>
          <w:tab w:leader="none" w:pos="11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Dispositions by the Subsidiary Borrower or any Term Loan Subsequent Subsidiary Borrower of its assets (including, without limitation, assets that constitute all or substantially all of its assets);</w:t>
      </w:r>
    </w:p>
    <w:p>
      <w:pPr>
        <w:spacing w:after="0" w:line="62" w:lineRule="exact"/>
        <w:rPr>
          <w:rFonts w:ascii="Arial" w:cs="Arial" w:eastAsia="Arial" w:hAnsi="Arial"/>
          <w:sz w:val="18"/>
          <w:szCs w:val="18"/>
          <w:color w:val="auto"/>
        </w:rPr>
      </w:pPr>
    </w:p>
    <w:p>
      <w:pPr>
        <w:jc w:val="both"/>
        <w:ind w:left="460" w:firstLine="443"/>
        <w:spacing w:after="0" w:line="259" w:lineRule="auto"/>
        <w:tabs>
          <w:tab w:leader="none" w:pos="1133"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changes in the ownership of the Equity Interests of the Subsidiary Borrower or any Term Loan Subsequent Subsidiary Borrower (other than changes constituting a “Change of Control”), so long as, at any time when the Subsidiary Borrower or such Term Loan Subsequent Subsidiary Borrower, as applicable, is a Borrower hereunder or a borrower under the Term Loan Facilities, the Subsidiary Borrower or such Term Loan Subsequent Subsidiary Borrower, as applicable, remains a Subsidiary of ADI; and</w:t>
      </w:r>
    </w:p>
    <w:p>
      <w:pPr>
        <w:spacing w:after="0" w:line="78" w:lineRule="exact"/>
        <w:rPr>
          <w:rFonts w:ascii="Arial" w:cs="Arial" w:eastAsia="Arial" w:hAnsi="Arial"/>
          <w:sz w:val="18"/>
          <w:szCs w:val="18"/>
          <w:color w:val="auto"/>
        </w:rPr>
      </w:pPr>
    </w:p>
    <w:p>
      <w:pPr>
        <w:jc w:val="both"/>
        <w:ind w:left="460" w:firstLine="443"/>
        <w:spacing w:after="0" w:line="259" w:lineRule="auto"/>
        <w:tabs>
          <w:tab w:leader="none" w:pos="1179"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Dispositions by ADI and its Subsidiaries not otherwise permitted under this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book value of all property disposed of in reliance on this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shall not exceed 30% of the consolidated total assets of ADI and its Subsidiaries, as determined in accordance with GAAP (measured as of the applicable date of the financial information most recently delivered to the Administrative Agent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or, prior to the delivery of any such financial information, as of March 10,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7.05. </w:t>
      </w:r>
      <w:r>
        <w:rPr>
          <w:rFonts w:ascii="Arial" w:cs="Arial" w:eastAsia="Arial" w:hAnsi="Arial"/>
          <w:sz w:val="18"/>
          <w:szCs w:val="18"/>
          <w:u w:val="single" w:color="auto"/>
          <w:color w:val="auto"/>
        </w:rPr>
        <w:t>Use of Proceeds.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ADI shall not, nor shall it permit any Subsidiary to, directly or indirectly, use the proceeds of any Loan, whether directly or indirectly, except in accordance with </w:t>
      </w:r>
      <w:r>
        <w:rPr>
          <w:rFonts w:ascii="Arial" w:cs="Arial" w:eastAsia="Arial" w:hAnsi="Arial"/>
          <w:sz w:val="18"/>
          <w:szCs w:val="18"/>
          <w:u w:val="single" w:color="auto"/>
          <w:color w:val="auto"/>
        </w:rPr>
        <w:t>Section 6.11</w:t>
      </w:r>
      <w:r>
        <w:rPr>
          <w:rFonts w:ascii="Arial" w:cs="Arial" w:eastAsia="Arial" w:hAnsi="Arial"/>
          <w:sz w:val="18"/>
          <w:szCs w:val="18"/>
          <w:color w:val="auto"/>
        </w:rPr>
        <w:t>, and in no event shall any Loan, whether immediately, incidentally or ultimately, be used to purchase or carry margin stock (within the meaning of Regulation U of the FRB) or to extend credit to others for the purpose of purchasing or carrying margin stock or to refund indebtedness originally incurred for such purpose, in each case, to the extent such action would violate Regulation U.</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Fiscal Year.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Loan Party shall directly or indirectly change its fiscal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u w:val="single" w:color="auto"/>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7.08. </w:t>
      </w:r>
      <w:r>
        <w:rPr>
          <w:rFonts w:ascii="Arial" w:cs="Arial" w:eastAsia="Arial" w:hAnsi="Arial"/>
          <w:sz w:val="18"/>
          <w:szCs w:val="18"/>
          <w:u w:val="single" w:color="auto"/>
          <w:color w:val="auto"/>
        </w:rPr>
        <w:t>Sanctions.</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Each Loan Party shall not, directly or, to the knowledge of such Loan Party, indirectly, use the proceeds of any Loan,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in each case, in any manner that will result in a violation by any individual or entity (including any individual or entity participating in the transaction, whether as Lender, Arranger, Administrative Agent or otherwise) of Sanctions.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7.09. </w:t>
      </w:r>
      <w:r>
        <w:rPr>
          <w:rFonts w:ascii="Arial" w:cs="Arial" w:eastAsia="Arial" w:hAnsi="Arial"/>
          <w:sz w:val="18"/>
          <w:szCs w:val="18"/>
          <w:u w:val="single" w:color="auto"/>
          <w:color w:val="auto"/>
        </w:rPr>
        <w:t>Anti-Corruption Laws.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Each Loan Party shall not, directly or, to the knowledge of such Loan Party, indirectly use the proceeds of any Credit Extension for any purpose which would breach the Anti-Corruption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 AND 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 following shall constitute an Event of Default:</w:t>
      </w:r>
    </w:p>
    <w:p>
      <w:pPr>
        <w:spacing w:after="0" w:line="117" w:lineRule="exact"/>
        <w:rPr>
          <w:sz w:val="20"/>
          <w:szCs w:val="20"/>
          <w:color w:val="auto"/>
        </w:rPr>
      </w:pPr>
    </w:p>
    <w:p>
      <w:pPr>
        <w:jc w:val="both"/>
        <w:ind w:left="460" w:firstLine="443"/>
        <w:spacing w:after="0" w:line="264" w:lineRule="auto"/>
        <w:tabs>
          <w:tab w:leader="none" w:pos="114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xml:space="preserve"> A Loan Party fails to pay (i) when and as required to be paid herein any amount of principal of any Loan, (ii) within five days after the same becomes due, any interest on any Loan, or any fee due hereunder, or (iii) within five days after the same becomes due, any other amount payable hereunder or under any other Loan Document; or</w:t>
      </w:r>
    </w:p>
    <w:p>
      <w:pPr>
        <w:spacing w:after="0" w:line="73"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A Loan Party fails to perform or observe any term, covenant or agreement contained in any of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jc w:val="both"/>
        <w:ind w:left="460" w:firstLine="443"/>
        <w:spacing w:after="0" w:line="264" w:lineRule="auto"/>
        <w:tabs>
          <w:tab w:leader="none" w:pos="114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A Loan Party fails to perform or observe any other covenant or agreement (not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contained in any Loan Document on its part to be performed or observed and such failure continues for 30 days after written notice of default is provided by the Administrative Agent; or</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5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Any representation or warranty made or deemed made by or on behalf of a Loan Party herein, in any other Loan Document, or in any document delivered in connection herewith or therewith shall be incorrect or misleading in any material respect when made or deemed made; or</w:t>
      </w:r>
    </w:p>
    <w:p>
      <w:pPr>
        <w:spacing w:after="0" w:line="73" w:lineRule="exact"/>
        <w:rPr>
          <w:rFonts w:ascii="Arial" w:cs="Arial" w:eastAsia="Arial" w:hAnsi="Arial"/>
          <w:sz w:val="18"/>
          <w:szCs w:val="18"/>
          <w:color w:val="auto"/>
        </w:rPr>
      </w:pPr>
    </w:p>
    <w:p>
      <w:pPr>
        <w:jc w:val="both"/>
        <w:ind w:left="460" w:firstLine="443"/>
        <w:spacing w:after="0" w:line="290" w:lineRule="auto"/>
        <w:tabs>
          <w:tab w:leader="none" w:pos="1143"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xml:space="preserve"> ADI or any Material Subsidiary (i)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amounts owing to all creditors under any combined or syndicated credit arrangement) of more than the Threshold Amount or (ii) fails to observe or perform any other agreement or condition relating to any such Indebtedness or Guarantee having an aggregate principal amount (including amounts owing to all creditors under any combined or syndicated credit arrangement) of more than the Threshold Amount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69" w:name="page70"/>
    <w:bookmarkEnd w:id="69"/>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Indebtedness to be demanded or to become due or to be repurchased, prepaid, defeased or redeemed (automatically or otherwise), prior to its stated maturity, or such Guarantee to become payable or cash collateral in respect thereof to be demanded; or</w:t>
      </w:r>
    </w:p>
    <w:p>
      <w:pPr>
        <w:spacing w:after="0" w:line="62" w:lineRule="exact"/>
        <w:rPr>
          <w:sz w:val="20"/>
          <w:szCs w:val="20"/>
          <w:color w:val="auto"/>
        </w:rPr>
      </w:pPr>
    </w:p>
    <w:p>
      <w:pPr>
        <w:jc w:val="both"/>
        <w:ind w:firstLine="443"/>
        <w:spacing w:after="0" w:line="255" w:lineRule="auto"/>
        <w:tabs>
          <w:tab w:leader="none" w:pos="67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xml:space="preserve"> A Loan Party or any Material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81" w:lineRule="exact"/>
        <w:rPr>
          <w:rFonts w:ascii="Arial" w:cs="Arial" w:eastAsia="Arial" w:hAnsi="Arial"/>
          <w:sz w:val="18"/>
          <w:szCs w:val="18"/>
          <w:color w:val="auto"/>
        </w:rPr>
      </w:pPr>
    </w:p>
    <w:p>
      <w:pPr>
        <w:jc w:val="both"/>
        <w:ind w:firstLine="443"/>
        <w:spacing w:after="0" w:line="264" w:lineRule="auto"/>
        <w:tabs>
          <w:tab w:leader="none" w:pos="70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xml:space="preserve"> (i) A Loan Party or any Material Subsidiary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73" w:lineRule="exact"/>
        <w:rPr>
          <w:rFonts w:ascii="Arial" w:cs="Arial" w:eastAsia="Arial" w:hAnsi="Arial"/>
          <w:sz w:val="18"/>
          <w:szCs w:val="18"/>
          <w:color w:val="auto"/>
        </w:rPr>
      </w:pPr>
    </w:p>
    <w:p>
      <w:pPr>
        <w:jc w:val="both"/>
        <w:ind w:firstLine="443"/>
        <w:spacing w:after="0" w:line="279" w:lineRule="auto"/>
        <w:tabs>
          <w:tab w:leader="none" w:pos="69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Judgments.</w:t>
      </w:r>
      <w:r>
        <w:rPr>
          <w:rFonts w:ascii="Arial" w:cs="Arial" w:eastAsia="Arial" w:hAnsi="Arial"/>
          <w:sz w:val="17"/>
          <w:szCs w:val="17"/>
          <w:color w:val="auto"/>
        </w:rPr>
        <w:t xml:space="preserve"> There is entered against ADI or any Material Subsidiary one or more final judgments or orders for the payment of money in an aggregate amount (as to all such judgments or orders) exceeding the Threshold Amount (to the extent not covered by independent third-party insurance as to which the insurer does not dispute coverage) and there is a period of 30 consecutive days during which such judgment is not satisfied or discharged or a stay of enforcement of such judgment, by reason of a pending appeal or otherwise, is not in effect; or</w:t>
      </w:r>
    </w:p>
    <w:p>
      <w:pPr>
        <w:spacing w:after="0" w:line="63" w:lineRule="exact"/>
        <w:rPr>
          <w:rFonts w:ascii="Arial" w:cs="Arial" w:eastAsia="Arial" w:hAnsi="Arial"/>
          <w:sz w:val="17"/>
          <w:szCs w:val="17"/>
          <w:color w:val="auto"/>
        </w:rPr>
      </w:pPr>
    </w:p>
    <w:p>
      <w:pPr>
        <w:jc w:val="both"/>
        <w:ind w:firstLine="443"/>
        <w:spacing w:after="0" w:line="279" w:lineRule="auto"/>
        <w:tabs>
          <w:tab w:leader="none" w:pos="65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xml:space="preserve"> (i) An ERISA Event occurs with respect to a Pension Plan which has resulted or would reasonably be expected to result in liability of ADI under Title IV of ERISA to the Pension Plan or the PBGC in an aggregate amount in excess of the Threshold Amount, or (ii) ADI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63" w:lineRule="exact"/>
        <w:rPr>
          <w:rFonts w:ascii="Arial" w:cs="Arial" w:eastAsia="Arial" w:hAnsi="Arial"/>
          <w:sz w:val="17"/>
          <w:szCs w:val="17"/>
          <w:color w:val="auto"/>
        </w:rPr>
      </w:pPr>
    </w:p>
    <w:p>
      <w:pPr>
        <w:jc w:val="both"/>
        <w:ind w:firstLine="443"/>
        <w:spacing w:after="0" w:line="279" w:lineRule="auto"/>
        <w:tabs>
          <w:tab w:leader="none" w:pos="65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Invalidity of Loan Documents.</w:t>
      </w:r>
      <w:r>
        <w:rPr>
          <w:rFonts w:ascii="Arial" w:cs="Arial" w:eastAsia="Arial" w:hAnsi="Arial"/>
          <w:sz w:val="17"/>
          <w:szCs w:val="17"/>
          <w:color w:val="auto"/>
        </w:rPr>
        <w:t xml:space="preserve"> Any material provision of any Loan Document, at any time after its execution and delivery and for any reason other than as expressly permitted hereunder or thereunder or satisfaction in full of all the Obligations, ceases to be in full force and effect; or ADI or any Subsidiary contests in any manner the validity or enforceability of any Loan Document; or any Loan Party denies that it has any or further liability or obligation under any Loan Document, or purports to revoke, terminate or rescind any Loan Document; or</w:t>
      </w:r>
    </w:p>
    <w:p>
      <w:pPr>
        <w:spacing w:after="0" w:line="63" w:lineRule="exact"/>
        <w:rPr>
          <w:rFonts w:ascii="Arial" w:cs="Arial" w:eastAsia="Arial" w:hAnsi="Arial"/>
          <w:sz w:val="17"/>
          <w:szCs w:val="17"/>
          <w:color w:val="auto"/>
        </w:rPr>
      </w:pPr>
    </w:p>
    <w:p>
      <w:pPr>
        <w:ind w:left="700" w:hanging="257"/>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There occurs any Change of Control.</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60"/>
          </w:cols>
          <w:pgMar w:left="700" w:top="274" w:right="239" w:bottom="1440" w:gutter="0" w:footer="0" w:header="0"/>
        </w:sectPr>
      </w:pPr>
    </w:p>
    <w:bookmarkStart w:id="70" w:name="page71"/>
    <w:bookmarkEnd w:id="70"/>
    <w:p>
      <w:pPr>
        <w:jc w:val="both"/>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herein to the contrary, during the period from the Closing Date until the date that is 30 days after the Closing Date (the “</w:t>
      </w:r>
      <w:r>
        <w:rPr>
          <w:rFonts w:ascii="Arial" w:cs="Arial" w:eastAsia="Arial" w:hAnsi="Arial"/>
          <w:sz w:val="16"/>
          <w:szCs w:val="16"/>
          <w:u w:val="single" w:color="auto"/>
          <w:color w:val="auto"/>
        </w:rPr>
        <w:t>Clean-Up Period</w:t>
      </w:r>
      <w:r>
        <w:rPr>
          <w:rFonts w:ascii="Arial" w:cs="Arial" w:eastAsia="Arial" w:hAnsi="Arial"/>
          <w:sz w:val="16"/>
          <w:szCs w:val="16"/>
          <w:color w:val="auto"/>
        </w:rPr>
        <w:t>”), any breach of a representation or warranty will be deemed not to be a breach of a representation or warranty by reason of any matter or circumstance relating to the Company and its subsidiaries, if it would have been (if it were not for this paragraph) a breach of representation or warranty if, and for so long as the circumstances giving rise to the relevant breach of representation or warranty (i) are capable of being remedied within the Clean-Up Period and ADI is taking appropriate steps to remedy such breach, (ii) do not have and are not reasonably likely to have a Material Adverse Effect, and</w:t>
      </w:r>
    </w:p>
    <w:p>
      <w:pPr>
        <w:spacing w:after="0" w:line="2" w:lineRule="exact"/>
        <w:rPr>
          <w:sz w:val="20"/>
          <w:szCs w:val="20"/>
          <w:color w:val="auto"/>
        </w:rPr>
      </w:pPr>
    </w:p>
    <w:p>
      <w:pPr>
        <w:jc w:val="both"/>
        <w:ind w:firstLine="8"/>
        <w:spacing w:after="0" w:line="302" w:lineRule="auto"/>
        <w:tabs>
          <w:tab w:leader="none" w:pos="323"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were not procured by or approved by ADI or any of its Subsidiaries immediately prior to the Closing Date. Notwithstanding the immediately preceding sentence, if the relevant circumstances are continuing on or after the expiry of the Clean-Up Period, there shall be a breach of representation or warranty, notwithstanding the immediately preceding sentence (and without prejudice to the rights and remedies of the Administrative Agent and the Lenders).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Remedies Upon Event of Default.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If any Event of Default occurs and is continuing, the Administrative Agent shall, at the request of, or may, with the consent of, the Required Lenders, take any or all of the following actions (subject, however, to the last paragraph of this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62" w:lineRule="exact"/>
        <w:rPr>
          <w:sz w:val="20"/>
          <w:szCs w:val="20"/>
          <w:color w:val="auto"/>
        </w:rPr>
      </w:pPr>
    </w:p>
    <w:p>
      <w:pPr>
        <w:jc w:val="both"/>
        <w:ind w:left="460" w:firstLine="443"/>
        <w:spacing w:after="0" w:line="264"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Loan Parties;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exercise on behalf of itself and the Lenders all rights and remedies available to it and the Lenders under the Loan Documents;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a Loan Party under Debtor Relief Laws, the obligation of each Lender to make Loans shall automatically terminate and the unpaid principal amount of all outstanding Loans and all interest and other amounts as aforesaid shall automatically become due and payable, without presentment, demand, protest or other notice of any kind, all of which are hereby expressly waived by the Loan Parties, and without further act of the Administrative Agent or any Lender.</w:t>
      </w:r>
    </w:p>
    <w:p>
      <w:pPr>
        <w:spacing w:after="0" w:line="18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 xml:space="preserve">During the period from and including the Closing Date and to and including the earlier of the termination of the Commitments and the funding of the Loans on the Closing Date, and notwithstanding (a) that any representation contained herein or made pursuant hereto (excluding, for the avoidance of doubt, the Specified Representations and Merger Agreement Representations) shall have been incorrect, (b) any failure by any Loan Party to comply with the covenants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hereof, (c) any provision to the contrary in the Loan Documents, or (d) that any condition (other than any conditions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shall subsequently be determined not have been satisfied, neither the Administrative Agent nor any Lender shall be entitled to (i) cancel any of the Commitments, (ii) rescind, terminate or cancel the Loan Documents or any of its Commitments thereunder, or exercise any right or remedy under the Loan Documents to the extent that to do so would prevent, limit or delay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71" w:name="page72"/>
    <w:bookmarkEnd w:id="71"/>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making of the Loans on the Closing Date, (iii) refuse to make any Loan on the Closing Date or (iv) exercise any right of set-off or counterclaim in respect of any Loan to the extent that to do so would prevent, limit or delay the making of any Loan on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conditions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satisfied. For the avoidance of doubt, (a) the rights and remedies of the Lenders and the Administrative Agent shall not be limited in the event that any condition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shall not be satisfied on the Closing Date and (b) after giving effect to the funding of the Loans on the Closing Date, subject to </w:t>
      </w:r>
      <w:r>
        <w:rPr>
          <w:rFonts w:ascii="Arial" w:cs="Arial" w:eastAsia="Arial" w:hAnsi="Arial"/>
          <w:sz w:val="17"/>
          <w:szCs w:val="17"/>
          <w:u w:val="single" w:color="auto"/>
          <w:color w:val="auto"/>
        </w:rPr>
        <w:t>Section 8.01</w:t>
      </w:r>
      <w:r>
        <w:rPr>
          <w:rFonts w:ascii="Arial" w:cs="Arial" w:eastAsia="Arial" w:hAnsi="Arial"/>
          <w:sz w:val="17"/>
          <w:szCs w:val="17"/>
          <w:color w:val="auto"/>
        </w:rPr>
        <w:t>, all the rights, remedies and entitlements of the Administrative Agent and the Lenders shall be available and may be exercised by them notwithstanding that such rights were not available prior to such time as a result of the provisions of this paragraph.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Application of Funds.</w:t>
      </w:r>
    </w:p>
    <w:p>
      <w:pPr>
        <w:spacing w:after="0" w:line="117"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 xml:space="preserve">After the exercise of remedies provided for in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after the Loans have automatically become immediately due and payable as set forth in the proviso to </w:t>
      </w:r>
      <w:r>
        <w:rPr>
          <w:rFonts w:ascii="Arial" w:cs="Arial" w:eastAsia="Arial" w:hAnsi="Arial"/>
          <w:sz w:val="16"/>
          <w:szCs w:val="16"/>
          <w:u w:val="single" w:color="auto"/>
          <w:color w:val="auto"/>
        </w:rPr>
        <w:t>Section 8.02</w:t>
      </w:r>
      <w:r>
        <w:rPr>
          <w:rFonts w:ascii="Arial" w:cs="Arial" w:eastAsia="Arial" w:hAnsi="Arial"/>
          <w:sz w:val="16"/>
          <w:szCs w:val="16"/>
          <w:color w:val="auto"/>
        </w:rPr>
        <w:t>), any amounts received on account of the Obligations shall be applied by the Administrative Agent in the following order:</w:t>
      </w:r>
    </w:p>
    <w:p>
      <w:pPr>
        <w:spacing w:after="0" w:line="124"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payable to the Administrative Agent in its capacity as such;</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and interest) payable to the Lenders (including fees, charges and disbursements of counsel to the respective Lenders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interest on the Loans and other Obligations, ratably among the Lenders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70"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ratably among the Lenders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xml:space="preserve"> the balance, if any, after all of the Obligations have been indefeasibly paid in full, to ADI or as otherwise required by Law.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Appointment and Authority.</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Each of the Lenders hereby irrevocably appoints JPMCB to act on its behalf as the Administrative Agent hereunder and under the other Loan Documents and authorizes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72" w:name="page73"/>
    <w:bookmarkEnd w:id="72"/>
    <w:p>
      <w:pPr>
        <w:jc w:val="both"/>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Administrative Agent to take such actions (including, for the avoidance of doubt, the entry into any Assumption, Release and Guarantee Agreement in compliance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the Loan Parties shall not have rights as third party beneficiaries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Rights as a Lender.</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 Loan Party or any Subsidiary or other Affiliate thereof as if such Person were not the Administrative Agent hereunder and without any duty to account therefor to the Lenders.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Exculpatory Provisions.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62" w:lineRule="exact"/>
        <w:rPr>
          <w:sz w:val="20"/>
          <w:szCs w:val="20"/>
          <w:color w:val="auto"/>
        </w:rPr>
      </w:pPr>
    </w:p>
    <w:p>
      <w:pPr>
        <w:ind w:left="1140" w:hanging="237"/>
        <w:spacing w:after="0"/>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17" w:lineRule="exact"/>
        <w:rPr>
          <w:rFonts w:ascii="Arial" w:cs="Arial" w:eastAsia="Arial" w:hAnsi="Arial"/>
          <w:sz w:val="18"/>
          <w:szCs w:val="18"/>
          <w:color w:val="auto"/>
        </w:rPr>
      </w:pPr>
    </w:p>
    <w:p>
      <w:pPr>
        <w:jc w:val="both"/>
        <w:ind w:left="460" w:firstLine="443"/>
        <w:spacing w:after="0" w:line="272" w:lineRule="auto"/>
        <w:tabs>
          <w:tab w:leader="none" w:pos="1153"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or the other documents executed or delivered in connection therewith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w:t>
      </w:r>
    </w:p>
    <w:p>
      <w:pPr>
        <w:spacing w:after="0" w:line="69" w:lineRule="exact"/>
        <w:rPr>
          <w:rFonts w:ascii="Arial" w:cs="Arial" w:eastAsia="Arial" w:hAnsi="Arial"/>
          <w:sz w:val="17"/>
          <w:szCs w:val="17"/>
          <w:color w:val="auto"/>
        </w:rPr>
      </w:pPr>
    </w:p>
    <w:p>
      <w:pPr>
        <w:ind w:left="460" w:firstLine="443"/>
        <w:spacing w:after="0" w:line="277" w:lineRule="auto"/>
        <w:tabs>
          <w:tab w:leader="none" w:pos="11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73" w:name="page74"/>
    <w:bookmarkEnd w:id="73"/>
    <w:p>
      <w:pPr>
        <w:ind w:left="46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information relating to any Loan Party or any of its Affiliates that is communicated to or obtained by the Person serving as the Administrative Agent or any of its Affiliates in any capacity.</w:t>
      </w:r>
    </w:p>
    <w:p>
      <w:pPr>
        <w:spacing w:after="0" w:line="170"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 xml:space="preserve">The Administrative Agent shall not be liable to any Lender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6"/>
          <w:szCs w:val="16"/>
          <w:u w:val="single" w:color="auto"/>
          <w:color w:val="auto"/>
        </w:rPr>
        <w:t>Sections 10.01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8.02</w:t>
      </w:r>
      <w:r>
        <w:rPr>
          <w:rFonts w:ascii="Arial" w:cs="Arial" w:eastAsia="Arial" w:hAnsi="Arial"/>
          <w:sz w:val="16"/>
          <w:szCs w:val="16"/>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a Loan Party or a Lender.</w:t>
      </w:r>
    </w:p>
    <w:p>
      <w:pPr>
        <w:spacing w:after="0" w:line="158"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u w:val="single" w:color="auto"/>
          <w:color w:val="auto"/>
        </w:rPr>
        <w:t>Reliance by Administrative Agent.</w:t>
      </w:r>
    </w:p>
    <w:p>
      <w:pPr>
        <w:spacing w:after="0" w:line="11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Delegation of Duties.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Administrative Agent may perform any and all of its duties and exercise its rights and powers hereunder or under any other Loan Document or the other documents executed or delivered in connection therewith by or through any one or more sub-agents appointed by the Administrative Agent. The Administrative Agent and any such sub-agent may perform any and all of its duties and exercise its rights and powers by or through their respective Related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74" w:name="page75"/>
    <w:bookmarkEnd w:id="74"/>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exculpatory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9.06. </w:t>
      </w:r>
      <w:r>
        <w:rPr>
          <w:rFonts w:ascii="Arial" w:cs="Arial" w:eastAsia="Arial" w:hAnsi="Arial"/>
          <w:sz w:val="18"/>
          <w:szCs w:val="18"/>
          <w:u w:val="single" w:color="auto"/>
          <w:color w:val="auto"/>
        </w:rPr>
        <w:t>Resignation of Administrative Agent.</w:t>
      </w:r>
    </w:p>
    <w:p>
      <w:pPr>
        <w:spacing w:after="0" w:line="117" w:lineRule="exact"/>
        <w:rPr>
          <w:sz w:val="20"/>
          <w:szCs w:val="20"/>
          <w:color w:val="auto"/>
        </w:rPr>
      </w:pPr>
    </w:p>
    <w:p>
      <w:pPr>
        <w:jc w:val="both"/>
        <w:ind w:firstLine="464"/>
        <w:spacing w:after="0" w:line="253" w:lineRule="auto"/>
        <w:tabs>
          <w:tab w:leader="none" w:pos="70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Administrative Agent may at any time give notice of its resignation to the Lenders and ADI. Upon receipt of any such notice of resignation, the Required Lenders shall have the right (with the consent of ADI, not to be unreasonably withheld), to appoint a successor, which shall be a bank with an office in the United States, or an Affiliate of any such bank with an office in the United States. If no such successor shall have been appointed by the Required Lenders and shall have accepted such appointment within 30 days after the retiring Administrative Agent gives notice of its resignation (or such earlier day as shall be agreed by the Required Lenders and ADI)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then the retiring Administrative Agent may (but shall not be obligated to) on behalf of the Lenders, appoint a successor Administrative Agent meeting the qualifications set forth above (with the consent of ADI, not to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Administrative Agent shall notify ADI and the Lenders that no qualifying Person has accepted such appointment, then, whether or not a successor has been appointed, such resignation shall become effective in accordance with such notice on the Resignation Effective Date.</w:t>
      </w:r>
    </w:p>
    <w:p>
      <w:pPr>
        <w:spacing w:after="0" w:line="197" w:lineRule="exact"/>
        <w:rPr>
          <w:rFonts w:ascii="Arial" w:cs="Arial" w:eastAsia="Arial" w:hAnsi="Arial"/>
          <w:sz w:val="18"/>
          <w:szCs w:val="18"/>
          <w:color w:val="auto"/>
        </w:rPr>
      </w:pPr>
    </w:p>
    <w:p>
      <w:pPr>
        <w:jc w:val="both"/>
        <w:ind w:firstLine="464"/>
        <w:spacing w:after="0" w:line="257" w:lineRule="auto"/>
        <w:tabs>
          <w:tab w:leader="none" w:pos="718"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If the Person serving as Administrative Agent is a Defaulting Lender pursuant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thereof, the Required Lenders may, to the extent permitted by applicable Law, by notice in writing to ADI and such Person, remove such Person as the Administrative Agent and, in consultation with ADI, appoint a successor. If no such successor shall have been appointed by the Required Lenders and shall have accepted such appointment within 30 days (or such earlier day as shall be agreed by the Required Lenders and ADI)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88" w:lineRule="exact"/>
        <w:rPr>
          <w:rFonts w:ascii="Arial" w:cs="Arial" w:eastAsia="Arial" w:hAnsi="Arial"/>
          <w:sz w:val="18"/>
          <w:szCs w:val="18"/>
          <w:color w:val="auto"/>
        </w:rPr>
      </w:pPr>
    </w:p>
    <w:p>
      <w:pPr>
        <w:jc w:val="both"/>
        <w:ind w:firstLine="464"/>
        <w:spacing w:after="0" w:line="290" w:lineRule="auto"/>
        <w:tabs>
          <w:tab w:leader="none" w:pos="717"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3.01(g)</w:t>
      </w:r>
      <w:r>
        <w:rPr>
          <w:rFonts w:ascii="Arial" w:cs="Arial" w:eastAsia="Arial" w:hAnsi="Arial"/>
          <w:sz w:val="16"/>
          <w:szCs w:val="16"/>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75" w:name="page76"/>
    <w:bookmarkEnd w:id="75"/>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duties and obligations hereunder or under the other Loan Documents (if not already discharged therefrom as provided above in this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The fees payable by ADI to a successor Administrative Agent shall be the same as those payable to its predecessor unless otherwise agreed between ADI and such successor. After the retiring or removed Administrative Agent’s resignation or removal hereunder and under the other Loan Documents,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Administrative Agent was acting as Administrative Agent.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9.07. </w:t>
      </w:r>
      <w:r>
        <w:rPr>
          <w:rFonts w:ascii="Arial" w:cs="Arial" w:eastAsia="Arial" w:hAnsi="Arial"/>
          <w:sz w:val="18"/>
          <w:szCs w:val="18"/>
          <w:u w:val="single" w:color="auto"/>
          <w:color w:val="auto"/>
        </w:rPr>
        <w:t>Non-Reliance on Administrative Agent and Other Lenders.</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9.08. </w:t>
      </w:r>
      <w:r>
        <w:rPr>
          <w:rFonts w:ascii="Arial" w:cs="Arial" w:eastAsia="Arial" w:hAnsi="Arial"/>
          <w:sz w:val="18"/>
          <w:szCs w:val="18"/>
          <w:u w:val="single" w:color="auto"/>
          <w:color w:val="auto"/>
        </w:rPr>
        <w:t>No Other Duties, Etc.</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Anything herein to the contrary notwithstanding, none of the arrangers, bookrunners, syndication agents or documentation agents named on the cover page of this Agreement shall have any powers, duties or responsibilities under this Agreement or any of the other Loan Documents, except in its capacity, as applicable, as the Administrative Agent or a Lender 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Administrative Agent May File Proofs of Claim.</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case of the pendency of any proceeding under any Debtor Relief Law or any other judicial proceeding relative to a Loan Party, the Administrative Agent (irrespective of whether the principal of any Loan shall then be due and payable as herein expressed or by declaration or otherwise and irrespective of whether the Administrative Agent shall have made any demand on a Loan Party) shall be entitled and empowered, by intervention in such proceeding or otherwise:</w:t>
      </w:r>
    </w:p>
    <w:p>
      <w:pPr>
        <w:spacing w:after="0" w:line="79" w:lineRule="exact"/>
        <w:rPr>
          <w:sz w:val="20"/>
          <w:szCs w:val="20"/>
          <w:color w:val="auto"/>
        </w:rPr>
      </w:pPr>
    </w:p>
    <w:p>
      <w:pPr>
        <w:jc w:val="both"/>
        <w:ind w:left="460" w:firstLine="443"/>
        <w:spacing w:after="0" w:line="257" w:lineRule="auto"/>
        <w:tabs>
          <w:tab w:leader="none" w:pos="114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 2.07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 allowed in such judicial proceeding; and</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76" w:name="page77"/>
    <w:bookmarkEnd w:id="76"/>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7"/>
          <w:szCs w:val="17"/>
          <w:u w:val="single" w:color="auto"/>
          <w:color w:val="auto"/>
        </w:rPr>
        <w:t>Sections 2.07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10.04</w:t>
      </w:r>
      <w:r>
        <w:rPr>
          <w:rFonts w:ascii="Arial" w:cs="Arial" w:eastAsia="Arial" w:hAnsi="Arial"/>
          <w:sz w:val="17"/>
          <w:szCs w:val="17"/>
          <w:color w:val="auto"/>
        </w:rPr>
        <w:t>.</w:t>
      </w:r>
    </w:p>
    <w:p>
      <w:pPr>
        <w:spacing w:after="0" w:line="17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Amendments, Etc.</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No amendment or waiver of any provision of this Agreement or any other Loan Document, and no consent to any departure by ADI or any other Loan Party therefrom, shall be effective unless in writing signed by the Required Lenders and ADI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waiver or consent shall:</w:t>
      </w:r>
    </w:p>
    <w:p>
      <w:pPr>
        <w:spacing w:after="0" w:line="79" w:lineRule="exact"/>
        <w:rPr>
          <w:sz w:val="20"/>
          <w:szCs w:val="20"/>
          <w:color w:val="auto"/>
        </w:rPr>
      </w:pPr>
    </w:p>
    <w:p>
      <w:pPr>
        <w:ind w:left="460" w:firstLine="443"/>
        <w:spacing w:after="0" w:line="277" w:lineRule="auto"/>
        <w:tabs>
          <w:tab w:leader="none" w:pos="1156"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extend or increase the Commitment of any Lender without the written consent of such Lender whose Commitment is being extended or increased;</w:t>
      </w:r>
    </w:p>
    <w:p>
      <w:pPr>
        <w:spacing w:after="0" w:line="62" w:lineRule="exact"/>
        <w:rPr>
          <w:rFonts w:ascii="Arial" w:cs="Arial" w:eastAsia="Arial" w:hAnsi="Arial"/>
          <w:sz w:val="18"/>
          <w:szCs w:val="18"/>
          <w:color w:val="auto"/>
        </w:rPr>
      </w:pPr>
    </w:p>
    <w:p>
      <w:pPr>
        <w:ind w:left="920" w:firstLine="421"/>
        <w:spacing w:after="0" w:line="277" w:lineRule="auto"/>
        <w:tabs>
          <w:tab w:leader="none" w:pos="1615" w:val="left"/>
        </w:tabs>
        <w:numPr>
          <w:ilvl w:val="1"/>
          <w:numId w:val="83"/>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of principal, interest, fees or other amounts due to the Lenders (or any of them) without the written consent of each Lender entitled to receive such payment;</w:t>
      </w:r>
    </w:p>
    <w:p>
      <w:pPr>
        <w:spacing w:after="0" w:line="62" w:lineRule="exact"/>
        <w:rPr>
          <w:rFonts w:ascii="Arial" w:cs="Arial" w:eastAsia="Arial" w:hAnsi="Arial"/>
          <w:sz w:val="18"/>
          <w:szCs w:val="18"/>
          <w:color w:val="auto"/>
        </w:rPr>
      </w:pPr>
    </w:p>
    <w:p>
      <w:pPr>
        <w:jc w:val="both"/>
        <w:ind w:left="920" w:firstLine="421"/>
        <w:spacing w:after="0" w:line="259" w:lineRule="auto"/>
        <w:tabs>
          <w:tab w:leader="none" w:pos="1665"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any fees or other amounts payable hereunder or under any other Loan Document without the written consent of each Lender entitled to receive such payment of principal, interest, fees or other amounts;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 the consent of the Required Lenders shall be necessary to amend the definition of “Default Rate” or to waive any obligation of the Borrower to pay interest at the Default Rate;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77" w:name="page78"/>
    <w:bookmarkEnd w:id="77"/>
    <w:p>
      <w:pPr>
        <w:ind w:left="920" w:firstLine="421"/>
        <w:spacing w:after="0" w:line="277" w:lineRule="auto"/>
        <w:tabs>
          <w:tab w:leader="none" w:pos="1645" w:val="left"/>
        </w:tabs>
        <w:numPr>
          <w:ilvl w:val="1"/>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change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pro rata sharing of payments required thereby without the written consent of each Lender;</w:t>
      </w:r>
    </w:p>
    <w:p>
      <w:pPr>
        <w:spacing w:after="0" w:line="62" w:lineRule="exact"/>
        <w:rPr>
          <w:rFonts w:ascii="Arial" w:cs="Arial" w:eastAsia="Arial" w:hAnsi="Arial"/>
          <w:sz w:val="18"/>
          <w:szCs w:val="18"/>
          <w:color w:val="auto"/>
        </w:rPr>
      </w:pPr>
    </w:p>
    <w:p>
      <w:pPr>
        <w:jc w:val="both"/>
        <w:ind w:left="920" w:firstLine="421"/>
        <w:spacing w:after="0" w:line="264" w:lineRule="auto"/>
        <w:tabs>
          <w:tab w:leader="none" w:pos="1597"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change any provision of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release the Guarantor from its Guarantee without the written consent of each Lender; or</w:t>
      </w:r>
    </w:p>
    <w:p>
      <w:pPr>
        <w:spacing w:after="0" w:line="117" w:lineRule="exact"/>
        <w:rPr>
          <w:rFonts w:ascii="Arial" w:cs="Arial" w:eastAsia="Arial" w:hAnsi="Arial"/>
          <w:sz w:val="18"/>
          <w:szCs w:val="18"/>
          <w:color w:val="auto"/>
        </w:rPr>
      </w:pPr>
    </w:p>
    <w:p>
      <w:pPr>
        <w:ind w:left="920" w:firstLine="421"/>
        <w:spacing w:after="0" w:line="277" w:lineRule="auto"/>
        <w:tabs>
          <w:tab w:leader="none" w:pos="1713"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change (A) any provision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without the written consent of each Lender or (B) clause (ii) of the last proviso of Section 7.03 without the written consent of each Lender; or</w:t>
      </w:r>
    </w:p>
    <w:p>
      <w:pPr>
        <w:spacing w:after="0" w:line="62" w:lineRule="exact"/>
        <w:rPr>
          <w:rFonts w:ascii="Arial" w:cs="Arial" w:eastAsia="Arial" w:hAnsi="Arial"/>
          <w:sz w:val="18"/>
          <w:szCs w:val="18"/>
          <w:color w:val="auto"/>
        </w:rPr>
      </w:pPr>
    </w:p>
    <w:p>
      <w:pPr>
        <w:ind w:left="460" w:firstLine="443"/>
        <w:spacing w:after="0" w:line="277" w:lineRule="auto"/>
        <w:tabs>
          <w:tab w:leader="none" w:pos="117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unless also signed by the Administrative Agent, affect the rights or duties of the Administrative Agent under this Agreement or any other Loan Document;</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to the contrary herein, (i) the Bridge Commitment Letter and the Fee Letters may be amended, or rights or privileges thereunder waived, in a writing executed only by the parties thereto, (ii)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 and (iii)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Notices; Effectiveness; Electronic Communication.</w:t>
      </w:r>
    </w:p>
    <w:p>
      <w:pPr>
        <w:spacing w:after="0" w:line="117" w:lineRule="exact"/>
        <w:rPr>
          <w:sz w:val="20"/>
          <w:szCs w:val="20"/>
          <w:color w:val="auto"/>
        </w:rPr>
      </w:pPr>
    </w:p>
    <w:p>
      <w:pPr>
        <w:jc w:val="both"/>
        <w:ind w:firstLine="464"/>
        <w:spacing w:after="0" w:line="259" w:lineRule="auto"/>
        <w:tabs>
          <w:tab w:leader="none" w:pos="701"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xml:space="preserve"> Except in the case of notices and other communications expressly permitted to be given by telephone (and except as provided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78" w:lineRule="exact"/>
        <w:rPr>
          <w:rFonts w:ascii="Arial" w:cs="Arial" w:eastAsia="Arial" w:hAnsi="Arial"/>
          <w:sz w:val="18"/>
          <w:szCs w:val="18"/>
          <w:color w:val="auto"/>
        </w:rPr>
      </w:pPr>
    </w:p>
    <w:p>
      <w:pPr>
        <w:ind w:left="460" w:right="20" w:firstLine="443"/>
        <w:spacing w:after="0" w:line="277" w:lineRule="auto"/>
        <w:tabs>
          <w:tab w:leader="none" w:pos="1127"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if to a Loan Party or the Administrative Agent, to the address, facsimile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5620" w:right="80" w:hanging="4717"/>
        <w:spacing w:after="0" w:line="449" w:lineRule="auto"/>
        <w:tabs>
          <w:tab w:leader="none" w:pos="1164" w:val="left"/>
        </w:tabs>
        <w:numPr>
          <w:ilvl w:val="1"/>
          <w:numId w:val="86"/>
        </w:numPr>
        <w:rPr>
          <w:rFonts w:ascii="Arial" w:cs="Arial" w:eastAsia="Arial" w:hAnsi="Arial"/>
          <w:sz w:val="18"/>
          <w:szCs w:val="18"/>
          <w:color w:val="auto"/>
        </w:rPr>
      </w:pPr>
      <w:r>
        <w:rPr>
          <w:rFonts w:ascii="Arial" w:cs="Arial" w:eastAsia="Arial" w:hAnsi="Arial"/>
          <w:sz w:val="18"/>
          <w:szCs w:val="18"/>
          <w:color w:val="auto"/>
        </w:rPr>
        <w:t>if to any Lender, to the address, facsimile number, electronic mail address or telephone number specified in its Administrative Questionnaire. 66</w:t>
      </w:r>
    </w:p>
    <w:p>
      <w:pPr>
        <w:sectPr>
          <w:pgSz w:w="11900" w:h="16838" w:orient="portrait"/>
          <w:cols w:equalWidth="0" w:num="1">
            <w:col w:w="11420"/>
          </w:cols>
          <w:pgMar w:left="240" w:top="274" w:right="239" w:bottom="1440" w:gutter="0" w:footer="0" w:header="0"/>
        </w:sectPr>
      </w:pPr>
    </w:p>
    <w:bookmarkStart w:id="78" w:name="page79"/>
    <w:bookmarkEnd w:id="78"/>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such notices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clause (b)</w:t>
      </w:r>
      <w:r>
        <w:rPr>
          <w:rFonts w:ascii="Arial" w:cs="Arial" w:eastAsia="Arial" w:hAnsi="Arial"/>
          <w:sz w:val="18"/>
          <w:szCs w:val="18"/>
          <w:color w:val="auto"/>
        </w:rPr>
        <w:t>.</w:t>
      </w:r>
    </w:p>
    <w:p>
      <w:pPr>
        <w:spacing w:after="0" w:line="188" w:lineRule="exact"/>
        <w:rPr>
          <w:sz w:val="20"/>
          <w:szCs w:val="20"/>
          <w:color w:val="auto"/>
        </w:rPr>
      </w:pPr>
    </w:p>
    <w:p>
      <w:pPr>
        <w:jc w:val="both"/>
        <w:ind w:firstLine="464"/>
        <w:spacing w:after="0" w:line="255" w:lineRule="auto"/>
        <w:tabs>
          <w:tab w:leader="none" w:pos="76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as applicable, has notified the Administrative Agent that it is incapable of receiving notices under such Article by electronic communication. The Administrative Agent or a Loan Party may each,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3"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notification that such notice or communication is available and identifying the website address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w:t>
      </w:r>
    </w:p>
    <w:p>
      <w:pPr>
        <w:spacing w:after="0" w:line="165" w:lineRule="exact"/>
        <w:rPr>
          <w:sz w:val="20"/>
          <w:szCs w:val="20"/>
          <w:color w:val="auto"/>
        </w:rPr>
      </w:pPr>
    </w:p>
    <w:p>
      <w:pPr>
        <w:jc w:val="both"/>
        <w:ind w:firstLine="464"/>
        <w:spacing w:after="0" w:line="270" w:lineRule="auto"/>
        <w:tabs>
          <w:tab w:leader="none" w:pos="701"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xml:space="preserve">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have any liability to the Borrower, any Lender or any other Person for losses, claims, damages, liabilities or expenses of any kind (whether in tort, contract or otherwise) arising out of a Loan Party’s or the Administrative Agent’s transmission of Borrower Materials through the Internet, except to the extent that such losses, claims, damages, liabilities or expenses are determined by a court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79" w:name="page80"/>
    <w:bookmarkEnd w:id="79"/>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competent jurisdiction by a final and nonappealable judgment to have resulted from the gross negligence or willful misconduct of such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Agent Party have any liability to the Borrower, any Lender or any other Person for indirect, special, incidental, consequential or punitive damages (as opposed to direct or actual damages).</w:t>
      </w:r>
    </w:p>
    <w:p>
      <w:pPr>
        <w:spacing w:after="0" w:line="181" w:lineRule="exact"/>
        <w:rPr>
          <w:sz w:val="20"/>
          <w:szCs w:val="20"/>
          <w:color w:val="auto"/>
        </w:rPr>
      </w:pPr>
    </w:p>
    <w:p>
      <w:pPr>
        <w:jc w:val="both"/>
        <w:ind w:firstLine="464"/>
        <w:spacing w:after="0" w:line="270" w:lineRule="auto"/>
        <w:tabs>
          <w:tab w:leader="none" w:pos="72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xml:space="preserve"> Each Loan Party and the Administrative Agent may change its address, facsimile or telephone number for notices and other communications hereunder by notice to the other parties hereto. Each other Lender may change its address, facsimile or telephone number for notices and other communications hereunder by notice to ADI and the Administrative Agent. In addition, each Lender agrees to notify the Administrative Agent from time to time as required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ADI or its securities for purposes of United States federal or state securities laws.</w:t>
      </w:r>
    </w:p>
    <w:p>
      <w:pPr>
        <w:spacing w:after="0" w:line="177" w:lineRule="exact"/>
        <w:rPr>
          <w:rFonts w:ascii="Arial" w:cs="Arial" w:eastAsia="Arial" w:hAnsi="Arial"/>
          <w:sz w:val="17"/>
          <w:szCs w:val="17"/>
          <w:color w:val="auto"/>
        </w:rPr>
      </w:pPr>
    </w:p>
    <w:p>
      <w:pPr>
        <w:jc w:val="both"/>
        <w:ind w:firstLine="464"/>
        <w:spacing w:after="0" w:line="255" w:lineRule="auto"/>
        <w:tabs>
          <w:tab w:leader="none" w:pos="72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and Lenders.</w:t>
      </w:r>
      <w:r>
        <w:rPr>
          <w:rFonts w:ascii="Arial" w:cs="Arial" w:eastAsia="Arial" w:hAnsi="Arial"/>
          <w:sz w:val="18"/>
          <w:szCs w:val="18"/>
          <w:color w:val="auto"/>
        </w:rPr>
        <w:t xml:space="preserve"> The Administrative Agent and the Lenders shall be entitled to rely and act upon any notices (including telephonic or electronic Loan Notices)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ADI shall indemnify the Administrative Agent, each Lender and the Related Parties of each of them from all losses, costs, expenses and liabilities resulting from the reliance by such Person on each notice purportedly given by or on behalf of any Loan Party. All telephonic notices to and other telephonic communications with the Administrative Agent may be recorded by the Administrative Agent, and each of the parties hereto hereby consents to such recording.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No Waiver; Cumulative Remedies; Enforcement.</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provided hereunder and under each other Loan Document are cumulative and not exclusive of any rights, remedies, powers and privileges provided by law.</w:t>
      </w:r>
    </w:p>
    <w:p>
      <w:pPr>
        <w:spacing w:after="0" w:line="18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Notwithstanding anything to the contrary contained herein or in any other Loan Document, the authority to enforce rights and remedies hereunder and under the other Loan Documents against the Loan Parties shall be vested exclusively in, and all actions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80" w:name="page81"/>
    <w:bookmarkEnd w:id="80"/>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prohibit (a) the Administrative Agent from exercising on its own behalf the rights and remedies that inure to its benefit (solely in its capacity as Administrative Agent) hereunder and under the other Loan Documents,</w:t>
      </w:r>
    </w:p>
    <w:p>
      <w:pPr>
        <w:jc w:val="both"/>
        <w:ind w:firstLine="8"/>
        <w:spacing w:after="0" w:line="281" w:lineRule="auto"/>
        <w:tabs>
          <w:tab w:leader="none" w:pos="263"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any Lender from exercising setoff rights in accordance with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(c)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(ii) in addition to the matters set forth in </w:t>
      </w:r>
      <w:r>
        <w:rPr>
          <w:rFonts w:ascii="Arial" w:cs="Arial" w:eastAsia="Arial" w:hAnsi="Arial"/>
          <w:sz w:val="16"/>
          <w:szCs w:val="16"/>
          <w:u w:val="single" w:color="auto"/>
          <w:color w:val="auto"/>
        </w:rPr>
        <w:t>clauses</w:t>
      </w:r>
    </w:p>
    <w:p>
      <w:pPr>
        <w:spacing w:after="0" w:line="2" w:lineRule="exact"/>
        <w:rPr>
          <w:rFonts w:ascii="Arial" w:cs="Arial" w:eastAsia="Arial" w:hAnsi="Arial"/>
          <w:sz w:val="16"/>
          <w:szCs w:val="16"/>
          <w:color w:val="auto"/>
        </w:rPr>
      </w:pPr>
    </w:p>
    <w:p>
      <w:pPr>
        <w:ind w:right="20" w:firstLine="8"/>
        <w:spacing w:after="0" w:line="261" w:lineRule="auto"/>
        <w:tabs>
          <w:tab w:leader="none" w:pos="255" w:val="left"/>
        </w:tabs>
        <w:numPr>
          <w:ilvl w:val="0"/>
          <w:numId w:val="91"/>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the preceding proviso and subject to </w:t>
      </w:r>
      <w:r>
        <w:rPr>
          <w:rFonts w:ascii="Arial" w:cs="Arial" w:eastAsia="Arial" w:hAnsi="Arial"/>
          <w:sz w:val="18"/>
          <w:szCs w:val="18"/>
          <w:u w:val="single" w:color="auto"/>
          <w:color w:val="auto"/>
        </w:rPr>
        <w:t>Section 2.11</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u w:val="single" w:color="auto"/>
          <w:color w:val="auto"/>
        </w:rPr>
        <w:t>Expenses; Indemnity; Damage Waiver.</w:t>
      </w:r>
    </w:p>
    <w:p>
      <w:pPr>
        <w:spacing w:after="0" w:line="117" w:lineRule="exact"/>
        <w:rPr>
          <w:sz w:val="20"/>
          <w:szCs w:val="20"/>
          <w:color w:val="auto"/>
        </w:rPr>
      </w:pPr>
    </w:p>
    <w:p>
      <w:pPr>
        <w:jc w:val="both"/>
        <w:ind w:firstLine="464"/>
        <w:spacing w:after="0" w:line="286" w:lineRule="auto"/>
        <w:tabs>
          <w:tab w:leader="none" w:pos="701"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xml:space="preserve"> ADI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w:t>
      </w:r>
    </w:p>
    <w:p>
      <w:pPr>
        <w:spacing w:after="0" w:line="1" w:lineRule="exact"/>
        <w:rPr>
          <w:rFonts w:ascii="Arial" w:cs="Arial" w:eastAsia="Arial" w:hAnsi="Arial"/>
          <w:sz w:val="16"/>
          <w:szCs w:val="16"/>
          <w:color w:val="auto"/>
        </w:rPr>
      </w:pPr>
    </w:p>
    <w:p>
      <w:pPr>
        <w:jc w:val="both"/>
        <w:ind w:firstLine="8"/>
        <w:spacing w:after="0" w:line="253" w:lineRule="auto"/>
        <w:tabs>
          <w:tab w:leader="none" w:pos="278"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after and during the continuation of an Event of Default, all out-of-pocket expenses incurred by the Administrative Agent or any Lender in connection with the enforcement or protection of its rights (A) in connection with this Agreement and the other Loan Documents, including its rights under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or (B) in connection with the Loans made hereunder, including all such out-of-pocket expenses incurred during any workout, restructuring or negotiations in respect of such Loans (including, with respect to </w:t>
      </w:r>
      <w:r>
        <w:rPr>
          <w:rFonts w:ascii="Arial" w:cs="Arial" w:eastAsia="Arial" w:hAnsi="Arial"/>
          <w:sz w:val="18"/>
          <w:szCs w:val="18"/>
          <w:u w:val="single" w:color="auto"/>
          <w:color w:val="auto"/>
        </w:rPr>
        <w:t>clause (ii)</w:t>
      </w:r>
      <w:r>
        <w:rPr>
          <w:rFonts w:ascii="Arial" w:cs="Arial" w:eastAsia="Arial" w:hAnsi="Arial"/>
          <w:sz w:val="18"/>
          <w:szCs w:val="18"/>
          <w:color w:val="auto"/>
        </w:rPr>
        <w:t>, the reasonable fees, charges and disbursements of any counsel for the Administrative Agent or any Lender).</w:t>
      </w:r>
    </w:p>
    <w:p>
      <w:pPr>
        <w:spacing w:after="0" w:line="191" w:lineRule="exact"/>
        <w:rPr>
          <w:rFonts w:ascii="Arial" w:cs="Arial" w:eastAsia="Arial" w:hAnsi="Arial"/>
          <w:sz w:val="18"/>
          <w:szCs w:val="18"/>
          <w:color w:val="auto"/>
        </w:rPr>
      </w:pPr>
    </w:p>
    <w:p>
      <w:pPr>
        <w:jc w:val="both"/>
        <w:ind w:firstLine="464"/>
        <w:spacing w:after="0" w:line="253" w:lineRule="auto"/>
        <w:tabs>
          <w:tab w:leader="none" w:pos="711"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Indemnification by ADI.</w:t>
      </w:r>
      <w:r>
        <w:rPr>
          <w:rFonts w:ascii="Arial" w:cs="Arial" w:eastAsia="Arial" w:hAnsi="Arial"/>
          <w:sz w:val="18"/>
          <w:szCs w:val="18"/>
          <w:color w:val="auto"/>
        </w:rPr>
        <w:t xml:space="preserve"> ADI shall indemnify the Administrative Agent (and any sub-agent thereof) and each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ADI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(ii) any Loan or the use or proposed use of the proceeds therefrom, (iii) any actual or alleged presence or release of Hazardous Materials on or from any property owned or operated by ADI or any of its Subsidiaries, or any Environmental Liability related in any way to ADI or any of its Subsidiaries, or (iv) any actual or prospective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81" w:name="page82"/>
    <w:bookmarkEnd w:id="81"/>
    <w:p>
      <w:pPr>
        <w:jc w:val="both"/>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claim, litigation, investigation or proceeding relating to any of the foregoing, whether based on contract, tort or any other theory, whether brought by a third party or by ADI or any other Loan Party,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ADI or any other Loan Party against an Indemnitee for material breach in bad faith of such Indemnitee’s obligations hereunder or under any other Loan Document, if ADI or such Loan Party has obtained a final and nonappealable judgment in its favor on such claim as determined by a court of competent jurisdiction, or (z) arise out of, or in connection with, any investigation, litigation, proceeding or claim that does not involve an act or omission by ADI or any of its Affiliates and that is brought by an Indemnitee against any other Indemnitee (other than claims against any Indemnitee in its capacity as an agent or Arranger in respect of this Agreement). Without limiting the provisions of </w:t>
      </w:r>
      <w:r>
        <w:rPr>
          <w:rFonts w:ascii="Arial" w:cs="Arial" w:eastAsia="Arial" w:hAnsi="Arial"/>
          <w:sz w:val="17"/>
          <w:szCs w:val="17"/>
          <w:u w:val="single" w:color="auto"/>
          <w:color w:val="auto"/>
        </w:rPr>
        <w:t>Section 3.01(c)</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10.04(b)</w:t>
      </w:r>
      <w:r>
        <w:rPr>
          <w:rFonts w:ascii="Arial" w:cs="Arial" w:eastAsia="Arial" w:hAnsi="Arial"/>
          <w:sz w:val="17"/>
          <w:szCs w:val="17"/>
          <w:color w:val="auto"/>
        </w:rPr>
        <w:t xml:space="preserve"> shall not apply with respect to Taxes other than any Taxes that represent losses, claims, damages or liabilities arising from any non-Tax claim.</w:t>
      </w:r>
    </w:p>
    <w:p>
      <w:pPr>
        <w:spacing w:after="0" w:line="178" w:lineRule="exact"/>
        <w:rPr>
          <w:sz w:val="20"/>
          <w:szCs w:val="20"/>
          <w:color w:val="auto"/>
        </w:rPr>
      </w:pPr>
    </w:p>
    <w:p>
      <w:pPr>
        <w:jc w:val="both"/>
        <w:ind w:firstLine="464"/>
        <w:spacing w:after="0" w:line="290" w:lineRule="auto"/>
        <w:tabs>
          <w:tab w:leader="none" w:pos="715"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ADI for any reason fails to indefeasibly pay any amount required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to be paid by it to the Administrative Agent (or any sub-agent thereof) or any Related Party of any of the foregoing, each Lender severally agrees to pay to the Administrative Agent (or any such sub-agent) or such Related Party, as the case may be, such Lender’s pro rata share of such unpaid amount (including any such unpaid amount in respect of a claim asserted by such Lender), such payment to be made by the Lenders ratably based on their Applicable Percentages (determined as of the time that the applicable unreimbursed expense or indemnity payment is sought);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unreimbursed expense or indemnified loss, claim, damage, liability or related expense, as the case may be, was incurred by or asserted against the Administrative Agent (or any such sub-agent) in its capacity as such, or against any Related Party of the foregoing acting for the Administrative Agent (or any such sub-agent) in connection with such capacity. The obligations of the Lenders under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are subject to the provisions of </w:t>
      </w:r>
      <w:r>
        <w:rPr>
          <w:rFonts w:ascii="Arial" w:cs="Arial" w:eastAsia="Arial" w:hAnsi="Arial"/>
          <w:sz w:val="16"/>
          <w:szCs w:val="16"/>
          <w:u w:val="single" w:color="auto"/>
          <w:color w:val="auto"/>
        </w:rPr>
        <w:t>Section 2.10(d)</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firstLine="464"/>
        <w:spacing w:after="0" w:line="271" w:lineRule="auto"/>
        <w:tabs>
          <w:tab w:leader="none" w:pos="711"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xml:space="preserve"> To the fullest extent permitted by applicable law, no Loan Party shall assert, and each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78" w:lineRule="exact"/>
        <w:rPr>
          <w:rFonts w:ascii="Arial" w:cs="Arial" w:eastAsia="Arial" w:hAnsi="Arial"/>
          <w:sz w:val="17"/>
          <w:szCs w:val="17"/>
          <w:color w:val="auto"/>
        </w:rPr>
      </w:pPr>
    </w:p>
    <w:p>
      <w:pPr>
        <w:ind w:left="700" w:hanging="236"/>
        <w:spacing w:after="0"/>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All amounts due under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be payable not later than ten Business Days after demand therefor.</w:t>
      </w:r>
    </w:p>
    <w:p>
      <w:pPr>
        <w:spacing w:after="0" w:line="225" w:lineRule="exact"/>
        <w:rPr>
          <w:rFonts w:ascii="Arial" w:cs="Arial" w:eastAsia="Arial" w:hAnsi="Arial"/>
          <w:sz w:val="18"/>
          <w:szCs w:val="18"/>
          <w:color w:val="auto"/>
        </w:rPr>
      </w:pPr>
    </w:p>
    <w:p>
      <w:pPr>
        <w:ind w:firstLine="464"/>
        <w:spacing w:after="0" w:line="342" w:lineRule="auto"/>
        <w:tabs>
          <w:tab w:leader="none" w:pos="681"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The agreements in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and the indemnity provisions of </w:t>
      </w:r>
      <w:r>
        <w:rPr>
          <w:rFonts w:ascii="Arial" w:cs="Arial" w:eastAsia="Arial" w:hAnsi="Arial"/>
          <w:sz w:val="16"/>
          <w:szCs w:val="16"/>
          <w:u w:val="single" w:color="auto"/>
          <w:color w:val="auto"/>
        </w:rPr>
        <w:t>Section 10.02(e)</w:t>
      </w:r>
      <w:r>
        <w:rPr>
          <w:rFonts w:ascii="Arial" w:cs="Arial" w:eastAsia="Arial" w:hAnsi="Arial"/>
          <w:sz w:val="16"/>
          <w:szCs w:val="16"/>
          <w:color w:val="auto"/>
        </w:rPr>
        <w:t xml:space="preserve"> shall survive the resignation of the Administrative Agent, the replacement of any Lender, the termination of the Commitments and the repayment, satisfaction or discharge of all the other Obligations.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10.05. </w:t>
      </w:r>
      <w:r>
        <w:rPr>
          <w:rFonts w:ascii="Arial" w:cs="Arial" w:eastAsia="Arial" w:hAnsi="Arial"/>
          <w:sz w:val="18"/>
          <w:szCs w:val="18"/>
          <w:u w:val="single" w:color="auto"/>
          <w:color w:val="auto"/>
        </w:rPr>
        <w:t>Payments Set Aside.</w:t>
      </w:r>
    </w:p>
    <w:p>
      <w:pPr>
        <w:spacing w:after="0" w:line="11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 xml:space="preserve">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and to the extent permitted by applicable Law,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preceding sentence shall survive the payment in full of the Obligations and the termination of this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10.06. </w:t>
      </w:r>
      <w:r>
        <w:rPr>
          <w:rFonts w:ascii="Arial" w:cs="Arial" w:eastAsia="Arial" w:hAnsi="Arial"/>
          <w:sz w:val="18"/>
          <w:szCs w:val="18"/>
          <w:u w:val="single" w:color="auto"/>
          <w:color w:val="auto"/>
        </w:rPr>
        <w:t>Successors and Assigns.</w:t>
      </w:r>
    </w:p>
    <w:p>
      <w:pPr>
        <w:spacing w:after="0" w:line="117" w:lineRule="exact"/>
        <w:rPr>
          <w:sz w:val="20"/>
          <w:szCs w:val="20"/>
          <w:color w:val="auto"/>
        </w:rPr>
      </w:pPr>
    </w:p>
    <w:p>
      <w:pPr>
        <w:jc w:val="both"/>
        <w:ind w:firstLine="464"/>
        <w:spacing w:after="0" w:line="285" w:lineRule="auto"/>
        <w:tabs>
          <w:tab w:leader="none" w:pos="701"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other than pursuant to the Assumption of Borrower Obligations effected in compliance with this Agreement, neither ADI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(ii) by way of participation in accordance with the provisions of </w:t>
      </w:r>
      <w:r>
        <w:rPr>
          <w:rFonts w:ascii="Arial" w:cs="Arial" w:eastAsia="Arial" w:hAnsi="Arial"/>
          <w:sz w:val="16"/>
          <w:szCs w:val="16"/>
          <w:u w:val="single" w:color="auto"/>
          <w:color w:val="auto"/>
        </w:rPr>
        <w:t>Section 10.06(d)</w:t>
      </w:r>
      <w:r>
        <w:rPr>
          <w:rFonts w:ascii="Arial" w:cs="Arial" w:eastAsia="Arial" w:hAnsi="Arial"/>
          <w:sz w:val="16"/>
          <w:szCs w:val="16"/>
          <w:color w:val="auto"/>
        </w:rPr>
        <w:t>, or</w:t>
      </w:r>
    </w:p>
    <w:p>
      <w:pPr>
        <w:spacing w:after="0" w:line="2" w:lineRule="exact"/>
        <w:rPr>
          <w:rFonts w:ascii="Arial" w:cs="Arial" w:eastAsia="Arial" w:hAnsi="Arial"/>
          <w:sz w:val="16"/>
          <w:szCs w:val="16"/>
          <w:color w:val="auto"/>
        </w:rPr>
      </w:pPr>
    </w:p>
    <w:p>
      <w:pPr>
        <w:jc w:val="both"/>
        <w:ind w:firstLine="8"/>
        <w:spacing w:after="0" w:line="253" w:lineRule="auto"/>
        <w:tabs>
          <w:tab w:leader="none" w:pos="3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by way of pledge or assignment of a security interest subject to the restrictions of </w:t>
      </w:r>
      <w:r>
        <w:rPr>
          <w:rFonts w:ascii="Arial" w:cs="Arial" w:eastAsia="Arial" w:hAnsi="Arial"/>
          <w:sz w:val="18"/>
          <w:szCs w:val="18"/>
          <w:u w:val="single" w:color="auto"/>
          <w:color w:val="auto"/>
        </w:rPr>
        <w:t>Section 10.06(f)</w:t>
      </w:r>
      <w:r>
        <w:rPr>
          <w:rFonts w:ascii="Arial" w:cs="Arial" w:eastAsia="Arial" w:hAnsi="Arial"/>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and, to the extent expressly contemplated hereby, the Related Parties of each of the Administrative Agent and the Lenders) any legal or equitable right, remedy or claim under or by reason of this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83" w:name="page84"/>
    <w:bookmarkEnd w:id="83"/>
    <w:p>
      <w:pPr>
        <w:jc w:val="both"/>
        <w:ind w:firstLine="464"/>
        <w:spacing w:after="0" w:line="264" w:lineRule="auto"/>
        <w:tabs>
          <w:tab w:leader="none" w:pos="72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and the other Loan Documents (including all or a portion of its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Minimum Amounts.</w:t>
      </w:r>
    </w:p>
    <w:p>
      <w:pPr>
        <w:spacing w:after="0" w:line="117" w:lineRule="exact"/>
        <w:rPr>
          <w:rFonts w:ascii="Arial" w:cs="Arial" w:eastAsia="Arial" w:hAnsi="Arial"/>
          <w:sz w:val="18"/>
          <w:szCs w:val="18"/>
          <w:color w:val="auto"/>
        </w:rPr>
      </w:pPr>
    </w:p>
    <w:p>
      <w:pPr>
        <w:jc w:val="both"/>
        <w:ind w:left="920" w:firstLine="421"/>
        <w:spacing w:after="0" w:line="312" w:lineRule="auto"/>
        <w:tabs>
          <w:tab w:leader="none" w:pos="1638" w:val="left"/>
        </w:tabs>
        <w:numPr>
          <w:ilvl w:val="3"/>
          <w:numId w:val="97"/>
        </w:numPr>
        <w:rPr>
          <w:rFonts w:ascii="Arial" w:cs="Arial" w:eastAsia="Arial" w:hAnsi="Arial"/>
          <w:sz w:val="16"/>
          <w:szCs w:val="16"/>
          <w:color w:val="auto"/>
        </w:rPr>
      </w:pPr>
      <w:r>
        <w:rPr>
          <w:rFonts w:ascii="Arial" w:cs="Arial" w:eastAsia="Arial" w:hAnsi="Arial"/>
          <w:sz w:val="16"/>
          <w:szCs w:val="16"/>
          <w:color w:val="auto"/>
        </w:rPr>
        <w:t xml:space="preserve">in the case of an assignment of the entire remaining amount of the assigning Lender’s Commitment and the Loans at the time owing to it or contemporaneous assignments to related Approved Funds that equal at least the amount specified in </w:t>
      </w:r>
      <w:r>
        <w:rPr>
          <w:rFonts w:ascii="Arial" w:cs="Arial" w:eastAsia="Arial" w:hAnsi="Arial"/>
          <w:sz w:val="16"/>
          <w:szCs w:val="16"/>
          <w:u w:val="single" w:color="auto"/>
          <w:color w:val="auto"/>
        </w:rPr>
        <w:t>clause (b)(i)(B)</w:t>
      </w:r>
      <w:r>
        <w:rPr>
          <w:rFonts w:ascii="Arial" w:cs="Arial" w:eastAsia="Arial" w:hAnsi="Arial"/>
          <w:sz w:val="16"/>
          <w:szCs w:val="16"/>
          <w:color w:val="auto"/>
        </w:rPr>
        <w:t xml:space="preserve"> of this Section in the aggregate or in the case of an assignment to a Lender, an Affiliate of a Lender or an Approved Fund, no minimum amount need be assigned; and</w:t>
      </w:r>
    </w:p>
    <w:p>
      <w:pPr>
        <w:spacing w:after="0" w:line="38" w:lineRule="exact"/>
        <w:rPr>
          <w:rFonts w:ascii="Arial" w:cs="Arial" w:eastAsia="Arial" w:hAnsi="Arial"/>
          <w:sz w:val="16"/>
          <w:szCs w:val="16"/>
          <w:color w:val="auto"/>
        </w:rPr>
      </w:pPr>
    </w:p>
    <w:p>
      <w:pPr>
        <w:jc w:val="both"/>
        <w:ind w:left="920" w:firstLine="421"/>
        <w:spacing w:after="0" w:line="297" w:lineRule="auto"/>
        <w:tabs>
          <w:tab w:leader="none" w:pos="1629" w:val="left"/>
        </w:tabs>
        <w:numPr>
          <w:ilvl w:val="3"/>
          <w:numId w:val="97"/>
        </w:numPr>
        <w:rPr>
          <w:rFonts w:ascii="Arial" w:cs="Arial" w:eastAsia="Arial" w:hAnsi="Arial"/>
          <w:sz w:val="16"/>
          <w:szCs w:val="16"/>
          <w:color w:val="auto"/>
        </w:rPr>
      </w:pPr>
      <w:r>
        <w:rPr>
          <w:rFonts w:ascii="Arial" w:cs="Arial" w:eastAsia="Arial" w:hAnsi="Arial"/>
          <w:sz w:val="16"/>
          <w:szCs w:val="16"/>
          <w:color w:val="auto"/>
        </w:rPr>
        <w:t xml:space="preserve">in any case not described in </w:t>
      </w:r>
      <w:r>
        <w:rPr>
          <w:rFonts w:ascii="Arial" w:cs="Arial" w:eastAsia="Arial" w:hAnsi="Arial"/>
          <w:sz w:val="16"/>
          <w:szCs w:val="16"/>
          <w:u w:val="single" w:color="auto"/>
          <w:color w:val="auto"/>
        </w:rPr>
        <w:t>clause (b)(i)(A)</w:t>
      </w:r>
      <w:r>
        <w:rPr>
          <w:rFonts w:ascii="Arial" w:cs="Arial" w:eastAsia="Arial" w:hAnsi="Arial"/>
          <w:sz w:val="16"/>
          <w:szCs w:val="16"/>
          <w:color w:val="auto"/>
        </w:rPr>
        <w:t xml:space="preserve"> of this Section, the aggregate amount of the Commitments or, if the Commitments are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ADI otherwise consents (each such consent not to be unreasonably withheld or delayed).</w:t>
      </w:r>
    </w:p>
    <w:p>
      <w:pPr>
        <w:spacing w:after="0" w:line="50" w:lineRule="exact"/>
        <w:rPr>
          <w:rFonts w:ascii="Arial" w:cs="Arial" w:eastAsia="Arial" w:hAnsi="Arial"/>
          <w:sz w:val="16"/>
          <w:szCs w:val="16"/>
          <w:color w:val="auto"/>
        </w:rPr>
      </w:pPr>
    </w:p>
    <w:p>
      <w:pPr>
        <w:ind w:left="460" w:right="20" w:firstLine="443"/>
        <w:spacing w:after="0" w:line="277" w:lineRule="auto"/>
        <w:tabs>
          <w:tab w:leader="none" w:pos="1163"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xml:space="preserve"> Each partial assignment shall be made as an assignment of a proportionate part of all the assigning Lender’s rights and obligations under this Agreement with respect to the Commitment or Loans assigned;</w:t>
      </w:r>
    </w:p>
    <w:p>
      <w:pPr>
        <w:spacing w:after="0" w:line="62" w:lineRule="exact"/>
        <w:rPr>
          <w:rFonts w:ascii="Arial" w:cs="Arial" w:eastAsia="Arial" w:hAnsi="Arial"/>
          <w:sz w:val="18"/>
          <w:szCs w:val="18"/>
          <w:color w:val="auto"/>
        </w:rPr>
      </w:pPr>
    </w:p>
    <w:p>
      <w:pPr>
        <w:ind w:left="1220" w:hanging="317"/>
        <w:spacing w:after="0"/>
        <w:tabs>
          <w:tab w:leader="none" w:pos="122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xml:space="preserve"> No consent shall be required for any assignment except to the extent required by </w:t>
      </w:r>
      <w:r>
        <w:rPr>
          <w:rFonts w:ascii="Arial" w:cs="Arial" w:eastAsia="Arial" w:hAnsi="Arial"/>
          <w:sz w:val="16"/>
          <w:szCs w:val="16"/>
          <w:u w:val="single" w:color="auto"/>
          <w:color w:val="auto"/>
        </w:rPr>
        <w:t>clause (b)(i)(B)</w:t>
      </w:r>
      <w:r>
        <w:rPr>
          <w:rFonts w:ascii="Arial" w:cs="Arial" w:eastAsia="Arial" w:hAnsi="Arial"/>
          <w:sz w:val="16"/>
          <w:szCs w:val="16"/>
          <w:color w:val="auto"/>
        </w:rPr>
        <w:t xml:space="preserve"> of this Section and, in</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addition:</w:t>
      </w:r>
    </w:p>
    <w:p>
      <w:pPr>
        <w:spacing w:after="0" w:line="102" w:lineRule="exact"/>
        <w:rPr>
          <w:rFonts w:ascii="Arial" w:cs="Arial" w:eastAsia="Arial" w:hAnsi="Arial"/>
          <w:sz w:val="16"/>
          <w:szCs w:val="16"/>
          <w:color w:val="auto"/>
        </w:rPr>
      </w:pPr>
    </w:p>
    <w:p>
      <w:pPr>
        <w:ind w:left="920" w:firstLine="421"/>
        <w:spacing w:after="0" w:line="277" w:lineRule="auto"/>
        <w:tabs>
          <w:tab w:leader="none" w:pos="1645" w:val="left"/>
        </w:tabs>
        <w:numPr>
          <w:ilvl w:val="3"/>
          <w:numId w:val="97"/>
        </w:numPr>
        <w:rPr>
          <w:rFonts w:ascii="Arial" w:cs="Arial" w:eastAsia="Arial" w:hAnsi="Arial"/>
          <w:sz w:val="18"/>
          <w:szCs w:val="18"/>
          <w:color w:val="auto"/>
        </w:rPr>
      </w:pPr>
      <w:r>
        <w:rPr>
          <w:rFonts w:ascii="Arial" w:cs="Arial" w:eastAsia="Arial" w:hAnsi="Arial"/>
          <w:sz w:val="18"/>
          <w:szCs w:val="18"/>
          <w:color w:val="auto"/>
        </w:rPr>
        <w:t>on or prior to the Closing Date, unless the proposed assignee is a “Permitted Assignee” as defined in the Bridge Commitment Letter, the consent of ADI shall be required;</w:t>
      </w:r>
    </w:p>
    <w:p>
      <w:pPr>
        <w:spacing w:after="0" w:line="62" w:lineRule="exact"/>
        <w:rPr>
          <w:rFonts w:ascii="Arial" w:cs="Arial" w:eastAsia="Arial" w:hAnsi="Arial"/>
          <w:sz w:val="18"/>
          <w:szCs w:val="18"/>
          <w:color w:val="auto"/>
        </w:rPr>
      </w:pPr>
    </w:p>
    <w:p>
      <w:pPr>
        <w:jc w:val="both"/>
        <w:ind w:left="920" w:firstLine="421"/>
        <w:spacing w:after="0" w:line="288" w:lineRule="auto"/>
        <w:tabs>
          <w:tab w:leader="none" w:pos="1625" w:val="left"/>
        </w:tabs>
        <w:numPr>
          <w:ilvl w:val="3"/>
          <w:numId w:val="97"/>
        </w:numPr>
        <w:rPr>
          <w:rFonts w:ascii="Arial" w:cs="Arial" w:eastAsia="Arial" w:hAnsi="Arial"/>
          <w:sz w:val="16"/>
          <w:szCs w:val="16"/>
          <w:color w:val="auto"/>
        </w:rPr>
      </w:pPr>
      <w:r>
        <w:rPr>
          <w:rFonts w:ascii="Arial" w:cs="Arial" w:eastAsia="Arial" w:hAnsi="Arial"/>
          <w:sz w:val="16"/>
          <w:szCs w:val="16"/>
          <w:color w:val="auto"/>
        </w:rPr>
        <w:t>after the Closing Date, unless the proposed assignee is a “Permitted Assignee” as defined in the Bridge Commitment Letter, the consent of ADI (such consent not to be unreasonably withheld or delayed, and to be deemed to have been given unless ADI shall object to a proposed assignment by written notice to the Administrative Agent within 10 Business Days after having received notice thereof) shall be required unless</w:t>
      </w:r>
    </w:p>
    <w:p>
      <w:pPr>
        <w:ind w:left="920" w:firstLine="1"/>
        <w:spacing w:after="0" w:line="261" w:lineRule="auto"/>
        <w:tabs>
          <w:tab w:leader="none" w:pos="1175" w:val="left"/>
        </w:tabs>
        <w:numPr>
          <w:ilvl w:val="2"/>
          <w:numId w:val="97"/>
        </w:numPr>
        <w:rPr>
          <w:rFonts w:ascii="Arial" w:cs="Arial" w:eastAsia="Arial" w:hAnsi="Arial"/>
          <w:sz w:val="18"/>
          <w:szCs w:val="18"/>
          <w:color w:val="auto"/>
        </w:rPr>
      </w:pPr>
      <w:r>
        <w:rPr>
          <w:rFonts w:ascii="Arial" w:cs="Arial" w:eastAsia="Arial" w:hAnsi="Arial"/>
          <w:sz w:val="18"/>
          <w:szCs w:val="18"/>
          <w:color w:val="auto"/>
        </w:rPr>
        <w:t xml:space="preserve">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occurred and is continuing at the time of such assignment or (2) such assignment is to a Lender, an Affiliate of a Lender or an Approved Fund; and</w:t>
      </w:r>
    </w:p>
    <w:p>
      <w:pPr>
        <w:spacing w:after="0" w:line="75" w:lineRule="exact"/>
        <w:rPr>
          <w:rFonts w:ascii="Arial" w:cs="Arial" w:eastAsia="Arial" w:hAnsi="Arial"/>
          <w:sz w:val="18"/>
          <w:szCs w:val="18"/>
          <w:color w:val="auto"/>
        </w:rPr>
      </w:pPr>
    </w:p>
    <w:p>
      <w:pPr>
        <w:ind w:left="920" w:firstLine="421"/>
        <w:spacing w:after="0" w:line="277" w:lineRule="auto"/>
        <w:tabs>
          <w:tab w:leader="none" w:pos="1627" w:val="left"/>
        </w:tabs>
        <w:numPr>
          <w:ilvl w:val="3"/>
          <w:numId w:val="98"/>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62" w:lineRule="exact"/>
        <w:rPr>
          <w:rFonts w:ascii="Arial" w:cs="Arial" w:eastAsia="Arial" w:hAnsi="Arial"/>
          <w:sz w:val="18"/>
          <w:szCs w:val="18"/>
          <w:color w:val="auto"/>
        </w:rPr>
      </w:pPr>
    </w:p>
    <w:p>
      <w:pPr>
        <w:ind w:left="460" w:firstLine="443"/>
        <w:spacing w:after="0" w:line="277" w:lineRule="auto"/>
        <w:tabs>
          <w:tab w:leader="none" w:pos="1230"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84" w:name="page85"/>
    <w:bookmarkEnd w:id="84"/>
    <w:p>
      <w:pPr>
        <w:jc w:val="both"/>
        <w:ind w:lef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3" w:lineRule="exact"/>
        <w:rPr>
          <w:sz w:val="20"/>
          <w:szCs w:val="20"/>
          <w:color w:val="auto"/>
        </w:rPr>
      </w:pPr>
    </w:p>
    <w:p>
      <w:pPr>
        <w:jc w:val="both"/>
        <w:ind w:left="460" w:firstLine="443"/>
        <w:spacing w:after="0" w:line="264" w:lineRule="auto"/>
        <w:tabs>
          <w:tab w:leader="none" w:pos="1166"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ADI or any of ADI’s Affiliates or Subsidiaries,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or (C) to a natural Person.</w:t>
      </w:r>
    </w:p>
    <w:p>
      <w:pPr>
        <w:spacing w:after="0" w:line="73" w:lineRule="exact"/>
        <w:rPr>
          <w:rFonts w:ascii="Arial" w:cs="Arial" w:eastAsia="Arial" w:hAnsi="Arial"/>
          <w:sz w:val="18"/>
          <w:szCs w:val="18"/>
          <w:color w:val="auto"/>
        </w:rPr>
      </w:pPr>
    </w:p>
    <w:p>
      <w:pPr>
        <w:jc w:val="both"/>
        <w:ind w:left="460" w:firstLine="443"/>
        <w:spacing w:after="0" w:line="288" w:lineRule="auto"/>
        <w:tabs>
          <w:tab w:leader="none" w:pos="1216"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ADI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w:t>
      </w:r>
      <w:r>
        <w:rPr>
          <w:rFonts w:ascii="Arial" w:cs="Arial" w:eastAsia="Arial" w:hAnsi="Arial"/>
          <w:sz w:val="17"/>
          <w:szCs w:val="17"/>
          <w:u w:val="single" w:color="auto"/>
          <w:color w:val="auto"/>
        </w:rPr>
        <w:t>Section 10.06(c)</w:t>
      </w:r>
      <w:r>
        <w:rPr>
          <w:rFonts w:ascii="Arial" w:cs="Arial" w:eastAsia="Arial" w:hAnsi="Arial"/>
          <w:sz w:val="17"/>
          <w:szCs w:val="17"/>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10.04</w:t>
      </w:r>
      <w:r>
        <w:rPr>
          <w:rFonts w:ascii="Arial" w:cs="Arial" w:eastAsia="Arial" w:hAnsi="Arial"/>
          <w:sz w:val="17"/>
          <w:szCs w:val="17"/>
          <w:color w:val="auto"/>
        </w:rPr>
        <w:t xml:space="preserve">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clause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10.06(d)</w:t>
      </w:r>
      <w:r>
        <w:rPr>
          <w:rFonts w:ascii="Arial" w:cs="Arial" w:eastAsia="Arial" w:hAnsi="Arial"/>
          <w:sz w:val="17"/>
          <w:szCs w:val="17"/>
          <w:color w:val="auto"/>
        </w:rPr>
        <w: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85" w:name="page86"/>
    <w:bookmarkEnd w:id="85"/>
    <w:p>
      <w:pPr>
        <w:jc w:val="both"/>
        <w:ind w:firstLine="464"/>
        <w:spacing w:after="0" w:line="272" w:lineRule="auto"/>
        <w:tabs>
          <w:tab w:leader="none" w:pos="715"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Register.</w:t>
      </w:r>
      <w:r>
        <w:rPr>
          <w:rFonts w:ascii="Arial" w:cs="Arial" w:eastAsia="Arial" w:hAnsi="Arial"/>
          <w:sz w:val="17"/>
          <w:szCs w:val="17"/>
          <w:color w:val="auto"/>
        </w:rPr>
        <w:t xml:space="preserve">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principal amounts (and stated interest) of the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Upon its receipt of a duly completed Assignment and Assumption executed by an assigning Lender and an assignee, an Administrative Questionnaire completed in respect of the assignee (unless the assignee shall already be a Lender hereunder), the processing and recordation fee referred to in </w:t>
      </w:r>
      <w:r>
        <w:rPr>
          <w:rFonts w:ascii="Arial" w:cs="Arial" w:eastAsia="Arial" w:hAnsi="Arial"/>
          <w:sz w:val="16"/>
          <w:szCs w:val="16"/>
          <w:u w:val="single" w:color="auto"/>
          <w:color w:val="auto"/>
        </w:rPr>
        <w:t>clause</w:t>
      </w:r>
    </w:p>
    <w:p>
      <w:pPr>
        <w:jc w:val="both"/>
        <w:ind w:right="20" w:firstLine="8"/>
        <w:spacing w:after="0" w:line="255" w:lineRule="auto"/>
        <w:tabs>
          <w:tab w:leader="none" w:pos="282" w:val="left"/>
        </w:tabs>
        <w:numPr>
          <w:ilvl w:val="0"/>
          <w:numId w:val="102"/>
        </w:numPr>
        <w:rPr>
          <w:rFonts w:ascii="Arial" w:cs="Arial" w:eastAsia="Arial" w:hAnsi="Arial"/>
          <w:sz w:val="18"/>
          <w:szCs w:val="18"/>
          <w:u w:val="single" w:color="auto"/>
          <w:color w:val="auto"/>
        </w:rPr>
      </w:pPr>
      <w:r>
        <w:rPr>
          <w:rFonts w:ascii="Arial" w:cs="Arial" w:eastAsia="Arial" w:hAnsi="Arial"/>
          <w:sz w:val="18"/>
          <w:szCs w:val="18"/>
          <w:color w:val="auto"/>
        </w:rPr>
        <w:t xml:space="preserve">above (if applicable), the written consent of the Administrative Agent and, if required, ADI to such assignment, and any applicable Tax forms, the Administrative Agent shall (i) accept such Assignment and Assumption and (ii) promptly record the information contained therein in the Register. No assignment shall be effective unless it has been recorded in the Register as provided in this </w:t>
      </w:r>
      <w:r>
        <w:rPr>
          <w:rFonts w:ascii="Arial" w:cs="Arial" w:eastAsia="Arial" w:hAnsi="Arial"/>
          <w:sz w:val="18"/>
          <w:szCs w:val="18"/>
          <w:u w:val="single" w:color="auto"/>
          <w:color w:val="auto"/>
        </w:rPr>
        <w:t>clause (c)</w:t>
      </w:r>
      <w:r>
        <w:rPr>
          <w:rFonts w:ascii="Arial" w:cs="Arial" w:eastAsia="Arial" w:hAnsi="Arial"/>
          <w:sz w:val="18"/>
          <w:szCs w:val="18"/>
          <w:color w:val="auto"/>
        </w:rPr>
        <w:t>.</w:t>
      </w:r>
    </w:p>
    <w:p>
      <w:pPr>
        <w:spacing w:after="0" w:line="190" w:lineRule="exact"/>
        <w:rPr>
          <w:rFonts w:ascii="Arial" w:cs="Arial" w:eastAsia="Arial" w:hAnsi="Arial"/>
          <w:sz w:val="18"/>
          <w:szCs w:val="18"/>
          <w:u w:val="single" w:color="auto"/>
          <w:color w:val="auto"/>
        </w:rPr>
      </w:pPr>
    </w:p>
    <w:p>
      <w:pPr>
        <w:jc w:val="both"/>
        <w:ind w:firstLine="464"/>
        <w:spacing w:after="0" w:line="271" w:lineRule="auto"/>
        <w:tabs>
          <w:tab w:leader="none" w:pos="711"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xml:space="preserve"> Any Lender may at any time, without the consent of, or notice to, the Borrower or the Administrative Agent, sell participations to any Person (other than a natural Person, a Defaulting Lender or ADI or any of ADI’s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jc w:val="both"/>
        <w:ind w:firstLine="8"/>
        <w:spacing w:after="0" w:line="254" w:lineRule="auto"/>
        <w:tabs>
          <w:tab w:leader="none" w:pos="21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without regard to the existence of any participation.</w:t>
      </w:r>
    </w:p>
    <w:p>
      <w:pPr>
        <w:spacing w:after="0" w:line="1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w:t>
      </w:r>
      <w:r>
        <w:rPr>
          <w:rFonts w:ascii="Arial" w:cs="Arial" w:eastAsia="Arial" w:hAnsi="Arial"/>
          <w:sz w:val="16"/>
          <w:szCs w:val="16"/>
          <w:u w:val="single" w:color="auto"/>
          <w:color w:val="auto"/>
        </w:rPr>
        <w:t>clauses</w:t>
      </w:r>
    </w:p>
    <w:p>
      <w:pPr>
        <w:jc w:val="both"/>
        <w:ind w:firstLine="8"/>
        <w:spacing w:after="0" w:line="270" w:lineRule="auto"/>
        <w:tabs>
          <w:tab w:leader="none" w:pos="215" w:val="left"/>
        </w:tabs>
        <w:numPr>
          <w:ilvl w:val="0"/>
          <w:numId w:val="104"/>
        </w:numPr>
        <w:rPr>
          <w:rFonts w:ascii="Arial" w:cs="Arial" w:eastAsia="Arial" w:hAnsi="Arial"/>
          <w:sz w:val="17"/>
          <w:szCs w:val="17"/>
          <w:u w:val="single" w:color="auto"/>
          <w:color w:val="auto"/>
        </w:rPr>
      </w:pPr>
      <w:r>
        <w:rPr>
          <w:rFonts w:ascii="Arial" w:cs="Arial" w:eastAsia="Arial" w:hAnsi="Arial"/>
          <w:sz w:val="17"/>
          <w:szCs w:val="17"/>
          <w:color w:val="auto"/>
        </w:rPr>
        <w:t xml:space="preserve">through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10.01(a)</w:t>
      </w:r>
      <w:r>
        <w:rPr>
          <w:rFonts w:ascii="Arial" w:cs="Arial" w:eastAsia="Arial" w:hAnsi="Arial"/>
          <w:sz w:val="17"/>
          <w:szCs w:val="17"/>
          <w:color w:val="auto"/>
        </w:rPr>
        <w:t xml:space="preserve"> that affects such Participant. Subject to </w:t>
      </w:r>
      <w:r>
        <w:rPr>
          <w:rFonts w:ascii="Arial" w:cs="Arial" w:eastAsia="Arial" w:hAnsi="Arial"/>
          <w:sz w:val="17"/>
          <w:szCs w:val="17"/>
          <w:u w:val="single" w:color="auto"/>
          <w:color w:val="auto"/>
        </w:rPr>
        <w:t>Section 10.06(e)</w:t>
      </w:r>
      <w:r>
        <w:rPr>
          <w:rFonts w:ascii="Arial" w:cs="Arial" w:eastAsia="Arial" w:hAnsi="Arial"/>
          <w:sz w:val="17"/>
          <w:szCs w:val="17"/>
          <w:color w:val="auto"/>
        </w:rPr>
        <w:t xml:space="preserve">, the Borrower agrees that each Participant shall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agrees to be subject to the provisions of </w:t>
      </w:r>
      <w:r>
        <w:rPr>
          <w:rFonts w:ascii="Arial" w:cs="Arial" w:eastAsia="Arial" w:hAnsi="Arial"/>
          <w:sz w:val="17"/>
          <w:szCs w:val="17"/>
          <w:u w:val="single" w:color="auto"/>
          <w:color w:val="auto"/>
        </w:rPr>
        <w:t>Sections 3.06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10.13</w:t>
      </w:r>
      <w:r>
        <w:rPr>
          <w:rFonts w:ascii="Arial" w:cs="Arial" w:eastAsia="Arial" w:hAnsi="Arial"/>
          <w:sz w:val="17"/>
          <w:szCs w:val="17"/>
          <w:color w:val="auto"/>
        </w:rPr>
        <w:t xml:space="preserve"> as if it were an assignee under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Each Lender that sells a participation agrees, at the Borrower’s request and expense, to use reasonable efforts to cooperate with the Borrower to effectuate the provisions of </w:t>
      </w:r>
      <w:r>
        <w:rPr>
          <w:rFonts w:ascii="Arial" w:cs="Arial" w:eastAsia="Arial" w:hAnsi="Arial"/>
          <w:sz w:val="17"/>
          <w:szCs w:val="17"/>
          <w:u w:val="single" w:color="auto"/>
          <w:color w:val="auto"/>
        </w:rPr>
        <w:t>Section 3.06</w:t>
      </w:r>
      <w:r>
        <w:rPr>
          <w:rFonts w:ascii="Arial" w:cs="Arial" w:eastAsia="Arial" w:hAnsi="Arial"/>
          <w:sz w:val="17"/>
          <w:szCs w:val="17"/>
          <w:color w:val="auto"/>
        </w:rPr>
        <w:t xml:space="preserve"> with respect to any Participant. To the extent permitted by law, each Participant also shall be entitled to the benefits of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agrees to be 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as though it were a Lender. Each Lender that sells a participation shall, acting solely for this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86" w:name="page87"/>
    <w:bookmarkEnd w:id="86"/>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6" w:lineRule="exact"/>
        <w:rPr>
          <w:sz w:val="20"/>
          <w:szCs w:val="20"/>
          <w:color w:val="auto"/>
        </w:rPr>
      </w:pPr>
    </w:p>
    <w:p>
      <w:pPr>
        <w:jc w:val="both"/>
        <w:ind w:firstLine="464"/>
        <w:spacing w:after="0" w:line="257" w:lineRule="auto"/>
        <w:tabs>
          <w:tab w:leader="none" w:pos="70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as though it were a Lender.</w:t>
      </w:r>
    </w:p>
    <w:p>
      <w:pPr>
        <w:spacing w:after="0" w:line="188" w:lineRule="exact"/>
        <w:rPr>
          <w:rFonts w:ascii="Arial" w:cs="Arial" w:eastAsia="Arial" w:hAnsi="Arial"/>
          <w:sz w:val="18"/>
          <w:szCs w:val="18"/>
          <w:color w:val="auto"/>
        </w:rPr>
      </w:pPr>
    </w:p>
    <w:p>
      <w:pPr>
        <w:jc w:val="both"/>
        <w:ind w:firstLine="464"/>
        <w:spacing w:after="0" w:line="259" w:lineRule="auto"/>
        <w:tabs>
          <w:tab w:leader="none" w:pos="68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Treatment of Certain Information; Confidentiality.</w:t>
      </w:r>
    </w:p>
    <w:p>
      <w:pPr>
        <w:spacing w:after="0" w:line="11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Each of the Administrative Agent and the Lenders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(in which case, the Administrative Agent or such Lender shall use its reasonable efforts, to the extent permitted by law, to notify ADI prior to such disclosure so that ADI may seek, at ADI’s sole expense, a protective order or other appropriate remedy),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87" w:name="page88"/>
    <w:bookmarkEnd w:id="87"/>
    <w:p>
      <w:pPr>
        <w:jc w:val="both"/>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substantially the same as those of this </w:t>
      </w:r>
      <w:r>
        <w:rPr>
          <w:rFonts w:ascii="Arial" w:cs="Arial" w:eastAsia="Arial" w:hAnsi="Arial"/>
          <w:sz w:val="17"/>
          <w:szCs w:val="17"/>
          <w:u w:val="single" w:color="auto"/>
          <w:color w:val="auto"/>
        </w:rPr>
        <w:t>Section 10.07</w:t>
      </w:r>
      <w:r>
        <w:rPr>
          <w:rFonts w:ascii="Arial" w:cs="Arial" w:eastAsia="Arial" w:hAnsi="Arial"/>
          <w:sz w:val="17"/>
          <w:szCs w:val="17"/>
          <w:color w:val="auto"/>
        </w:rPr>
        <w:t xml:space="preserve">, to (i) any assignee of or Participant in, or any prospective assignee of or Participant in, any of its rights or obligations under this Agreement or (ii) any actual or prospective counterparty (or its Related Parties) to any swap or derivative transaction relating to ADI and its obligations, (g) with the consent of ADI, (h) any rating agency in connection with rating ADI or its Subsidiaries or the credit facilities provided hereunder or the CUSIP Service Bureau or any similar agency in connection with the issuance and monitoring of CUSIP numbers or other market identifiers with respect to the credit facilities provided hereunder, or (i) to the extent such Information (x) becomes publicly available other than as a result of a breach of this </w:t>
      </w:r>
      <w:r>
        <w:rPr>
          <w:rFonts w:ascii="Arial" w:cs="Arial" w:eastAsia="Arial" w:hAnsi="Arial"/>
          <w:sz w:val="17"/>
          <w:szCs w:val="17"/>
          <w:u w:val="single" w:color="auto"/>
          <w:color w:val="auto"/>
        </w:rPr>
        <w:t>Section 10.07</w:t>
      </w:r>
      <w:r>
        <w:rPr>
          <w:rFonts w:ascii="Arial" w:cs="Arial" w:eastAsia="Arial" w:hAnsi="Arial"/>
          <w:sz w:val="17"/>
          <w:szCs w:val="17"/>
          <w:color w:val="auto"/>
        </w:rPr>
        <w:t xml:space="preserve"> or (y) becomes available to the Administrative Agent, any Lender or any of their respective Affiliates, other than as a result of a breach of this </w:t>
      </w:r>
      <w:r>
        <w:rPr>
          <w:rFonts w:ascii="Arial" w:cs="Arial" w:eastAsia="Arial" w:hAnsi="Arial"/>
          <w:sz w:val="17"/>
          <w:szCs w:val="17"/>
          <w:u w:val="single" w:color="auto"/>
          <w:color w:val="auto"/>
        </w:rPr>
        <w:t>Section 10.07</w:t>
      </w:r>
      <w:r>
        <w:rPr>
          <w:rFonts w:ascii="Arial" w:cs="Arial" w:eastAsia="Arial" w:hAnsi="Arial"/>
          <w:sz w:val="17"/>
          <w:szCs w:val="17"/>
          <w:color w:val="auto"/>
        </w:rPr>
        <w:t>, on a nonconfidential basis from a source other than ADI.</w:t>
      </w:r>
    </w:p>
    <w:p>
      <w:pPr>
        <w:spacing w:after="0" w:line="178"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10.07</w:t>
      </w:r>
      <w:r>
        <w:rPr>
          <w:rFonts w:ascii="Arial" w:cs="Arial" w:eastAsia="Arial" w:hAnsi="Arial"/>
          <w:sz w:val="17"/>
          <w:szCs w:val="17"/>
          <w:color w:val="auto"/>
        </w:rPr>
        <w:t>, “</w:t>
      </w:r>
      <w:r>
        <w:rPr>
          <w:rFonts w:ascii="Arial" w:cs="Arial" w:eastAsia="Arial" w:hAnsi="Arial"/>
          <w:sz w:val="17"/>
          <w:szCs w:val="17"/>
          <w:u w:val="single" w:color="auto"/>
          <w:color w:val="auto"/>
        </w:rPr>
        <w:t>Information</w:t>
      </w:r>
      <w:r>
        <w:rPr>
          <w:rFonts w:ascii="Arial" w:cs="Arial" w:eastAsia="Arial" w:hAnsi="Arial"/>
          <w:sz w:val="17"/>
          <w:szCs w:val="17"/>
          <w:color w:val="auto"/>
        </w:rPr>
        <w:t>” means all information received from ADI or any Subsidiary relating to ADI or any Subsidiary or any of their respective businesses, other than (a) any such information that is available to the Administrative Agent or any Lender on a nonconfidential basis prior to disclosure by ADI or any Subsidiary and (b) information pertaining to this Agreement of the type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Each of the Administrative Agent and the Lenders acknowledges that (a) the Information may include material non-public information concerning ADI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Right of Setoff.</w:t>
      </w:r>
    </w:p>
    <w:p>
      <w:pPr>
        <w:spacing w:after="0" w:line="11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1.06(b)</w:t>
      </w:r>
      <w:r>
        <w:rPr>
          <w:rFonts w:ascii="Arial" w:cs="Arial" w:eastAsia="Arial" w:hAnsi="Arial"/>
          <w:sz w:val="17"/>
          <w:szCs w:val="17"/>
          <w:color w:val="auto"/>
        </w:rPr>
        <w:t xml:space="preserve">, if an Event of Default shall have occurred and be continuing, each Lender and each of its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against any and all of the obligations of the Borrower or such Loan Party now or hereafter existing under this Agreement or any other Loan Document to such Lender, irrespective of whether or not such Lender shall have made any demand under this Agreement or any other Loan Document and although such obligations of the Borrower may be contingent or unmatured or are owed to a branch or office of such Lender different from the branch or office holding such deposit or obligated on such indebtedness. The rights of each Lender and its Affiliates under this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are in addition to other rights and remedies (including other rights of setoff) that such Lender may have. Each Lender agrees to notify ADI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10.09. </w:t>
      </w:r>
      <w:r>
        <w:rPr>
          <w:rFonts w:ascii="Arial" w:cs="Arial" w:eastAsia="Arial" w:hAnsi="Arial"/>
          <w:sz w:val="18"/>
          <w:szCs w:val="18"/>
          <w:u w:val="single" w:color="auto"/>
          <w:color w:val="auto"/>
        </w:rPr>
        <w:t>Interest Rate Limitation.</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7"/>
          <w:szCs w:val="17"/>
          <w:u w:val="single" w:color="auto"/>
          <w:color w:val="auto"/>
        </w:rPr>
        <w:t>Maximum Rate</w:t>
      </w:r>
      <w:r>
        <w:rPr>
          <w:rFonts w:ascii="Arial" w:cs="Arial" w:eastAsia="Arial" w:hAnsi="Arial"/>
          <w:sz w:val="17"/>
          <w:szCs w:val="17"/>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Counterparts; Integration; Effectiveness.</w:t>
      </w:r>
    </w:p>
    <w:p>
      <w:pPr>
        <w:spacing w:after="0" w:line="11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(but do not supersede any provisions of the Bridge Commitment Letter that by the terms of such document survive the effectiveness of this Agreement, all of which provisions shall remain in full force and effect in accordance with Section 13 of the Bridge Commitment Letter).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(e.g., “pdf” or “tif”) shall be effective as delivery of a manually executed counterpart of this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Survival of Representations and Warranties.</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Borrowing, and shall continue in full force and effect as long as any Loan or any other Obligation hereunder shall remain unpaid or unsatisfied.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Severability.</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89" w:name="page90"/>
    <w:bookmarkEnd w:id="89"/>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10.12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Replacement of Lenders.</w:t>
      </w:r>
    </w:p>
    <w:p>
      <w:pPr>
        <w:spacing w:after="0" w:line="11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 xml:space="preserve">If (i)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(ii) the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(iii) any Lender shall notify ADI and the Administrative Agent that it shall be unlawful under Federal or applicable state or foreign law for such Lender to make or hold Loans to the Subsidiary Borrower pursuant to the Assumption of Borrower Obligations (as a result of any Law not existing and in effect on July 26, 2016), (iv) any Lender delivers a Notice of Illegality pursuant to the last proviso to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or (v) any Lender is a Defaulting Lender or a Non-Consenting Lender, then ADI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all of its interests, rights (other than its existing rights to payments pursuant to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74" w:lineRule="exact"/>
        <w:rPr>
          <w:sz w:val="20"/>
          <w:szCs w:val="20"/>
          <w:color w:val="auto"/>
        </w:rPr>
      </w:pPr>
    </w:p>
    <w:p>
      <w:pPr>
        <w:ind w:left="1140" w:hanging="237"/>
        <w:spacing w:after="0"/>
        <w:tabs>
          <w:tab w:leader="none" w:pos="11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firstLine="443"/>
        <w:spacing w:after="0" w:line="286" w:lineRule="auto"/>
        <w:tabs>
          <w:tab w:leader="none" w:pos="11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Arial" w:cs="Arial" w:eastAsia="Arial" w:hAnsi="Arial"/>
          <w:sz w:val="17"/>
          <w:szCs w:val="17"/>
          <w:u w:val="single" w:color="auto"/>
          <w:color w:val="auto"/>
        </w:rPr>
        <w:t>Section 3.05</w:t>
      </w:r>
      <w:r>
        <w:rPr>
          <w:rFonts w:ascii="Arial" w:cs="Arial" w:eastAsia="Arial" w:hAnsi="Arial"/>
          <w:sz w:val="17"/>
          <w:szCs w:val="17"/>
          <w:color w:val="auto"/>
        </w:rPr>
        <w:t>) from the assignee (to the extent of such outstanding principal and accrued interest and fees) or the Borrower (in the case of all other amounts);</w:t>
      </w:r>
    </w:p>
    <w:p>
      <w:pPr>
        <w:spacing w:after="0" w:line="57" w:lineRule="exact"/>
        <w:rPr>
          <w:rFonts w:ascii="Arial" w:cs="Arial" w:eastAsia="Arial" w:hAnsi="Arial"/>
          <w:sz w:val="17"/>
          <w:szCs w:val="17"/>
          <w:color w:val="auto"/>
        </w:rPr>
      </w:pPr>
    </w:p>
    <w:p>
      <w:pPr>
        <w:ind w:left="460" w:firstLine="443"/>
        <w:spacing w:after="0" w:line="277" w:lineRule="auto"/>
        <w:tabs>
          <w:tab w:leader="none" w:pos="115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117" w:lineRule="exact"/>
        <w:rPr>
          <w:rFonts w:ascii="Arial" w:cs="Arial" w:eastAsia="Arial" w:hAnsi="Arial"/>
          <w:sz w:val="18"/>
          <w:szCs w:val="18"/>
          <w:color w:val="auto"/>
        </w:rPr>
      </w:pPr>
    </w:p>
    <w:p>
      <w:pPr>
        <w:jc w:val="both"/>
        <w:ind w:left="460" w:firstLine="443"/>
        <w:spacing w:after="0" w:line="264" w:lineRule="auto"/>
        <w:tabs>
          <w:tab w:leader="none" w:pos="115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90" w:name="page91"/>
    <w:bookmarkEnd w:id="90"/>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failure of a Lender to execute and deliver an Assignment and Assumption shall not impair the validity of the removal of such Lender and the mandatory assignment of such Lender’s Commitments and outstanding Loans pursuant to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shall nevertheless be effective without the execution by such Lender of an Assignment and Assumption.</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ADI to require such assignment and delegation cease to apply.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Governing Law; Jurisdiction; Etc.</w:t>
      </w:r>
    </w:p>
    <w:p>
      <w:pPr>
        <w:spacing w:after="0" w:line="117" w:lineRule="exact"/>
        <w:rPr>
          <w:sz w:val="20"/>
          <w:szCs w:val="20"/>
          <w:color w:val="auto"/>
        </w:rPr>
      </w:pPr>
    </w:p>
    <w:p>
      <w:pPr>
        <w:jc w:val="both"/>
        <w:ind w:firstLine="464"/>
        <w:spacing w:after="0" w:line="257" w:lineRule="auto"/>
        <w:tabs>
          <w:tab w:leader="none" w:pos="71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8" w:lineRule="exact"/>
        <w:rPr>
          <w:rFonts w:ascii="Arial" w:cs="Arial" w:eastAsia="Arial" w:hAnsi="Arial"/>
          <w:sz w:val="18"/>
          <w:szCs w:val="18"/>
          <w:color w:val="auto"/>
        </w:rPr>
      </w:pPr>
    </w:p>
    <w:p>
      <w:pPr>
        <w:jc w:val="both"/>
        <w:ind w:firstLine="464"/>
        <w:spacing w:after="0" w:line="252" w:lineRule="auto"/>
        <w:tabs>
          <w:tab w:leader="none" w:pos="738"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xml:space="preserve"> EACH LOAN PARTY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OTHER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ITS PROPERTIES IN THE COURTS OF ANY JURISDICTION.</w:t>
      </w:r>
    </w:p>
    <w:p>
      <w:pPr>
        <w:spacing w:after="0" w:line="197" w:lineRule="exact"/>
        <w:rPr>
          <w:rFonts w:ascii="Arial" w:cs="Arial" w:eastAsia="Arial" w:hAnsi="Arial"/>
          <w:sz w:val="18"/>
          <w:szCs w:val="18"/>
          <w:color w:val="auto"/>
        </w:rPr>
      </w:pPr>
    </w:p>
    <w:p>
      <w:pPr>
        <w:ind w:firstLine="464"/>
        <w:spacing w:after="0" w:line="277" w:lineRule="auto"/>
        <w:tabs>
          <w:tab w:leader="none" w:pos="75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EACH LOAN PARTY IRREVOCABLY AND UNCONDITIONALLY WAIVES, TO THE FULLEST EXTENT PERMITTED 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91" w:name="page92"/>
    <w:bookmarkEnd w:id="91"/>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88" w:lineRule="exact"/>
        <w:rPr>
          <w:sz w:val="20"/>
          <w:szCs w:val="20"/>
          <w:color w:val="auto"/>
        </w:rPr>
      </w:pPr>
    </w:p>
    <w:p>
      <w:pPr>
        <w:jc w:val="both"/>
        <w:ind w:firstLine="464"/>
        <w:spacing w:after="0" w:line="264" w:lineRule="auto"/>
        <w:tabs>
          <w:tab w:leader="none" w:pos="711"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Waiver of Jury Trial.</w:t>
      </w:r>
    </w:p>
    <w:p>
      <w:pPr>
        <w:spacing w:after="0" w:line="11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No Advisory or Fiduciary Responsibility.</w:t>
      </w:r>
    </w:p>
    <w:p>
      <w:pPr>
        <w:spacing w:after="0" w:line="117"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In connection with all aspects of each transaction contemplated hereby (including in connection with any amendment, waiver or other modification hereof or of any other Loan Document), each Loan Party acknowledges and agrees that: (i) (A) the arranging and other services regarding this Agreement provided by the Administrative Agent, the Lenders and the Arrangers, are arm’s-length commercial transactions between it and its Affiliates, on the one hand, and the Administrative Agent, the Lenders and the Arrangers, on the other hand, and the parties hereto have a business relationship that does not and will not create, by implication or otherwise, any fiduciary duty to the Loan Parties or their Affiliates on the part of the Administrative Agent, the Lenders, the Arrangers or their Affiliates, and no such duty will be deemed to have arisen in connection with the transactions or communications provided for herein or contemplated hereby, (B) each Loan Party has consulted its own legal, accounting, regulatory and tax advisors to the extent it has deemed appropriate, and</w:t>
      </w:r>
    </w:p>
    <w:p>
      <w:pPr>
        <w:spacing w:after="0" w:line="3" w:lineRule="exact"/>
        <w:rPr>
          <w:sz w:val="20"/>
          <w:szCs w:val="20"/>
          <w:color w:val="auto"/>
        </w:rPr>
      </w:pPr>
    </w:p>
    <w:p>
      <w:pPr>
        <w:ind w:right="20" w:firstLine="8"/>
        <w:spacing w:after="0" w:line="323" w:lineRule="auto"/>
        <w:tabs>
          <w:tab w:leader="none" w:pos="28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each Loan Party is capable of evaluating, and understands and accepts, the terms, risks and conditions of the transactions contemplated hereby and by the other Loan Documents; (ii) (A) the Administrative Agent, the Lenders and the Arrangers are and have been acting solely as a principal and, except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92" w:name="page93"/>
    <w:bookmarkEnd w:id="92"/>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expressly agreed in writing by the relevant parties, have not been, are not, and will not be acting as an advisor, agent or fiduciary for it or any of its Affiliates, or any other Person and (B) none of the Administrative Agent, the Lenders nor the Arrangers have any obligation to it or any of its Affiliates with respect to the transactions contemplated hereby except those obligations expressly set forth herein and in the other Loan Documents; and (iii) the Administrative Agent, the Lenders and the Arrangers and their respective Affiliates may be engaged in a broad range of transactions that involve interests that differ from those of the Loan Parties and their Affiliates, and none of the Administrative Agent, the Lenders nor the Arrangers have any obligation to disclose any of such interests to the Loan Parties or their Affiliates.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Electronic Execution of Assignments and Certain Other Documents.</w:t>
      </w:r>
    </w:p>
    <w:p>
      <w:pPr>
        <w:spacing w:after="0" w:line="11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 xml:space="preserve">The words “execute,” “execution,” “signed,” “signature,” and words of like import in or related to any document to be signed in connection with this Agreement and the transactions contemplated hereby (including without limitation Assignment and Assumptions, amendments or other modifications,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USA PATRIOT ACT NOTICE.</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Each Lender that is subject to the USA PATRIOT Act and the Administrative Agent (for itself and not on behalf of any Lender)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or the Administrative Agent, as applicable, to identify such Loan Party in accordance with the USA PATRIOT Act. Each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Acknowledgement and Consent to Bail-In of EEA Financial Institutions.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Notwithstanding anything to the contrary in this Agreement or in any other agreement, arrangement or understanding among the parties hereto, each party hereto acknowledges that any liability of any EEA Financial Institution arising under this Agreement, to the extent such liability is unsecured, may be subject to the write-down and conversion powers of an EEA Resolution Authority and agrees and consents to, and acknowledges and agrees to be bound by:</w:t>
      </w:r>
    </w:p>
    <w:p>
      <w:pPr>
        <w:spacing w:after="0" w:line="147" w:lineRule="exact"/>
        <w:rPr>
          <w:sz w:val="20"/>
          <w:szCs w:val="20"/>
          <w:color w:val="auto"/>
        </w:rPr>
      </w:pPr>
    </w:p>
    <w:p>
      <w:pPr>
        <w:ind w:right="20" w:firstLine="464"/>
        <w:spacing w:after="0" w:line="277" w:lineRule="auto"/>
        <w:tabs>
          <w:tab w:leader="none" w:pos="70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93" w:name="page94"/>
    <w:bookmarkEnd w:id="93"/>
    <w:p>
      <w:pPr>
        <w:ind w:left="260" w:hanging="256"/>
        <w:spacing w:after="0"/>
        <w:tabs>
          <w:tab w:leader="none" w:pos="2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effects of any Bail-In Action on any such liability, including, if applicable:</w:t>
      </w:r>
    </w:p>
    <w:p>
      <w:pPr>
        <w:spacing w:after="0" w:line="117" w:lineRule="exact"/>
        <w:rPr>
          <w:rFonts w:ascii="Arial" w:cs="Arial" w:eastAsia="Arial" w:hAnsi="Arial"/>
          <w:sz w:val="18"/>
          <w:szCs w:val="18"/>
          <w:color w:val="auto"/>
        </w:rPr>
      </w:pPr>
    </w:p>
    <w:p>
      <w:pPr>
        <w:ind w:left="660" w:hanging="217"/>
        <w:spacing w:after="0"/>
        <w:tabs>
          <w:tab w:leader="none" w:pos="6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jc w:val="both"/>
        <w:ind w:firstLine="443"/>
        <w:spacing w:after="0" w:line="264" w:lineRule="auto"/>
        <w:tabs>
          <w:tab w:leader="none" w:pos="71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w:t>
      </w:r>
    </w:p>
    <w:p>
      <w:pPr>
        <w:spacing w:after="0" w:line="73" w:lineRule="exact"/>
        <w:rPr>
          <w:rFonts w:ascii="Arial" w:cs="Arial" w:eastAsia="Arial" w:hAnsi="Arial"/>
          <w:sz w:val="18"/>
          <w:szCs w:val="18"/>
          <w:color w:val="auto"/>
        </w:rPr>
      </w:pPr>
    </w:p>
    <w:p>
      <w:pPr>
        <w:ind w:left="760" w:hanging="317"/>
        <w:spacing w:after="0"/>
        <w:tabs>
          <w:tab w:leader="none" w:pos="7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variation of the terms of such liability in connection with the exercise of the write-down and conversion powers of any EEA Resolution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Authority.</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40"/>
          </w:cols>
          <w:pgMar w:left="700" w:top="274" w:right="25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date first above written.</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Ali R. Husain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Ali R. Husain</w:t>
      </w:r>
    </w:p>
    <w:p>
      <w:pPr>
        <w:spacing w:after="0" w:line="23" w:lineRule="exact"/>
        <w:rPr>
          <w:sz w:val="20"/>
          <w:szCs w:val="20"/>
          <w:color w:val="auto"/>
        </w:rPr>
      </w:pPr>
    </w:p>
    <w:p>
      <w:pPr>
        <w:ind w:left="3620" w:firstLine="3097"/>
        <w:spacing w:after="0" w:line="433" w:lineRule="auto"/>
        <w:rPr>
          <w:sz w:val="20"/>
          <w:szCs w:val="20"/>
          <w:color w:val="auto"/>
        </w:rPr>
      </w:pPr>
      <w:r>
        <w:rPr>
          <w:rFonts w:ascii="Arial" w:cs="Arial" w:eastAsia="Arial" w:hAnsi="Arial"/>
          <w:sz w:val="18"/>
          <w:szCs w:val="18"/>
          <w:color w:val="auto"/>
        </w:rPr>
        <w:t>Title: Treasurer and Director of Investor Relations [Signature Page to Bridge Credit Agreement]</w:t>
      </w:r>
    </w:p>
    <w:p>
      <w:pPr>
        <w:sectPr>
          <w:pgSz w:w="11900" w:h="16838" w:orient="portrait"/>
          <w:cols w:equalWidth="0" w:num="1">
            <w:col w:w="10500"/>
          </w:cols>
          <w:pgMar w:left="700" w:top="274" w:right="699" w:bottom="1440" w:gutter="0" w:footer="0" w:header="0"/>
        </w:sectPr>
      </w:pPr>
    </w:p>
    <w:bookmarkStart w:id="95" w:name="page96"/>
    <w:bookmarkEnd w:id="9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individually and as Administrative Agent,</w:t>
      </w:r>
    </w:p>
    <w:p>
      <w:pPr>
        <w:spacing w:after="0" w:line="24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David Gibbs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Gibbs</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Bridge Credit Agreement]</w:t>
      </w:r>
    </w:p>
    <w:p>
      <w:pPr>
        <w:sectPr>
          <w:pgSz w:w="11900" w:h="16838" w:orient="portrait"/>
          <w:cols w:equalWidth="0" w:num="1">
            <w:col w:w="9019"/>
          </w:cols>
          <w:pgMar w:left="1440" w:top="274" w:right="1440" w:bottom="1440" w:gutter="0" w:footer="0" w:header="0"/>
        </w:sectPr>
      </w:pPr>
    </w:p>
    <w:bookmarkStart w:id="96" w:name="page97"/>
    <w:bookmarkEnd w:id="9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 N.A.,</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Mukesh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Mukesh Singh</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Bridge Credit Agreement]</w:t>
      </w:r>
    </w:p>
    <w:p>
      <w:pPr>
        <w:sectPr>
          <w:pgSz w:w="11900" w:h="16838" w:orient="portrait"/>
          <w:cols w:equalWidth="0" w:num="1">
            <w:col w:w="9019"/>
          </w:cols>
          <w:pgMar w:left="1440" w:top="274" w:right="1440" w:bottom="1440" w:gutter="0" w:footer="0" w:header="0"/>
        </w:sectPr>
      </w:pPr>
    </w:p>
    <w:bookmarkStart w:id="97" w:name="page98"/>
    <w:bookmarkEnd w:id="9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SUISSE AG, CAYMAN ISLANDS BRANCH,</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Christopher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Day</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Karim Rahimtoola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Karim Rahimtoola</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Bridge Credit Agreement]</w:t>
      </w:r>
    </w:p>
    <w:p>
      <w:pPr>
        <w:sectPr>
          <w:pgSz w:w="11900" w:h="16838" w:orient="portrait"/>
          <w:cols w:equalWidth="0" w:num="1">
            <w:col w:w="9780"/>
          </w:cols>
          <w:pgMar w:left="1440" w:top="274" w:right="679" w:bottom="1440" w:gutter="0" w:footer="0" w:header="0"/>
        </w:sectPr>
      </w:pPr>
    </w:p>
    <w:bookmarkStart w:id="98" w:name="page99"/>
    <w:bookmarkEnd w:id="98"/>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1.01</w:t>
      </w:r>
    </w:p>
    <w:p>
      <w:pPr>
        <w:spacing w:after="0" w:line="225" w:lineRule="exact"/>
        <w:rPr>
          <w:sz w:val="20"/>
          <w:szCs w:val="20"/>
          <w:color w:val="auto"/>
        </w:rPr>
      </w:pPr>
    </w:p>
    <w:p>
      <w:pPr>
        <w:jc w:val="right"/>
        <w:ind w:right="2859"/>
        <w:spacing w:after="0"/>
        <w:rPr>
          <w:sz w:val="20"/>
          <w:szCs w:val="20"/>
          <w:color w:val="auto"/>
        </w:rPr>
      </w:pPr>
      <w:r>
        <w:rPr>
          <w:rFonts w:ascii="Arial" w:cs="Arial" w:eastAsia="Arial" w:hAnsi="Arial"/>
          <w:sz w:val="18"/>
          <w:szCs w:val="18"/>
          <w:b w:val="1"/>
          <w:bCs w:val="1"/>
          <w:color w:val="auto"/>
        </w:rPr>
        <w:t>CONSOLIDATED EBITDA ADD-BACKS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70" w:right="1440" w:bottom="1440" w:gutter="0" w:footer="0" w:header="0"/>
        </w:sectPr>
      </w:pPr>
    </w:p>
    <w:bookmarkStart w:id="99" w:name="page100"/>
    <w:bookmarkEnd w:id="99"/>
    <w:tbl>
      <w:tblPr>
        <w:tblLayout w:type="fixed"/>
        <w:tblInd w:w="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640" w:type="dxa"/>
            <w:vAlign w:val="bottom"/>
            <w:gridSpan w:val="4"/>
          </w:tcPr>
          <w:p>
            <w:pPr>
              <w:jc w:val="center"/>
              <w:ind w:right="3140"/>
              <w:spacing w:after="0"/>
              <w:rPr>
                <w:sz w:val="20"/>
                <w:szCs w:val="20"/>
                <w:color w:val="auto"/>
              </w:rPr>
            </w:pPr>
            <w:r>
              <w:rPr>
                <w:rFonts w:ascii="Arial" w:cs="Arial" w:eastAsia="Arial" w:hAnsi="Arial"/>
                <w:sz w:val="18"/>
                <w:szCs w:val="18"/>
                <w:b w:val="1"/>
                <w:bCs w:val="1"/>
                <w:color w:val="auto"/>
                <w:w w:val="96"/>
              </w:rPr>
              <w:t>SCHEDULE 2.01</w:t>
            </w:r>
          </w:p>
        </w:tc>
      </w:tr>
      <w:tr>
        <w:trPr>
          <w:trHeight w:val="432"/>
        </w:trPr>
        <w:tc>
          <w:tcPr>
            <w:tcW w:w="5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40" w:type="dxa"/>
            <w:vAlign w:val="bottom"/>
            <w:gridSpan w:val="4"/>
          </w:tcPr>
          <w:p>
            <w:pPr>
              <w:jc w:val="center"/>
              <w:ind w:right="3120"/>
              <w:spacing w:after="0"/>
              <w:rPr>
                <w:sz w:val="20"/>
                <w:szCs w:val="20"/>
                <w:color w:val="auto"/>
              </w:rPr>
            </w:pPr>
            <w:r>
              <w:rPr>
                <w:rFonts w:ascii="Arial" w:cs="Arial" w:eastAsia="Arial" w:hAnsi="Arial"/>
                <w:sz w:val="18"/>
                <w:szCs w:val="18"/>
                <w:b w:val="1"/>
                <w:bCs w:val="1"/>
                <w:color w:val="auto"/>
              </w:rPr>
              <w:t>COMMITMENTS</w:t>
            </w:r>
          </w:p>
        </w:tc>
      </w:tr>
      <w:tr>
        <w:trPr>
          <w:trHeight w:val="459"/>
        </w:trPr>
        <w:tc>
          <w:tcPr>
            <w:tcW w:w="3120" w:type="dxa"/>
            <w:vAlign w:val="bottom"/>
            <w:gridSpan w:val="2"/>
          </w:tcPr>
          <w:p>
            <w:pPr>
              <w:spacing w:after="0"/>
              <w:rPr>
                <w:sz w:val="20"/>
                <w:szCs w:val="20"/>
                <w:color w:val="auto"/>
              </w:rPr>
            </w:pPr>
            <w:r>
              <w:rPr>
                <w:rFonts w:ascii="Arial" w:cs="Arial" w:eastAsia="Arial" w:hAnsi="Arial"/>
                <w:sz w:val="18"/>
                <w:szCs w:val="18"/>
                <w:color w:val="auto"/>
              </w:rPr>
              <w:t>Lender</w:t>
            </w: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Commitment</w:t>
            </w: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17"/>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3100" w:type="dxa"/>
            <w:vAlign w:val="bottom"/>
            <w:gridSpan w:val="2"/>
            <w:shd w:val="clear" w:color="auto" w:fill="CCEEFF"/>
          </w:tcPr>
          <w:p>
            <w:pPr>
              <w:spacing w:after="0"/>
              <w:rPr>
                <w:sz w:val="18"/>
                <w:szCs w:val="18"/>
                <w:color w:val="auto"/>
              </w:rPr>
            </w:pPr>
          </w:p>
        </w:tc>
        <w:tc>
          <w:tcPr>
            <w:tcW w:w="1480" w:type="dxa"/>
            <w:vAlign w:val="bottom"/>
            <w:shd w:val="clear" w:color="auto" w:fill="CCEEFF"/>
          </w:tcPr>
          <w:p>
            <w:pPr>
              <w:jc w:val="center"/>
              <w:spacing w:after="0" w:line="217" w:lineRule="exact"/>
              <w:rPr>
                <w:sz w:val="20"/>
                <w:szCs w:val="20"/>
                <w:color w:val="auto"/>
              </w:rPr>
            </w:pPr>
            <w:r>
              <w:rPr>
                <w:rFonts w:ascii="Arial" w:cs="Arial" w:eastAsia="Arial" w:hAnsi="Arial"/>
                <w:sz w:val="20"/>
                <w:szCs w:val="20"/>
                <w:color w:val="auto"/>
                <w:w w:val="88"/>
              </w:rPr>
              <w:t>$1,640,000,000.00</w:t>
            </w:r>
          </w:p>
        </w:tc>
        <w:tc>
          <w:tcPr>
            <w:tcW w:w="60" w:type="dxa"/>
            <w:vAlign w:val="bottom"/>
            <w:shd w:val="clear" w:color="auto" w:fill="CCEEFF"/>
          </w:tcPr>
          <w:p>
            <w:pPr>
              <w:spacing w:after="0"/>
              <w:rPr>
                <w:sz w:val="18"/>
                <w:szCs w:val="18"/>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4580" w:type="dxa"/>
            <w:vAlign w:val="bottom"/>
            <w:gridSpan w:val="3"/>
          </w:tcPr>
          <w:p>
            <w:pPr>
              <w:jc w:val="center"/>
              <w:ind w:left="2985"/>
              <w:spacing w:after="0"/>
              <w:rPr>
                <w:sz w:val="20"/>
                <w:szCs w:val="20"/>
                <w:color w:val="auto"/>
              </w:rPr>
            </w:pPr>
            <w:r>
              <w:rPr>
                <w:rFonts w:ascii="Arial" w:cs="Arial" w:eastAsia="Arial" w:hAnsi="Arial"/>
                <w:sz w:val="20"/>
                <w:szCs w:val="20"/>
                <w:color w:val="auto"/>
                <w:w w:val="89"/>
              </w:rPr>
              <w:t>$1,230,000,000.00</w:t>
            </w:r>
          </w:p>
        </w:tc>
        <w:tc>
          <w:tcPr>
            <w:tcW w:w="60" w:type="dxa"/>
            <w:vAlign w:val="bottom"/>
          </w:tcPr>
          <w:p>
            <w:pPr>
              <w:spacing w:after="0"/>
              <w:rPr>
                <w:sz w:val="19"/>
                <w:szCs w:val="19"/>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Credit Suisse AG, Cayman Islands Branch</w:t>
            </w:r>
          </w:p>
        </w:tc>
        <w:tc>
          <w:tcPr>
            <w:tcW w:w="4580" w:type="dxa"/>
            <w:vAlign w:val="bottom"/>
            <w:gridSpan w:val="3"/>
            <w:shd w:val="clear" w:color="auto" w:fill="CCEEFF"/>
          </w:tcPr>
          <w:p>
            <w:pPr>
              <w:jc w:val="center"/>
              <w:ind w:left="2985"/>
              <w:spacing w:after="0"/>
              <w:rPr>
                <w:sz w:val="20"/>
                <w:szCs w:val="20"/>
                <w:color w:val="auto"/>
              </w:rPr>
            </w:pPr>
            <w:r>
              <w:rPr>
                <w:rFonts w:ascii="Arial" w:cs="Arial" w:eastAsia="Arial" w:hAnsi="Arial"/>
                <w:sz w:val="20"/>
                <w:szCs w:val="20"/>
                <w:u w:val="single" w:color="auto"/>
                <w:color w:val="auto"/>
                <w:w w:val="89"/>
              </w:rPr>
              <w:t>$</w:t>
            </w:r>
            <w:r>
              <w:rPr>
                <w:rFonts w:ascii="Arial" w:cs="Arial" w:eastAsia="Arial" w:hAnsi="Arial"/>
                <w:sz w:val="20"/>
                <w:szCs w:val="20"/>
                <w:color w:val="auto"/>
                <w:w w:val="89"/>
              </w:rPr>
              <w:t>1,230,000,000.00</w:t>
            </w:r>
          </w:p>
        </w:tc>
        <w:tc>
          <w:tcPr>
            <w:tcW w:w="60" w:type="dxa"/>
            <w:vAlign w:val="bottom"/>
            <w:shd w:val="clear" w:color="auto" w:fill="CCEEFF"/>
          </w:tcPr>
          <w:p>
            <w:pPr>
              <w:spacing w:after="0"/>
              <w:rPr>
                <w:sz w:val="19"/>
                <w:szCs w:val="19"/>
                <w:color w:val="auto"/>
              </w:rPr>
            </w:pPr>
          </w:p>
        </w:tc>
      </w:tr>
      <w:tr>
        <w:trPr>
          <w:trHeight w:val="237"/>
        </w:trPr>
        <w:tc>
          <w:tcPr>
            <w:tcW w:w="3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u w:val="single" w:color="auto"/>
                <w:color w:val="auto"/>
                <w:w w:val="88"/>
              </w:rPr>
              <w:t>$</w:t>
            </w:r>
            <w:r>
              <w:rPr>
                <w:rFonts w:ascii="Arial" w:cs="Arial" w:eastAsia="Arial" w:hAnsi="Arial"/>
                <w:sz w:val="20"/>
                <w:szCs w:val="20"/>
                <w:color w:val="auto"/>
                <w:w w:val="88"/>
              </w:rPr>
              <w:t>4,100,000,000.00</w:t>
            </w:r>
          </w:p>
        </w:tc>
        <w:tc>
          <w:tcPr>
            <w:tcW w:w="6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9019"/>
          </w:cols>
          <w:pgMar w:left="1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0" w:name="page101"/>
    <w:bookmarkEnd w:id="10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5.13</w:t>
      </w:r>
    </w:p>
    <w:p>
      <w:pPr>
        <w:spacing w:after="0" w:line="225" w:lineRule="exact"/>
        <w:rPr>
          <w:sz w:val="20"/>
          <w:szCs w:val="20"/>
          <w:color w:val="auto"/>
        </w:rPr>
      </w:pPr>
    </w:p>
    <w:p>
      <w:pPr>
        <w:jc w:val="right"/>
        <w:ind w:right="3359"/>
        <w:spacing w:after="0"/>
        <w:rPr>
          <w:sz w:val="20"/>
          <w:szCs w:val="20"/>
          <w:color w:val="auto"/>
        </w:rPr>
      </w:pPr>
      <w:r>
        <w:rPr>
          <w:rFonts w:ascii="Arial" w:cs="Arial" w:eastAsia="Arial" w:hAnsi="Arial"/>
          <w:sz w:val="18"/>
          <w:szCs w:val="18"/>
          <w:b w:val="1"/>
          <w:bCs w:val="1"/>
          <w:color w:val="auto"/>
        </w:rPr>
        <w:t>MATERIAL SUBSIDIARIES</w:t>
      </w:r>
    </w:p>
    <w:p>
      <w:pPr>
        <w:spacing w:after="0" w:line="135"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Subsidiary Name:   Analog Devices Technology Unlimited Company</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Jurisdiction of Organization:   Ireland</w:t>
      </w:r>
    </w:p>
    <w:p>
      <w:pPr>
        <w:spacing w:after="0" w:line="130" w:lineRule="exact"/>
        <w:rPr>
          <w:rFonts w:ascii="Arial" w:cs="Arial" w:eastAsia="Arial" w:hAnsi="Arial"/>
          <w:sz w:val="18"/>
          <w:szCs w:val="18"/>
          <w:color w:val="auto"/>
        </w:rPr>
      </w:pPr>
    </w:p>
    <w:p>
      <w:pPr>
        <w:ind w:left="460" w:right="6559" w:hanging="452"/>
        <w:spacing w:after="0" w:line="431" w:lineRule="auto"/>
        <w:tabs>
          <w:tab w:leader="none" w:pos="44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Analog Devices Global Unlimited Company Jurisdiction of Organization: Ireland</w:t>
      </w: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Hittite Microwave LLC</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Jurisdiction of Organization:   Delaware, United States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Subsidiary Name:   Analog Devices International Unlimited Company</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Jurisdiction of Organization:   Ireland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Subsidiary Name:   Linear Technology Corporation</w:t>
      </w:r>
      <w:r>
        <w:rPr>
          <w:rFonts w:ascii="Arial" w:cs="Arial" w:eastAsia="Arial" w:hAnsi="Arial"/>
          <w:sz w:val="15"/>
          <w:szCs w:val="15"/>
          <w:color w:val="auto"/>
        </w:rPr>
        <w:t>1</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Jurisdiction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113"/>
        </w:numPr>
        <w:rPr>
          <w:rFonts w:ascii="Arial" w:cs="Arial" w:eastAsia="Arial" w:hAnsi="Arial"/>
          <w:sz w:val="15"/>
          <w:szCs w:val="15"/>
          <w:color w:val="auto"/>
        </w:rPr>
      </w:pPr>
      <w:r>
        <w:rPr>
          <w:rFonts w:ascii="Arial" w:cs="Arial" w:eastAsia="Arial" w:hAnsi="Arial"/>
          <w:sz w:val="18"/>
          <w:szCs w:val="18"/>
          <w:color w:val="auto"/>
        </w:rPr>
        <w:t>To become a subsidiary contemporaneously with the closing of the Merger.</w:t>
      </w:r>
    </w:p>
    <w:p>
      <w:pPr>
        <w:sectPr>
          <w:pgSz w:w="11900" w:h="16838" w:orient="portrait"/>
          <w:cols w:equalWidth="0" w:num="1">
            <w:col w:w="10219"/>
          </w:cols>
          <w:pgMar w:left="240" w:top="270" w:right="1440" w:bottom="1440" w:gutter="0" w:footer="0" w:header="0"/>
        </w:sectPr>
      </w:pPr>
    </w:p>
    <w:bookmarkStart w:id="101" w:name="page102"/>
    <w:bookmarkEnd w:id="101"/>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5.17</w:t>
      </w:r>
    </w:p>
    <w:p>
      <w:pPr>
        <w:spacing w:after="0" w:line="225" w:lineRule="exact"/>
        <w:rPr>
          <w:sz w:val="20"/>
          <w:szCs w:val="20"/>
          <w:color w:val="auto"/>
        </w:rPr>
      </w:pPr>
    </w:p>
    <w:p>
      <w:pPr>
        <w:jc w:val="right"/>
        <w:ind w:right="2819"/>
        <w:spacing w:after="0"/>
        <w:rPr>
          <w:sz w:val="20"/>
          <w:szCs w:val="20"/>
          <w:color w:val="auto"/>
        </w:rPr>
      </w:pPr>
      <w:r>
        <w:rPr>
          <w:rFonts w:ascii="Arial" w:cs="Arial" w:eastAsia="Arial" w:hAnsi="Arial"/>
          <w:sz w:val="18"/>
          <w:szCs w:val="18"/>
          <w:b w:val="1"/>
          <w:bCs w:val="1"/>
          <w:color w:val="auto"/>
        </w:rPr>
        <w:t>TAXPAYER IDENTIFICATION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TIN: 04-2348234</w:t>
      </w:r>
    </w:p>
    <w:p>
      <w:pPr>
        <w:sectPr>
          <w:pgSz w:w="11900" w:h="16838" w:orient="portrait"/>
          <w:cols w:equalWidth="0" w:num="1">
            <w:col w:w="10219"/>
          </w:cols>
          <w:pgMar w:left="240" w:top="270" w:right="1440" w:bottom="1440" w:gutter="0" w:footer="0" w:header="0"/>
        </w:sectPr>
      </w:pPr>
    </w:p>
    <w:bookmarkStart w:id="102" w:name="page103"/>
    <w:bookmarkEnd w:id="102"/>
    <w:p>
      <w:pPr>
        <w:jc w:val="center"/>
        <w:ind w:right="-12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7.01</w:t>
      </w:r>
    </w:p>
    <w:p>
      <w:pPr>
        <w:spacing w:after="0" w:line="237"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LIENS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70" w:right="1440"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 2016, a wholly-owned subsidiary, Analog Devices Holdings B.V. (ADBV), acquired SNAP Sensor SA (SNAP). The acquisition agreement includes a contingent consideration arrangement which may require additional cash payments to the former equity holders of SNAP of up to $1.5 million due on or before December 31,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29, 2016 Analog Devices Inc. completed its acquisition of certain assets from Vescent Photonics Inc. (“</w:t>
      </w:r>
      <w:r>
        <w:rPr>
          <w:rFonts w:ascii="Arial" w:cs="Arial" w:eastAsia="Arial" w:hAnsi="Arial"/>
          <w:sz w:val="18"/>
          <w:szCs w:val="18"/>
          <w:u w:val="single" w:color="auto"/>
          <w:color w:val="auto"/>
        </w:rPr>
        <w:t>Vescent</w:t>
      </w:r>
      <w:r>
        <w:rPr>
          <w:rFonts w:ascii="Arial" w:cs="Arial" w:eastAsia="Arial" w:hAnsi="Arial"/>
          <w:sz w:val="18"/>
          <w:szCs w:val="18"/>
          <w:color w:val="auto"/>
        </w:rPr>
        <w:t>”). The acquisition agreement includes a contingent consideration arrangement which may require additional cash payments to the former equity holders of Vescent of up to $7 million due on or before September 1, 2019.</w:t>
      </w:r>
    </w:p>
    <w:p>
      <w:pPr>
        <w:sectPr>
          <w:pgSz w:w="11900" w:h="16838" w:orient="portrait"/>
          <w:cols w:equalWidth="0" w:num="1">
            <w:col w:w="11420"/>
          </w:cols>
          <w:pgMar w:left="240" w:top="270" w:right="239" w:bottom="1440" w:gutter="0" w:footer="0" w:header="0"/>
        </w:sectPr>
      </w:pPr>
    </w:p>
    <w:bookmarkStart w:id="104" w:name="page105"/>
    <w:bookmarkEnd w:id="104"/>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10.02</w:t>
      </w:r>
    </w:p>
    <w:p>
      <w:pPr>
        <w:spacing w:after="0" w:line="225" w:lineRule="exact"/>
        <w:rPr>
          <w:sz w:val="20"/>
          <w:szCs w:val="20"/>
          <w:color w:val="auto"/>
        </w:rPr>
      </w:pPr>
    </w:p>
    <w:p>
      <w:pPr>
        <w:jc w:val="right"/>
        <w:ind w:right="2879"/>
        <w:spacing w:after="0"/>
        <w:rPr>
          <w:sz w:val="20"/>
          <w:szCs w:val="20"/>
          <w:color w:val="auto"/>
        </w:rPr>
      </w:pPr>
      <w:r>
        <w:rPr>
          <w:rFonts w:ascii="Arial" w:cs="Arial" w:eastAsia="Arial" w:hAnsi="Arial"/>
          <w:sz w:val="18"/>
          <w:szCs w:val="18"/>
          <w:b w:val="1"/>
          <w:bCs w:val="1"/>
          <w:color w:val="auto"/>
        </w:rPr>
        <w:t>ADMINISTRATIVE AGENT’S OFFICE;</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CERTAIN ADDRESSES FOR NOTICES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Address for ADI: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 02062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Ali Husain, Treasurer and Director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781-461-3796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Ali.Husain@Analog.com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 Address for Administrative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Agent’s Office (for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 South Dearborn L2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Leonida Mischke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312-385-7055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888-292-9533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jpm.agency.servicing.4@jpmchase.com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 Instruction: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ABA # 021000021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Name: LS2 Incoming Account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No.: 9008113381C5600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LS2 Incoming Account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Analog Devices,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Notices as Administrative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 South Dearborn L2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Prashanth Kallakuri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855-609-9959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214-307-6874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Chicago.lc.agency.closing.team@jpmorgan.com</w:t>
      </w:r>
    </w:p>
    <w:p>
      <w:pPr>
        <w:sectPr>
          <w:pgSz w:w="11900" w:h="16838" w:orient="portrait"/>
          <w:cols w:equalWidth="0" w:num="1">
            <w:col w:w="10219"/>
          </w:cols>
          <w:pgMar w:left="240" w:top="270"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ASSUMPTION, RELEASE AND GUARANTEE AGREEMENT</w:t>
      </w:r>
    </w:p>
    <w:p>
      <w:pPr>
        <w:spacing w:after="0" w:line="103" w:lineRule="exact"/>
        <w:rPr>
          <w:sz w:val="20"/>
          <w:szCs w:val="20"/>
          <w:color w:val="auto"/>
        </w:rPr>
      </w:pPr>
    </w:p>
    <w:p>
      <w:pPr>
        <w:jc w:val="both"/>
        <w:ind w:left="1500" w:firstLine="397"/>
        <w:spacing w:after="0" w:line="259" w:lineRule="auto"/>
        <w:rPr>
          <w:sz w:val="20"/>
          <w:szCs w:val="20"/>
          <w:color w:val="auto"/>
        </w:rPr>
      </w:pPr>
      <w:r>
        <w:rPr>
          <w:rFonts w:ascii="Arial" w:cs="Arial" w:eastAsia="Arial" w:hAnsi="Arial"/>
          <w:sz w:val="18"/>
          <w:szCs w:val="18"/>
          <w:color w:val="auto"/>
        </w:rPr>
        <w:t>ASSUMPTION, RELEASE AND GUARANTEE dated as of [●]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ANALOG DEVICES, INC. (“</w:t>
      </w:r>
      <w:r>
        <w:rPr>
          <w:rFonts w:ascii="Arial" w:cs="Arial" w:eastAsia="Arial" w:hAnsi="Arial"/>
          <w:sz w:val="18"/>
          <w:szCs w:val="18"/>
          <w:u w:val="single" w:color="auto"/>
          <w:color w:val="auto"/>
        </w:rPr>
        <w:t>ADI</w:t>
      </w:r>
      <w:r>
        <w:rPr>
          <w:rFonts w:ascii="Arial" w:cs="Arial" w:eastAsia="Arial" w:hAnsi="Arial"/>
          <w:sz w:val="18"/>
          <w:szCs w:val="18"/>
          <w:color w:val="auto"/>
        </w:rPr>
        <w:t>”),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ANALOG DEVICES TECHNOLOGY, a company incorporated under the laws of the Republic of Ireland and a wholly owned subsidiary of ADI (the “</w:t>
      </w:r>
      <w:r>
        <w:rPr>
          <w:rFonts w:ascii="Arial" w:cs="Arial" w:eastAsia="Arial" w:hAnsi="Arial"/>
          <w:sz w:val="18"/>
          <w:szCs w:val="18"/>
          <w:u w:val="single" w:color="auto"/>
          <w:color w:val="auto"/>
        </w:rPr>
        <w:t>Subsidiary Borrower</w:t>
      </w:r>
      <w:r>
        <w:rPr>
          <w:rFonts w:ascii="Arial" w:cs="Arial" w:eastAsia="Arial" w:hAnsi="Arial"/>
          <w:sz w:val="18"/>
          <w:szCs w:val="18"/>
          <w:color w:val="auto"/>
        </w:rPr>
        <w:t>”).</w:t>
      </w:r>
    </w:p>
    <w:p>
      <w:pPr>
        <w:spacing w:after="0" w:line="187"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Reference is made to the Bridge Credit Agreement dated as of March 10, 2017 (as amended, restated, amended and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ADI, the lenders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and the Administrative Agent. Capitalized terms used and not otherwise defined herein have the meanings assigned to them in the Credit Agreement.</w:t>
      </w:r>
    </w:p>
    <w:p>
      <w:pPr>
        <w:spacing w:after="0" w:line="166"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As of the date hereof, ADI is the primary obligor in respect of all of the Obligations, and the “Borrower”, for all purposes of the Credit Agreement and the other Loan Documents.</w:t>
      </w:r>
    </w:p>
    <w:p>
      <w:pPr>
        <w:spacing w:after="0" w:line="170"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In consideration of the direct or indirect transfer by ADI of certain assets to the Subsidiary Borrower, the Subsidiary Borrower has agreed to assume [all][a portion] of the Loans made to ADI under the Credit Agreement and, in connection therewith, to become the “Borrower” for [all purposes of] [such portion of the Loans made under] the Credit Agreement.</w:t>
      </w:r>
    </w:p>
    <w:p>
      <w:pPr>
        <w:spacing w:after="0" w:line="181"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 xml:space="preserve">Pursuant to the Credit Agreement, the Lenders have authorized the Administrative Agent, on behalf of itself and the Lenders, to enter into this Agreement to release ADI as the primary obligor in respect of the Subsidiary Borrower Obligations (as defined below), and as “Borrower” for the Subsidiary Borrower Obligations, for all purposes of the Credit Agreement and the other Loan Documents, and to substitute the Subsidiary Borrower therefor as “Borrower” for the Subsidiary Borrower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ADI agrees pursuant to this Agreement to irrevocably and unconditionally guarantee (the “</w:t>
      </w:r>
      <w:r>
        <w:rPr>
          <w:rFonts w:ascii="Arial" w:cs="Arial" w:eastAsia="Arial" w:hAnsi="Arial"/>
          <w:sz w:val="17"/>
          <w:szCs w:val="17"/>
          <w:u w:val="single" w:color="auto"/>
          <w:color w:val="auto"/>
        </w:rPr>
        <w:t>Guaranty</w:t>
      </w:r>
      <w:r>
        <w:rPr>
          <w:rFonts w:ascii="Arial" w:cs="Arial" w:eastAsia="Arial" w:hAnsi="Arial"/>
          <w:sz w:val="17"/>
          <w:szCs w:val="17"/>
          <w:color w:val="auto"/>
        </w:rPr>
        <w:t>”) all of the obligations of the Subsidiary Borrower hereunder and under the Credit Agreement.</w:t>
      </w:r>
    </w:p>
    <w:p>
      <w:pPr>
        <w:spacing w:after="0" w:line="173"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Accordingly, for good and valuable consideration, the receipt and sufficiency of which are hereby acknowledged, and intending to be legally bound hereby, the parties hereto agree as follows:</w:t>
      </w:r>
    </w:p>
    <w:p>
      <w:pPr>
        <w:spacing w:after="0" w:line="170" w:lineRule="exact"/>
        <w:rPr>
          <w:sz w:val="20"/>
          <w:szCs w:val="20"/>
          <w:color w:val="auto"/>
        </w:rPr>
      </w:pPr>
    </w:p>
    <w:p>
      <w:pPr>
        <w:jc w:val="both"/>
        <w:ind w:firstLine="921"/>
        <w:spacing w:after="0" w:line="259" w:lineRule="auto"/>
        <w:tabs>
          <w:tab w:leader="none" w:pos="109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Assumption</w:t>
      </w:r>
      <w:r>
        <w:rPr>
          <w:rFonts w:ascii="Arial" w:cs="Arial" w:eastAsia="Arial" w:hAnsi="Arial"/>
          <w:sz w:val="18"/>
          <w:szCs w:val="18"/>
          <w:color w:val="auto"/>
        </w:rPr>
        <w:t>. The Subsidiary Borrower hereby assumes, and shall be primarily liable for, [all the Loans under the Credit Agreement][the Loans under the Credit Agreement identified on Annex I hereto] (the “</w:t>
      </w:r>
      <w:r>
        <w:rPr>
          <w:rFonts w:ascii="Arial" w:cs="Arial" w:eastAsia="Arial" w:hAnsi="Arial"/>
          <w:sz w:val="18"/>
          <w:szCs w:val="18"/>
          <w:u w:val="single" w:color="auto"/>
          <w:color w:val="auto"/>
        </w:rPr>
        <w:t>Subsidiary Borrower Obligations</w:t>
      </w:r>
      <w:r>
        <w:rPr>
          <w:rFonts w:ascii="Arial" w:cs="Arial" w:eastAsia="Arial" w:hAnsi="Arial"/>
          <w:sz w:val="18"/>
          <w:szCs w:val="18"/>
          <w:color w:val="auto"/>
        </w:rPr>
        <w:t>”). In accordance with and pursuant to the definition of the term “Borrower” in Section 1.01 of the Credit Agreement, by its signature below, the Subsidiary Borrower hereby becomes [the “Borrower”][the “Borrower” in respect of the Subsidiary Borrower Obligations] under the Credit</w:t>
      </w:r>
    </w:p>
    <w:p>
      <w:pPr>
        <w:sectPr>
          <w:pgSz w:w="11900" w:h="16838" w:orient="portrait"/>
          <w:cols w:equalWidth="0" w:num="1">
            <w:col w:w="11420"/>
          </w:cols>
          <w:pgMar w:left="240" w:top="270" w:right="239" w:bottom="1440" w:gutter="0" w:footer="0" w:header="0"/>
        </w:sectPr>
      </w:pPr>
    </w:p>
    <w:bookmarkStart w:id="106" w:name="page107"/>
    <w:bookmarkEnd w:id="106"/>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and the other Loan Documents with the same force and effect as if it had executed the Credit Agreement and the other Loan Documents to which the “Borrower” is a party as the “Borrower” on the Closing Date. The Subsidiary Borrower hereby agrees to and shall be bound by all the terms and provisions of the Credit Agreement and the other Loan Documents applicable to it as [the][a] Borrower thereunder.</w:t>
      </w:r>
    </w:p>
    <w:p>
      <w:pPr>
        <w:spacing w:after="0" w:line="181" w:lineRule="exact"/>
        <w:rPr>
          <w:sz w:val="20"/>
          <w:szCs w:val="20"/>
          <w:color w:val="auto"/>
        </w:rPr>
      </w:pPr>
    </w:p>
    <w:p>
      <w:pPr>
        <w:ind w:left="1100" w:hanging="179"/>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Guaranty</w:t>
      </w:r>
      <w:r>
        <w:rPr>
          <w:rFonts w:ascii="Arial" w:cs="Arial" w:eastAsia="Arial" w:hAnsi="Arial"/>
          <w:sz w:val="18"/>
          <w:szCs w:val="18"/>
          <w:color w:val="auto"/>
        </w:rPr>
        <w:t>.</w:t>
      </w:r>
    </w:p>
    <w:p>
      <w:pPr>
        <w:spacing w:after="0" w:line="225" w:lineRule="exact"/>
        <w:rPr>
          <w:sz w:val="20"/>
          <w:szCs w:val="20"/>
          <w:color w:val="auto"/>
        </w:rPr>
      </w:pPr>
    </w:p>
    <w:p>
      <w:pPr>
        <w:jc w:val="both"/>
        <w:ind w:firstLine="921"/>
        <w:spacing w:after="0" w:line="255" w:lineRule="auto"/>
        <w:tabs>
          <w:tab w:leader="none" w:pos="116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2(f)</w:t>
      </w:r>
      <w:r>
        <w:rPr>
          <w:rFonts w:ascii="Arial" w:cs="Arial" w:eastAsia="Arial" w:hAnsi="Arial"/>
          <w:sz w:val="18"/>
          <w:szCs w:val="18"/>
          <w:color w:val="auto"/>
        </w:rPr>
        <w:t xml:space="preserve"> below, ADI hereby irrevocably and unconditionally guarantees (the “</w:t>
      </w:r>
      <w:r>
        <w:rPr>
          <w:rFonts w:ascii="Arial" w:cs="Arial" w:eastAsia="Arial" w:hAnsi="Arial"/>
          <w:sz w:val="18"/>
          <w:szCs w:val="18"/>
          <w:u w:val="single" w:color="auto"/>
          <w:color w:val="auto"/>
        </w:rPr>
        <w:t>Guaranty</w:t>
      </w:r>
      <w:r>
        <w:rPr>
          <w:rFonts w:ascii="Arial" w:cs="Arial" w:eastAsia="Arial" w:hAnsi="Arial"/>
          <w:sz w:val="18"/>
          <w:szCs w:val="18"/>
          <w:color w:val="auto"/>
        </w:rPr>
        <w:t>”), to the Administrative Agent and the Lenders, the due and punctual payment and performance of all of the Subsidiary Borrower Obligations (the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ADI further agrees that the Guaranteed Obligations may be extended or renewed, in whole or in part, without notice to or further assent from it, and that it will remain bound upon its guarantee notwithstanding any extension or renewal of any Guaranteed Obligation. To the fullest extent permitted by applicable law, ADI waives presentment to, demand of payment from and protest to the Subsidiary Borrower of any Guaranteed Obligation, and also waives notice of acceptance of its Guaranty and notice of protest for nonpayment.</w:t>
      </w:r>
    </w:p>
    <w:p>
      <w:pPr>
        <w:spacing w:after="0" w:line="193" w:lineRule="exact"/>
        <w:rPr>
          <w:rFonts w:ascii="Arial" w:cs="Arial" w:eastAsia="Arial" w:hAnsi="Arial"/>
          <w:sz w:val="18"/>
          <w:szCs w:val="18"/>
          <w:color w:val="auto"/>
        </w:rPr>
      </w:pPr>
    </w:p>
    <w:p>
      <w:pPr>
        <w:jc w:val="both"/>
        <w:ind w:firstLine="921"/>
        <w:spacing w:after="0" w:line="257" w:lineRule="auto"/>
        <w:tabs>
          <w:tab w:leader="none" w:pos="117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2(f)</w:t>
      </w:r>
      <w:r>
        <w:rPr>
          <w:rFonts w:ascii="Arial" w:cs="Arial" w:eastAsia="Arial" w:hAnsi="Arial"/>
          <w:sz w:val="18"/>
          <w:szCs w:val="18"/>
          <w:color w:val="auto"/>
        </w:rPr>
        <w:t xml:space="preserve"> below, ADI further agrees that its Guaranty hereunder constitutes a guarantee of payment when due (whether or not any bankruptcy, insolvency, receivership or similar proceeding shall have stayed any of the Guaranteed Obligations or operated as a discharge thereof) and not of collection, and waives, to the fullest extent permitted by applicable law, any requirement that any resort be had, right be exhausted or action be taken by the Administrative Agent against the Subsidiary Borrower or any other Person. ADI agrees that its Guaranty hereunder is continuing in nature and applies to all Guaranteed Obligations, either currently existing or hereafter incurred.</w:t>
      </w:r>
    </w:p>
    <w:p>
      <w:pPr>
        <w:spacing w:after="0" w:line="188" w:lineRule="exact"/>
        <w:rPr>
          <w:rFonts w:ascii="Arial" w:cs="Arial" w:eastAsia="Arial" w:hAnsi="Arial"/>
          <w:sz w:val="18"/>
          <w:szCs w:val="18"/>
          <w:color w:val="auto"/>
        </w:rPr>
      </w:pPr>
    </w:p>
    <w:p>
      <w:pPr>
        <w:jc w:val="both"/>
        <w:ind w:firstLine="921"/>
        <w:spacing w:after="0" w:line="288" w:lineRule="auto"/>
        <w:tabs>
          <w:tab w:leader="none" w:pos="116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Except for termination of ADI’s obligations in accordance with </w:t>
      </w:r>
      <w:r>
        <w:rPr>
          <w:rFonts w:ascii="Arial" w:cs="Arial" w:eastAsia="Arial" w:hAnsi="Arial"/>
          <w:sz w:val="16"/>
          <w:szCs w:val="16"/>
          <w:u w:val="single" w:color="auto"/>
          <w:color w:val="auto"/>
        </w:rPr>
        <w:t>Section 2(h)</w:t>
      </w:r>
      <w:r>
        <w:rPr>
          <w:rFonts w:ascii="Arial" w:cs="Arial" w:eastAsia="Arial" w:hAnsi="Arial"/>
          <w:sz w:val="16"/>
          <w:szCs w:val="16"/>
          <w:color w:val="auto"/>
        </w:rPr>
        <w:t xml:space="preserve"> below, the obligations of ADI hereunder shall not be subject to any reduction, limitation, impairment or termination for any reason, including any claim of waiver, release, surrender, alteration or compromise, and shall not be subject to any defense or setoff, counterclaim, recoupment or termination whatsoever by reason of the invalidity, illegality or unenforceability of the Guaranteed Obligations, any impossibility in the performance of the Guaranteed Obligations or otherwise. Without limiting the generality of the foregoing, the obligations of ADI hereunder shall not be discharged or impaired or otherwise affected by (i) the failure of the Administrative Agent or any Lender to assert any claim or demand or to enforce any right or remedy under the provisions of any Loan Document or otherwise, (ii) any rescission, waiver, amendment or modification of, or any release from any of the terms or provisions of, any Loan Document or any other agreement, (iii) any default, failure or delay, willful or otherwise, in the performance of the Guaranteed Obligations, or (iv) any other act or omission that may or might in any manner or to any extent vary the risk of ADI or otherwise operate as a discharge of ADI as a matter of law or equity (other than the payment in full in cash of all the Guaranteed Obligations (other than contingent indemnification Guaranteed Obligations to the extent no claim giving rise thereto has been asserted)).</w:t>
      </w:r>
    </w:p>
    <w:p>
      <w:pPr>
        <w:spacing w:after="0" w:line="169" w:lineRule="exact"/>
        <w:rPr>
          <w:rFonts w:ascii="Arial" w:cs="Arial" w:eastAsia="Arial" w:hAnsi="Arial"/>
          <w:sz w:val="16"/>
          <w:szCs w:val="16"/>
          <w:color w:val="auto"/>
        </w:rPr>
      </w:pPr>
    </w:p>
    <w:p>
      <w:pPr>
        <w:ind w:firstLine="921"/>
        <w:spacing w:after="0" w:line="277" w:lineRule="auto"/>
        <w:tabs>
          <w:tab w:leader="none" w:pos="117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ADI waives any defense based on or arising out of any defense of the Subsidiary Borrower or the unenforceability of the</w:t>
      </w:r>
    </w:p>
    <w:p>
      <w:pPr>
        <w:sectPr>
          <w:pgSz w:w="11900" w:h="16838" w:orient="portrait"/>
          <w:cols w:equalWidth="0" w:num="1">
            <w:col w:w="11420"/>
          </w:cols>
          <w:pgMar w:left="240" w:top="274" w:right="239" w:bottom="1440" w:gutter="0" w:footer="0" w:header="0"/>
        </w:sectPr>
      </w:pPr>
    </w:p>
    <w:bookmarkStart w:id="107" w:name="page108"/>
    <w:bookmarkEnd w:id="107"/>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Guaranteed Obligations or any part thereof from any cause, or the cessation from any cause of the liability of the Subsidiary Borrower, other than the payment in full in cash of all the Guaranteed Obligations (other than contingent indemnification Guaranteed Obligations to the extent no claim giving rise thereto has been asserted). To the fullest extent permitted by applicable law, the Administrative Agent and the Lenders may compromise or adjust any part of the Guaranteed Obligations or make any other accommodation with the Subsidiary Borrower or exercise any other right or remedy available to them against the Subsidiary Borrower, without affecting or impairing in any way the liability of ADI hereunder except to the extent the Guaranteed Obligations have been paid in full in cash. To the fullest extent permitted by applicable law, ADI waives any defense arising out of any such election even though such election operates, pursuant to applicable law, to impair or to extinguish any right of reimbursement or subrogation or other right or remedy of ADI against the Subsidiary Borrower.</w:t>
      </w:r>
    </w:p>
    <w:p>
      <w:pPr>
        <w:spacing w:after="0" w:line="192" w:lineRule="exact"/>
        <w:rPr>
          <w:sz w:val="20"/>
          <w:szCs w:val="20"/>
          <w:color w:val="auto"/>
        </w:rPr>
      </w:pPr>
    </w:p>
    <w:p>
      <w:pPr>
        <w:jc w:val="both"/>
        <w:ind w:firstLine="921"/>
        <w:spacing w:after="0" w:line="286" w:lineRule="auto"/>
        <w:tabs>
          <w:tab w:leader="none" w:pos="116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ADI agrees that its Guaranty hereunder shall continue to be effective or be reinstated, as the case may be, if at any time payment, or any part thereof, of any Guaranteed Obligation is rescinded or must otherwise be restored by the Administrative Agent or any Lender upon the bankruptcy, insolvency or reorganization of the Subsidiary Borrower or otherwise, all as though such payment had not been made.</w:t>
      </w:r>
    </w:p>
    <w:p>
      <w:pPr>
        <w:spacing w:after="0" w:line="165" w:lineRule="exact"/>
        <w:rPr>
          <w:rFonts w:ascii="Arial" w:cs="Arial" w:eastAsia="Arial" w:hAnsi="Arial"/>
          <w:sz w:val="17"/>
          <w:szCs w:val="17"/>
          <w:color w:val="auto"/>
        </w:rPr>
      </w:pPr>
    </w:p>
    <w:p>
      <w:pPr>
        <w:jc w:val="both"/>
        <w:ind w:firstLine="921"/>
        <w:spacing w:after="0" w:line="273" w:lineRule="auto"/>
        <w:tabs>
          <w:tab w:leader="none" w:pos="114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Upon the occurrence and continuation of an Event of Default under the Credit Agreement, ADI hereby promises to and will, promptly upon written notice thereof from the Administrative Agent, forthwith pay, or cause to be paid, to the Administrative Agent for distribution to the applicable Lenders, the amount, in cash, of any unpaid Guaranteed Obligations then due and owing. Upon payment by ADI of any sums to the Administrative Agent as provided above, all rights of ADI against the Subsidiary Borrower arising as a result thereof by way of right of subrogation, contribution, reimbursement, indemnity or otherwise shall in all respects be fully subordinated to the payment in full in cash of the Guaranteed Obligations (other than contingent indemnification Guaranteed Obligations to the extent no claim giving rise thereto has been asserted).</w:t>
      </w:r>
    </w:p>
    <w:p>
      <w:pPr>
        <w:spacing w:after="0" w:line="178" w:lineRule="exact"/>
        <w:rPr>
          <w:rFonts w:ascii="Arial" w:cs="Arial" w:eastAsia="Arial" w:hAnsi="Arial"/>
          <w:sz w:val="17"/>
          <w:szCs w:val="17"/>
          <w:color w:val="auto"/>
        </w:rPr>
      </w:pPr>
    </w:p>
    <w:p>
      <w:pPr>
        <w:jc w:val="both"/>
        <w:ind w:firstLine="921"/>
        <w:spacing w:after="0" w:line="259" w:lineRule="auto"/>
        <w:tabs>
          <w:tab w:leader="none" w:pos="11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ADI assumes all responsibility for being and keeping itself informed of the Subsidiary Borrower’s financial condition and assets and of all other circumstances bearing upon the risk of nonpayment of the Guaranteed Obligations and the nature, scope and extent of the risks that ADI assumes and incurs hereunder, and agrees that neither the Administrative Agent nor any Lender will have any duty to advise ADI of information known to it or any of them regarding such circumstances or risks.</w:t>
      </w:r>
    </w:p>
    <w:p>
      <w:pPr>
        <w:spacing w:after="0" w:line="186" w:lineRule="exact"/>
        <w:rPr>
          <w:rFonts w:ascii="Arial" w:cs="Arial" w:eastAsia="Arial" w:hAnsi="Arial"/>
          <w:sz w:val="18"/>
          <w:szCs w:val="18"/>
          <w:color w:val="auto"/>
        </w:rPr>
      </w:pPr>
    </w:p>
    <w:p>
      <w:pPr>
        <w:ind w:firstLine="921"/>
        <w:spacing w:after="0" w:line="342" w:lineRule="auto"/>
        <w:tabs>
          <w:tab w:leader="none" w:pos="120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This Guaranty shall terminate (x) when all the Guaranteed Obligations have been paid in full (other than contingent indemnification Guaranteed Obligations to the extent no claim giving rise thereto has been asserted) or (y) as otherwise permitted under the terms of the Credit Agreement.</w:t>
      </w:r>
    </w:p>
    <w:p>
      <w:pPr>
        <w:spacing w:after="0" w:line="124" w:lineRule="exact"/>
        <w:rPr>
          <w:sz w:val="20"/>
          <w:szCs w:val="20"/>
          <w:color w:val="auto"/>
        </w:rPr>
      </w:pPr>
    </w:p>
    <w:p>
      <w:pPr>
        <w:jc w:val="both"/>
        <w:ind w:firstLine="921"/>
        <w:spacing w:after="0" w:line="259" w:lineRule="auto"/>
        <w:tabs>
          <w:tab w:leader="none" w:pos="1106"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Acceptance and Release</w:t>
      </w:r>
      <w:r>
        <w:rPr>
          <w:rFonts w:ascii="Arial" w:cs="Arial" w:eastAsia="Arial" w:hAnsi="Arial"/>
          <w:sz w:val="18"/>
          <w:szCs w:val="18"/>
          <w:color w:val="auto"/>
        </w:rPr>
        <w:t xml:space="preserve">. The Administrative Agent, on behalf of itself and the Lenders, hereby accepts the assumption by the Subsidiary Borrower provided for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above and hereby releases ADI from liability as principal obligor for the payment of the Subsidiary Borrower Obligations under the Credit Agreement and the other Loan Documents. For the avoidance of doubt, the release of ADI pursuant to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in no way affect the validity or enforceability of ADI’s Guaranty of the Guaranteed Obligations.</w:t>
      </w:r>
    </w:p>
    <w:p>
      <w:pPr>
        <w:sectPr>
          <w:pgSz w:w="11900" w:h="16838" w:orient="portrait"/>
          <w:cols w:equalWidth="0" w:num="1">
            <w:col w:w="11420"/>
          </w:cols>
          <w:pgMar w:left="240" w:top="274" w:right="239" w:bottom="1440" w:gutter="0" w:footer="0" w:header="0"/>
        </w:sectPr>
      </w:pPr>
    </w:p>
    <w:bookmarkStart w:id="108" w:name="page109"/>
    <w:bookmarkEnd w:id="108"/>
    <w:p>
      <w:pPr>
        <w:ind w:firstLine="921"/>
        <w:spacing w:after="0" w:line="277" w:lineRule="auto"/>
        <w:tabs>
          <w:tab w:leader="none" w:pos="11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w:t>
      </w:r>
      <w:r>
        <w:rPr>
          <w:rFonts w:ascii="Arial" w:cs="Arial" w:eastAsia="Arial" w:hAnsi="Arial"/>
          <w:sz w:val="18"/>
          <w:szCs w:val="18"/>
          <w:color w:val="auto"/>
        </w:rPr>
        <w:t>. Each of ADI and the Subsidiary Borrower represents and warrants to the Administrative Agent and the Lenders on the date hereof that: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It is duly organized and validly existing under the Laws of [●], with respect to ADI, and the Laws of [●], with respect to the Subsidiary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jc w:val="both"/>
        <w:ind w:firstLine="921"/>
        <w:spacing w:after="0" w:line="259" w:lineRule="auto"/>
        <w:tabs>
          <w:tab w:leader="none" w:pos="117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It has all requisite power and authority and all requisite governmental licenses, authorizations, consents and approvals to execute, deliver and perform its obligations under this Agreement (and to perform its obligations under the Credit Agreement and the other Loan Documents), other than any governmental licenses, authorizations, consents and approvals the failure to obtain which would not reasonably be expected to have a Material Adverse Effect.</w:t>
      </w:r>
    </w:p>
    <w:p>
      <w:pPr>
        <w:spacing w:after="0" w:line="186" w:lineRule="exact"/>
        <w:rPr>
          <w:rFonts w:ascii="Arial" w:cs="Arial" w:eastAsia="Arial" w:hAnsi="Arial"/>
          <w:sz w:val="18"/>
          <w:szCs w:val="18"/>
          <w:color w:val="auto"/>
        </w:rPr>
      </w:pPr>
    </w:p>
    <w:p>
      <w:pPr>
        <w:jc w:val="both"/>
        <w:ind w:firstLine="921"/>
        <w:spacing w:after="0" w:line="264" w:lineRule="auto"/>
        <w:tabs>
          <w:tab w:leader="none" w:pos="115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execution, delivery and performance by it of this Agreement (and the performance by it of its obligations under the Credit Agreement and the other Loan Documents) have been duly authorized by all necessary corporate or other organizational action, and do not and will not contravene the terms of any of its Organization Documents.</w:t>
      </w:r>
    </w:p>
    <w:p>
      <w:pPr>
        <w:spacing w:after="0" w:line="181" w:lineRule="exact"/>
        <w:rPr>
          <w:rFonts w:ascii="Arial" w:cs="Arial" w:eastAsia="Arial" w:hAnsi="Arial"/>
          <w:sz w:val="18"/>
          <w:szCs w:val="18"/>
          <w:color w:val="auto"/>
        </w:rPr>
      </w:pPr>
    </w:p>
    <w:p>
      <w:pPr>
        <w:jc w:val="both"/>
        <w:ind w:firstLine="921"/>
        <w:spacing w:after="0" w:line="259" w:lineRule="auto"/>
        <w:tabs>
          <w:tab w:leader="none" w:pos="117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This Agreement, the Credit Agreement and the other Loan Documents constitute its valid and binding obligations, enforceable against it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7" w:lineRule="exact"/>
        <w:rPr>
          <w:sz w:val="20"/>
          <w:szCs w:val="20"/>
          <w:color w:val="auto"/>
        </w:rPr>
      </w:pPr>
    </w:p>
    <w:p>
      <w:pPr>
        <w:ind w:firstLine="921"/>
        <w:spacing w:after="0" w:line="277" w:lineRule="auto"/>
        <w:tabs>
          <w:tab w:leader="none" w:pos="1106"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The effectiveness of this Agreement is subject to (a) the Administrative Agent having received, in form and substance reasonably satisfactory to the Administrative Agent:</w:t>
      </w:r>
    </w:p>
    <w:p>
      <w:pPr>
        <w:spacing w:after="0" w:line="170" w:lineRule="exact"/>
        <w:rPr>
          <w:sz w:val="20"/>
          <w:szCs w:val="20"/>
          <w:color w:val="auto"/>
        </w:rPr>
      </w:pPr>
    </w:p>
    <w:p>
      <w:pPr>
        <w:jc w:val="both"/>
        <w:ind w:firstLine="921"/>
        <w:spacing w:after="0" w:line="264" w:lineRule="auto"/>
        <w:tabs>
          <w:tab w:leader="none" w:pos="113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copy of the organizational documents of ADI and the Subsidiary Borrower, certified by a Responsible Officer of ADI or the chief executive officer, president, chief financial officer, treasurer, assistant treasurer or controller of the Subsidiary Borrower, as applicable, to be true and correct as of the date hereof;</w:t>
      </w:r>
    </w:p>
    <w:p>
      <w:pPr>
        <w:spacing w:after="0" w:line="181" w:lineRule="exact"/>
        <w:rPr>
          <w:rFonts w:ascii="Arial" w:cs="Arial" w:eastAsia="Arial" w:hAnsi="Arial"/>
          <w:sz w:val="18"/>
          <w:szCs w:val="18"/>
          <w:color w:val="auto"/>
        </w:rPr>
      </w:pPr>
    </w:p>
    <w:p>
      <w:pPr>
        <w:jc w:val="both"/>
        <w:ind w:firstLine="921"/>
        <w:spacing w:after="0" w:line="259" w:lineRule="auto"/>
        <w:tabs>
          <w:tab w:leader="none" w:pos="118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resolutions or other corporate action, incumbency certificates and/or other customary corporate certificates of a Responsible Officer of ADI or of the chief executive officer, president, chief financial officer, treasurer, assistant treasurer or controller of the Subsidiary Borrower as the Administrative Agent may reasonably require evidencing the identity, authority and capacity of such officers thereof authorized to act in connection with this Agreement; and</w:t>
      </w:r>
    </w:p>
    <w:p>
      <w:pPr>
        <w:spacing w:after="0" w:line="186" w:lineRule="exact"/>
        <w:rPr>
          <w:rFonts w:ascii="Arial" w:cs="Arial" w:eastAsia="Arial" w:hAnsi="Arial"/>
          <w:sz w:val="18"/>
          <w:szCs w:val="18"/>
          <w:color w:val="auto"/>
        </w:rPr>
      </w:pPr>
    </w:p>
    <w:p>
      <w:pPr>
        <w:ind w:firstLine="921"/>
        <w:spacing w:after="0" w:line="277" w:lineRule="auto"/>
        <w:tabs>
          <w:tab w:leader="none" w:pos="124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documentation and other information requested by the Administrative Agent that is required by regulatory authorities under applicable “know your customer” and anti-money laundering rules and regulations, including without limitation the USA PATRIOT Act;</w:t>
      </w:r>
    </w:p>
    <w:p>
      <w:pPr>
        <w:sectPr>
          <w:pgSz w:w="11900" w:h="16838" w:orient="portrait"/>
          <w:cols w:equalWidth="0" w:num="1">
            <w:col w:w="11420"/>
          </w:cols>
          <w:pgMar w:left="240" w:top="274" w:right="239" w:bottom="1440" w:gutter="0" w:footer="0" w:header="0"/>
        </w:sectPr>
      </w:pPr>
    </w:p>
    <w:bookmarkStart w:id="109" w:name="page110"/>
    <w:bookmarkEnd w:id="10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(b) the borrowing (or assumption) by the Subsidiary Borrower of the Subsidiary Borrower Obligations not resulting in a violation of any Laws (other than any Law existing and as in effect on July 26, 2016) by (i) the Subsidiary Borrower that would reasonably be expected to have a Material Adverse Effect or</w:t>
      </w:r>
    </w:p>
    <w:p>
      <w:pPr>
        <w:ind w:left="280" w:hanging="272"/>
        <w:spacing w:after="0"/>
        <w:tabs>
          <w:tab w:leader="none" w:pos="2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Administrative Agent or any Lender.</w:t>
      </w:r>
    </w:p>
    <w:p>
      <w:pPr>
        <w:spacing w:after="0" w:line="210" w:lineRule="exact"/>
        <w:rPr>
          <w:rFonts w:ascii="Arial" w:cs="Arial" w:eastAsia="Arial" w:hAnsi="Arial"/>
          <w:sz w:val="18"/>
          <w:szCs w:val="18"/>
          <w:color w:val="auto"/>
        </w:rPr>
      </w:pPr>
    </w:p>
    <w:p>
      <w:pPr>
        <w:jc w:val="both"/>
        <w:ind w:firstLine="921"/>
        <w:spacing w:after="0" w:line="264" w:lineRule="auto"/>
        <w:tabs>
          <w:tab w:leader="none" w:pos="1093"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hereto covenant and agree that they will execute, deliver and acknowledge from time to time at the request of any party, and without further consideration, all such further instruments of assignment and/or assumption as may be required in order to give effect to the transactions described herein.</w:t>
      </w:r>
    </w:p>
    <w:p>
      <w:pPr>
        <w:spacing w:after="0" w:line="181" w:lineRule="exact"/>
        <w:rPr>
          <w:rFonts w:ascii="Arial" w:cs="Arial" w:eastAsia="Arial" w:hAnsi="Arial"/>
          <w:sz w:val="18"/>
          <w:szCs w:val="18"/>
          <w:color w:val="auto"/>
        </w:rPr>
      </w:pPr>
    </w:p>
    <w:p>
      <w:pPr>
        <w:jc w:val="both"/>
        <w:ind w:firstLine="921"/>
        <w:spacing w:after="0" w:line="264" w:lineRule="auto"/>
        <w:tabs>
          <w:tab w:leader="none" w:pos="1106"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(except as otherwise expressly permitted herein) be in writing and given as provided in Section 10.02 of the Credit Agreement. For purposes of Section 10.02 of the Credit Agreement, notices to the Subsidiary Borrower will be effective if delivered to it in care of ADI.</w:t>
      </w:r>
    </w:p>
    <w:p>
      <w:pPr>
        <w:spacing w:after="0" w:line="181" w:lineRule="exact"/>
        <w:rPr>
          <w:rFonts w:ascii="Arial" w:cs="Arial" w:eastAsia="Arial" w:hAnsi="Arial"/>
          <w:sz w:val="18"/>
          <w:szCs w:val="18"/>
          <w:color w:val="auto"/>
        </w:rPr>
      </w:pPr>
    </w:p>
    <w:p>
      <w:pPr>
        <w:jc w:val="both"/>
        <w:ind w:firstLine="921"/>
        <w:spacing w:after="0" w:line="286" w:lineRule="auto"/>
        <w:tabs>
          <w:tab w:leader="none" w:pos="1093" w:val="left"/>
        </w:tabs>
        <w:numPr>
          <w:ilvl w:val="1"/>
          <w:numId w:val="123"/>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Whenever in this Agreement any party is referred to, such reference shall be deemed to include the successors and permitted assigns of such party; and all promises and agreements by or on behalf of any of ADI, the Administrative Agent or the Subsidiary Borrower that are contained in this Agreement shall bind and inure to the benefit of its respective successors and permitted assigns.</w:t>
      </w:r>
    </w:p>
    <w:p>
      <w:pPr>
        <w:spacing w:after="0" w:line="165" w:lineRule="exact"/>
        <w:rPr>
          <w:rFonts w:ascii="Arial" w:cs="Arial" w:eastAsia="Arial" w:hAnsi="Arial"/>
          <w:sz w:val="17"/>
          <w:szCs w:val="17"/>
          <w:color w:val="auto"/>
        </w:rPr>
      </w:pPr>
    </w:p>
    <w:p>
      <w:pPr>
        <w:jc w:val="both"/>
        <w:ind w:firstLine="921"/>
        <w:spacing w:after="0" w:line="264" w:lineRule="auto"/>
        <w:tabs>
          <w:tab w:leader="none" w:pos="1093"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Setoff</w:t>
      </w:r>
      <w:r>
        <w:rPr>
          <w:rFonts w:ascii="Arial" w:cs="Arial" w:eastAsia="Arial" w:hAnsi="Arial"/>
          <w:sz w:val="18"/>
          <w:szCs w:val="18"/>
          <w:color w:val="auto"/>
        </w:rPr>
        <w:t>. None of the Administrative Agent, any Lender or any of their respective affiliates shall have any right to setoff or apply any deposits held or other obligations owing by the Administrative Agent, such Lender or any such affiliate to or for the credit or the account of the Subsidiary Borrower against any of the obligations of ADI.</w:t>
      </w:r>
    </w:p>
    <w:p>
      <w:pPr>
        <w:spacing w:after="0" w:line="181" w:lineRule="exact"/>
        <w:rPr>
          <w:rFonts w:ascii="Arial" w:cs="Arial" w:eastAsia="Arial" w:hAnsi="Arial"/>
          <w:sz w:val="18"/>
          <w:szCs w:val="18"/>
          <w:color w:val="auto"/>
        </w:rPr>
      </w:pPr>
    </w:p>
    <w:p>
      <w:pPr>
        <w:ind w:left="1200" w:hanging="279"/>
        <w:spacing w:after="0"/>
        <w:tabs>
          <w:tab w:leader="none" w:pos="120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New York.</w:t>
      </w:r>
    </w:p>
    <w:p>
      <w:pPr>
        <w:spacing w:after="0" w:line="225" w:lineRule="exact"/>
        <w:rPr>
          <w:rFonts w:ascii="Arial" w:cs="Arial" w:eastAsia="Arial" w:hAnsi="Arial"/>
          <w:sz w:val="18"/>
          <w:szCs w:val="18"/>
          <w:color w:val="auto"/>
        </w:rPr>
      </w:pPr>
    </w:p>
    <w:p>
      <w:pPr>
        <w:jc w:val="both"/>
        <w:ind w:firstLine="921"/>
        <w:spacing w:after="0" w:line="259" w:lineRule="auto"/>
        <w:tabs>
          <w:tab w:leader="none" w:pos="1176"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telecopy or other electronic imaging means (e.g. “pdf” or “tif”) shall be effective as delivery of a manually executed counterpart of this Agreement.</w:t>
      </w:r>
    </w:p>
    <w:p>
      <w:pPr>
        <w:spacing w:after="0" w:line="186" w:lineRule="exact"/>
        <w:rPr>
          <w:rFonts w:ascii="Arial" w:cs="Arial" w:eastAsia="Arial" w:hAnsi="Arial"/>
          <w:sz w:val="18"/>
          <w:szCs w:val="18"/>
          <w:color w:val="auto"/>
        </w:rPr>
      </w:pPr>
    </w:p>
    <w:p>
      <w:pPr>
        <w:ind w:left="1200" w:hanging="279"/>
        <w:spacing w:after="0"/>
        <w:tabs>
          <w:tab w:leader="none" w:pos="120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Effect of this Agreement</w:t>
      </w:r>
      <w:r>
        <w:rPr>
          <w:rFonts w:ascii="Arial" w:cs="Arial" w:eastAsia="Arial" w:hAnsi="Arial"/>
          <w:sz w:val="18"/>
          <w:szCs w:val="18"/>
          <w:color w:val="auto"/>
        </w:rPr>
        <w:t>. Except as expressly modified hereby, the Credit Agreement shall remain in full force and effect.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420"/>
          </w:cols>
          <w:pgMar w:left="240" w:top="274" w:right="2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party hereto has caused this Agreement to be duly executed and delivered as of the date first written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ANALOG DEVICES TECHNOLOGY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as Administrative Agent</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100"/>
          </w:cols>
          <w:pgMar w:left="700" w:top="274" w:right="109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 NOTICE</w:t>
      </w:r>
    </w:p>
    <w:p>
      <w:pPr>
        <w:spacing w:after="0" w:line="211" w:lineRule="exact"/>
        <w:rPr>
          <w:sz w:val="20"/>
          <w:szCs w:val="20"/>
          <w:color w:val="auto"/>
        </w:rPr>
      </w:pPr>
    </w:p>
    <w:p>
      <w:pPr>
        <w:ind w:left="10000"/>
        <w:spacing w:after="0"/>
        <w:tabs>
          <w:tab w:leader="none" w:pos="10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6623050</wp:posOffset>
            </wp:positionH>
            <wp:positionV relativeFrom="paragraph">
              <wp:posOffset>-10160</wp:posOffset>
            </wp:positionV>
            <wp:extent cx="3429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-10160</wp:posOffset>
            </wp:positionV>
            <wp:extent cx="1143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JPMorgan Chase Bank,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Reference is made to that certain Bridge Credit Agreement, dated as of March 10, 2017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among Analog Devices, Inc. (“</w:t>
      </w:r>
      <w:r>
        <w:rPr>
          <w:rFonts w:ascii="Arial" w:cs="Arial" w:eastAsia="Arial" w:hAnsi="Arial"/>
          <w:sz w:val="18"/>
          <w:szCs w:val="18"/>
          <w:u w:val="single" w:color="auto"/>
          <w:color w:val="auto"/>
        </w:rPr>
        <w:t>ADI</w:t>
      </w:r>
      <w:r>
        <w:rPr>
          <w:rFonts w:ascii="Arial" w:cs="Arial" w:eastAsia="Arial" w:hAnsi="Arial"/>
          <w:sz w:val="18"/>
          <w:szCs w:val="18"/>
          <w:color w:val="auto"/>
        </w:rPr>
        <w:t>”), the Lenders from time to time party thereto and JPMorgan Chase Bank, N.A., as Administrative Agent.</w:t>
      </w:r>
    </w:p>
    <w:p>
      <w:pPr>
        <w:spacing w:after="0" w:line="181" w:lineRule="exact"/>
        <w:rPr>
          <w:sz w:val="20"/>
          <w:szCs w:val="20"/>
          <w:color w:val="auto"/>
        </w:rPr>
      </w:pPr>
    </w:p>
    <w:p>
      <w:pPr>
        <w:ind w:left="460" w:right="7920" w:hanging="452"/>
        <w:spacing w:after="0" w:line="375" w:lineRule="auto"/>
        <w:tabs>
          <w:tab w:leader="none" w:pos="18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undersigned hereby requests (select one): A Borrowing of Loans</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 conversion or continuation of Loans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00" w:type="dxa"/>
            <w:vAlign w:val="bottom"/>
          </w:tcPr>
          <w:p>
            <w:pPr>
              <w:ind w:left="20"/>
              <w:spacing w:after="0"/>
              <w:rPr>
                <w:sz w:val="20"/>
                <w:szCs w:val="20"/>
                <w:color w:val="auto"/>
              </w:rPr>
            </w:pPr>
            <w:r>
              <w:rPr>
                <w:rFonts w:ascii="Arial" w:cs="Arial" w:eastAsia="Arial" w:hAnsi="Arial"/>
                <w:sz w:val="18"/>
                <w:szCs w:val="18"/>
                <w:color w:val="auto"/>
              </w:rPr>
              <w:t>On</w:t>
            </w:r>
          </w:p>
        </w:tc>
        <w:tc>
          <w:tcPr>
            <w:tcW w:w="540" w:type="dxa"/>
            <w:vAlign w:val="bottom"/>
          </w:tcPr>
          <w:p>
            <w:pPr>
              <w:spacing w:after="0"/>
              <w:rPr>
                <w:sz w:val="17"/>
                <w:szCs w:val="17"/>
                <w:color w:val="auto"/>
              </w:rPr>
            </w:pPr>
          </w:p>
        </w:tc>
        <w:tc>
          <w:tcPr>
            <w:tcW w:w="1760" w:type="dxa"/>
            <w:vAlign w:val="bottom"/>
            <w:gridSpan w:val="5"/>
          </w:tcPr>
          <w:p>
            <w:pPr>
              <w:jc w:val="right"/>
              <w:spacing w:after="0"/>
              <w:rPr>
                <w:sz w:val="20"/>
                <w:szCs w:val="20"/>
                <w:color w:val="auto"/>
              </w:rPr>
            </w:pPr>
            <w:r>
              <w:rPr>
                <w:rFonts w:ascii="Arial" w:cs="Arial" w:eastAsia="Arial" w:hAnsi="Arial"/>
                <w:sz w:val="18"/>
                <w:szCs w:val="18"/>
                <w:color w:val="auto"/>
                <w:w w:val="92"/>
              </w:rPr>
              <w:t>, 20   (a Business Day).</w:t>
            </w:r>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16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1360" w:type="dxa"/>
            <w:vAlign w:val="bottom"/>
            <w:gridSpan w:val="5"/>
          </w:tcPr>
          <w:p>
            <w:pPr>
              <w:ind w:left="20"/>
              <w:spacing w:after="0"/>
              <w:rPr>
                <w:sz w:val="20"/>
                <w:szCs w:val="20"/>
                <w:color w:val="auto"/>
              </w:rPr>
            </w:pPr>
            <w:r>
              <w:rPr>
                <w:rFonts w:ascii="Arial" w:cs="Arial" w:eastAsia="Arial" w:hAnsi="Arial"/>
                <w:sz w:val="18"/>
                <w:szCs w:val="18"/>
                <w:color w:val="auto"/>
                <w:w w:val="90"/>
              </w:rPr>
              <w:t>In the amount of $</w:t>
            </w:r>
          </w:p>
        </w:tc>
        <w:tc>
          <w:tcPr>
            <w:tcW w:w="12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4. Type of Loan requested or to which existing Loans are to be continued or converted: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ind w:left="460"/>
              <w:spacing w:after="0"/>
              <w:rPr>
                <w:sz w:val="20"/>
                <w:szCs w:val="20"/>
                <w:color w:val="auto"/>
              </w:rPr>
            </w:pPr>
            <w:r>
              <w:rPr>
                <w:rFonts w:ascii="Arial" w:cs="Arial" w:eastAsia="Arial" w:hAnsi="Arial"/>
                <w:sz w:val="18"/>
                <w:szCs w:val="18"/>
                <w:color w:val="auto"/>
              </w:rPr>
              <w:t>Base Rate Loan</w:t>
            </w:r>
          </w:p>
        </w:tc>
        <w:tc>
          <w:tcPr>
            <w:tcW w:w="2200" w:type="dxa"/>
            <w:vAlign w:val="bottom"/>
          </w:tcPr>
          <w:p>
            <w:pPr>
              <w:ind w:left="260"/>
              <w:spacing w:after="0"/>
              <w:rPr>
                <w:sz w:val="20"/>
                <w:szCs w:val="20"/>
                <w:color w:val="auto"/>
              </w:rPr>
            </w:pPr>
            <w:r>
              <w:rPr>
                <w:rFonts w:ascii="Arial" w:cs="Arial" w:eastAsia="Arial" w:hAnsi="Arial"/>
                <w:sz w:val="18"/>
                <w:szCs w:val="18"/>
                <w:color w:val="auto"/>
              </w:rPr>
              <w:t>Eurodollar Rate Loan</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92"/>
        </w:trPr>
        <w:tc>
          <w:tcPr>
            <w:tcW w:w="4080" w:type="dxa"/>
            <w:vAlign w:val="bottom"/>
            <w:gridSpan w:val="2"/>
          </w:tcPr>
          <w:p>
            <w:pPr>
              <w:spacing w:after="0"/>
              <w:rPr>
                <w:sz w:val="20"/>
                <w:szCs w:val="20"/>
                <w:color w:val="auto"/>
              </w:rPr>
            </w:pPr>
            <w:r>
              <w:rPr>
                <w:rFonts w:ascii="Arial" w:cs="Arial" w:eastAsia="Arial" w:hAnsi="Arial"/>
                <w:sz w:val="18"/>
                <w:szCs w:val="18"/>
                <w:color w:val="auto"/>
                <w:w w:val="92"/>
              </w:rPr>
              <w:t>5. For Eurodollar Rate Loans: with an Interest Period of</w:t>
            </w:r>
          </w:p>
        </w:tc>
        <w:tc>
          <w:tcPr>
            <w:tcW w:w="180" w:type="dxa"/>
            <w:vAlign w:val="bottom"/>
            <w:tcBorders>
              <w:bottom w:val="single" w:sz="8" w:color="auto"/>
            </w:tcBorders>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w w:val="92"/>
              </w:rPr>
              <w:t>month[s]</w:t>
            </w:r>
            <w:r>
              <w:rPr>
                <w:rFonts w:ascii="Arial" w:cs="Arial" w:eastAsia="Arial" w:hAnsi="Arial"/>
                <w:sz w:val="15"/>
                <w:szCs w:val="15"/>
                <w:color w:val="auto"/>
                <w:w w:val="92"/>
              </w:rPr>
              <w:t>2</w:t>
            </w:r>
            <w:r>
              <w:rPr>
                <w:rFonts w:ascii="Arial" w:cs="Arial" w:eastAsia="Arial" w:hAnsi="Arial"/>
                <w:sz w:val="18"/>
                <w:szCs w:val="18"/>
                <w:color w:val="auto"/>
                <w:w w:val="92"/>
              </w:rPr>
              <w:t>.</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Borrowing, if any, requested herein complies with each of the conditions set forth in Section 4.01 of the Credit Agreement as of the date of such Borrowing.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220" w:hanging="212"/>
        <w:spacing w:after="0"/>
        <w:tabs>
          <w:tab w:leader="none" w:pos="220" w:val="left"/>
        </w:tabs>
        <w:numPr>
          <w:ilvl w:val="0"/>
          <w:numId w:val="125"/>
        </w:numPr>
        <w:rPr>
          <w:rFonts w:ascii="Arial" w:cs="Arial" w:eastAsia="Arial" w:hAnsi="Arial"/>
          <w:sz w:val="15"/>
          <w:szCs w:val="15"/>
          <w:color w:val="auto"/>
        </w:rPr>
      </w:pPr>
      <w:r>
        <w:rPr>
          <w:rFonts w:ascii="Arial" w:cs="Arial" w:eastAsia="Arial" w:hAnsi="Arial"/>
          <w:sz w:val="18"/>
          <w:szCs w:val="18"/>
          <w:color w:val="auto"/>
        </w:rPr>
        <w:t>Must comply with Sections 2.01 and 2.02 of the Credit Agreement.</w:t>
      </w:r>
    </w:p>
    <w:p>
      <w:pPr>
        <w:spacing w:after="0" w:line="22" w:lineRule="exact"/>
        <w:rPr>
          <w:sz w:val="20"/>
          <w:szCs w:val="20"/>
          <w:color w:val="auto"/>
        </w:rPr>
      </w:pPr>
    </w:p>
    <w:p>
      <w:pPr>
        <w:ind w:left="220" w:hanging="212"/>
        <w:spacing w:after="0"/>
        <w:tabs>
          <w:tab w:leader="none" w:pos="220" w:val="left"/>
        </w:tabs>
        <w:numPr>
          <w:ilvl w:val="0"/>
          <w:numId w:val="126"/>
        </w:numPr>
        <w:rPr>
          <w:rFonts w:ascii="Arial" w:cs="Arial" w:eastAsia="Arial" w:hAnsi="Arial"/>
          <w:sz w:val="15"/>
          <w:szCs w:val="15"/>
          <w:color w:val="auto"/>
        </w:rPr>
      </w:pPr>
      <w:r>
        <w:rPr>
          <w:rFonts w:ascii="Arial" w:cs="Arial" w:eastAsia="Arial" w:hAnsi="Arial"/>
          <w:sz w:val="18"/>
          <w:szCs w:val="18"/>
          <w:color w:val="auto"/>
        </w:rPr>
        <w:t>One, two or three months.</w:t>
      </w:r>
    </w:p>
    <w:p>
      <w:pPr>
        <w:sectPr>
          <w:pgSz w:w="11900" w:h="16838" w:orient="portrait"/>
          <w:cols w:equalWidth="0" w:num="1">
            <w:col w:w="11420"/>
          </w:cols>
          <w:pgMar w:left="240" w:top="270"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20" w:type="dxa"/>
            <w:vAlign w:val="bottom"/>
          </w:tcPr>
          <w:p>
            <w:pPr>
              <w:jc w:val="center"/>
              <w:ind w:left="570"/>
              <w:spacing w:after="0"/>
              <w:rPr>
                <w:sz w:val="20"/>
                <w:szCs w:val="20"/>
                <w:color w:val="auto"/>
              </w:rPr>
            </w:pPr>
            <w:r>
              <w:rPr>
                <w:rFonts w:ascii="Arial" w:cs="Arial" w:eastAsia="Arial" w:hAnsi="Arial"/>
                <w:sz w:val="18"/>
                <w:szCs w:val="18"/>
                <w:b w:val="1"/>
                <w:bCs w:val="1"/>
                <w:color w:val="auto"/>
              </w:rPr>
              <w:t>EXHIBIT 2.09</w:t>
            </w:r>
          </w:p>
        </w:tc>
        <w:tc>
          <w:tcPr>
            <w:tcW w:w="1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3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jc w:val="center"/>
              <w:ind w:left="590"/>
              <w:spacing w:after="0"/>
              <w:rPr>
                <w:sz w:val="20"/>
                <w:szCs w:val="20"/>
                <w:color w:val="auto"/>
              </w:rPr>
            </w:pPr>
            <w:r>
              <w:rPr>
                <w:rFonts w:ascii="Arial" w:cs="Arial" w:eastAsia="Arial" w:hAnsi="Arial"/>
                <w:sz w:val="18"/>
                <w:szCs w:val="18"/>
                <w:b w:val="1"/>
                <w:bCs w:val="1"/>
                <w:color w:val="auto"/>
              </w:rPr>
              <w:t>[FORM OF]</w:t>
            </w:r>
          </w:p>
        </w:tc>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20" w:type="dxa"/>
            <w:vAlign w:val="bottom"/>
          </w:tcPr>
          <w:p>
            <w:pPr>
              <w:jc w:val="center"/>
              <w:ind w:left="570"/>
              <w:spacing w:after="0"/>
              <w:rPr>
                <w:sz w:val="20"/>
                <w:szCs w:val="20"/>
                <w:color w:val="auto"/>
              </w:rPr>
            </w:pPr>
            <w:r>
              <w:rPr>
                <w:rFonts w:ascii="Arial" w:cs="Arial" w:eastAsia="Arial" w:hAnsi="Arial"/>
                <w:sz w:val="18"/>
                <w:szCs w:val="18"/>
                <w:b w:val="1"/>
                <w:bCs w:val="1"/>
                <w:color w:val="auto"/>
                <w:w w:val="99"/>
              </w:rPr>
              <w:t>NOTE</w:t>
            </w:r>
          </w:p>
        </w:tc>
        <w:tc>
          <w:tcPr>
            <w:tcW w:w="1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3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80" w:type="dxa"/>
            <w:vAlign w:val="bottom"/>
            <w:gridSpan w:val="2"/>
          </w:tcPr>
          <w:p>
            <w:pPr>
              <w:ind w:left="340"/>
              <w:spacing w:after="0"/>
              <w:rPr>
                <w:sz w:val="20"/>
                <w:szCs w:val="20"/>
                <w:color w:val="auto"/>
              </w:rPr>
            </w:pPr>
            <w:r>
              <w:rPr>
                <w:rFonts w:ascii="Arial" w:cs="Arial" w:eastAsia="Arial" w:hAnsi="Arial"/>
                <w:sz w:val="18"/>
                <w:szCs w:val="18"/>
                <w:color w:val="auto"/>
                <w:w w:val="97"/>
              </w:rPr>
              <w:t>Date:</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 20</w:t>
            </w:r>
          </w:p>
        </w:tc>
      </w:tr>
      <w:tr>
        <w:trPr>
          <w:trHeight w:val="20"/>
        </w:trPr>
        <w:tc>
          <w:tcPr>
            <w:tcW w:w="3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412"/>
        </w:trPr>
        <w:tc>
          <w:tcPr>
            <w:tcW w:w="6440" w:type="dxa"/>
            <w:vAlign w:val="bottom"/>
            <w:gridSpan w:val="3"/>
          </w:tcPr>
          <w:p>
            <w:pPr>
              <w:spacing w:after="0"/>
              <w:rPr>
                <w:sz w:val="20"/>
                <w:szCs w:val="20"/>
                <w:color w:val="auto"/>
              </w:rPr>
            </w:pPr>
            <w:r>
              <w:rPr>
                <w:rFonts w:ascii="Arial" w:cs="Arial" w:eastAsia="Arial" w:hAnsi="Arial"/>
                <w:sz w:val="18"/>
                <w:szCs w:val="18"/>
                <w:color w:val="auto"/>
                <w:w w:val="94"/>
              </w:rPr>
              <w:t>FOR VALUE RECEIVED, the undersigned (the “Borrower”) hereby promises to pay to</w:t>
            </w:r>
          </w:p>
        </w:tc>
        <w:tc>
          <w:tcPr>
            <w:tcW w:w="1020" w:type="dxa"/>
            <w:vAlign w:val="bottom"/>
          </w:tcPr>
          <w:p>
            <w:pPr>
              <w:spacing w:after="0"/>
              <w:rPr>
                <w:sz w:val="24"/>
                <w:szCs w:val="24"/>
                <w:color w:val="auto"/>
              </w:rPr>
            </w:pPr>
          </w:p>
        </w:tc>
        <w:tc>
          <w:tcPr>
            <w:tcW w:w="3960" w:type="dxa"/>
            <w:vAlign w:val="bottom"/>
            <w:gridSpan w:val="6"/>
          </w:tcPr>
          <w:p>
            <w:pPr>
              <w:jc w:val="right"/>
              <w:spacing w:after="0"/>
              <w:rPr>
                <w:sz w:val="20"/>
                <w:szCs w:val="20"/>
                <w:color w:val="auto"/>
              </w:rPr>
            </w:pPr>
            <w:r>
              <w:rPr>
                <w:rFonts w:ascii="Arial" w:cs="Arial" w:eastAsia="Arial" w:hAnsi="Arial"/>
                <w:sz w:val="18"/>
                <w:szCs w:val="18"/>
                <w:color w:val="auto"/>
                <w:w w:val="92"/>
              </w:rPr>
              <w:t>or its registered assigns (the “Lender”), in accordance</w:t>
            </w:r>
          </w:p>
        </w:tc>
      </w:tr>
      <w:tr>
        <w:trPr>
          <w:trHeight w:val="20"/>
        </w:trPr>
        <w:tc>
          <w:tcPr>
            <w:tcW w:w="3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with the provisions of the Credit Agreement (as hereinafter defined), the principal amount of each Loan from time to time made by the Lender under that certain Bridge Credit Agreement, dated as of March 10, 2017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among Analog Devices, Inc., the Lenders from time to time party thereto, and JPMorgan Chase Bank, N.A., as Administrative Agent.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Borrower promises to pay interest on the unpaid principal amount of each Loan from the date of such Loan until such principal amount is paid in full, at the interest rates and at the times provided in the Credit Agreement. All payments of principal and interest shall be made to the Administrative Agent for the account of the Lender in U.S.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Credit Agreement.</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Note is one of the Notes referred to in the Credit Agreement, is entitled to the benefits thereof and may be prepaid in whole or in part subject to the terms and conditions provided therein. Upon the occurrence and continuation of one or more of the Events of Default specified in the Credit Agreement, all amounts then remaining unpaid on this Note shall become, or may be declared to be, immediately due and payable all as provided in the Credit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Note.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420"/>
          </w:cols>
          <w:pgMar w:left="240" w:top="270" w:right="2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SHALL BE GOVERNED BY AND CONSTRUED IN ACCORDANCE WITH THE LAWS OF THE STATE OF NEW YORK.</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60"/>
          </w:cols>
          <w:pgMar w:left="240" w:top="274" w:right="139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3.01(A)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Reference is hereby made to the Bridge Credit Agreement, dated as of March 10, 2017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Analog Devices, Inc., a Massachusetts corporation (“</w:t>
      </w:r>
      <w:r>
        <w:rPr>
          <w:rFonts w:ascii="Arial" w:cs="Arial" w:eastAsia="Arial" w:hAnsi="Arial"/>
          <w:sz w:val="18"/>
          <w:szCs w:val="18"/>
          <w:u w:val="single" w:color="auto"/>
          <w:color w:val="auto"/>
        </w:rPr>
        <w:t>ADI</w:t>
      </w:r>
      <w:r>
        <w:rPr>
          <w:rFonts w:ascii="Arial" w:cs="Arial" w:eastAsia="Arial" w:hAnsi="Arial"/>
          <w:sz w:val="18"/>
          <w:szCs w:val="18"/>
          <w:color w:val="auto"/>
        </w:rPr>
        <w:t>”), the Lenders identified therein, and JPMorgan Chase Bank, N.A., as Administrative Agent.</w:t>
      </w:r>
    </w:p>
    <w:p>
      <w:pPr>
        <w:spacing w:after="0" w:line="18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or IRS Form W-8BEN-E,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3429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-10160</wp:posOffset>
            </wp:positionV>
            <wp:extent cx="1143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3.01(B)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Reference is hereby made to the Bridge Credit Agreement, dated as of March 10, 2017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Analog Devices, Inc., a Massachusetts corporation (“</w:t>
      </w:r>
      <w:r>
        <w:rPr>
          <w:rFonts w:ascii="Arial" w:cs="Arial" w:eastAsia="Arial" w:hAnsi="Arial"/>
          <w:sz w:val="18"/>
          <w:szCs w:val="18"/>
          <w:u w:val="single" w:color="auto"/>
          <w:color w:val="auto"/>
        </w:rPr>
        <w:t>ADI</w:t>
      </w:r>
      <w:r>
        <w:rPr>
          <w:rFonts w:ascii="Arial" w:cs="Arial" w:eastAsia="Arial" w:hAnsi="Arial"/>
          <w:sz w:val="18"/>
          <w:szCs w:val="18"/>
          <w:color w:val="auto"/>
        </w:rPr>
        <w:t>”), the Lenders identified therein, and JPMorgan Chase Bank, N.A., as Administrative Agent.</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3429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-10160</wp:posOffset>
            </wp:positionV>
            <wp:extent cx="1143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3.01(C)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Reference is hereby made to the Bridge Credit Agreement, dated as of March 10, 2017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Analog Devices, Inc., a Massachusetts corporation (“</w:t>
      </w:r>
      <w:r>
        <w:rPr>
          <w:rFonts w:ascii="Arial" w:cs="Arial" w:eastAsia="Arial" w:hAnsi="Arial"/>
          <w:sz w:val="18"/>
          <w:szCs w:val="18"/>
          <w:u w:val="single" w:color="auto"/>
          <w:color w:val="auto"/>
        </w:rPr>
        <w:t>ADI</w:t>
      </w:r>
      <w:r>
        <w:rPr>
          <w:rFonts w:ascii="Arial" w:cs="Arial" w:eastAsia="Arial" w:hAnsi="Arial"/>
          <w:sz w:val="18"/>
          <w:szCs w:val="18"/>
          <w:color w:val="auto"/>
        </w:rPr>
        <w:t>”), the Lenders identified therein, and JPMorgan Chase Bank, N.A., as Administrative Agent.</w:t>
      </w:r>
    </w:p>
    <w:p>
      <w:pPr>
        <w:spacing w:after="0" w:line="18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w:t>
      </w:r>
    </w:p>
    <w:p>
      <w:pPr>
        <w:jc w:val="both"/>
        <w:ind w:firstLine="8"/>
        <w:spacing w:after="0" w:line="273" w:lineRule="auto"/>
        <w:tabs>
          <w:tab w:leader="none" w:pos="327"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7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3429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-10160</wp:posOffset>
            </wp:positionV>
            <wp:extent cx="1143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3.01(D)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Reference is hereby made to the Bridge Credit Agreement, dated as of March 10, 2017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Analog Devices, Inc., a Massachusetts corporation (“</w:t>
      </w:r>
      <w:r>
        <w:rPr>
          <w:rFonts w:ascii="Arial" w:cs="Arial" w:eastAsia="Arial" w:hAnsi="Arial"/>
          <w:sz w:val="18"/>
          <w:szCs w:val="18"/>
          <w:u w:val="single" w:color="auto"/>
          <w:color w:val="auto"/>
        </w:rPr>
        <w:t>ADI</w:t>
      </w:r>
      <w:r>
        <w:rPr>
          <w:rFonts w:ascii="Arial" w:cs="Arial" w:eastAsia="Arial" w:hAnsi="Arial"/>
          <w:sz w:val="18"/>
          <w:szCs w:val="18"/>
          <w:color w:val="auto"/>
        </w:rPr>
        <w:t>”), the Lenders identified therein, and JPMorgan Chase Bank, N.A., as Administrative Agent.</w:t>
      </w:r>
    </w:p>
    <w:p>
      <w:pPr>
        <w:spacing w:after="0" w:line="18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6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 undersigned has furnished the Administrative Agent and the Borrower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3429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-10160</wp:posOffset>
            </wp:positionV>
            <wp:extent cx="1143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SOLVENCY CERTIFICATE</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This Certificate is being delivered pursuant to Section 4.01(d) of the Bridge Credit Agreement, dated as of March 10, 2017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Analog Devices, Inc. (“</w:t>
      </w:r>
      <w:r>
        <w:rPr>
          <w:rFonts w:ascii="Arial" w:cs="Arial" w:eastAsia="Arial" w:hAnsi="Arial"/>
          <w:sz w:val="18"/>
          <w:szCs w:val="18"/>
          <w:u w:val="single" w:color="auto"/>
          <w:color w:val="auto"/>
        </w:rPr>
        <w:t>ADI</w:t>
      </w:r>
      <w:r>
        <w:rPr>
          <w:rFonts w:ascii="Arial" w:cs="Arial" w:eastAsia="Arial" w:hAnsi="Arial"/>
          <w:sz w:val="18"/>
          <w:szCs w:val="18"/>
          <w:color w:val="auto"/>
        </w:rPr>
        <w:t>”), the Lenders from time to time party thereto and JPMorgan Chase Bank, N.A., as Administrative Agent. Unless otherwise defined herein, terms used herein have the meanings provided in the Credit Agreement.</w:t>
      </w:r>
    </w:p>
    <w:p>
      <w:pPr>
        <w:spacing w:after="0" w:line="181" w:lineRule="exact"/>
        <w:rPr>
          <w:sz w:val="20"/>
          <w:szCs w:val="20"/>
          <w:color w:val="auto"/>
        </w:rPr>
      </w:pPr>
    </w:p>
    <w:p>
      <w:pPr>
        <w:jc w:val="both"/>
        <w:ind w:firstLine="464"/>
        <w:spacing w:after="0" w:line="264" w:lineRule="auto"/>
        <w:tabs>
          <w:tab w:leader="none" w:pos="1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hereby certifies that he/she is the Chief Financial Officer of ADI and that he/she is knowledgeable of the financial and accounting matters of ADI and its Subsidiaries, the Credit Agreement and the covenants and representations (financial and other) contained therein and that, as such, he/she is authorized to execute and deliver this Certificate on behalf of ADI.</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undersigned hereby further certifies, solely in his/her capacity as Chief Financial Officer of ADI and not in an individual capacity, as follows:</w:t>
      </w:r>
    </w:p>
    <w:p>
      <w:pPr>
        <w:spacing w:after="0" w:line="237" w:lineRule="exact"/>
        <w:rPr>
          <w:sz w:val="20"/>
          <w:szCs w:val="20"/>
          <w:color w:val="auto"/>
        </w:rPr>
      </w:pPr>
    </w:p>
    <w:p>
      <w:pPr>
        <w:jc w:val="both"/>
        <w:ind w:firstLine="464"/>
        <w:spacing w:after="0" w:line="264" w:lineRule="auto"/>
        <w:tabs>
          <w:tab w:leader="none" w:pos="64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 the date hereof, immediately after giving effect to the Transactions to occur on the Closing Date, including the making of each Loan to be made on the Closing Date and the application of the proceeds thereof, the fair value of the assets of ADI and its Subsidiaries, on a consolidated basis, at a fair valuation, will exceed their debts and liabilities, subordinated, contingent or otherwise.</w:t>
      </w:r>
    </w:p>
    <w:p>
      <w:pPr>
        <w:spacing w:after="0" w:line="181" w:lineRule="exact"/>
        <w:rPr>
          <w:rFonts w:ascii="Arial" w:cs="Arial" w:eastAsia="Arial" w:hAnsi="Arial"/>
          <w:sz w:val="18"/>
          <w:szCs w:val="18"/>
          <w:color w:val="auto"/>
        </w:rPr>
      </w:pPr>
    </w:p>
    <w:p>
      <w:pPr>
        <w:jc w:val="both"/>
        <w:ind w:firstLine="464"/>
        <w:spacing w:after="0" w:line="259" w:lineRule="auto"/>
        <w:tabs>
          <w:tab w:leader="none" w:pos="64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 the date hereof, immediately after giving effect to the Transactions to occur on the Closing Date, including the making of each Loan to be made on the Closing Date and the application of the proceeds thereof, the present fair saleable value of the property of ADI and its Subsidiaries, on a consolidated basis, will be greater than the amount that will be required to pay the probable liabilities on their debts and other liabilities, subordinated, contingent or otherwise, as such debts and other liabilities become absolute and matured.</w:t>
      </w:r>
    </w:p>
    <w:p>
      <w:pPr>
        <w:spacing w:after="0" w:line="186" w:lineRule="exact"/>
        <w:rPr>
          <w:rFonts w:ascii="Arial" w:cs="Arial" w:eastAsia="Arial" w:hAnsi="Arial"/>
          <w:sz w:val="18"/>
          <w:szCs w:val="18"/>
          <w:color w:val="auto"/>
        </w:rPr>
      </w:pPr>
    </w:p>
    <w:p>
      <w:pPr>
        <w:jc w:val="both"/>
        <w:ind w:firstLine="464"/>
        <w:spacing w:after="0" w:line="264" w:lineRule="auto"/>
        <w:tabs>
          <w:tab w:leader="none" w:pos="64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 the date hereof, immediately after giving effect to the Transactions to occur on the Closing Date, including the making of each Loan to be made on the Closing Date and the application of the proceeds thereof, ADI and its Subsidiaries, on a consolidated basis, will be able to pay their debts and liabilities, subordinated, contingent or otherwise, as such debts and liabilities become absolute and matured.</w:t>
      </w:r>
    </w:p>
    <w:p>
      <w:pPr>
        <w:spacing w:after="0" w:line="181" w:lineRule="exact"/>
        <w:rPr>
          <w:rFonts w:ascii="Arial" w:cs="Arial" w:eastAsia="Arial" w:hAnsi="Arial"/>
          <w:sz w:val="18"/>
          <w:szCs w:val="18"/>
          <w:color w:val="auto"/>
        </w:rPr>
      </w:pPr>
    </w:p>
    <w:p>
      <w:pPr>
        <w:jc w:val="both"/>
        <w:ind w:firstLine="464"/>
        <w:spacing w:after="0" w:line="259" w:lineRule="auto"/>
        <w:tabs>
          <w:tab w:leader="none" w:pos="64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 the date hereof, immediately after giving effect to the Transactions to occur on the Closing Date, including the making of each Loan to be made on the Closing Date and the application of the proceeds thereof, ADI and its Subsidiaries, on a consolidated basis, will not have an unreasonably small capital with which to conduct the businesses in which they are engaged as such businesses are now conducted and proposed to be conducted following the date hereof.</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financial information, projections and assumptions which underlie and form the basis for the representations made in this certificate were based upon good faith estimates and</w:t>
      </w:r>
    </w:p>
    <w:p>
      <w:pPr>
        <w:sectPr>
          <w:pgSz w:w="11900" w:h="16838" w:orient="portrait"/>
          <w:cols w:equalWidth="0" w:num="1">
            <w:col w:w="11420"/>
          </w:cols>
          <w:pgMar w:left="240" w:top="270" w:right="239" w:bottom="1440" w:gutter="0" w:footer="0" w:header="0"/>
        </w:sectPr>
      </w:pPr>
    </w:p>
    <w:bookmarkStart w:id="119" w:name="page120"/>
    <w:bookmarkEnd w:id="11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assumptions believed to be reasonable to the management of ADI at the time made, in light of the circumstances under which they were made (it being understood that such financial information, projections or forecasts as they relate to future events are not to be viewed as fact and that actual results during the period or periods covered by such financial information, projections or assumptions may differ from the projected results set forth therein by a material amount).</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computing the amount of the contingent liabilities of ADI and its Subsidiaries as of the date hereof, such liabilities have been computed at the amount that, in light of all the facts and circumstances existing as of the date hereof, represents the amount that can reasonably be expected to become an actual or matured liability.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420"/>
          </w:cols>
          <w:pgMar w:left="240" w:top="274" w:right="239" w:bottom="1440" w:gutter="0" w:footer="0" w:header="0"/>
        </w:sectPr>
      </w:pPr>
    </w:p>
    <w:bookmarkStart w:id="120" w:name="page121"/>
    <w:bookmarkEnd w:id="120"/>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Certificate solely in his/her capacity as Chief Financial Officer of ADI (and not in an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individual capacity) this [  ] day of [</w:t>
            </w:r>
          </w:p>
        </w:tc>
        <w:tc>
          <w:tcPr>
            <w:tcW w:w="4220" w:type="dxa"/>
            <w:vAlign w:val="bottom"/>
          </w:tcPr>
          <w:p>
            <w:pPr>
              <w:jc w:val="right"/>
              <w:ind w:right="3750"/>
              <w:spacing w:after="0"/>
              <w:rPr>
                <w:sz w:val="20"/>
                <w:szCs w:val="20"/>
                <w:color w:val="auto"/>
              </w:rPr>
            </w:pPr>
            <w:r>
              <w:rPr>
                <w:rFonts w:ascii="Arial" w:cs="Arial" w:eastAsia="Arial" w:hAnsi="Arial"/>
                <w:sz w:val="18"/>
                <w:szCs w:val="18"/>
                <w:color w:val="auto"/>
              </w:rPr>
              <w:t>].</w:t>
            </w:r>
          </w:p>
        </w:tc>
        <w:tc>
          <w:tcPr>
            <w:tcW w:w="4240" w:type="dxa"/>
            <w:vAlign w:val="bottom"/>
          </w:tcPr>
          <w:p>
            <w:pPr>
              <w:spacing w:after="0"/>
              <w:rPr>
                <w:sz w:val="20"/>
                <w:szCs w:val="20"/>
                <w:color w:val="auto"/>
              </w:rPr>
            </w:pPr>
          </w:p>
        </w:tc>
      </w:tr>
      <w:tr>
        <w:trPr>
          <w:trHeight w:val="445"/>
        </w:trPr>
        <w:tc>
          <w:tcPr>
            <w:tcW w:w="2960" w:type="dxa"/>
            <w:vAlign w:val="bottom"/>
          </w:tcPr>
          <w:p>
            <w:pPr>
              <w:spacing w:after="0"/>
              <w:rPr>
                <w:sz w:val="24"/>
                <w:szCs w:val="24"/>
                <w:color w:val="auto"/>
              </w:rPr>
            </w:pPr>
          </w:p>
        </w:tc>
        <w:tc>
          <w:tcPr>
            <w:tcW w:w="8460" w:type="dxa"/>
            <w:vAlign w:val="bottom"/>
            <w:gridSpan w:val="2"/>
          </w:tcPr>
          <w:p>
            <w:pPr>
              <w:ind w:left="3900"/>
              <w:spacing w:after="0"/>
              <w:rPr>
                <w:sz w:val="20"/>
                <w:szCs w:val="20"/>
                <w:color w:val="auto"/>
              </w:rPr>
            </w:pPr>
            <w:r>
              <w:rPr>
                <w:rFonts w:ascii="Arial" w:cs="Arial" w:eastAsia="Arial" w:hAnsi="Arial"/>
                <w:sz w:val="18"/>
                <w:szCs w:val="18"/>
                <w:color w:val="auto"/>
              </w:rPr>
              <w:t>ANALOG DEVICES, INC.</w:t>
            </w:r>
          </w:p>
        </w:tc>
      </w:tr>
      <w:tr>
        <w:trPr>
          <w:trHeight w:val="432"/>
        </w:trPr>
        <w:tc>
          <w:tcPr>
            <w:tcW w:w="2960" w:type="dxa"/>
            <w:vAlign w:val="bottom"/>
          </w:tcPr>
          <w:p>
            <w:pPr>
              <w:spacing w:after="0"/>
              <w:rPr>
                <w:sz w:val="24"/>
                <w:szCs w:val="24"/>
                <w:color w:val="auto"/>
              </w:rPr>
            </w:pPr>
          </w:p>
        </w:tc>
        <w:tc>
          <w:tcPr>
            <w:tcW w:w="8460" w:type="dxa"/>
            <w:vAlign w:val="bottom"/>
            <w:gridSpan w:val="2"/>
          </w:tcPr>
          <w:p>
            <w:pPr>
              <w:ind w:left="3900"/>
              <w:spacing w:after="0"/>
              <w:rPr>
                <w:sz w:val="20"/>
                <w:szCs w:val="20"/>
                <w:color w:val="auto"/>
              </w:rPr>
            </w:pPr>
            <w:r>
              <w:rPr>
                <w:rFonts w:ascii="Arial" w:cs="Arial" w:eastAsia="Arial" w:hAnsi="Arial"/>
                <w:sz w:val="18"/>
                <w:szCs w:val="18"/>
                <w:color w:val="auto"/>
              </w:rPr>
              <w:t>By:</w:t>
            </w:r>
          </w:p>
        </w:tc>
      </w:tr>
      <w:tr>
        <w:trPr>
          <w:trHeight w:val="209"/>
        </w:trPr>
        <w:tc>
          <w:tcPr>
            <w:tcW w:w="29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30"/>
        </w:trPr>
        <w:tc>
          <w:tcPr>
            <w:tcW w:w="29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11420"/>
          </w:cols>
          <w:pgMar w:left="240" w:top="274"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CERTIFICATE</w:t>
      </w:r>
    </w:p>
    <w:p>
      <w:pPr>
        <w:spacing w:after="0" w:line="194" w:lineRule="exact"/>
        <w:rPr>
          <w:sz w:val="20"/>
          <w:szCs w:val="20"/>
          <w:color w:val="auto"/>
        </w:rPr>
      </w:pPr>
    </w:p>
    <w:tbl>
      <w:tblPr>
        <w:tblLayout w:type="fixed"/>
        <w:tblInd w:w="8520" w:type="dxa"/>
        <w:tblCellMar>
          <w:top w:w="0" w:type="dxa"/>
          <w:left w:w="0" w:type="dxa"/>
          <w:bottom w:w="0" w:type="dxa"/>
          <w:right w:w="0" w:type="dxa"/>
        </w:tblCellMar>
      </w:tblPr>
      <w:tr>
        <w:trPr>
          <w:trHeight w:val="207"/>
        </w:trPr>
        <w:tc>
          <w:tcPr>
            <w:tcW w:w="1920" w:type="dxa"/>
            <w:vAlign w:val="bottom"/>
          </w:tcPr>
          <w:p>
            <w:pPr>
              <w:spacing w:after="0"/>
              <w:rPr>
                <w:sz w:val="20"/>
                <w:szCs w:val="20"/>
                <w:color w:val="auto"/>
              </w:rPr>
            </w:pPr>
            <w:r>
              <w:rPr>
                <w:rFonts w:ascii="Arial" w:cs="Arial" w:eastAsia="Arial" w:hAnsi="Arial"/>
                <w:sz w:val="18"/>
                <w:szCs w:val="18"/>
                <w:color w:val="auto"/>
                <w:w w:val="91"/>
              </w:rPr>
              <w:t>Financial Statement Date:</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 20</w:t>
            </w:r>
          </w:p>
        </w:tc>
      </w:tr>
      <w:tr>
        <w:trPr>
          <w:trHeight w:val="20"/>
        </w:trPr>
        <w:tc>
          <w:tcPr>
            <w:tcW w:w="1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JPMorgan,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Reference is made to that certain Bridge Credit Agreement, dated as of March 10, 2017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among Analog Devices, Inc. (“</w:t>
      </w:r>
      <w:r>
        <w:rPr>
          <w:rFonts w:ascii="Arial" w:cs="Arial" w:eastAsia="Arial" w:hAnsi="Arial"/>
          <w:sz w:val="18"/>
          <w:szCs w:val="18"/>
          <w:u w:val="single" w:color="auto"/>
          <w:color w:val="auto"/>
        </w:rPr>
        <w:t>ADI</w:t>
      </w:r>
      <w:r>
        <w:rPr>
          <w:rFonts w:ascii="Arial" w:cs="Arial" w:eastAsia="Arial" w:hAnsi="Arial"/>
          <w:sz w:val="18"/>
          <w:szCs w:val="18"/>
          <w:color w:val="auto"/>
        </w:rPr>
        <w:t>”), the Lenders from time to time party thereto and JPMorgan Chase Bank, N.A., as Administrative Agent.</w:t>
      </w:r>
    </w:p>
    <w:p>
      <w:pPr>
        <w:spacing w:after="0" w:line="181"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The undersigned Responsible Officer hereby certifies as of the date hereof that he/she is the</w:t>
      </w:r>
      <w:r>
        <w:rPr>
          <w:sz w:val="20"/>
          <w:szCs w:val="20"/>
          <w:color w:val="auto"/>
        </w:rPr>
        <w:tab/>
      </w:r>
      <w:r>
        <w:rPr>
          <w:rFonts w:ascii="Arial" w:cs="Arial" w:eastAsia="Arial" w:hAnsi="Arial"/>
          <w:sz w:val="16"/>
          <w:szCs w:val="16"/>
          <w:color w:val="auto"/>
        </w:rPr>
        <w:t>of ADI, and that, as such, he/she is authorized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4287520</wp:posOffset>
            </wp:positionH>
            <wp:positionV relativeFrom="paragraph">
              <wp:posOffset>-10160</wp:posOffset>
            </wp:positionV>
            <wp:extent cx="6661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6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execute and deliver this Compliance Certificate to the Administrative Agent (for delivery to the Lenders) on the behalf of ADI, and that: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[Use following paragraph I for fiscal </w:t>
      </w:r>
      <w:r>
        <w:rPr>
          <w:rFonts w:ascii="Arial" w:cs="Arial" w:eastAsia="Arial" w:hAnsi="Arial"/>
          <w:sz w:val="18"/>
          <w:szCs w:val="18"/>
          <w:b w:val="1"/>
          <w:bCs w:val="1"/>
          <w:i w:val="1"/>
          <w:iCs w:val="1"/>
          <w:color w:val="auto"/>
        </w:rPr>
        <w:t>year-end</w:t>
      </w:r>
      <w:r>
        <w:rPr>
          <w:rFonts w:ascii="Arial" w:cs="Arial" w:eastAsia="Arial" w:hAnsi="Arial"/>
          <w:sz w:val="18"/>
          <w:szCs w:val="18"/>
          <w:i w:val="1"/>
          <w:iCs w:val="1"/>
          <w:color w:val="auto"/>
        </w:rPr>
        <w:t xml:space="preserve"> financial statements]</w:t>
      </w:r>
    </w:p>
    <w:p>
      <w:pPr>
        <w:spacing w:after="0" w:line="225" w:lineRule="exact"/>
        <w:rPr>
          <w:sz w:val="20"/>
          <w:szCs w:val="20"/>
          <w:color w:val="auto"/>
        </w:rPr>
      </w:pPr>
    </w:p>
    <w:p>
      <w:pPr>
        <w:ind w:firstLine="8"/>
        <w:spacing w:after="0" w:line="308" w:lineRule="auto"/>
        <w:tabs>
          <w:tab w:leader="none" w:pos="18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are the year-end audited financial statements required by Section 6.01(a) of the Credit Agreement for the fiscal year of ADI ended as of the above date, together with the report and opinion of an independent certified public accountant required by such section.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[Use following paragraph I for fiscal </w:t>
      </w:r>
      <w:r>
        <w:rPr>
          <w:rFonts w:ascii="Arial" w:cs="Arial" w:eastAsia="Arial" w:hAnsi="Arial"/>
          <w:sz w:val="18"/>
          <w:szCs w:val="18"/>
          <w:b w:val="1"/>
          <w:bCs w:val="1"/>
          <w:i w:val="1"/>
          <w:iCs w:val="1"/>
          <w:color w:val="auto"/>
        </w:rPr>
        <w:t>quarter-end</w:t>
      </w:r>
      <w:r>
        <w:rPr>
          <w:rFonts w:ascii="Arial" w:cs="Arial" w:eastAsia="Arial" w:hAnsi="Arial"/>
          <w:sz w:val="18"/>
          <w:szCs w:val="18"/>
          <w:i w:val="1"/>
          <w:iCs w:val="1"/>
          <w:color w:val="auto"/>
        </w:rPr>
        <w:t xml:space="preserve"> financial statements]</w:t>
      </w:r>
    </w:p>
    <w:p>
      <w:pPr>
        <w:spacing w:after="0" w:line="225" w:lineRule="exact"/>
        <w:rPr>
          <w:sz w:val="20"/>
          <w:szCs w:val="20"/>
          <w:color w:val="auto"/>
        </w:rPr>
      </w:pPr>
    </w:p>
    <w:p>
      <w:pPr>
        <w:jc w:val="both"/>
        <w:ind w:firstLine="8"/>
        <w:spacing w:after="0" w:line="312" w:lineRule="auto"/>
        <w:tabs>
          <w:tab w:leader="none" w:pos="19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are the unaudited financial statements required by Section 6.01(b) of the Credit Agreement for the fiscal quarter of ADI ended as of the above date. Such financial statements fairly present the financial condition, results of operations and cash flows of the ADI and its Subsidiaries in accordance with GAAP as at such date and for such period, subject only to normal year-end audit adjustments and the absence of footnotes.</w:t>
      </w:r>
    </w:p>
    <w:p>
      <w:pPr>
        <w:spacing w:after="0" w:line="146" w:lineRule="exact"/>
        <w:rPr>
          <w:rFonts w:ascii="Arial" w:cs="Arial" w:eastAsia="Arial" w:hAnsi="Arial"/>
          <w:sz w:val="16"/>
          <w:szCs w:val="16"/>
          <w:color w:val="auto"/>
        </w:rPr>
      </w:pPr>
    </w:p>
    <w:p>
      <w:pPr>
        <w:jc w:val="both"/>
        <w:ind w:firstLine="8"/>
        <w:spacing w:after="0" w:line="264" w:lineRule="auto"/>
        <w:tabs>
          <w:tab w:leader="none" w:pos="18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Credit Agreement and has made, or has caused to be made under his/her supervision, a detailed review of the transactions and condition (financial or otherwise) of the Loan Parties during the accounting period covered by the attached financial statements.</w:t>
      </w:r>
    </w:p>
    <w:p>
      <w:pPr>
        <w:spacing w:after="0" w:line="181" w:lineRule="exact"/>
        <w:rPr>
          <w:rFonts w:ascii="Arial" w:cs="Arial" w:eastAsia="Arial" w:hAnsi="Arial"/>
          <w:sz w:val="18"/>
          <w:szCs w:val="18"/>
          <w:color w:val="auto"/>
        </w:rPr>
      </w:pPr>
    </w:p>
    <w:p>
      <w:pPr>
        <w:jc w:val="both"/>
        <w:ind w:right="20" w:firstLine="8"/>
        <w:spacing w:after="0" w:line="259" w:lineRule="auto"/>
        <w:tabs>
          <w:tab w:leader="none" w:pos="18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review of the activities of the Loan Parties during such fiscal period has been made under the supervision of the undersigned with a view to determining whether during such fiscal period each Loan Party performed and observed all its Obligations under the Loan Documents, and to the best knowledge of the undersigned during such fiscal period, each Loan Party performed and observed each covenant and condition of the Loan Documents applicable to it, and no Default has occurred and is continuing.</w:t>
      </w:r>
    </w:p>
    <w:p>
      <w:pPr>
        <w:sectPr>
          <w:pgSz w:w="11900" w:h="16838" w:orient="portrait"/>
          <w:cols w:equalWidth="0" w:num="1">
            <w:col w:w="11420"/>
          </w:cols>
          <w:pgMar w:left="240" w:top="270" w:right="239" w:bottom="1440" w:gutter="0" w:footer="0" w:header="0"/>
        </w:sectPr>
      </w:pPr>
    </w:p>
    <w:bookmarkStart w:id="122" w:name="page123"/>
    <w:bookmarkEnd w:id="122"/>
    <w:p>
      <w:pPr>
        <w:spacing w:after="0"/>
        <w:tabs>
          <w:tab w:leader="none" w:pos="7300" w:val="left"/>
          <w:tab w:leader="none" w:pos="7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i w:val="1"/>
          <w:iCs w:val="1"/>
          <w:color w:val="auto"/>
        </w:rPr>
        <w:t>,</w:t>
      </w:r>
      <w:r>
        <w:rPr>
          <w:rFonts w:ascii="Arial" w:cs="Arial" w:eastAsia="Arial" w:hAnsi="Arial"/>
          <w:sz w:val="18"/>
          <w:szCs w:val="18"/>
          <w:color w:val="auto"/>
        </w:rPr>
        <w:t xml:space="preserve"> the undersigned has executed this Compliance Certificate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-10160</wp:posOffset>
            </wp:positionV>
            <wp:extent cx="6286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ANALOG DEVICES, INC.,</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 Massachusetts corporation</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Compliance Certificate</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Financial Statements</w:t>
      </w:r>
    </w:p>
    <w:p>
      <w:pPr>
        <w:spacing w:after="0" w:line="241" w:lineRule="exact"/>
        <w:rPr>
          <w:sz w:val="20"/>
          <w:szCs w:val="20"/>
          <w:color w:val="auto"/>
        </w:rPr>
      </w:pPr>
    </w:p>
    <w:p>
      <w:pPr>
        <w:ind w:left="3640"/>
        <w:spacing w:after="0"/>
        <w:rPr>
          <w:sz w:val="20"/>
          <w:szCs w:val="20"/>
          <w:color w:val="auto"/>
        </w:rPr>
      </w:pPr>
      <w:r>
        <w:rPr>
          <w:rFonts w:ascii="Arial" w:cs="Arial" w:eastAsia="Arial" w:hAnsi="Arial"/>
          <w:sz w:val="18"/>
          <w:szCs w:val="18"/>
          <w:i w:val="1"/>
          <w:iCs w:val="1"/>
          <w:color w:val="auto"/>
        </w:rPr>
        <w:t>[To be attached by ADI]</w:t>
      </w:r>
    </w:p>
    <w:p>
      <w:pPr>
        <w:sectPr>
          <w:pgSz w:w="11900" w:h="16838" w:orient="portrait"/>
          <w:cols w:equalWidth="0" w:num="1">
            <w:col w:w="10220"/>
          </w:cols>
          <w:pgMar w:left="1440" w:top="274"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Assignment and Assumption (this “</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is dated as of the Effective Date set forth below and is entered into by and between [the][each]</w:t>
      </w:r>
      <w:r>
        <w:rPr>
          <w:rFonts w:ascii="Arial" w:cs="Arial" w:eastAsia="Arial" w:hAnsi="Arial"/>
          <w:sz w:val="14"/>
          <w:szCs w:val="14"/>
          <w:color w:val="auto"/>
        </w:rPr>
        <w:t>1</w:t>
      </w:r>
      <w:r>
        <w:rPr>
          <w:rFonts w:ascii="Arial" w:cs="Arial" w:eastAsia="Arial" w:hAnsi="Arial"/>
          <w:sz w:val="17"/>
          <w:szCs w:val="17"/>
          <w:color w:val="auto"/>
        </w:rPr>
        <w:t xml:space="preserve"> Assignor identified in item 1 below ([the][each, an] “</w:t>
      </w:r>
      <w:r>
        <w:rPr>
          <w:rFonts w:ascii="Arial" w:cs="Arial" w:eastAsia="Arial" w:hAnsi="Arial"/>
          <w:sz w:val="17"/>
          <w:szCs w:val="17"/>
          <w:u w:val="single" w:color="auto"/>
          <w:color w:val="auto"/>
        </w:rPr>
        <w:t>Assignor</w:t>
      </w:r>
      <w:r>
        <w:rPr>
          <w:rFonts w:ascii="Arial" w:cs="Arial" w:eastAsia="Arial" w:hAnsi="Arial"/>
          <w:sz w:val="17"/>
          <w:szCs w:val="17"/>
          <w:color w:val="auto"/>
        </w:rPr>
        <w:t>”) and [the][each]</w:t>
      </w:r>
      <w:r>
        <w:rPr>
          <w:rFonts w:ascii="Arial" w:cs="Arial" w:eastAsia="Arial" w:hAnsi="Arial"/>
          <w:sz w:val="14"/>
          <w:szCs w:val="14"/>
          <w:color w:val="auto"/>
        </w:rPr>
        <w:t>2</w:t>
      </w:r>
      <w:r>
        <w:rPr>
          <w:rFonts w:ascii="Arial" w:cs="Arial" w:eastAsia="Arial" w:hAnsi="Arial"/>
          <w:sz w:val="17"/>
          <w:szCs w:val="17"/>
          <w:color w:val="auto"/>
        </w:rPr>
        <w:t xml:space="preserve"> Assignee identified in item 2 below ([the][each, an] “</w:t>
      </w:r>
      <w:r>
        <w:rPr>
          <w:rFonts w:ascii="Arial" w:cs="Arial" w:eastAsia="Arial" w:hAnsi="Arial"/>
          <w:sz w:val="17"/>
          <w:szCs w:val="17"/>
          <w:u w:val="single" w:color="auto"/>
          <w:color w:val="auto"/>
        </w:rPr>
        <w:t>Assignee</w:t>
      </w:r>
      <w:r>
        <w:rPr>
          <w:rFonts w:ascii="Arial" w:cs="Arial" w:eastAsia="Arial" w:hAnsi="Arial"/>
          <w:sz w:val="17"/>
          <w:szCs w:val="17"/>
          <w:color w:val="auto"/>
        </w:rPr>
        <w:t>”). [It is understood and agreed that the rights and obligations of [the Assignors][the Assignees]</w:t>
      </w:r>
      <w:r>
        <w:rPr>
          <w:rFonts w:ascii="Arial" w:cs="Arial" w:eastAsia="Arial" w:hAnsi="Arial"/>
          <w:sz w:val="14"/>
          <w:szCs w:val="14"/>
          <w:color w:val="auto"/>
        </w:rPr>
        <w:t>3</w:t>
      </w:r>
      <w:r>
        <w:rPr>
          <w:rFonts w:ascii="Arial" w:cs="Arial" w:eastAsia="Arial" w:hAnsi="Arial"/>
          <w:sz w:val="17"/>
          <w:szCs w:val="17"/>
          <w:color w:val="auto"/>
        </w:rPr>
        <w:t xml:space="preserve"> hereunder are several and not joint.]</w:t>
      </w:r>
      <w:r>
        <w:rPr>
          <w:rFonts w:ascii="Arial" w:cs="Arial" w:eastAsia="Arial" w:hAnsi="Arial"/>
          <w:sz w:val="14"/>
          <w:szCs w:val="14"/>
          <w:color w:val="auto"/>
        </w:rPr>
        <w:t>4</w:t>
      </w:r>
      <w:r>
        <w:rPr>
          <w:rFonts w:ascii="Arial" w:cs="Arial" w:eastAsia="Arial" w:hAnsi="Arial"/>
          <w:sz w:val="17"/>
          <w:szCs w:val="17"/>
          <w:color w:val="auto"/>
        </w:rPr>
        <w:t xml:space="preserve"> Capitalized terms used but not defined herein shall have the meanings given to them in the Credit Agreement identified below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receipt of a copy of which is hereby acknowledged by [the][each] Assignee. The Standard Terms and Conditions set forth in </w:t>
      </w:r>
      <w:r>
        <w:rPr>
          <w:rFonts w:ascii="Arial" w:cs="Arial" w:eastAsia="Arial" w:hAnsi="Arial"/>
          <w:sz w:val="17"/>
          <w:szCs w:val="17"/>
          <w:u w:val="single" w:color="auto"/>
          <w:color w:val="auto"/>
        </w:rPr>
        <w:t>Annex 1</w:t>
      </w:r>
      <w:r>
        <w:rPr>
          <w:rFonts w:ascii="Arial" w:cs="Arial" w:eastAsia="Arial" w:hAnsi="Arial"/>
          <w:sz w:val="17"/>
          <w:szCs w:val="17"/>
          <w:color w:val="auto"/>
        </w:rPr>
        <w:t xml:space="preserve"> attached hereto are hereby agreed to and incorporated herein by reference and made a part of this Assignment and Assumption as if set forth herein in full.</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For an agreed consideration, [the][each] Assignor hereby irrevocably sells and assigns to [the Assignee][the respective Assignees], and [the][each] Assignee hereby irrevocably purchases and assumes from [the Assignor] [the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(the rights and obligations sold and assigned by [the][any] Assignor to [the][any] Assignee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being referred to herein collectively as [the][an]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 [any] Assignor and, except as expressly provided in this Assignment and Assumption, without representation or warranty by [the][any]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220" w:hanging="212"/>
        <w:spacing w:after="0"/>
        <w:tabs>
          <w:tab w:leader="none" w:pos="220" w:val="left"/>
        </w:tabs>
        <w:numPr>
          <w:ilvl w:val="0"/>
          <w:numId w:val="132"/>
        </w:numPr>
        <w:rPr>
          <w:rFonts w:ascii="Arial" w:cs="Arial" w:eastAsia="Arial" w:hAnsi="Arial"/>
          <w:sz w:val="14"/>
          <w:szCs w:val="14"/>
          <w:color w:val="auto"/>
        </w:rPr>
      </w:pPr>
      <w:r>
        <w:rPr>
          <w:rFonts w:ascii="Arial" w:cs="Arial" w:eastAsia="Arial" w:hAnsi="Arial"/>
          <w:sz w:val="16"/>
          <w:szCs w:val="16"/>
          <w:color w:val="auto"/>
        </w:rPr>
        <w:t>For bracketed language here and elsewhere in this form relating to the Assignor(s), if the assignment is from a single Assignor, choose the first bracketed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language. If the assignment is from multiple Assignors, choose the second bracketed language.</w:t>
      </w:r>
    </w:p>
    <w:p>
      <w:pPr>
        <w:spacing w:after="0" w:line="8" w:lineRule="exact"/>
        <w:rPr>
          <w:sz w:val="20"/>
          <w:szCs w:val="20"/>
          <w:color w:val="auto"/>
        </w:rPr>
      </w:pPr>
    </w:p>
    <w:p>
      <w:pPr>
        <w:ind w:left="220" w:hanging="212"/>
        <w:spacing w:after="0"/>
        <w:tabs>
          <w:tab w:leader="none" w:pos="220" w:val="left"/>
        </w:tabs>
        <w:numPr>
          <w:ilvl w:val="0"/>
          <w:numId w:val="133"/>
        </w:numPr>
        <w:rPr>
          <w:rFonts w:ascii="Arial" w:cs="Arial" w:eastAsia="Arial" w:hAnsi="Arial"/>
          <w:sz w:val="14"/>
          <w:szCs w:val="14"/>
          <w:color w:val="auto"/>
        </w:rPr>
      </w:pPr>
      <w:r>
        <w:rPr>
          <w:rFonts w:ascii="Arial" w:cs="Arial" w:eastAsia="Arial" w:hAnsi="Arial"/>
          <w:sz w:val="16"/>
          <w:szCs w:val="16"/>
          <w:color w:val="auto"/>
        </w:rPr>
        <w:t>For bracketed language here and elsewhere in this form relating to the Assignee(s), if the assignment is to a single Assignee, choose the first bracketed</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language. If the assignment is to multiple Assignees, choose the second bracketed language.</w:t>
      </w:r>
    </w:p>
    <w:p>
      <w:pPr>
        <w:spacing w:after="0" w:line="8" w:lineRule="exact"/>
        <w:rPr>
          <w:sz w:val="20"/>
          <w:szCs w:val="20"/>
          <w:color w:val="auto"/>
        </w:rPr>
      </w:pPr>
    </w:p>
    <w:p>
      <w:pPr>
        <w:ind w:left="220" w:hanging="212"/>
        <w:spacing w:after="0"/>
        <w:tabs>
          <w:tab w:leader="none" w:pos="220" w:val="left"/>
        </w:tabs>
        <w:numPr>
          <w:ilvl w:val="0"/>
          <w:numId w:val="134"/>
        </w:numPr>
        <w:rPr>
          <w:rFonts w:ascii="Arial" w:cs="Arial" w:eastAsia="Arial" w:hAnsi="Arial"/>
          <w:sz w:val="15"/>
          <w:szCs w:val="15"/>
          <w:color w:val="auto"/>
        </w:rPr>
      </w:pPr>
      <w:r>
        <w:rPr>
          <w:rFonts w:ascii="Arial" w:cs="Arial" w:eastAsia="Arial" w:hAnsi="Arial"/>
          <w:sz w:val="18"/>
          <w:szCs w:val="18"/>
          <w:color w:val="auto"/>
        </w:rPr>
        <w:t>Select as appropriate.</w:t>
      </w:r>
    </w:p>
    <w:p>
      <w:pPr>
        <w:spacing w:after="0" w:line="9" w:lineRule="exact"/>
        <w:rPr>
          <w:sz w:val="20"/>
          <w:szCs w:val="20"/>
          <w:color w:val="auto"/>
        </w:rPr>
      </w:pPr>
    </w:p>
    <w:p>
      <w:pPr>
        <w:ind w:left="220" w:hanging="212"/>
        <w:spacing w:after="0"/>
        <w:tabs>
          <w:tab w:leader="none" w:pos="220" w:val="left"/>
        </w:tabs>
        <w:numPr>
          <w:ilvl w:val="0"/>
          <w:numId w:val="135"/>
        </w:numPr>
        <w:rPr>
          <w:rFonts w:ascii="Arial" w:cs="Arial" w:eastAsia="Arial" w:hAnsi="Arial"/>
          <w:sz w:val="15"/>
          <w:szCs w:val="15"/>
          <w:color w:val="auto"/>
        </w:rPr>
      </w:pPr>
      <w:r>
        <w:rPr>
          <w:rFonts w:ascii="Arial" w:cs="Arial" w:eastAsia="Arial" w:hAnsi="Arial"/>
          <w:sz w:val="18"/>
          <w:szCs w:val="18"/>
          <w:color w:val="auto"/>
        </w:rPr>
        <w:t>Include bracketed language if there are either multiple Assignors or multiple Assignees.</w:t>
      </w:r>
    </w:p>
    <w:p>
      <w:pPr>
        <w:sectPr>
          <w:pgSz w:w="11900" w:h="16838" w:orient="portrait"/>
          <w:cols w:equalWidth="0" w:num="1">
            <w:col w:w="11420"/>
          </w:cols>
          <w:pgMar w:left="240" w:top="270" w:right="239" w:bottom="1440" w:gutter="0" w:footer="0" w:header="0"/>
        </w:sectPr>
      </w:pPr>
    </w:p>
    <w:bookmarkStart w:id="125" w:name="page126"/>
    <w:bookmarkEnd w:id="125"/>
    <w:p>
      <w:pPr>
        <w:ind w:left="180" w:hanging="172"/>
        <w:spacing w:after="0"/>
        <w:tabs>
          <w:tab w:leader="none" w:pos="18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Assignor[s]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80" w:hanging="172"/>
        <w:spacing w:after="0"/>
        <w:tabs>
          <w:tab w:leader="none" w:pos="18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Assignee[s]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-430530</wp:posOffset>
            </wp:positionV>
            <wp:extent cx="57975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-207645</wp:posOffset>
            </wp:positionV>
            <wp:extent cx="57975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238125</wp:posOffset>
            </wp:positionV>
            <wp:extent cx="57975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36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Borrower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Analog Devices, Inc., a Massachusetts corporation</w:t>
      </w:r>
      <w:r>
        <w:rPr>
          <w:rFonts w:ascii="Arial" w:cs="Arial" w:eastAsia="Arial" w:hAnsi="Arial"/>
          <w:sz w:val="13"/>
          <w:szCs w:val="13"/>
          <w:color w:val="auto"/>
        </w:rPr>
        <w:t>1</w:t>
      </w:r>
    </w:p>
    <w:p>
      <w:pPr>
        <w:spacing w:after="0" w:line="117" w:lineRule="exact"/>
        <w:rPr>
          <w:sz w:val="20"/>
          <w:szCs w:val="20"/>
          <w:color w:val="auto"/>
        </w:rPr>
      </w:pPr>
    </w:p>
    <w:p>
      <w:pPr>
        <w:ind w:left="180" w:hanging="172"/>
        <w:spacing w:after="0"/>
        <w:tabs>
          <w:tab w:leader="none" w:pos="1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r>
        <w:rPr>
          <w:rFonts w:ascii="Arial" w:cs="Arial" w:eastAsia="Arial" w:hAnsi="Arial"/>
          <w:sz w:val="16"/>
          <w:szCs w:val="16"/>
          <w:color w:val="auto"/>
        </w:rPr>
        <w:t>JPMorgan Chase Bank, N.A., as the administrative agent under the Credit Agreement</w:t>
      </w:r>
    </w:p>
    <w:p>
      <w:pPr>
        <w:spacing w:after="0" w:line="117" w:lineRule="exact"/>
        <w:rPr>
          <w:rFonts w:ascii="Arial" w:cs="Arial" w:eastAsia="Arial" w:hAnsi="Arial"/>
          <w:sz w:val="18"/>
          <w:szCs w:val="18"/>
          <w:color w:val="auto"/>
        </w:rPr>
      </w:pPr>
    </w:p>
    <w:p>
      <w:pPr>
        <w:ind w:left="2300" w:hanging="2292"/>
        <w:spacing w:after="0" w:line="264" w:lineRule="auto"/>
        <w:tabs>
          <w:tab w:leader="none" w:pos="19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:Bridge Credit Agreement, dated as of March 10, 2017, among the Borrower, the Lenders from time to time party thereto, and JPMorgan Chase Bank, N.A., as Administrative Agent, as amended, restated, extended, supplemented or otherwise modified in writing from time to time</w:t>
      </w:r>
    </w:p>
    <w:p>
      <w:pPr>
        <w:spacing w:after="0" w:line="73" w:lineRule="exact"/>
        <w:rPr>
          <w:rFonts w:ascii="Arial" w:cs="Arial" w:eastAsia="Arial" w:hAnsi="Arial"/>
          <w:sz w:val="18"/>
          <w:szCs w:val="18"/>
          <w:color w:val="auto"/>
        </w:rPr>
      </w:pPr>
    </w:p>
    <w:p>
      <w:pPr>
        <w:ind w:left="180" w:hanging="172"/>
        <w:spacing w:after="0"/>
        <w:tabs>
          <w:tab w:leader="none" w:pos="1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Assigned Interest</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Aggregate</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Amount of</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60" w:type="dxa"/>
            <w:vAlign w:val="bottom"/>
            <w:gridSpan w:val="3"/>
          </w:tcPr>
          <w:p>
            <w:pPr>
              <w:jc w:val="center"/>
              <w:ind w:right="64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Commitment</w:t>
            </w:r>
          </w:p>
        </w:tc>
        <w:tc>
          <w:tcPr>
            <w:tcW w:w="6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Amount of</w:t>
            </w:r>
          </w:p>
        </w:tc>
        <w:tc>
          <w:tcPr>
            <w:tcW w:w="660" w:type="dxa"/>
            <w:vAlign w:val="bottom"/>
          </w:tcPr>
          <w:p>
            <w:pPr>
              <w:spacing w:after="0"/>
              <w:rPr>
                <w:sz w:val="18"/>
                <w:szCs w:val="18"/>
                <w:color w:val="auto"/>
              </w:rPr>
            </w:pPr>
          </w:p>
        </w:tc>
        <w:tc>
          <w:tcPr>
            <w:tcW w:w="1660" w:type="dxa"/>
            <w:vAlign w:val="bottom"/>
            <w:gridSpan w:val="3"/>
          </w:tcPr>
          <w:p>
            <w:pPr>
              <w:jc w:val="center"/>
              <w:ind w:right="640"/>
              <w:spacing w:after="0"/>
              <w:rPr>
                <w:sz w:val="20"/>
                <w:szCs w:val="20"/>
                <w:color w:val="auto"/>
              </w:rPr>
            </w:pPr>
            <w:r>
              <w:rPr>
                <w:rFonts w:ascii="Arial" w:cs="Arial" w:eastAsia="Arial" w:hAnsi="Arial"/>
                <w:sz w:val="18"/>
                <w:szCs w:val="18"/>
                <w:color w:val="auto"/>
                <w:w w:val="91"/>
              </w:rPr>
              <w:t>Assigned of</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880" w:type="dxa"/>
            <w:vAlign w:val="bottom"/>
            <w:gridSpan w:val="5"/>
            <w:vMerge w:val="restart"/>
          </w:tcPr>
          <w:p>
            <w:pPr>
              <w:ind w:left="220"/>
              <w:spacing w:after="0"/>
              <w:rPr>
                <w:sz w:val="20"/>
                <w:szCs w:val="20"/>
                <w:color w:val="auto"/>
              </w:rPr>
            </w:pPr>
            <w:r>
              <w:rPr>
                <w:rFonts w:ascii="Arial" w:cs="Arial" w:eastAsia="Arial" w:hAnsi="Arial"/>
                <w:sz w:val="18"/>
                <w:szCs w:val="18"/>
                <w:color w:val="auto"/>
              </w:rPr>
              <w:t>Assignor[s]</w:t>
            </w:r>
            <w:r>
              <w:rPr>
                <w:rFonts w:ascii="Arial" w:cs="Arial" w:eastAsia="Arial" w:hAnsi="Arial"/>
                <w:sz w:val="15"/>
                <w:szCs w:val="15"/>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for all</w:t>
            </w:r>
          </w:p>
        </w:tc>
        <w:tc>
          <w:tcPr>
            <w:tcW w:w="6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Commitment</w:t>
            </w:r>
          </w:p>
        </w:tc>
        <w:tc>
          <w:tcPr>
            <w:tcW w:w="660" w:type="dxa"/>
            <w:vAlign w:val="bottom"/>
          </w:tcPr>
          <w:p>
            <w:pPr>
              <w:spacing w:after="0"/>
              <w:rPr>
                <w:sz w:val="18"/>
                <w:szCs w:val="18"/>
                <w:color w:val="auto"/>
              </w:rPr>
            </w:pPr>
          </w:p>
        </w:tc>
        <w:tc>
          <w:tcPr>
            <w:tcW w:w="166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Commitment/</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1880" w:type="dxa"/>
            <w:vAlign w:val="bottom"/>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w w:val="88"/>
              </w:rPr>
              <w:t>Assignee[s]</w:t>
            </w:r>
            <w:r>
              <w:rPr>
                <w:rFonts w:ascii="Arial" w:cs="Arial" w:eastAsia="Arial" w:hAnsi="Arial"/>
                <w:sz w:val="15"/>
                <w:szCs w:val="15"/>
                <w:color w:val="auto"/>
                <w:w w:val="88"/>
              </w:rPr>
              <w:t>3</w:t>
            </w:r>
          </w:p>
        </w:tc>
        <w:tc>
          <w:tcPr>
            <w:tcW w:w="6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Lenders</w:t>
            </w:r>
            <w:r>
              <w:rPr>
                <w:rFonts w:ascii="Arial" w:cs="Arial" w:eastAsia="Arial" w:hAnsi="Arial"/>
                <w:sz w:val="15"/>
                <w:szCs w:val="15"/>
                <w:color w:val="auto"/>
                <w:w w:val="89"/>
              </w:rPr>
              <w:t>4</w:t>
            </w:r>
          </w:p>
        </w:tc>
        <w:tc>
          <w:tcPr>
            <w:tcW w:w="6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Assigned</w:t>
            </w:r>
          </w:p>
        </w:tc>
        <w:tc>
          <w:tcPr>
            <w:tcW w:w="660" w:type="dxa"/>
            <w:vAlign w:val="bottom"/>
          </w:tcPr>
          <w:p>
            <w:pPr>
              <w:spacing w:after="0"/>
              <w:rPr>
                <w:sz w:val="19"/>
                <w:szCs w:val="19"/>
                <w:color w:val="auto"/>
              </w:rPr>
            </w:pPr>
          </w:p>
        </w:tc>
        <w:tc>
          <w:tcPr>
            <w:tcW w:w="166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Loans</w:t>
            </w:r>
            <w:r>
              <w:rPr>
                <w:rFonts w:ascii="Arial" w:cs="Arial" w:eastAsia="Arial" w:hAnsi="Arial"/>
                <w:sz w:val="15"/>
                <w:szCs w:val="15"/>
                <w:color w:val="auto"/>
                <w:w w:val="90"/>
              </w:rPr>
              <w:t>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gridSpan w:val="2"/>
          </w:tcPr>
          <w:p>
            <w:pPr>
              <w:jc w:val="right"/>
              <w:ind w:right="792"/>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94"/>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120" w:type="dxa"/>
            <w:vAlign w:val="bottom"/>
            <w:gridSpan w:val="6"/>
          </w:tcPr>
          <w:p>
            <w:pPr>
              <w:spacing w:after="0"/>
              <w:rPr>
                <w:sz w:val="20"/>
                <w:szCs w:val="20"/>
                <w:color w:val="auto"/>
              </w:rPr>
            </w:pPr>
            <w:r>
              <w:rPr>
                <w:rFonts w:ascii="Arial" w:cs="Arial" w:eastAsia="Arial" w:hAnsi="Arial"/>
                <w:sz w:val="18"/>
                <w:szCs w:val="18"/>
                <w:color w:val="auto"/>
              </w:rPr>
              <w:t>[7. Trade Date: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gridSpan w:val="2"/>
          </w:tcPr>
          <w:p>
            <w:pPr>
              <w:jc w:val="right"/>
              <w:ind w:right="17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6</w:t>
            </w:r>
          </w:p>
        </w:tc>
        <w:tc>
          <w:tcPr>
            <w:tcW w:w="9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3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gridSpan w:val="4"/>
          </w:tcPr>
          <w:p>
            <w:pPr>
              <w:spacing w:after="0"/>
              <w:rPr>
                <w:sz w:val="20"/>
                <w:szCs w:val="20"/>
                <w:color w:val="auto"/>
              </w:rPr>
            </w:pPr>
            <w:r>
              <w:rPr>
                <w:rFonts w:ascii="Arial" w:cs="Arial" w:eastAsia="Arial" w:hAnsi="Arial"/>
                <w:sz w:val="18"/>
                <w:szCs w:val="18"/>
                <w:color w:val="auto"/>
              </w:rPr>
              <w:t>Effective Date:</w:t>
            </w:r>
          </w:p>
        </w:tc>
        <w:tc>
          <w:tcPr>
            <w:tcW w:w="920" w:type="dxa"/>
            <w:vAlign w:val="bottom"/>
            <w:gridSpan w:val="2"/>
          </w:tcPr>
          <w:p>
            <w:pPr>
              <w:spacing w:after="0"/>
              <w:rPr>
                <w:sz w:val="24"/>
                <w:szCs w:val="24"/>
                <w:color w:val="auto"/>
              </w:rPr>
            </w:pP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w w:val="93"/>
              </w:rPr>
              <w:t>, 20</w:t>
            </w:r>
          </w:p>
        </w:tc>
        <w:tc>
          <w:tcPr>
            <w:tcW w:w="8660" w:type="dxa"/>
            <w:vAlign w:val="bottom"/>
            <w:gridSpan w:val="11"/>
          </w:tcPr>
          <w:p>
            <w:pPr>
              <w:ind w:left="80"/>
              <w:spacing w:after="0"/>
              <w:rPr>
                <w:sz w:val="20"/>
                <w:szCs w:val="20"/>
                <w:color w:val="auto"/>
              </w:rPr>
            </w:pPr>
            <w:r>
              <w:rPr>
                <w:rFonts w:ascii="Arial" w:cs="Arial" w:eastAsia="Arial" w:hAnsi="Arial"/>
                <w:sz w:val="18"/>
                <w:szCs w:val="18"/>
                <w:color w:val="auto"/>
              </w:rPr>
              <w:t>[TO BE INSERTED BY ADMINISTRATIVE AGENT AND WHICH SHALL BE THE EFFECTIVE DATE OF</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138"/>
        </w:numPr>
        <w:rPr>
          <w:rFonts w:ascii="Arial" w:cs="Arial" w:eastAsia="Arial" w:hAnsi="Arial"/>
          <w:sz w:val="15"/>
          <w:szCs w:val="15"/>
          <w:color w:val="auto"/>
        </w:rPr>
      </w:pPr>
      <w:r>
        <w:rPr>
          <w:rFonts w:ascii="Arial" w:cs="Arial" w:eastAsia="Arial" w:hAnsi="Arial"/>
          <w:sz w:val="18"/>
          <w:szCs w:val="18"/>
          <w:color w:val="auto"/>
        </w:rPr>
        <w:t>Include the Subsidiary Borrower, if applicable.</w:t>
      </w:r>
    </w:p>
    <w:p>
      <w:pPr>
        <w:spacing w:after="0" w:line="22" w:lineRule="exact"/>
        <w:rPr>
          <w:sz w:val="20"/>
          <w:szCs w:val="20"/>
          <w:color w:val="auto"/>
        </w:rPr>
      </w:pPr>
    </w:p>
    <w:p>
      <w:pPr>
        <w:ind w:left="220" w:hanging="212"/>
        <w:spacing w:after="0"/>
        <w:tabs>
          <w:tab w:leader="none" w:pos="220" w:val="left"/>
        </w:tabs>
        <w:numPr>
          <w:ilvl w:val="0"/>
          <w:numId w:val="139"/>
        </w:numPr>
        <w:rPr>
          <w:rFonts w:ascii="Arial" w:cs="Arial" w:eastAsia="Arial" w:hAnsi="Arial"/>
          <w:sz w:val="15"/>
          <w:szCs w:val="15"/>
          <w:color w:val="auto"/>
        </w:rPr>
      </w:pPr>
      <w:r>
        <w:rPr>
          <w:rFonts w:ascii="Arial" w:cs="Arial" w:eastAsia="Arial" w:hAnsi="Arial"/>
          <w:sz w:val="18"/>
          <w:szCs w:val="18"/>
          <w:color w:val="auto"/>
        </w:rPr>
        <w:t>List each Assignor, as appropriate.</w:t>
      </w:r>
    </w:p>
    <w:p>
      <w:pPr>
        <w:spacing w:after="0" w:line="9" w:lineRule="exact"/>
        <w:rPr>
          <w:sz w:val="20"/>
          <w:szCs w:val="20"/>
          <w:color w:val="auto"/>
        </w:rPr>
      </w:pPr>
    </w:p>
    <w:p>
      <w:pPr>
        <w:ind w:left="220" w:hanging="212"/>
        <w:spacing w:after="0"/>
        <w:tabs>
          <w:tab w:leader="none" w:pos="220" w:val="left"/>
        </w:tabs>
        <w:numPr>
          <w:ilvl w:val="0"/>
          <w:numId w:val="140"/>
        </w:numPr>
        <w:rPr>
          <w:rFonts w:ascii="Arial" w:cs="Arial" w:eastAsia="Arial" w:hAnsi="Arial"/>
          <w:sz w:val="15"/>
          <w:szCs w:val="15"/>
          <w:color w:val="auto"/>
        </w:rPr>
      </w:pPr>
      <w:r>
        <w:rPr>
          <w:rFonts w:ascii="Arial" w:cs="Arial" w:eastAsia="Arial" w:hAnsi="Arial"/>
          <w:sz w:val="18"/>
          <w:szCs w:val="18"/>
          <w:color w:val="auto"/>
        </w:rPr>
        <w:t>List each Assignee, as appropriate.</w:t>
      </w:r>
    </w:p>
    <w:p>
      <w:pPr>
        <w:spacing w:after="0" w:line="9" w:lineRule="exact"/>
        <w:rPr>
          <w:sz w:val="20"/>
          <w:szCs w:val="20"/>
          <w:color w:val="auto"/>
        </w:rPr>
      </w:pPr>
    </w:p>
    <w:p>
      <w:pPr>
        <w:ind w:left="220" w:hanging="212"/>
        <w:spacing w:after="0" w:line="250" w:lineRule="auto"/>
        <w:tabs>
          <w:tab w:leader="none" w:pos="220" w:val="left"/>
        </w:tabs>
        <w:numPr>
          <w:ilvl w:val="0"/>
          <w:numId w:val="141"/>
        </w:numPr>
        <w:rPr>
          <w:rFonts w:ascii="Arial" w:cs="Arial" w:eastAsia="Arial" w:hAnsi="Arial"/>
          <w:sz w:val="15"/>
          <w:szCs w:val="15"/>
          <w:color w:val="auto"/>
        </w:rPr>
      </w:pPr>
      <w:r>
        <w:rPr>
          <w:rFonts w:ascii="Arial" w:cs="Arial" w:eastAsia="Arial" w:hAnsi="Arial"/>
          <w:sz w:val="18"/>
          <w:szCs w:val="18"/>
          <w:color w:val="auto"/>
        </w:rPr>
        <w:t>Amounts in this column and in the column immediately to the right to be adjusted by the counterparties to take into account any payments or prepayments made between the Trade Date and the Effective Date.</w:t>
      </w:r>
    </w:p>
    <w:p>
      <w:pPr>
        <w:spacing w:after="0" w:line="1" w:lineRule="exact"/>
        <w:rPr>
          <w:sz w:val="20"/>
          <w:szCs w:val="20"/>
          <w:color w:val="auto"/>
        </w:rPr>
      </w:pPr>
    </w:p>
    <w:p>
      <w:pPr>
        <w:ind w:left="220" w:hanging="212"/>
        <w:spacing w:after="0"/>
        <w:tabs>
          <w:tab w:leader="none" w:pos="220" w:val="left"/>
        </w:tabs>
        <w:numPr>
          <w:ilvl w:val="0"/>
          <w:numId w:val="142"/>
        </w:numPr>
        <w:rPr>
          <w:rFonts w:ascii="Arial" w:cs="Arial" w:eastAsia="Arial" w:hAnsi="Arial"/>
          <w:sz w:val="15"/>
          <w:szCs w:val="15"/>
          <w:color w:val="auto"/>
        </w:rPr>
      </w:pPr>
      <w:r>
        <w:rPr>
          <w:rFonts w:ascii="Arial" w:cs="Arial" w:eastAsia="Arial" w:hAnsi="Arial"/>
          <w:sz w:val="18"/>
          <w:szCs w:val="18"/>
          <w:color w:val="auto"/>
        </w:rPr>
        <w:t>Set forth, to at least 9 decimals, as a percentage of the Commitment/Loans of all Lenders thereunder.</w:t>
      </w:r>
    </w:p>
    <w:p>
      <w:pPr>
        <w:spacing w:after="0" w:line="9" w:lineRule="exact"/>
        <w:rPr>
          <w:sz w:val="20"/>
          <w:szCs w:val="20"/>
          <w:color w:val="auto"/>
        </w:rPr>
      </w:pPr>
    </w:p>
    <w:p>
      <w:pPr>
        <w:ind w:left="220" w:hanging="212"/>
        <w:spacing w:after="0"/>
        <w:tabs>
          <w:tab w:leader="none" w:pos="220" w:val="left"/>
        </w:tabs>
        <w:numPr>
          <w:ilvl w:val="0"/>
          <w:numId w:val="143"/>
        </w:numPr>
        <w:rPr>
          <w:rFonts w:ascii="Arial" w:cs="Arial" w:eastAsia="Arial" w:hAnsi="Arial"/>
          <w:sz w:val="15"/>
          <w:szCs w:val="15"/>
          <w:color w:val="auto"/>
        </w:rPr>
      </w:pPr>
      <w:r>
        <w:rPr>
          <w:rFonts w:ascii="Arial" w:cs="Arial" w:eastAsia="Arial" w:hAnsi="Arial"/>
          <w:sz w:val="18"/>
          <w:szCs w:val="18"/>
          <w:color w:val="auto"/>
        </w:rPr>
        <w:t>To be completed if the Assignor and the Assignee intend that the minimum assignment amount is to be determined as of the Trade Date.</w:t>
      </w:r>
    </w:p>
    <w:p>
      <w:pPr>
        <w:sectPr>
          <w:pgSz w:w="11900" w:h="16838" w:orient="portrait"/>
          <w:cols w:equalWidth="0" w:num="1">
            <w:col w:w="11420"/>
          </w:cols>
          <w:pgMar w:left="240" w:top="274"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set forth in this Assignment and Assumption are hereby agreed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ASSIGNOR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ASSIGNOR]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ASSIGNEE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ASSIGNEE]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15"/>
          <w:szCs w:val="15"/>
          <w:color w:val="auto"/>
        </w:rPr>
        <w:t>1</w:t>
      </w:r>
      <w:r>
        <w:rPr>
          <w:rFonts w:ascii="Arial" w:cs="Arial" w:eastAsia="Arial" w:hAnsi="Arial"/>
          <w:sz w:val="18"/>
          <w:szCs w:val="18"/>
          <w:color w:val="auto"/>
        </w:rPr>
        <w:t xml:space="preserve"> Accepted: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5"/>
          <w:szCs w:val="15"/>
          <w:color w:val="auto"/>
        </w:rPr>
        <w:t>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144"/>
        </w:numPr>
        <w:rPr>
          <w:rFonts w:ascii="Arial" w:cs="Arial" w:eastAsia="Arial" w:hAnsi="Arial"/>
          <w:sz w:val="14"/>
          <w:szCs w:val="14"/>
          <w:color w:val="auto"/>
        </w:rPr>
      </w:pPr>
      <w:r>
        <w:rPr>
          <w:rFonts w:ascii="Arial" w:cs="Arial" w:eastAsia="Arial" w:hAnsi="Arial"/>
          <w:sz w:val="16"/>
          <w:szCs w:val="16"/>
          <w:color w:val="auto"/>
        </w:rPr>
        <w:t>To be added only if the consent of the Administrative Agent is required by the terms of the Credit Agreement.</w:t>
      </w:r>
    </w:p>
    <w:p>
      <w:pPr>
        <w:spacing w:after="0" w:line="45" w:lineRule="exact"/>
        <w:rPr>
          <w:sz w:val="20"/>
          <w:szCs w:val="20"/>
          <w:color w:val="auto"/>
        </w:rPr>
      </w:pPr>
    </w:p>
    <w:p>
      <w:pPr>
        <w:ind w:left="220" w:hanging="212"/>
        <w:spacing w:after="0"/>
        <w:tabs>
          <w:tab w:leader="none" w:pos="220" w:val="left"/>
        </w:tabs>
        <w:numPr>
          <w:ilvl w:val="0"/>
          <w:numId w:val="145"/>
        </w:numPr>
        <w:rPr>
          <w:rFonts w:ascii="Arial" w:cs="Arial" w:eastAsia="Arial" w:hAnsi="Arial"/>
          <w:sz w:val="15"/>
          <w:szCs w:val="15"/>
          <w:color w:val="auto"/>
        </w:rPr>
      </w:pPr>
      <w:r>
        <w:rPr>
          <w:rFonts w:ascii="Arial" w:cs="Arial" w:eastAsia="Arial" w:hAnsi="Arial"/>
          <w:sz w:val="18"/>
          <w:szCs w:val="18"/>
          <w:color w:val="auto"/>
        </w:rPr>
        <w:t>To be added only if the consent of the Borrower is required by the terms of the Credit Agreement.</w:t>
      </w:r>
    </w:p>
    <w:p>
      <w:pPr>
        <w:sectPr>
          <w:pgSz w:w="11900" w:h="16838" w:orient="portrait"/>
          <w:cols w:equalWidth="0" w:num="1">
            <w:col w:w="10219"/>
          </w:cols>
          <w:pgMar w:left="240" w:top="274" w:right="1440" w:bottom="1440" w:gutter="0" w:footer="0" w:header="0"/>
        </w:sectPr>
      </w:pPr>
    </w:p>
    <w:bookmarkStart w:id="127" w:name="page128"/>
    <w:bookmarkEnd w:id="127"/>
    <w:p>
      <w:pPr>
        <w:ind w:left="7560"/>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 TO ASSIGNMENT AND ASSUMPTION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229" w:lineRule="exact"/>
        <w:rPr>
          <w:sz w:val="20"/>
          <w:szCs w:val="20"/>
          <w:color w:val="auto"/>
        </w:rPr>
      </w:pPr>
    </w:p>
    <w:p>
      <w:pPr>
        <w:ind w:left="180" w:hanging="172"/>
        <w:spacing w:after="0"/>
        <w:tabs>
          <w:tab w:leader="none" w:pos="1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[The][Each] Assignor (a) represents and warrants that (i) it is the legal and beneficial owner of [the][the relevant] Assigned Interest, (ii) [the] [such]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Loan Parties, any of their Subsidiaries or Affiliates or any other Person obligated in respect of any Loan Document or (iv) the performance or observance by the Loan Parties, any of their Subsidiaries or Affiliates or any other Person of any of their respective obligations under any Loan Document.</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Eligible Assignee under the Credit Agreement (subject to such consents, if any, as may be required under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Section 6.01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ectPr>
          <w:pgSz w:w="11900" w:h="16838" w:orient="portrait"/>
          <w:cols w:equalWidth="0" w:num="1">
            <w:col w:w="11420"/>
          </w:cols>
          <w:pgMar w:left="240" w:top="274" w:right="239" w:bottom="1440" w:gutter="0" w:footer="0" w:header="0"/>
        </w:sectPr>
      </w:pPr>
    </w:p>
    <w:bookmarkStart w:id="128" w:name="page129"/>
    <w:bookmarkEnd w:id="128"/>
    <w:p>
      <w:pPr>
        <w:jc w:val="both"/>
        <w:ind w:left="-8" w:firstLine="8"/>
        <w:spacing w:after="0" w:line="264" w:lineRule="auto"/>
        <w:tabs>
          <w:tab w:leader="none" w:pos="186"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w:t>
      </w:r>
      <w:r>
        <w:rPr>
          <w:rFonts w:ascii="Arial" w:cs="Arial" w:eastAsia="Arial" w:hAnsi="Arial"/>
          <w:sz w:val="18"/>
          <w:szCs w:val="18"/>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81" w:lineRule="exact"/>
        <w:rPr>
          <w:rFonts w:ascii="Arial" w:cs="Arial" w:eastAsia="Arial" w:hAnsi="Arial"/>
          <w:sz w:val="18"/>
          <w:szCs w:val="18"/>
          <w:color w:val="auto"/>
        </w:rPr>
      </w:pPr>
    </w:p>
    <w:p>
      <w:pPr>
        <w:jc w:val="both"/>
        <w:ind w:left="-8" w:firstLine="8"/>
        <w:spacing w:after="0" w:line="257" w:lineRule="auto"/>
        <w:tabs>
          <w:tab w:leader="none" w:pos="17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or other electronic imaging means (e.g. “pdf” or “tif”)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412"/>
          </w:cols>
          <w:pgMar w:left="248" w:top="274"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Analog Devices Completes Acquisition of Linear Technology</w:t>
      </w:r>
    </w:p>
    <w:p>
      <w:pPr>
        <w:spacing w:after="0" w:line="215" w:lineRule="exact"/>
        <w:rPr>
          <w:sz w:val="20"/>
          <w:szCs w:val="20"/>
          <w:color w:val="auto"/>
        </w:rPr>
      </w:pPr>
    </w:p>
    <w:p>
      <w:pPr>
        <w:ind w:right="440"/>
        <w:spacing w:after="0" w:line="314" w:lineRule="auto"/>
        <w:rPr>
          <w:sz w:val="20"/>
          <w:szCs w:val="20"/>
          <w:color w:val="auto"/>
        </w:rPr>
      </w:pPr>
      <w:r>
        <w:rPr>
          <w:rFonts w:ascii="Arial" w:cs="Arial" w:eastAsia="Arial" w:hAnsi="Arial"/>
          <w:sz w:val="16"/>
          <w:szCs w:val="16"/>
          <w:b w:val="1"/>
          <w:bCs w:val="1"/>
          <w:color w:val="auto"/>
        </w:rPr>
        <w:t>NORWOOD, MA —</w:t>
      </w:r>
      <w:r>
        <w:rPr>
          <w:rFonts w:ascii="Arial" w:cs="Arial" w:eastAsia="Arial" w:hAnsi="Arial"/>
          <w:sz w:val="16"/>
          <w:szCs w:val="16"/>
          <w:color w:val="auto"/>
        </w:rPr>
        <w:t>Analog Devices, Inc. (NASDAQ: ADI) today announced the completion of its acquisition of Linear Technology Corporation.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creates the premier analog technology company with the industry’s most comprehensive suite of high-performance analog offerings and integrated engineering, manufacturing, sales and support operations that will accelerate innovation and revenue growth opportunities.</w:t>
      </w:r>
    </w:p>
    <w:p>
      <w:pPr>
        <w:spacing w:after="0" w:line="14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combination of Analog Devices and Linear Technology creates an analog industry powerhouse,” said Vincent Roche, ADI President and Chief Executive Officer. “Together, we are capable of solving more of our customers’ biggest and most complex challenges at the intersection of the physical and digital domains. We expect that this combination will create tremendous value for our customers, our employees, and our shareholders for many years to come.”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Robert H. Swanson to ADI Board of Directors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ADI also announced that Robert H. Swanson, former Executive Chairman of Linear Technology, has been elected to the ADI Board of Directors, effective immediately after the closing of the acquisition.</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are very excited to welcome Bob Swanson to our Board,” said Ray Stata, ADI Chairman of the Board. “Bob’s decades of analog semiconductor expertise will add considerable value to ADI’s Board of Directors.”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Mr. Swanson, a founder of Linear Technology, has served as Executive Chairman of the Linear Technology board of directors since January 2005. Prior to that time, he served as Chairman and Chief Executive Officer of Linear Technology since its incorporation in 1981.</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a result of the acquisition, Linear Technology’s shares of common stock have been delisted from the NASDAQ Global Select Market effective as of the close of trading today.</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Credit Suisse Securities (USA) LLC acted as ADI’s exclusive financial advisor and Wachtell, Lipton, Rosen &amp; Katz and WilmerHale acted as ADI’s legal counsel in connection with the transaction.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from Linear Technology to ADI’s 2nd Fiscal Quarter of 2017</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ADI expects Linear Technology to contribute between $160 million to $170 million in revenue to ADI’s second fiscal quarter of 2017. This revenue range includes a reduction of approximately $30 million related to a purchase accounting adjustment for Linear’s North America distributor deferred revenue where revenue is recognized on a sell-through basis, and represents ADI’s current best view of Linear’s business performance through the end of ADI’s second fiscal quarter of 2017.</w:t>
      </w:r>
    </w:p>
    <w:p>
      <w:pPr>
        <w:sectPr>
          <w:pgSz w:w="11900" w:h="16838" w:orient="portrait"/>
          <w:cols w:equalWidth="0" w:num="1">
            <w:col w:w="11420"/>
          </w:cols>
          <w:pgMar w:left="240" w:top="121" w:right="239" w:bottom="1440" w:gutter="0" w:footer="0" w:header="0"/>
        </w:sectPr>
      </w:pPr>
    </w:p>
    <w:bookmarkStart w:id="130" w:name="page131"/>
    <w:bookmarkEnd w:id="130"/>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ADI also expects its non-GAAP interest and other interest expense to be approximately $60 million in the second quarter of fiscal 2017, approximately $70 million in the third quarter of fiscal 2017, and approximately $60 million per quarter thereafter.</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first full quarter after the combination, ADI expects its weighted average diluted sharecount to be approximately 375 million and for the Company’s non-GAAP tax rate to be approximately 15%.</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With respect to the forward-looking information presented on a non-GAAP basis, ADI is unable to provide a quantitative reconciliation to GAAP because the items that would be included or excluded are difficult to predict and estimate and are primarily dependent on future events, including costs relating to the acquisition of Linear.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Analog Devices</w:t>
      </w:r>
    </w:p>
    <w:p>
      <w:pPr>
        <w:spacing w:after="0" w:line="12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 xml:space="preserve">Analog Devices (NASDAQ: ADI) is the leading global high-performance analog technology company dedicated to solving the toughest engineering challenges. We enable our customers to interpret the world around us by intelligently bridging the physical and digital with unmatched technologies that sense, measure, power, connect and interpret. Visit </w:t>
      </w:r>
      <w:r>
        <w:rPr>
          <w:rFonts w:ascii="Arial" w:cs="Arial" w:eastAsia="Arial" w:hAnsi="Arial"/>
          <w:sz w:val="18"/>
          <w:szCs w:val="18"/>
          <w:u w:val="single" w:color="auto"/>
          <w:color w:val="auto"/>
        </w:rPr>
        <w:t>http://www.analog.com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which address a variety of subjects including, for example, our statements regarding the expected benefits and synergies of the acquisition of Linear Technology Corporation, expected financial results and growth rates of the combined company, and expected product offerings, product development, marketing position and technical advances resulting from the transaction.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higher than expected or unexpected costs associated with or relating to the transaction; the risk that expected benefits, synergies and growth prospects of the transaction may not be achieved in a timely manner, or at all; the risk that Linear Technology’s business may not be successfully integrated with Analog Devices’ following the closing; the risk that Analog Devices and Linear Technology will be unable to retain and hire key personnel; and the risk that disruption from the transaction may adversely affect Linear Technology’s or Analog Devices’ business and relationships with their customers, suppliers or employees. For additional information about factors that could cause actual results to differ materially from those described in the forward-looking statements, please refer to Analog Devices’ and Linear Technology’s filings with the Securities and Exchange Commission (“SEC”), including the risk factors contained in Analog Devices’ and Linear Technology’s most recent Quarterly Reports on Form 10-Q and Annual Reports on Form 10-K. Forward-looking statements represent management’s current expectations and are inherently uncertain. Except as</w:t>
      </w:r>
    </w:p>
    <w:p>
      <w:pPr>
        <w:sectPr>
          <w:pgSz w:w="11900" w:h="16838" w:orient="portrait"/>
          <w:cols w:equalWidth="0" w:num="1">
            <w:col w:w="11420"/>
          </w:cols>
          <w:pgMar w:left="240" w:top="274" w:right="2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by law, we do not undertake any obligation to update forward-looking statements made by us to reflect subsequent events or circumstances.</w:t>
      </w:r>
    </w:p>
    <w:p>
      <w:pPr>
        <w:spacing w:after="0" w:line="23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Analog Devices and the Analog Devices logo are registered trademarks or trademarks of Analog Devices, Inc. All other trademarks mentioned in this document are the property of their respective owners.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For more information, please contact: </w:t>
      </w:r>
      <w:r>
        <w:rPr>
          <w:rFonts w:ascii="Arial" w:cs="Arial" w:eastAsia="Arial" w:hAnsi="Arial"/>
          <w:sz w:val="18"/>
          <w:szCs w:val="18"/>
          <w:color w:val="auto"/>
        </w:rPr>
        <w:t xml:space="preserve">Mr. Ali Husain, Treasurer and Director of Investor Relations, Analog Devices, Inc. 781-461-3282 (phone); 781-461-3491 (fax); </w:t>
      </w:r>
      <w:r>
        <w:rPr>
          <w:rFonts w:ascii="Arial" w:cs="Arial" w:eastAsia="Arial" w:hAnsi="Arial"/>
          <w:sz w:val="18"/>
          <w:szCs w:val="18"/>
          <w:u w:val="single" w:color="auto"/>
          <w:color w:val="auto"/>
        </w:rPr>
        <w:t>investor.relations@analog.com</w:t>
      </w:r>
      <w:r>
        <w:rPr>
          <w:rFonts w:ascii="Arial" w:cs="Arial" w:eastAsia="Arial" w:hAnsi="Arial"/>
          <w:sz w:val="18"/>
          <w:szCs w:val="18"/>
          <w:color w:val="auto"/>
        </w:rPr>
        <w:t xml:space="preserve"> (email).</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1)"/>
      <w:numFmt w:val="lowerLetter"/>
      <w:start w:val="1"/>
    </w:lvl>
  </w:abstractNum>
  <w:abstractNum w:abstractNumId="4">
    <w:nsid w:val="613EFDC5"/>
    <w:multiLevelType w:val="hybridMultilevel"/>
    <w:lvl w:ilvl="0">
      <w:lvlJc w:val="left"/>
      <w:lvlText w:val="(%1)"/>
      <w:numFmt w:val="upperLetter"/>
      <w:start w:val="2"/>
    </w:lvl>
  </w:abstractNum>
  <w:abstractNum w:abstractNumId="5">
    <w:nsid w:val="BF72B14"/>
    <w:multiLevelType w:val="hybridMultilevel"/>
    <w:lvl w:ilvl="0">
      <w:lvlJc w:val="left"/>
      <w:lvlText w:val="(%1)"/>
      <w:numFmt w:val="upperLetter"/>
      <w:start w:val="6"/>
    </w:lvl>
  </w:abstractNum>
  <w:abstractNum w:abstractNumId="6">
    <w:nsid w:val="11447B73"/>
    <w:multiLevelType w:val="hybridMultilevel"/>
    <w:lvl w:ilvl="0">
      <w:lvlJc w:val="left"/>
      <w:lvlText w:val="(%1)"/>
      <w:numFmt w:val="lowerRoman"/>
      <w:start w:val="3"/>
    </w:lvl>
  </w:abstractNum>
  <w:abstractNum w:abstractNumId="7">
    <w:nsid w:val="42963E5A"/>
    <w:multiLevelType w:val="hybridMultilevel"/>
    <w:lvl w:ilvl="0">
      <w:lvlJc w:val="left"/>
      <w:lvlText w:val="(%1)"/>
      <w:numFmt w:val="lowerLetter"/>
      <w:start w:val="4"/>
    </w:lvl>
  </w:abstractNum>
  <w:abstractNum w:abstractNumId="8">
    <w:nsid w:val="A0382C5"/>
    <w:multiLevelType w:val="hybridMultilevel"/>
    <w:lvl w:ilvl="0">
      <w:lvlJc w:val="left"/>
      <w:lvlText w:val="(%1)"/>
      <w:numFmt w:val="lowerLetter"/>
      <w:start w:val="35"/>
    </w:lvl>
  </w:abstractNum>
  <w:abstractNum w:abstractNumId="9">
    <w:nsid w:val="8F2B15E"/>
    <w:multiLevelType w:val="hybridMultilevel"/>
    <w:lvl w:ilvl="0">
      <w:lvlJc w:val="left"/>
      <w:lvlText w:val="(%1)"/>
      <w:numFmt w:val="lowerLetter"/>
      <w:start w:val="3"/>
    </w:lvl>
  </w:abstractNum>
  <w:abstractNum w:abstractNumId="10">
    <w:nsid w:val="1A32234B"/>
    <w:multiLevelType w:val="hybridMultilevel"/>
    <w:lvl w:ilvl="0">
      <w:lvlJc w:val="left"/>
      <w:lvlText w:val="(%1)"/>
      <w:numFmt w:val="lowerLetter"/>
      <w:start w:val="9"/>
    </w:lvl>
  </w:abstractNum>
  <w:abstractNum w:abstractNumId="11">
    <w:nsid w:val="3B0FD379"/>
    <w:multiLevelType w:val="hybridMultilevel"/>
    <w:lvl w:ilvl="0">
      <w:lvlJc w:val="left"/>
      <w:lvlText w:val="(%1)"/>
      <w:numFmt w:val="lowerLetter"/>
      <w:start w:val="3"/>
    </w:lvl>
  </w:abstractNum>
  <w:abstractNum w:abstractNumId="12">
    <w:nsid w:val="68EB2F63"/>
    <w:multiLevelType w:val="hybridMultilevel"/>
    <w:lvl w:ilvl="0">
      <w:lvlJc w:val="left"/>
      <w:lvlText w:val="(%1)"/>
      <w:numFmt w:val="lowerRoman"/>
      <w:start w:val="4"/>
    </w:lvl>
  </w:abstractNum>
  <w:abstractNum w:abstractNumId="13">
    <w:nsid w:val="4962813B"/>
    <w:multiLevelType w:val="hybridMultilevel"/>
    <w:lvl w:ilvl="0">
      <w:lvlJc w:val="left"/>
      <w:lvlText w:val="(%1)"/>
      <w:numFmt w:val="lowerLetter"/>
      <w:start w:val="1"/>
    </w:lvl>
  </w:abstractNum>
  <w:abstractNum w:abstractNumId="14">
    <w:nsid w:val="60B6DF70"/>
    <w:multiLevelType w:val="hybridMultilevel"/>
    <w:lvl w:ilvl="0">
      <w:lvlJc w:val="left"/>
      <w:lvlText w:val="(%1)"/>
      <w:numFmt w:val="lowerLetter"/>
      <w:start w:val="1"/>
    </w:lvl>
  </w:abstractNum>
  <w:abstractNum w:abstractNumId="15">
    <w:nsid w:val="6A5EE64"/>
    <w:multiLevelType w:val="hybridMultilevel"/>
    <w:lvl w:ilvl="0">
      <w:lvlJc w:val="left"/>
      <w:lvlText w:val="(%1)"/>
      <w:numFmt w:val="lowerLetter"/>
      <w:start w:val="2"/>
    </w:lvl>
  </w:abstractNum>
  <w:abstractNum w:abstractNumId="16">
    <w:nsid w:val="14330624"/>
    <w:multiLevelType w:val="hybridMultilevel"/>
    <w:lvl w:ilvl="0">
      <w:lvlJc w:val="left"/>
      <w:lvlText w:val="(%1)"/>
      <w:numFmt w:val="lowerLetter"/>
      <w:start w:val="1"/>
    </w:lvl>
  </w:abstractNum>
  <w:abstractNum w:abstractNumId="17">
    <w:nsid w:val="7FFFCA11"/>
    <w:multiLevelType w:val="hybridMultilevel"/>
    <w:lvl w:ilvl="0">
      <w:lvlJc w:val="left"/>
      <w:lvlText w:val="(%1)"/>
      <w:numFmt w:val="lowerLetter"/>
      <w:start w:val="2"/>
    </w:lvl>
  </w:abstractNum>
  <w:abstractNum w:abstractNumId="18">
    <w:nsid w:val="1A27709E"/>
    <w:multiLevelType w:val="hybridMultilevel"/>
    <w:lvl w:ilvl="0">
      <w:lvlJc w:val="left"/>
      <w:lvlText w:val="(%1)"/>
      <w:numFmt w:val="lowerLetter"/>
      <w:start w:val="1"/>
    </w:lvl>
  </w:abstractNum>
  <w:abstractNum w:abstractNumId="19">
    <w:nsid w:val="71EA1109"/>
    <w:multiLevelType w:val="hybridMultilevel"/>
    <w:lvl w:ilvl="0">
      <w:lvlJc w:val="left"/>
      <w:lvlText w:val="(%1)"/>
      <w:numFmt w:val="lowerLetter"/>
      <w:start w:val="3"/>
    </w:lvl>
  </w:abstractNum>
  <w:abstractNum w:abstractNumId="20">
    <w:nsid w:val="100F59DC"/>
    <w:multiLevelType w:val="hybridMultilevel"/>
    <w:lvl w:ilvl="0">
      <w:lvlJc w:val="left"/>
      <w:lvlText w:val="(%1)"/>
      <w:numFmt w:val="lowerLetter"/>
      <w:start w:val="1"/>
    </w:lvl>
  </w:abstractNum>
  <w:abstractNum w:abstractNumId="21">
    <w:nsid w:val="7FB7E0AA"/>
    <w:multiLevelType w:val="hybridMultilevel"/>
    <w:lvl w:ilvl="0">
      <w:lvlJc w:val="left"/>
      <w:lvlText w:val="(%1)"/>
      <w:numFmt w:val="lowerLetter"/>
      <w:start w:val="1"/>
    </w:lvl>
  </w:abstractNum>
  <w:abstractNum w:abstractNumId="22">
    <w:nsid w:val="6EB5BD4"/>
    <w:multiLevelType w:val="hybridMultilevel"/>
    <w:lvl w:ilvl="0">
      <w:lvlJc w:val="left"/>
      <w:lvlText w:val="(%1)"/>
      <w:numFmt w:val="lowerLetter"/>
      <w:start w:val="4"/>
    </w:lvl>
  </w:abstractNum>
  <w:abstractNum w:abstractNumId="23">
    <w:nsid w:val="6F6DD9AC"/>
    <w:multiLevelType w:val="hybridMultilevel"/>
    <w:lvl w:ilvl="0">
      <w:lvlJc w:val="left"/>
      <w:lvlText w:val="(%1)"/>
      <w:numFmt w:val="lowerLetter"/>
      <w:start w:val="1"/>
    </w:lvl>
  </w:abstractNum>
  <w:abstractNum w:abstractNumId="24">
    <w:nsid w:val="94211F2"/>
    <w:multiLevelType w:val="hybridMultilevel"/>
    <w:lvl w:ilvl="0">
      <w:lvlJc w:val="left"/>
      <w:lvlText w:val="(%1)"/>
      <w:numFmt w:val="lowerLetter"/>
      <w:start w:val="1"/>
    </w:lvl>
  </w:abstractNum>
  <w:abstractNum w:abstractNumId="25">
    <w:nsid w:val="885E1B"/>
    <w:multiLevelType w:val="hybridMultilevel"/>
    <w:lvl w:ilvl="0">
      <w:lvlJc w:val="left"/>
      <w:lvlText w:val="(%1)"/>
      <w:numFmt w:val="lowerLetter"/>
      <w:start w:val="2"/>
    </w:lvl>
    <w:lvl w:ilvl="1">
      <w:lvlJc w:val="left"/>
      <w:lvlText w:val="(%2)"/>
      <w:numFmt w:val="lowerRoman"/>
      <w:start w:val="2"/>
    </w:lvl>
  </w:abstractNum>
  <w:abstractNum w:abstractNumId="26">
    <w:nsid w:val="76272110"/>
    <w:multiLevelType w:val="hybridMultilevel"/>
    <w:lvl w:ilvl="0">
      <w:lvlJc w:val="left"/>
      <w:lvlText w:val="(%1)"/>
      <w:numFmt w:val="lowerLetter"/>
      <w:start w:val="1"/>
    </w:lvl>
  </w:abstractNum>
  <w:abstractNum w:abstractNumId="27">
    <w:nsid w:val="4C04A8AF"/>
    <w:multiLevelType w:val="hybridMultilevel"/>
    <w:lvl w:ilvl="0">
      <w:lvlJc w:val="left"/>
      <w:lvlText w:val="(%1)"/>
      <w:numFmt w:val="lowerRoman"/>
      <w:start w:val="2"/>
    </w:lvl>
  </w:abstractNum>
  <w:abstractNum w:abstractNumId="28">
    <w:nsid w:val="1716703B"/>
    <w:multiLevelType w:val="hybridMultilevel"/>
    <w:lvl w:ilvl="0">
      <w:lvlJc w:val="left"/>
      <w:lvlText w:val="(%1)"/>
      <w:numFmt w:val="lowerLetter"/>
      <w:start w:val="3"/>
    </w:lvl>
  </w:abstractNum>
  <w:abstractNum w:abstractNumId="29">
    <w:nsid w:val="14E17E33"/>
    <w:multiLevelType w:val="hybridMultilevel"/>
    <w:lvl w:ilvl="0">
      <w:lvlJc w:val="left"/>
      <w:lvlText w:val="(%1)"/>
      <w:numFmt w:val="lowerRoman"/>
      <w:start w:val="1"/>
    </w:lvl>
  </w:abstractNum>
  <w:abstractNum w:abstractNumId="30">
    <w:nsid w:val="3222E7CD"/>
    <w:multiLevelType w:val="hybridMultilevel"/>
    <w:lvl w:ilvl="0">
      <w:lvlJc w:val="left"/>
      <w:lvlText w:val="(%1)"/>
      <w:numFmt w:val="lowerLetter"/>
      <w:start w:val="1"/>
    </w:lvl>
  </w:abstractNum>
  <w:abstractNum w:abstractNumId="31">
    <w:nsid w:val="74DE0EE3"/>
    <w:multiLevelType w:val="hybridMultilevel"/>
    <w:lvl w:ilvl="0">
      <w:lvlJc w:val="left"/>
      <w:lvlText w:val="%1"/>
      <w:numFmt w:val="lowerLetter"/>
      <w:start w:val="1"/>
    </w:lvl>
    <w:lvl w:ilvl="1">
      <w:lvlJc w:val="left"/>
      <w:lvlText w:val="(%2)"/>
      <w:numFmt w:val="lowerLetter"/>
      <w:start w:val="35"/>
    </w:lvl>
  </w:abstractNum>
  <w:abstractNum w:abstractNumId="32">
    <w:nsid w:val="68EBC550"/>
    <w:multiLevelType w:val="hybridMultilevel"/>
    <w:lvl w:ilvl="0">
      <w:lvlJc w:val="left"/>
      <w:lvlText w:val="(%1)"/>
      <w:numFmt w:val="lowerLetter"/>
      <w:start w:val="2"/>
    </w:lvl>
    <w:lvl w:ilvl="1">
      <w:lvlJc w:val="left"/>
      <w:lvlText w:val="(%2)"/>
      <w:numFmt w:val="lowerLetter"/>
      <w:start w:val="35"/>
    </w:lvl>
  </w:abstractNum>
  <w:abstractNum w:abstractNumId="33">
    <w:nsid w:val="2DF6D648"/>
    <w:multiLevelType w:val="hybridMultilevel"/>
    <w:lvl w:ilvl="0">
      <w:lvlJc w:val="left"/>
      <w:lvlText w:val="(%1)"/>
      <w:numFmt w:val="lowerLetter"/>
      <w:start w:val="24"/>
    </w:lvl>
    <w:lvl w:ilvl="1">
      <w:lvlJc w:val="left"/>
      <w:lvlText w:val="%2"/>
      <w:numFmt w:val="lowerLetter"/>
      <w:start w:val="1"/>
    </w:lvl>
  </w:abstractNum>
  <w:abstractNum w:abstractNumId="34">
    <w:nsid w:val="46B7D447"/>
    <w:multiLevelType w:val="hybridMultilevel"/>
    <w:lvl w:ilvl="0">
      <w:lvlJc w:val="left"/>
      <w:lvlText w:val="(%1)"/>
      <w:numFmt w:val="lowerLetter"/>
      <w:start w:val="4"/>
    </w:lvl>
    <w:lvl w:ilvl="1">
      <w:lvlJc w:val="left"/>
      <w:lvlText w:val="(%2)"/>
      <w:numFmt w:val="lowerLetter"/>
      <w:start w:val="35"/>
    </w:lvl>
  </w:abstractNum>
  <w:abstractNum w:abstractNumId="35">
    <w:nsid w:val="4A2AC315"/>
    <w:multiLevelType w:val="hybridMultilevel"/>
    <w:lvl w:ilvl="0">
      <w:lvlJc w:val="left"/>
      <w:lvlText w:val="(%1)"/>
      <w:numFmt w:val="upperLetter"/>
      <w:start w:val="1"/>
    </w:lvl>
    <w:lvl w:ilvl="1">
      <w:lvlJc w:val="left"/>
      <w:lvlText w:val="(%2)"/>
      <w:numFmt w:val="upperLetter"/>
      <w:start w:val="9"/>
    </w:lvl>
  </w:abstractNum>
  <w:abstractNum w:abstractNumId="36">
    <w:nsid w:val="39EE015C"/>
    <w:multiLevelType w:val="hybridMultilevel"/>
    <w:lvl w:ilvl="0">
      <w:lvlJc w:val="left"/>
      <w:lvlText w:val="%1"/>
      <w:numFmt w:val="lowerRoman"/>
      <w:start w:val="1"/>
    </w:lvl>
    <w:lvl w:ilvl="1">
      <w:lvlJc w:val="left"/>
      <w:lvlText w:val="(%2)"/>
      <w:numFmt w:val="upperLetter"/>
      <w:start w:val="61"/>
    </w:lvl>
  </w:abstractNum>
  <w:abstractNum w:abstractNumId="37">
    <w:nsid w:val="57FC4FBB"/>
    <w:multiLevelType w:val="hybridMultilevel"/>
    <w:lvl w:ilvl="0">
      <w:lvlJc w:val="left"/>
      <w:lvlText w:val="(%1)"/>
      <w:numFmt w:val="lowerRoman"/>
      <w:start w:val="10"/>
    </w:lvl>
    <w:lvl w:ilvl="1">
      <w:lvlJc w:val="left"/>
      <w:lvlText w:val="%2"/>
      <w:numFmt w:val="upperLetter"/>
      <w:start w:val="1"/>
    </w:lvl>
  </w:abstractNum>
  <w:abstractNum w:abstractNumId="38">
    <w:nsid w:val="CC1016F"/>
    <w:multiLevelType w:val="hybridMultilevel"/>
    <w:lvl w:ilvl="0">
      <w:lvlJc w:val="left"/>
      <w:lvlText w:val="(%1)"/>
      <w:numFmt w:val="upperLetter"/>
      <w:start w:val="3"/>
    </w:lvl>
  </w:abstractNum>
  <w:abstractNum w:abstractNumId="39">
    <w:nsid w:val="43F18422"/>
    <w:multiLevelType w:val="hybridMultilevel"/>
    <w:lvl w:ilvl="0">
      <w:lvlJc w:val="left"/>
      <w:lvlText w:val="(%1)"/>
      <w:numFmt w:val="lowerLetter"/>
      <w:start w:val="6"/>
    </w:lvl>
  </w:abstractNum>
  <w:abstractNum w:abstractNumId="40">
    <w:nsid w:val="60EF0119"/>
    <w:multiLevelType w:val="hybridMultilevel"/>
    <w:lvl w:ilvl="0">
      <w:lvlJc w:val="left"/>
      <w:lvlText w:val="(%1)"/>
      <w:numFmt w:val="lowerLetter"/>
      <w:start w:val="7"/>
    </w:lvl>
  </w:abstractNum>
  <w:abstractNum w:abstractNumId="41">
    <w:nsid w:val="26F324BA"/>
    <w:multiLevelType w:val="hybridMultilevel"/>
    <w:lvl w:ilvl="0">
      <w:lvlJc w:val="left"/>
      <w:lvlText w:val="(%1)"/>
      <w:numFmt w:val="lowerRoman"/>
      <w:start w:val="1"/>
    </w:lvl>
  </w:abstractNum>
  <w:abstractNum w:abstractNumId="42">
    <w:nsid w:val="7F01579B"/>
    <w:multiLevelType w:val="hybridMultilevel"/>
    <w:lvl w:ilvl="0">
      <w:lvlJc w:val="left"/>
      <w:lvlText w:val="(%1)"/>
      <w:numFmt w:val="lowerRoman"/>
      <w:start w:val="1"/>
    </w:lvl>
  </w:abstractNum>
  <w:abstractNum w:abstractNumId="43">
    <w:nsid w:val="49DA307D"/>
    <w:multiLevelType w:val="hybridMultilevel"/>
    <w:lvl w:ilvl="0">
      <w:lvlJc w:val="left"/>
      <w:lvlText w:val="(%1)"/>
      <w:numFmt w:val="lowerLetter"/>
      <w:start w:val="1"/>
    </w:lvl>
    <w:lvl w:ilvl="1">
      <w:lvlJc w:val="left"/>
      <w:lvlText w:val="(%2)"/>
      <w:numFmt w:val="lowerLetter"/>
      <w:start w:val="9"/>
    </w:lvl>
  </w:abstractNum>
  <w:abstractNum w:abstractNumId="44">
    <w:nsid w:val="7055A5F5"/>
    <w:multiLevelType w:val="hybridMultilevel"/>
    <w:lvl w:ilvl="0">
      <w:lvlJc w:val="left"/>
      <w:lvlText w:val="(%1)"/>
      <w:numFmt w:val="lowerRoman"/>
      <w:start w:val="2"/>
    </w:lvl>
  </w:abstractNum>
  <w:abstractNum w:abstractNumId="45">
    <w:nsid w:val="5FB8370B"/>
    <w:multiLevelType w:val="hybridMultilevel"/>
    <w:lvl w:ilvl="0">
      <w:lvlJc w:val="left"/>
      <w:lvlText w:val="(%1)"/>
      <w:numFmt w:val="lowerLetter"/>
      <w:start w:val="2"/>
    </w:lvl>
  </w:abstractNum>
  <w:abstractNum w:abstractNumId="46">
    <w:nsid w:val="50801EE1"/>
    <w:multiLevelType w:val="hybridMultilevel"/>
    <w:lvl w:ilvl="0">
      <w:lvlJc w:val="left"/>
      <w:lvlText w:val="(%1)"/>
      <w:numFmt w:val="lowerLetter"/>
      <w:start w:val="1"/>
    </w:lvl>
  </w:abstractNum>
  <w:abstractNum w:abstractNumId="47">
    <w:nsid w:val="488AC1A"/>
    <w:multiLevelType w:val="hybridMultilevel"/>
    <w:lvl w:ilvl="0">
      <w:lvlJc w:val="left"/>
      <w:lvlText w:val="(%1)"/>
      <w:numFmt w:val="lowerLetter"/>
      <w:start w:val="1"/>
    </w:lvl>
  </w:abstractNum>
  <w:abstractNum w:abstractNumId="48">
    <w:nsid w:val="5FB8011C"/>
    <w:multiLevelType w:val="hybridMultilevel"/>
    <w:lvl w:ilvl="0">
      <w:lvlJc w:val="left"/>
      <w:lvlText w:val="(%1)"/>
      <w:numFmt w:val="lowerLetter"/>
      <w:start w:val="35"/>
    </w:lvl>
    <w:lvl w:ilvl="1">
      <w:lvlJc w:val="left"/>
      <w:lvlText w:val="(%2)"/>
      <w:numFmt w:val="lowerLetter"/>
      <w:start w:val="2"/>
    </w:lvl>
  </w:abstractNum>
  <w:abstractNum w:abstractNumId="49">
    <w:nsid w:val="6AA78F7F"/>
    <w:multiLevelType w:val="hybridMultilevel"/>
    <w:lvl w:ilvl="0">
      <w:lvlJc w:val="left"/>
      <w:lvlText w:val="(%1)"/>
      <w:numFmt w:val="lowerLetter"/>
      <w:start w:val="1"/>
    </w:lvl>
  </w:abstractNum>
  <w:abstractNum w:abstractNumId="50">
    <w:nsid w:val="7672BD23"/>
    <w:multiLevelType w:val="hybridMultilevel"/>
    <w:lvl w:ilvl="0">
      <w:lvlJc w:val="left"/>
      <w:lvlText w:val="(%1)"/>
      <w:numFmt w:val="lowerLetter"/>
      <w:start w:val="5"/>
    </w:lvl>
  </w:abstractNum>
  <w:abstractNum w:abstractNumId="51">
    <w:nsid w:val="6FC75AF8"/>
    <w:multiLevelType w:val="hybridMultilevel"/>
    <w:lvl w:ilvl="0">
      <w:lvlJc w:val="left"/>
      <w:lvlText w:val="(%1)"/>
      <w:numFmt w:val="lowerLetter"/>
      <w:start w:val="12"/>
    </w:lvl>
  </w:abstractNum>
  <w:abstractNum w:abstractNumId="52">
    <w:nsid w:val="6A5F7029"/>
    <w:multiLevelType w:val="hybridMultilevel"/>
    <w:lvl w:ilvl="0">
      <w:lvlJc w:val="left"/>
      <w:lvlText w:val="(%1)"/>
      <w:numFmt w:val="lowerRoman"/>
      <w:start w:val="2"/>
    </w:lvl>
  </w:abstractNum>
  <w:abstractNum w:abstractNumId="53">
    <w:nsid w:val="7D5E18F8"/>
    <w:multiLevelType w:val="hybridMultilevel"/>
    <w:lvl w:ilvl="0">
      <w:lvlJc w:val="left"/>
      <w:lvlText w:val="(%1)"/>
      <w:numFmt w:val="lowerLetter"/>
      <w:start w:val="1"/>
    </w:lvl>
  </w:abstractNum>
  <w:abstractNum w:abstractNumId="54">
    <w:nsid w:val="5F3534A4"/>
    <w:multiLevelType w:val="hybridMultilevel"/>
    <w:lvl w:ilvl="0">
      <w:lvlJc w:val="left"/>
      <w:lvlText w:val="(%1)"/>
      <w:numFmt w:val="lowerLetter"/>
      <w:start w:val="2"/>
    </w:lvl>
  </w:abstractNum>
  <w:abstractNum w:abstractNumId="55">
    <w:nsid w:val="73A1821B"/>
    <w:multiLevelType w:val="hybridMultilevel"/>
    <w:lvl w:ilvl="0">
      <w:lvlJc w:val="left"/>
      <w:lvlText w:val="(%1)"/>
      <w:numFmt w:val="lowerLetter"/>
      <w:start w:val="1"/>
    </w:lvl>
  </w:abstractNum>
  <w:abstractNum w:abstractNumId="56">
    <w:nsid w:val="7DE67713"/>
    <w:multiLevelType w:val="hybridMultilevel"/>
    <w:lvl w:ilvl="0">
      <w:lvlJc w:val="left"/>
      <w:lvlText w:val="(%1)"/>
      <w:numFmt w:val="lowerLetter"/>
      <w:start w:val="1"/>
    </w:lvl>
  </w:abstractNum>
  <w:abstractNum w:abstractNumId="57">
    <w:nsid w:val="555C55B5"/>
    <w:multiLevelType w:val="hybridMultilevel"/>
    <w:lvl w:ilvl="0">
      <w:lvlJc w:val="left"/>
      <w:lvlText w:val="(%1)"/>
      <w:numFmt w:val="lowerLetter"/>
      <w:start w:val="1"/>
    </w:lvl>
  </w:abstractNum>
  <w:abstractNum w:abstractNumId="58">
    <w:nsid w:val="3FA62ACA"/>
    <w:multiLevelType w:val="hybridMultilevel"/>
    <w:lvl w:ilvl="0">
      <w:lvlJc w:val="left"/>
      <w:lvlText w:val="(%1)"/>
      <w:numFmt w:val="lowerLetter"/>
      <w:start w:val="1"/>
    </w:lvl>
  </w:abstractNum>
  <w:abstractNum w:abstractNumId="59">
    <w:nsid w:val="14FCE74E"/>
    <w:multiLevelType w:val="hybridMultilevel"/>
    <w:lvl w:ilvl="0">
      <w:lvlJc w:val="left"/>
      <w:lvlText w:val="(%1)"/>
      <w:numFmt w:val="lowerLetter"/>
      <w:start w:val="1"/>
    </w:lvl>
  </w:abstractNum>
  <w:abstractNum w:abstractNumId="60">
    <w:nsid w:val="6A3DD3E8"/>
    <w:multiLevelType w:val="hybridMultilevel"/>
    <w:lvl w:ilvl="0">
      <w:lvlJc w:val="left"/>
      <w:lvlText w:val="(%1)"/>
      <w:numFmt w:val="lowerLetter"/>
      <w:start w:val="1"/>
    </w:lvl>
  </w:abstractNum>
  <w:abstractNum w:abstractNumId="61">
    <w:nsid w:val="71C91298"/>
    <w:multiLevelType w:val="hybridMultilevel"/>
    <w:lvl w:ilvl="0">
      <w:lvlJc w:val="left"/>
      <w:lvlText w:val="(%1)"/>
      <w:numFmt w:val="lowerLetter"/>
      <w:start w:val="1"/>
    </w:lvl>
  </w:abstractNum>
  <w:abstractNum w:abstractNumId="62">
    <w:nsid w:val="9DAF632"/>
    <w:multiLevelType w:val="hybridMultilevel"/>
    <w:lvl w:ilvl="0">
      <w:lvlJc w:val="left"/>
      <w:lvlText w:val="(%1)"/>
      <w:numFmt w:val="lowerLetter"/>
      <w:start w:val="2"/>
    </w:lvl>
  </w:abstractNum>
  <w:abstractNum w:abstractNumId="63">
    <w:nsid w:val="53299938"/>
    <w:multiLevelType w:val="hybridMultilevel"/>
    <w:lvl w:ilvl="0">
      <w:lvlJc w:val="left"/>
      <w:lvlText w:val="(%1)"/>
      <w:numFmt w:val="lowerLetter"/>
      <w:start w:val="1"/>
    </w:lvl>
  </w:abstractNum>
  <w:abstractNum w:abstractNumId="64">
    <w:nsid w:val="1FBFE8E0"/>
    <w:multiLevelType w:val="hybridMultilevel"/>
    <w:lvl w:ilvl="0">
      <w:lvlJc w:val="left"/>
      <w:lvlText w:val="(%1)"/>
      <w:numFmt w:val="lowerLetter"/>
      <w:start w:val="1"/>
    </w:lvl>
  </w:abstractNum>
  <w:abstractNum w:abstractNumId="65">
    <w:nsid w:val="5092CA79"/>
    <w:multiLevelType w:val="hybridMultilevel"/>
    <w:lvl w:ilvl="0">
      <w:lvlJc w:val="left"/>
      <w:lvlText w:val="(%1)"/>
      <w:numFmt w:val="lowerLetter"/>
      <w:start w:val="1"/>
    </w:lvl>
  </w:abstractNum>
  <w:abstractNum w:abstractNumId="66">
    <w:nsid w:val="1D545C4D"/>
    <w:multiLevelType w:val="hybridMultilevel"/>
    <w:lvl w:ilvl="0">
      <w:lvlJc w:val="left"/>
      <w:lvlText w:val="(%1)"/>
      <w:numFmt w:val="lowerLetter"/>
      <w:start w:val="1"/>
    </w:lvl>
  </w:abstractNum>
  <w:abstractNum w:abstractNumId="67">
    <w:nsid w:val="59ADEA3D"/>
    <w:multiLevelType w:val="hybridMultilevel"/>
    <w:lvl w:ilvl="0">
      <w:lvlJc w:val="left"/>
      <w:lvlText w:val="(%1)"/>
      <w:numFmt w:val="lowerLetter"/>
      <w:start w:val="1"/>
    </w:lvl>
  </w:abstractNum>
  <w:abstractNum w:abstractNumId="68">
    <w:nsid w:val="288F1A34"/>
    <w:multiLevelType w:val="hybridMultilevel"/>
    <w:lvl w:ilvl="0">
      <w:lvlJc w:val="left"/>
      <w:lvlText w:val="(%1)"/>
      <w:numFmt w:val="lowerLetter"/>
      <w:start w:val="2"/>
    </w:lvl>
  </w:abstractNum>
  <w:abstractNum w:abstractNumId="69">
    <w:nsid w:val="2A155DBC"/>
    <w:multiLevelType w:val="hybridMultilevel"/>
    <w:lvl w:ilvl="0">
      <w:lvlJc w:val="left"/>
      <w:lvlText w:val="(%1)"/>
      <w:numFmt w:val="lowerLetter"/>
      <w:start w:val="13"/>
    </w:lvl>
  </w:abstractNum>
  <w:abstractNum w:abstractNumId="70">
    <w:nsid w:val="1D9F6E5F"/>
    <w:multiLevelType w:val="hybridMultilevel"/>
    <w:lvl w:ilvl="0">
      <w:lvlJc w:val="left"/>
      <w:lvlText w:val="(%1)"/>
      <w:numFmt w:val="lowerLetter"/>
      <w:start w:val="1"/>
    </w:lvl>
  </w:abstractNum>
  <w:abstractNum w:abstractNumId="71">
    <w:nsid w:val="97E1B4E"/>
    <w:multiLevelType w:val="hybridMultilevel"/>
    <w:lvl w:ilvl="0">
      <w:lvlJc w:val="left"/>
      <w:lvlText w:val="(%1)"/>
      <w:numFmt w:val="lowerRoman"/>
      <w:start w:val="1"/>
    </w:lvl>
  </w:abstractNum>
  <w:abstractNum w:abstractNumId="72">
    <w:nsid w:val="51088277"/>
    <w:multiLevelType w:val="hybridMultilevel"/>
    <w:lvl w:ilvl="0">
      <w:lvlJc w:val="left"/>
      <w:lvlText w:val="(%1)"/>
      <w:numFmt w:val="lowerLetter"/>
      <w:start w:val="1"/>
    </w:lvl>
  </w:abstractNum>
  <w:abstractNum w:abstractNumId="73">
    <w:nsid w:val="1CA0C5FA"/>
    <w:multiLevelType w:val="hybridMultilevel"/>
    <w:lvl w:ilvl="0">
      <w:lvlJc w:val="left"/>
      <w:lvlText w:val="(%1)"/>
      <w:numFmt w:val="lowerLetter"/>
      <w:start w:val="1"/>
    </w:lvl>
  </w:abstractNum>
  <w:abstractNum w:abstractNumId="74">
    <w:nsid w:val="53584BCB"/>
    <w:multiLevelType w:val="hybridMultilevel"/>
    <w:lvl w:ilvl="0">
      <w:lvlJc w:val="left"/>
      <w:lvlText w:val="(%1)"/>
      <w:numFmt w:val="lowerLetter"/>
      <w:start w:val="4"/>
    </w:lvl>
  </w:abstractNum>
  <w:abstractNum w:abstractNumId="75">
    <w:nsid w:val="415E286C"/>
    <w:multiLevelType w:val="hybridMultilevel"/>
    <w:lvl w:ilvl="0">
      <w:lvlJc w:val="left"/>
      <w:lvlText w:val="(%1)"/>
      <w:numFmt w:val="lowerLetter"/>
      <w:start w:val="1"/>
    </w:lvl>
  </w:abstractNum>
  <w:abstractNum w:abstractNumId="76">
    <w:nsid w:val="7C58FD05"/>
    <w:multiLevelType w:val="hybridMultilevel"/>
    <w:lvl w:ilvl="0">
      <w:lvlJc w:val="left"/>
      <w:lvlText w:val="(%1)"/>
      <w:numFmt w:val="lowerLetter"/>
      <w:start w:val="6"/>
    </w:lvl>
  </w:abstractNum>
  <w:abstractNum w:abstractNumId="77">
    <w:nsid w:val="23D86AAC"/>
    <w:multiLevelType w:val="hybridMultilevel"/>
    <w:lvl w:ilvl="0">
      <w:lvlJc w:val="left"/>
      <w:lvlText w:val="(%1)"/>
      <w:numFmt w:val="lowerRoman"/>
      <w:start w:val="3"/>
    </w:lvl>
  </w:abstractNum>
  <w:abstractNum w:abstractNumId="78">
    <w:nsid w:val="45E6D486"/>
    <w:multiLevelType w:val="hybridMultilevel"/>
    <w:lvl w:ilvl="0">
      <w:lvlJc w:val="left"/>
      <w:lvlText w:val="(%1)"/>
      <w:numFmt w:val="lowerLetter"/>
      <w:start w:val="1"/>
    </w:lvl>
  </w:abstractNum>
  <w:abstractNum w:abstractNumId="79">
    <w:nsid w:val="5C10FE21"/>
    <w:multiLevelType w:val="hybridMultilevel"/>
    <w:lvl w:ilvl="0">
      <w:lvlJc w:val="left"/>
      <w:lvlText w:val="(%1)"/>
      <w:numFmt w:val="lowerLetter"/>
      <w:start w:val="1"/>
    </w:lvl>
  </w:abstractNum>
  <w:abstractNum w:abstractNumId="80">
    <w:nsid w:val="E7FFA2B"/>
    <w:multiLevelType w:val="hybridMultilevel"/>
    <w:lvl w:ilvl="0">
      <w:lvlJc w:val="left"/>
      <w:lvlText w:val="(%1)"/>
      <w:numFmt w:val="lowerLetter"/>
      <w:start w:val="1"/>
    </w:lvl>
  </w:abstractNum>
  <w:abstractNum w:abstractNumId="81">
    <w:nsid w:val="3C5991AA"/>
    <w:multiLevelType w:val="hybridMultilevel"/>
    <w:lvl w:ilvl="0">
      <w:lvlJc w:val="left"/>
      <w:lvlText w:val="(%1)"/>
      <w:numFmt w:val="lowerLetter"/>
      <w:start w:val="1"/>
    </w:lvl>
  </w:abstractNum>
  <w:abstractNum w:abstractNumId="82">
    <w:nsid w:val="4BD8591A"/>
    <w:multiLevelType w:val="hybridMultilevel"/>
    <w:lvl w:ilvl="0">
      <w:lvlJc w:val="left"/>
      <w:lvlText w:val="(%1)"/>
      <w:numFmt w:val="lowerLetter"/>
      <w:start w:val="1"/>
    </w:lvl>
    <w:lvl w:ilvl="1">
      <w:lvlJc w:val="left"/>
      <w:lvlText w:val="(%2)"/>
      <w:numFmt w:val="lowerRoman"/>
      <w:start w:val="2"/>
    </w:lvl>
  </w:abstractNum>
  <w:abstractNum w:abstractNumId="83">
    <w:nsid w:val="78DF6A55"/>
    <w:multiLevelType w:val="hybridMultilevel"/>
    <w:lvl w:ilvl="0">
      <w:lvlJc w:val="left"/>
      <w:lvlText w:val="%1"/>
      <w:numFmt w:val="lowerLetter"/>
      <w:start w:val="1"/>
    </w:lvl>
    <w:lvl w:ilvl="1">
      <w:lvlJc w:val="left"/>
      <w:lvlText w:val="(%2)"/>
      <w:numFmt w:val="lowerRoman"/>
      <w:start w:val="4"/>
    </w:lvl>
  </w:abstractNum>
  <w:abstractNum w:abstractNumId="84">
    <w:nsid w:val="39B7AAA2"/>
    <w:multiLevelType w:val="hybridMultilevel"/>
    <w:lvl w:ilvl="0">
      <w:lvlJc w:val="left"/>
      <w:lvlText w:val="(%1)"/>
      <w:numFmt w:val="lowerLetter"/>
      <w:start w:val="2"/>
    </w:lvl>
    <w:lvl w:ilvl="1">
      <w:lvlJc w:val="left"/>
      <w:lvlText w:val="%2"/>
      <w:numFmt w:val="lowerRoman"/>
      <w:start w:val="1"/>
    </w:lvl>
  </w:abstractNum>
  <w:abstractNum w:abstractNumId="85">
    <w:nsid w:val="2B0D8DBE"/>
    <w:multiLevelType w:val="hybridMultilevel"/>
    <w:lvl w:ilvl="0">
      <w:lvlJc w:val="left"/>
      <w:lvlText w:val="(%1)"/>
      <w:numFmt w:val="lowerLetter"/>
      <w:start w:val="1"/>
    </w:lvl>
    <w:lvl w:ilvl="1">
      <w:lvlJc w:val="left"/>
      <w:lvlText w:val="(%2)"/>
      <w:numFmt w:val="lowerRoman"/>
      <w:start w:val="1"/>
    </w:lvl>
  </w:abstractNum>
  <w:abstractNum w:abstractNumId="86">
    <w:nsid w:val="6C80EC70"/>
    <w:multiLevelType w:val="hybridMultilevel"/>
    <w:lvl w:ilvl="0">
      <w:lvlJc w:val="left"/>
      <w:lvlText w:val="(%1)"/>
      <w:numFmt w:val="lowerLetter"/>
      <w:start w:val="2"/>
    </w:lvl>
  </w:abstractNum>
  <w:abstractNum w:abstractNumId="87">
    <w:nsid w:val="379E21B5"/>
    <w:multiLevelType w:val="hybridMultilevel"/>
    <w:lvl w:ilvl="0">
      <w:lvlJc w:val="left"/>
      <w:lvlText w:val="(%1)"/>
      <w:numFmt w:val="lowerLetter"/>
      <w:start w:val="3"/>
    </w:lvl>
  </w:abstractNum>
  <w:abstractNum w:abstractNumId="88">
    <w:nsid w:val="69E373"/>
    <w:multiLevelType w:val="hybridMultilevel"/>
    <w:lvl w:ilvl="0">
      <w:lvlJc w:val="left"/>
      <w:lvlText w:val="(%1)"/>
      <w:numFmt w:val="lowerLetter"/>
      <w:start w:val="4"/>
    </w:lvl>
  </w:abstractNum>
  <w:abstractNum w:abstractNumId="89">
    <w:nsid w:val="2C27173B"/>
    <w:multiLevelType w:val="hybridMultilevel"/>
    <w:lvl w:ilvl="0">
      <w:lvlJc w:val="left"/>
      <w:lvlText w:val="(%1)"/>
      <w:numFmt w:val="lowerLetter"/>
      <w:start w:val="2"/>
    </w:lvl>
  </w:abstractNum>
  <w:abstractNum w:abstractNumId="90">
    <w:nsid w:val="4C9B0904"/>
    <w:multiLevelType w:val="hybridMultilevel"/>
    <w:lvl w:ilvl="0">
      <w:lvlJc w:val="left"/>
      <w:lvlText w:val="(%1)"/>
      <w:numFmt w:val="lowerLetter"/>
      <w:start w:val="2"/>
    </w:lvl>
  </w:abstractNum>
  <w:abstractNum w:abstractNumId="91">
    <w:nsid w:val="6AA7B75C"/>
    <w:multiLevelType w:val="hybridMultilevel"/>
    <w:lvl w:ilvl="0">
      <w:lvlJc w:val="left"/>
      <w:lvlText w:val="%1"/>
      <w:numFmt w:val="lowerLetter"/>
      <w:start w:val="1"/>
    </w:lvl>
    <w:lvl w:ilvl="1">
      <w:lvlJc w:val="left"/>
      <w:lvlText w:val="(%2)"/>
      <w:numFmt w:val="lowerLetter"/>
      <w:start w:val="1"/>
    </w:lvl>
  </w:abstractNum>
  <w:abstractNum w:abstractNumId="92">
    <w:nsid w:val="1DF029D3"/>
    <w:multiLevelType w:val="hybridMultilevel"/>
    <w:lvl w:ilvl="0">
      <w:lvlJc w:val="left"/>
      <w:lvlText w:val="(%1)"/>
      <w:numFmt w:val="lowerLetter"/>
      <w:start w:val="35"/>
    </w:lvl>
    <w:lvl w:ilvl="1">
      <w:lvlJc w:val="left"/>
      <w:lvlText w:val="(%2)"/>
      <w:numFmt w:val="lowerLetter"/>
      <w:start w:val="2"/>
    </w:lvl>
  </w:abstractNum>
  <w:abstractNum w:abstractNumId="93">
    <w:nsid w:val="5675FF36"/>
    <w:multiLevelType w:val="hybridMultilevel"/>
    <w:lvl w:ilvl="0">
      <w:lvlJc w:val="left"/>
      <w:lvlText w:val="(%1)"/>
      <w:numFmt w:val="lowerLetter"/>
      <w:start w:val="3"/>
    </w:lvl>
  </w:abstractNum>
  <w:abstractNum w:abstractNumId="94">
    <w:nsid w:val="3DD15094"/>
    <w:multiLevelType w:val="hybridMultilevel"/>
    <w:lvl w:ilvl="0">
      <w:lvlJc w:val="left"/>
      <w:lvlText w:val="%1"/>
      <w:numFmt w:val="lowerLetter"/>
      <w:start w:val="1"/>
    </w:lvl>
    <w:lvl w:ilvl="1">
      <w:lvlJc w:val="left"/>
      <w:lvlText w:val="(%2)"/>
      <w:numFmt w:val="lowerLetter"/>
      <w:start w:val="1"/>
    </w:lvl>
  </w:abstractNum>
  <w:abstractNum w:abstractNumId="95">
    <w:nsid w:val="3DB012B3"/>
    <w:multiLevelType w:val="hybridMultilevel"/>
    <w:lvl w:ilvl="0">
      <w:lvlJc w:val="left"/>
      <w:lvlText w:val="(%1)"/>
      <w:numFmt w:val="lowerLetter"/>
      <w:start w:val="61"/>
    </w:lvl>
    <w:lvl w:ilvl="1">
      <w:lvlJc w:val="left"/>
      <w:lvlText w:val="%2"/>
      <w:numFmt w:val="lowerLetter"/>
      <w:start w:val="1"/>
    </w:lvl>
  </w:abstractNum>
  <w:abstractNum w:abstractNumId="96">
    <w:nsid w:val="2708C9AF"/>
    <w:multiLevelType w:val="hybridMultilevel"/>
    <w:lvl w:ilvl="0">
      <w:lvlJc w:val="left"/>
      <w:lvlText w:val="(%1)"/>
      <w:numFmt w:val="lowerLetter"/>
      <w:start w:val="2"/>
    </w:lvl>
    <w:lvl w:ilvl="1">
      <w:lvlJc w:val="left"/>
      <w:lvlText w:val="(%2)"/>
      <w:numFmt w:val="lowerRoman"/>
      <w:start w:val="1"/>
    </w:lvl>
    <w:lvl w:ilvl="2">
      <w:lvlJc w:val="left"/>
      <w:lvlText w:val="(%3)"/>
      <w:numFmt w:val="decimal"/>
    </w:lvl>
    <w:lvl w:ilvl="3">
      <w:lvlJc w:val="left"/>
      <w:lvlText w:val="(%4)"/>
      <w:numFmt w:val="upperLetter"/>
      <w:start w:val="1"/>
    </w:lvl>
  </w:abstractNum>
  <w:abstractNum w:abstractNumId="97">
    <w:nsid w:val="5B25ACE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3"/>
    </w:lvl>
  </w:abstractNum>
  <w:abstractNum w:abstractNumId="98">
    <w:nsid w:val="175DFCF0"/>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lvl w:ilvl="3">
      <w:lvlJc w:val="left"/>
      <w:lvlText w:val="%4"/>
      <w:numFmt w:val="upperLetter"/>
      <w:start w:val="1"/>
    </w:lvl>
  </w:abstractNum>
  <w:abstractNum w:abstractNumId="99">
    <w:nsid w:val="4F97E3E4"/>
    <w:multiLevelType w:val="hybridMultilevel"/>
    <w:lvl w:ilvl="0">
      <w:lvlJc w:val="left"/>
      <w:lvlText w:val="(%1)"/>
      <w:numFmt w:val="lowerRoman"/>
      <w:start w:val="5"/>
    </w:lvl>
  </w:abstractNum>
  <w:abstractNum w:abstractNumId="100">
    <w:nsid w:val="53B0A9E"/>
    <w:multiLevelType w:val="hybridMultilevel"/>
    <w:lvl w:ilvl="0">
      <w:lvlJc w:val="left"/>
      <w:lvlText w:val="(%1)"/>
      <w:numFmt w:val="lowerLetter"/>
      <w:start w:val="3"/>
    </w:lvl>
  </w:abstractNum>
  <w:abstractNum w:abstractNumId="101">
    <w:nsid w:val="34FD6B4F"/>
    <w:multiLevelType w:val="hybridMultilevel"/>
    <w:lvl w:ilvl="0">
      <w:lvlJc w:val="left"/>
      <w:lvlText w:val="(%1)"/>
      <w:numFmt w:val="lowerLetter"/>
      <w:start w:val="2"/>
    </w:lvl>
    <w:lvl w:ilvl="1">
      <w:lvlJc w:val="left"/>
      <w:lvlText w:val="(%2)"/>
      <w:numFmt w:val="lowerLetter"/>
      <w:start w:val="4"/>
    </w:lvl>
  </w:abstractNum>
  <w:abstractNum w:abstractNumId="102">
    <w:nsid w:val="5915FF32"/>
    <w:multiLevelType w:val="hybridMultilevel"/>
    <w:lvl w:ilvl="0">
      <w:lvlJc w:val="left"/>
      <w:lvlText w:val="(%1)"/>
      <w:numFmt w:val="lowerLetter"/>
      <w:start w:val="9"/>
    </w:lvl>
    <w:lvl w:ilvl="1">
      <w:lvlJc w:val="left"/>
      <w:lvlText w:val="%2"/>
      <w:numFmt w:val="lowerLetter"/>
      <w:start w:val="1"/>
    </w:lvl>
  </w:abstractNum>
  <w:abstractNum w:abstractNumId="103">
    <w:nsid w:val="56438D15"/>
    <w:multiLevelType w:val="hybridMultilevel"/>
    <w:lvl w:ilvl="0">
      <w:lvlJc w:val="left"/>
      <w:lvlText w:val="(%1)"/>
      <w:numFmt w:val="lowerRoman"/>
      <w:start w:val="1"/>
    </w:lvl>
  </w:abstractNum>
  <w:abstractNum w:abstractNumId="104">
    <w:nsid w:val="519E3149"/>
    <w:multiLevelType w:val="hybridMultilevel"/>
    <w:lvl w:ilvl="0">
      <w:lvlJc w:val="left"/>
      <w:lvlText w:val="(%1)"/>
      <w:numFmt w:val="lowerLetter"/>
      <w:start w:val="5"/>
    </w:lvl>
  </w:abstractNum>
  <w:abstractNum w:abstractNumId="105">
    <w:nsid w:val="2C6E4AFD"/>
    <w:multiLevelType w:val="hybridMultilevel"/>
    <w:lvl w:ilvl="0">
      <w:lvlJc w:val="left"/>
      <w:lvlText w:val="(%1)"/>
      <w:numFmt w:val="lowerLetter"/>
      <w:start w:val="1"/>
    </w:lvl>
  </w:abstractNum>
  <w:abstractNum w:abstractNumId="106">
    <w:nsid w:val="17A1B582"/>
    <w:multiLevelType w:val="hybridMultilevel"/>
    <w:lvl w:ilvl="0">
      <w:lvlJc w:val="left"/>
      <w:lvlText w:val="(%1)"/>
      <w:numFmt w:val="lowerLetter"/>
      <w:start w:val="1"/>
    </w:lvl>
  </w:abstractNum>
  <w:abstractNum w:abstractNumId="107">
    <w:nsid w:val="4DF72E4E"/>
    <w:multiLevelType w:val="hybridMultilevel"/>
    <w:lvl w:ilvl="0">
      <w:lvlJc w:val="left"/>
      <w:lvlText w:val="(%1)"/>
      <w:numFmt w:val="lowerLetter"/>
      <w:start w:val="4"/>
    </w:lvl>
  </w:abstractNum>
  <w:abstractNum w:abstractNumId="108">
    <w:nsid w:val="5046B5A9"/>
    <w:multiLevelType w:val="hybridMultilevel"/>
    <w:lvl w:ilvl="0">
      <w:lvlJc w:val="left"/>
      <w:lvlText w:val="(%1)"/>
      <w:numFmt w:val="upperLetter"/>
      <w:start w:val="3"/>
    </w:lvl>
  </w:abstractNum>
  <w:abstractNum w:abstractNumId="109">
    <w:nsid w:val="5D888A08"/>
    <w:multiLevelType w:val="hybridMultilevel"/>
    <w:lvl w:ilvl="0">
      <w:lvlJc w:val="left"/>
      <w:lvlText w:val="(%1)"/>
      <w:numFmt w:val="lowerLetter"/>
      <w:start w:val="1"/>
    </w:lvl>
  </w:abstractNum>
  <w:abstractNum w:abstractNumId="110">
    <w:nsid w:val="2A082C70"/>
    <w:multiLevelType w:val="hybridMultilevel"/>
    <w:lvl w:ilvl="0">
      <w:lvlJc w:val="left"/>
      <w:lvlText w:val="(%1)"/>
      <w:numFmt w:val="lowerLetter"/>
      <w:start w:val="2"/>
    </w:lvl>
    <w:lvl w:ilvl="1">
      <w:lvlJc w:val="left"/>
      <w:lvlText w:val="(%2)"/>
      <w:numFmt w:val="lowerRoman"/>
      <w:start w:val="1"/>
    </w:lvl>
  </w:abstractNum>
  <w:abstractNum w:abstractNumId="111">
    <w:nsid w:val="5EC6AFD4"/>
    <w:multiLevelType w:val="hybridMultilevel"/>
    <w:lvl w:ilvl="0">
      <w:lvlJc w:val="left"/>
      <w:lvlText w:val="%1."/>
      <w:numFmt w:val="decimal"/>
      <w:start w:val="1"/>
    </w:lvl>
  </w:abstractNum>
  <w:abstractNum w:abstractNumId="112">
    <w:nsid w:val="19E21BB2"/>
    <w:multiLevelType w:val="hybridMultilevel"/>
    <w:lvl w:ilvl="0">
      <w:lvlJc w:val="left"/>
      <w:lvlText w:val="1"/>
      <w:numFmt w:val="bullet"/>
      <w:start w:val="1"/>
    </w:lvl>
  </w:abstractNum>
  <w:abstractNum w:abstractNumId="113">
    <w:nsid w:val="75E0858A"/>
    <w:multiLevelType w:val="hybridMultilevel"/>
    <w:lvl w:ilvl="0">
      <w:lvlJc w:val="left"/>
      <w:lvlText w:val="%1."/>
      <w:numFmt w:val="decimal"/>
      <w:start w:val="1"/>
    </w:lvl>
  </w:abstractNum>
  <w:abstractNum w:abstractNumId="114">
    <w:nsid w:val="57A61A29"/>
    <w:multiLevelType w:val="hybridMultilevel"/>
    <w:lvl w:ilvl="0">
      <w:lvlJc w:val="left"/>
      <w:lvlText w:val="%1."/>
      <w:numFmt w:val="decimal"/>
      <w:start w:val="2"/>
    </w:lvl>
  </w:abstractNum>
  <w:abstractNum w:abstractNumId="115">
    <w:nsid w:val="5399C654"/>
    <w:multiLevelType w:val="hybridMultilevel"/>
    <w:lvl w:ilvl="0">
      <w:lvlJc w:val="left"/>
      <w:lvlText w:val="(%1)"/>
      <w:numFmt w:val="lowerLetter"/>
      <w:start w:val="1"/>
    </w:lvl>
  </w:abstractNum>
  <w:abstractNum w:abstractNumId="116">
    <w:nsid w:val="20EE1348"/>
    <w:multiLevelType w:val="hybridMultilevel"/>
    <w:lvl w:ilvl="0">
      <w:lvlJc w:val="left"/>
      <w:lvlText w:val="(%1)"/>
      <w:numFmt w:val="lowerLetter"/>
      <w:start w:val="5"/>
    </w:lvl>
  </w:abstractNum>
  <w:abstractNum w:abstractNumId="117">
    <w:nsid w:val="4427069A"/>
    <w:multiLevelType w:val="hybridMultilevel"/>
    <w:lvl w:ilvl="0">
      <w:lvlJc w:val="left"/>
      <w:lvlText w:val="%1."/>
      <w:numFmt w:val="decimal"/>
      <w:start w:val="3"/>
    </w:lvl>
  </w:abstractNum>
  <w:abstractNum w:abstractNumId="118">
    <w:nsid w:val="B37E80A"/>
    <w:multiLevelType w:val="hybridMultilevel"/>
    <w:lvl w:ilvl="0">
      <w:lvlJc w:val="left"/>
      <w:lvlText w:val="%1."/>
      <w:numFmt w:val="decimal"/>
      <w:start w:val="4"/>
    </w:lvl>
  </w:abstractNum>
  <w:abstractNum w:abstractNumId="119">
    <w:nsid w:val="2157F6BC"/>
    <w:multiLevelType w:val="hybridMultilevel"/>
    <w:lvl w:ilvl="0">
      <w:lvlJc w:val="left"/>
      <w:lvlText w:val="(%1)"/>
      <w:numFmt w:val="lowerLetter"/>
      <w:start w:val="2"/>
    </w:lvl>
  </w:abstractNum>
  <w:abstractNum w:abstractNumId="120">
    <w:nsid w:val="704E1DD5"/>
    <w:multiLevelType w:val="hybridMultilevel"/>
    <w:lvl w:ilvl="0">
      <w:lvlJc w:val="left"/>
      <w:lvlText w:val="%1."/>
      <w:numFmt w:val="decimal"/>
      <w:start w:val="5"/>
    </w:lvl>
  </w:abstractNum>
  <w:abstractNum w:abstractNumId="121">
    <w:nsid w:val="57D2F10E"/>
    <w:multiLevelType w:val="hybridMultilevel"/>
    <w:lvl w:ilvl="0">
      <w:lvlJc w:val="left"/>
      <w:lvlText w:val="(%1)"/>
      <w:numFmt w:val="lowerRoman"/>
      <w:start w:val="1"/>
    </w:lvl>
  </w:abstractNum>
  <w:abstractNum w:abstractNumId="122">
    <w:nsid w:val="BFFAE18"/>
    <w:multiLevelType w:val="hybridMultilevel"/>
    <w:lvl w:ilvl="0">
      <w:lvlJc w:val="left"/>
      <w:lvlText w:val="(%1)"/>
      <w:numFmt w:val="lowerRoman"/>
      <w:start w:val="2"/>
    </w:lvl>
    <w:lvl w:ilvl="1">
      <w:lvlJc w:val="left"/>
      <w:lvlText w:val="%2."/>
      <w:numFmt w:val="decimal"/>
      <w:start w:val="6"/>
    </w:lvl>
  </w:abstractNum>
  <w:abstractNum w:abstractNumId="123">
    <w:nsid w:val="E3E47A8"/>
    <w:multiLevelType w:val="hybridMultilevel"/>
    <w:lvl w:ilvl="0">
      <w:lvlJc w:val="left"/>
      <w:lvlText w:val="%1."/>
      <w:numFmt w:val="decimal"/>
      <w:start w:val="1"/>
    </w:lvl>
  </w:abstractNum>
  <w:abstractNum w:abstractNumId="124">
    <w:nsid w:val="2E48F044"/>
    <w:multiLevelType w:val="hybridMultilevel"/>
    <w:lvl w:ilvl="0">
      <w:lvlJc w:val="left"/>
      <w:lvlText w:val="1"/>
      <w:numFmt w:val="bullet"/>
      <w:start w:val="1"/>
    </w:lvl>
  </w:abstractNum>
  <w:abstractNum w:abstractNumId="125">
    <w:nsid w:val="49D0FEAC"/>
    <w:multiLevelType w:val="hybridMultilevel"/>
    <w:lvl w:ilvl="0">
      <w:lvlJc w:val="left"/>
      <w:lvlText w:val="2"/>
      <w:numFmt w:val="bullet"/>
      <w:start w:val="1"/>
    </w:lvl>
  </w:abstractNum>
  <w:abstractNum w:abstractNumId="126">
    <w:nsid w:val="4BEE5A5B"/>
    <w:multiLevelType w:val="hybridMultilevel"/>
    <w:lvl w:ilvl="0">
      <w:lvlJc w:val="left"/>
      <w:lvlText w:val="(%1)"/>
      <w:numFmt w:val="lowerRoman"/>
      <w:start w:val="3"/>
    </w:lvl>
  </w:abstractNum>
  <w:abstractNum w:abstractNumId="127">
    <w:nsid w:val="5551B9F3"/>
    <w:multiLevelType w:val="hybridMultilevel"/>
    <w:lvl w:ilvl="0">
      <w:lvlJc w:val="left"/>
      <w:lvlText w:val="["/>
      <w:numFmt w:val="bullet"/>
      <w:start w:val="1"/>
    </w:lvl>
  </w:abstractNum>
  <w:abstractNum w:abstractNumId="128">
    <w:nsid w:val="24F6AB8E"/>
    <w:multiLevelType w:val="hybridMultilevel"/>
    <w:lvl w:ilvl="0">
      <w:lvlJc w:val="left"/>
      <w:lvlText w:val="%1."/>
      <w:numFmt w:val="decimal"/>
      <w:start w:val="1"/>
    </w:lvl>
  </w:abstractNum>
  <w:abstractNum w:abstractNumId="129">
    <w:nsid w:val="634C574C"/>
    <w:multiLevelType w:val="hybridMultilevel"/>
    <w:lvl w:ilvl="0">
      <w:lvlJc w:val="left"/>
      <w:lvlText w:val="%1."/>
      <w:numFmt w:val="decimal"/>
      <w:start w:val="1"/>
    </w:lvl>
  </w:abstractNum>
  <w:abstractNum w:abstractNumId="130">
    <w:nsid w:val="24E99DD7"/>
    <w:multiLevelType w:val="hybridMultilevel"/>
    <w:lvl w:ilvl="0">
      <w:lvlJc w:val="left"/>
      <w:lvlText w:val="%1."/>
      <w:numFmt w:val="decimal"/>
      <w:start w:val="1"/>
    </w:lvl>
  </w:abstractNum>
  <w:abstractNum w:abstractNumId="131">
    <w:nsid w:val="2A31B62D"/>
    <w:multiLevelType w:val="hybridMultilevel"/>
    <w:lvl w:ilvl="0">
      <w:lvlJc w:val="left"/>
      <w:lvlText w:val="1"/>
      <w:numFmt w:val="bullet"/>
      <w:start w:val="1"/>
    </w:lvl>
  </w:abstractNum>
  <w:abstractNum w:abstractNumId="132">
    <w:nsid w:val="1849C29B"/>
    <w:multiLevelType w:val="hybridMultilevel"/>
    <w:lvl w:ilvl="0">
      <w:lvlJc w:val="left"/>
      <w:lvlText w:val="2"/>
      <w:numFmt w:val="bullet"/>
      <w:start w:val="1"/>
    </w:lvl>
  </w:abstractNum>
  <w:abstractNum w:abstractNumId="133">
    <w:nsid w:val="7DFF9D09"/>
    <w:multiLevelType w:val="hybridMultilevel"/>
    <w:lvl w:ilvl="0">
      <w:lvlJc w:val="left"/>
      <w:lvlText w:val="3"/>
      <w:numFmt w:val="bullet"/>
      <w:start w:val="1"/>
    </w:lvl>
  </w:abstractNum>
  <w:abstractNum w:abstractNumId="134">
    <w:nsid w:val="754342"/>
    <w:multiLevelType w:val="hybridMultilevel"/>
    <w:lvl w:ilvl="0">
      <w:lvlJc w:val="left"/>
      <w:lvlText w:val="4"/>
      <w:numFmt w:val="bullet"/>
      <w:start w:val="1"/>
    </w:lvl>
  </w:abstractNum>
  <w:abstractNum w:abstractNumId="135">
    <w:nsid w:val="69E7F3E5"/>
    <w:multiLevelType w:val="hybridMultilevel"/>
    <w:lvl w:ilvl="0">
      <w:lvlJc w:val="left"/>
      <w:lvlText w:val="%1."/>
      <w:numFmt w:val="decimal"/>
      <w:start w:val="1"/>
    </w:lvl>
  </w:abstractNum>
  <w:abstractNum w:abstractNumId="136">
    <w:nsid w:val="2A6DE806"/>
    <w:multiLevelType w:val="hybridMultilevel"/>
    <w:lvl w:ilvl="0">
      <w:lvlJc w:val="left"/>
      <w:lvlText w:val="%1."/>
      <w:numFmt w:val="decimal"/>
      <w:start w:val="4"/>
    </w:lvl>
  </w:abstractNum>
  <w:abstractNum w:abstractNumId="137">
    <w:nsid w:val="1816F8C4"/>
    <w:multiLevelType w:val="hybridMultilevel"/>
    <w:lvl w:ilvl="0">
      <w:lvlJc w:val="left"/>
      <w:lvlText w:val="1"/>
      <w:numFmt w:val="bullet"/>
      <w:start w:val="1"/>
    </w:lvl>
  </w:abstractNum>
  <w:abstractNum w:abstractNumId="138">
    <w:nsid w:val="37DF2233"/>
    <w:multiLevelType w:val="hybridMultilevel"/>
    <w:lvl w:ilvl="0">
      <w:lvlJc w:val="left"/>
      <w:lvlText w:val="2"/>
      <w:numFmt w:val="bullet"/>
      <w:start w:val="1"/>
    </w:lvl>
  </w:abstractNum>
  <w:abstractNum w:abstractNumId="139">
    <w:nsid w:val="7AB49DAF"/>
    <w:multiLevelType w:val="hybridMultilevel"/>
    <w:lvl w:ilvl="0">
      <w:lvlJc w:val="left"/>
      <w:lvlText w:val="3"/>
      <w:numFmt w:val="bullet"/>
      <w:start w:val="1"/>
    </w:lvl>
  </w:abstractNum>
  <w:abstractNum w:abstractNumId="140">
    <w:nsid w:val="759F82CD"/>
    <w:multiLevelType w:val="hybridMultilevel"/>
    <w:lvl w:ilvl="0">
      <w:lvlJc w:val="left"/>
      <w:lvlText w:val="4"/>
      <w:numFmt w:val="bullet"/>
      <w:start w:val="1"/>
    </w:lvl>
  </w:abstractNum>
  <w:abstractNum w:abstractNumId="141">
    <w:nsid w:val="61E74EA3"/>
    <w:multiLevelType w:val="hybridMultilevel"/>
    <w:lvl w:ilvl="0">
      <w:lvlJc w:val="left"/>
      <w:lvlText w:val="5"/>
      <w:numFmt w:val="bullet"/>
      <w:start w:val="1"/>
    </w:lvl>
  </w:abstractNum>
  <w:abstractNum w:abstractNumId="142">
    <w:nsid w:val="597B4D84"/>
    <w:multiLevelType w:val="hybridMultilevel"/>
    <w:lvl w:ilvl="0">
      <w:lvlJc w:val="left"/>
      <w:lvlText w:val="6"/>
      <w:numFmt w:val="bullet"/>
      <w:start w:val="1"/>
    </w:lvl>
  </w:abstractNum>
  <w:abstractNum w:abstractNumId="143">
    <w:nsid w:val="F819E7F"/>
    <w:multiLevelType w:val="hybridMultilevel"/>
    <w:lvl w:ilvl="0">
      <w:lvlJc w:val="left"/>
      <w:lvlText w:val="1"/>
      <w:numFmt w:val="bullet"/>
      <w:start w:val="1"/>
    </w:lvl>
  </w:abstractNum>
  <w:abstractNum w:abstractNumId="144">
    <w:nsid w:val="57C7D42D"/>
    <w:multiLevelType w:val="hybridMultilevel"/>
    <w:lvl w:ilvl="0">
      <w:lvlJc w:val="left"/>
      <w:lvlText w:val="2"/>
      <w:numFmt w:val="bullet"/>
      <w:start w:val="1"/>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2019-12-05T01:08:47Z</dcterms:created>
  <dcterms:modified xsi:type="dcterms:W3CDTF">2019-12-05T01:08:47Z</dcterms:modified>
</cp:coreProperties>
</file>