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568960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57785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43815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80" w:right="40" w:hanging="654"/>
        <w:spacing w:after="0" w:line="233" w:lineRule="auto"/>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3, 2024</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3" w:lineRule="auto"/>
        <w:tabs>
          <w:tab w:leader="none" w:pos="6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42" w:lineRule="exact"/>
        <w:rPr>
          <w:sz w:val="24"/>
          <w:szCs w:val="24"/>
          <w:color w:val="auto"/>
        </w:rPr>
      </w:pPr>
    </w:p>
    <w:p>
      <w:pPr>
        <w:sectPr>
          <w:pgSz w:w="11900" w:h="16838" w:orient="portrait"/>
          <w:cols w:equalWidth="0" w:num="2">
            <w:col w:w="7360" w:space="720"/>
            <w:col w:w="3120"/>
          </w:cols>
          <w:pgMar w:left="320" w:top="1019" w:right="3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20"/>
          </w:cols>
          <w:pgMar w:left="320" w:top="1019" w:right="37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4">
            <w:col w:w="2760" w:space="720"/>
            <w:col w:w="980" w:space="300"/>
            <w:col w:w="2800" w:space="720"/>
            <w:col w:w="2920"/>
          </w:cols>
          <w:pgMar w:left="320" w:top="1019" w:right="3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00" w:lineRule="exact"/>
        <w:rPr>
          <w:sz w:val="24"/>
          <w:szCs w:val="24"/>
          <w:color w:val="auto"/>
        </w:rPr>
      </w:pPr>
    </w:p>
    <w:p>
      <w:pPr>
        <w:sectPr>
          <w:pgSz w:w="11900" w:h="16838" w:orient="portrait"/>
          <w:cols w:equalWidth="0" w:num="2">
            <w:col w:w="7480" w:space="720"/>
            <w:col w:w="300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(781) 935-5565</w:t>
      </w:r>
    </w:p>
    <w:p>
      <w:pPr>
        <w:sectPr>
          <w:pgSz w:w="11900" w:h="16838" w:orient="portrait"/>
          <w:cols w:equalWidth="0" w:num="1">
            <w:col w:w="11200"/>
          </w:cols>
          <w:pgMar w:left="320" w:top="1019"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1019"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80" w:space="720"/>
            <w:col w:w="1760" w:space="720"/>
            <w:col w:w="3820"/>
          </w:cols>
          <w:pgMar w:left="320" w:top="1019" w:right="3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4740" w:space="720"/>
            <w:col w:w="1800" w:space="720"/>
            <w:col w:w="3220"/>
          </w:cols>
          <w:pgMar w:left="320" w:top="1019" w:right="379" w:bottom="1440" w:gutter="0" w:footer="0" w:header="0"/>
          <w:type w:val="continuous"/>
        </w:sectPr>
      </w:pPr>
    </w:p>
    <w:p>
      <w:pPr>
        <w:spacing w:after="0" w:line="7" w:lineRule="exact"/>
        <w:rPr>
          <w:sz w:val="24"/>
          <w:szCs w:val="24"/>
          <w:color w:val="auto"/>
        </w:rPr>
      </w:pPr>
    </w:p>
    <w:p>
      <w:pPr>
        <w:ind w:right="2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6" w:lineRule="exact"/>
        <w:rPr>
          <w:sz w:val="24"/>
          <w:szCs w:val="24"/>
          <w:color w:val="auto"/>
        </w:rPr>
      </w:pPr>
    </w:p>
    <w:p>
      <w:pPr>
        <w:ind w:right="2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 w:lineRule="exact"/>
        <w:rPr>
          <w:sz w:val="24"/>
          <w:szCs w:val="24"/>
          <w:color w:val="auto"/>
        </w:rPr>
      </w:pPr>
    </w:p>
    <w:p>
      <w:pPr>
        <w:ind w:left="460"/>
        <w:spacing w:after="0" w:line="242" w:lineRule="exact"/>
        <w:tabs>
          <w:tab w:leader="none" w:pos="8780" w:val="left"/>
          <w:tab w:leader="none" w:pos="94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16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February 3, 2024 there were 495,908,150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ind w:left="39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20" w:type="dxa"/>
            <w:vAlign w:val="bottom"/>
          </w:tcPr>
          <w:p>
            <w:pPr>
              <w:spacing w:after="0"/>
              <w:rPr>
                <w:sz w:val="16"/>
                <w:szCs w:val="16"/>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22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2,512,704</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3,249,630</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1,038,763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1,125,289</w:t>
            </w:r>
          </w:p>
        </w:tc>
      </w:tr>
      <w:tr>
        <w:trPr>
          <w:trHeight w:val="223"/>
        </w:trPr>
        <w:tc>
          <w:tcPr>
            <w:tcW w:w="7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1,473,941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2,124,341</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391,427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414,095</w:t>
            </w:r>
          </w:p>
        </w:tc>
      </w:tr>
      <w:tr>
        <w:trPr>
          <w:trHeight w:val="230"/>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326,284</w:t>
            </w:r>
          </w:p>
        </w:tc>
      </w:tr>
      <w:tr>
        <w:trPr>
          <w:trHeight w:val="229"/>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190,332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253,142</w:t>
            </w:r>
          </w:p>
        </w:tc>
      </w:tr>
      <w:tr>
        <w:trPr>
          <w:trHeight w:val="229"/>
        </w:trPr>
        <w:tc>
          <w:tcPr>
            <w:tcW w:w="73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887,977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993,521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1,130,820</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60,453</w:t>
            </w:r>
          </w:p>
        </w:tc>
      </w:tr>
      <w:tr>
        <w:trPr>
          <w:trHeight w:val="230"/>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r>
      <w:tr>
        <w:trPr>
          <w:trHeight w:val="230"/>
        </w:trPr>
        <w:tc>
          <w:tcPr>
            <w:tcW w:w="73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72,546</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57,347</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1,073,473</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111,999</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462,727</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961,474</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7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507,121</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498,741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511,184</w:t>
            </w:r>
          </w:p>
        </w:tc>
      </w:tr>
      <w:tr>
        <w:trPr>
          <w:trHeight w:val="270"/>
        </w:trPr>
        <w:tc>
          <w:tcPr>
            <w:tcW w:w="7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0240"/>
          </w:cols>
          <w:pgMar w:left="340" w:top="1008" w:right="13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40" w:top="1008" w:right="1319" w:bottom="1440" w:gutter="0" w:footer="0" w:header="0"/>
          <w:type w:val="continuous"/>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6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229"/>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961,474</w:t>
            </w: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instruments designated as cash flow hedges,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25,467</w:t>
            </w: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pension plans, net actuarial gain/loss and foreign currency translation adjustments, net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28,418</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989,892</w:t>
            </w:r>
          </w:p>
        </w:tc>
      </w:tr>
      <w:tr>
        <w:trPr>
          <w:trHeight w:val="21"/>
        </w:trPr>
        <w:tc>
          <w:tcPr>
            <w:tcW w:w="8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2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1,303,560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958,061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1,196,721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1,469,734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1,553,221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1,642,214</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362,375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314,013</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4,415,877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4,384,022</w:t>
            </w: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3,281,937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3,219,157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26,913,134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26,913,134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10,871,054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11,311,957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2,172,174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2,223,272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742,936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43,972,587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44,410,456</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48,388,464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48,794,478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398,107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493,041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309,046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499,322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499,052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 notes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547,224</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1,071,480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1,352,608</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2,923,366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3,200,971</w:t>
            </w: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5,946,673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5,902,457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2,975,815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3,127,852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417,076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579,002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581,000</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9,917,025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10,028,385</w:t>
            </w:r>
          </w:p>
        </w:tc>
        <w:tc>
          <w:tcPr>
            <w:tcW w:w="0" w:type="dxa"/>
            <w:vAlign w:val="bottom"/>
          </w:tcPr>
          <w:p>
            <w:pPr>
              <w:spacing w:after="0"/>
              <w:rPr>
                <w:sz w:val="1"/>
                <w:szCs w:val="1"/>
                <w:color w:val="auto"/>
              </w:rPr>
            </w:pPr>
          </w:p>
        </w:tc>
      </w:tr>
      <w:tr>
        <w:trPr>
          <w:trHeight w:val="19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495,908,150 shares outstanding</w:t>
            </w:r>
          </w:p>
        </w:tc>
        <w:tc>
          <w:tcPr>
            <w:tcW w:w="24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82,653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82,712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(496,261,678 on October 28, 2023)</w:t>
            </w:r>
          </w:p>
        </w:tc>
        <w:tc>
          <w:tcPr>
            <w:tcW w:w="24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25,253,256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25,313,914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10,393,449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10,356,798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(188,302)</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35,548,073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35,565,122</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48,388,464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48,794,478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40" w:top="100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gridSpan w:val="1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Three Months Ended February 3, 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28,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25,313,914</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10,356,798</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gridSpan w:val="2"/>
            <w:shd w:val="clear" w:color="auto" w:fill="CCEEFF"/>
          </w:tcPr>
          <w:p>
            <w:pPr>
              <w:jc w:val="center"/>
              <w:ind w:left="440"/>
              <w:spacing w:after="0"/>
              <w:rPr>
                <w:sz w:val="20"/>
                <w:szCs w:val="20"/>
                <w:color w:val="auto"/>
              </w:rPr>
            </w:pPr>
            <w:r>
              <w:rPr>
                <w:rFonts w:ascii="Times New Roman" w:cs="Times New Roman" w:eastAsia="Times New Roman" w:hAnsi="Times New Roman"/>
                <w:sz w:val="18"/>
                <w:szCs w:val="18"/>
                <w:color w:val="auto"/>
              </w:rPr>
              <w:t>(188,302)</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$0.86 per share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(426,076)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(180,179)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3, 2024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495,908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25,253,256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10,393,449</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center"/>
              <w:ind w:left="440"/>
              <w:spacing w:after="0"/>
              <w:rPr>
                <w:sz w:val="20"/>
                <w:szCs w:val="20"/>
                <w:color w:val="auto"/>
              </w:rPr>
            </w:pPr>
            <w:r>
              <w:rPr>
                <w:rFonts w:ascii="Times New Roman" w:cs="Times New Roman" w:eastAsia="Times New Roman" w:hAnsi="Times New Roman"/>
                <w:sz w:val="18"/>
                <w:szCs w:val="18"/>
                <w:color w:val="auto"/>
              </w:rPr>
              <w:t>(181,285)</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3"/>
        </w:trPr>
        <w:tc>
          <w:tcPr>
            <w:tcW w:w="4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gridSpan w:val="12"/>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January 28, 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gridSpan w:val="3"/>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29, 2022</w:t>
            </w:r>
          </w:p>
        </w:tc>
        <w:tc>
          <w:tcPr>
            <w:tcW w:w="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509,296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27,857,270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8,721,325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$0.76 per share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520"/>
              <w:spacing w:after="0"/>
              <w:rPr>
                <w:sz w:val="20"/>
                <w:szCs w:val="20"/>
                <w:color w:val="auto"/>
              </w:rPr>
            </w:pPr>
            <w:r>
              <w:rPr>
                <w:rFonts w:ascii="Times New Roman" w:cs="Times New Roman" w:eastAsia="Times New Roman" w:hAnsi="Times New Roman"/>
                <w:sz w:val="18"/>
                <w:szCs w:val="18"/>
                <w:color w:val="auto"/>
                <w:w w:val="96"/>
              </w:rPr>
              <w:t>28,418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28,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27,319,566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9,297,347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4"/>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20" w:type="dxa"/>
            <w:vAlign w:val="bottom"/>
          </w:tcPr>
          <w:p>
            <w:pPr>
              <w:spacing w:after="0"/>
              <w:rPr>
                <w:sz w:val="16"/>
                <w:szCs w:val="16"/>
                <w:color w:val="auto"/>
              </w:rPr>
            </w:pP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462,727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961,474</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85,321</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502,177</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75,041</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(146,354)</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9,732</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(81,086)</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adjustments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676,105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444,831</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1,138,832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1,406,305</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(176,158)</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(219,101)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(176,056)</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commercial paper notes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2,779,494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of commercial paper notes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(2,782,274)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(654,557)</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(385,452)</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41,238</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(31,588)</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(574,232)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(1,030,359)</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345,499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199,890</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958,061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1,470,572</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1,303,560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1,670,462</w:t>
            </w:r>
          </w:p>
        </w:tc>
      </w:tr>
      <w:tr>
        <w:trPr>
          <w:trHeight w:val="23"/>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both"/>
        <w:ind w:left="2660" w:right="2640" w:firstLine="25"/>
        <w:spacing w:after="0" w:line="277" w:lineRule="auto"/>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FOR THE THREE MONTHS ENDED FEBRUARY 3, 2024 (UNAUDITED) (all tabular amounts in thousands except per share amounts and percentages)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20" w:firstLine="243"/>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28, 2023 (fiscal 2023) and related notes. The results of operations for the interim periods shown in this report are not necessarily indicative of the results that may be expected for the fiscal year ending November 2, 2024 (fiscal 2024) or any future period.</w:t>
      </w:r>
    </w:p>
    <w:p>
      <w:pPr>
        <w:spacing w:after="0" w:line="129" w:lineRule="exact"/>
        <w:rPr>
          <w:sz w:val="20"/>
          <w:szCs w:val="20"/>
          <w:color w:val="auto"/>
        </w:rPr>
      </w:pPr>
    </w:p>
    <w:p>
      <w:pPr>
        <w:jc w:val="both"/>
        <w:ind w:right="220" w:firstLine="243"/>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Fiscal 2024 is a 53-week fiscal year and fiscal 2023 was a 52-week fiscal year. The additional week in fiscal 2024 is included in the first quarter ended February 3, 2024. Therefore, the first quarter of fiscal 2024 included 14 weeks of operations and the first quarter of fiscal 2023 included 13 weeks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Shareholders' Equity</w:t>
      </w:r>
    </w:p>
    <w:p>
      <w:pPr>
        <w:spacing w:after="0" w:line="121" w:lineRule="exact"/>
        <w:rPr>
          <w:sz w:val="20"/>
          <w:szCs w:val="20"/>
          <w:color w:val="auto"/>
        </w:rPr>
      </w:pPr>
    </w:p>
    <w:p>
      <w:pPr>
        <w:ind w:right="80" w:firstLine="445"/>
        <w:spacing w:after="0" w:line="277" w:lineRule="auto"/>
        <w:rPr>
          <w:sz w:val="20"/>
          <w:szCs w:val="20"/>
          <w:color w:val="auto"/>
        </w:rPr>
      </w:pPr>
      <w:r>
        <w:rPr>
          <w:rFonts w:ascii="Times New Roman" w:cs="Times New Roman" w:eastAsia="Times New Roman" w:hAnsi="Times New Roman"/>
          <w:sz w:val="17"/>
          <w:szCs w:val="17"/>
          <w:color w:val="auto"/>
        </w:rPr>
        <w:t>As of February 3, 2024, the Company had repurchased a total of approximately 206.2 million shares of its common stock for approximately $14.7 billion under the Company's share repurchase program. As of February 3, 2024, an additional $2.0 billion remains available for repurchase of shares under the current authorized program. The Company also repurchases shares in settlement of employee tax withholding obligations due upon the vesting of restricted stock units/awards or the exercise of stock options as well as for the Company's employee stock purchase plan. Future repurchases of common stock will be dependent upon the Company's financial position, results of operations, outlook, liquidity and other factors deemed relevant by the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(loss) income (AOCI) by component and the related tax effects during the first three months of fiscal 2024.</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holding gains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(188,302)</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with presentation location during each period were as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 Component</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09"/>
        </w:trPr>
        <w:tc>
          <w:tcPr>
            <w:tcW w:w="4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00" w:type="dxa"/>
            <w:vAlign w:val="bottom"/>
            <w:tcBorders>
              <w:bottom w:val="single" w:sz="8" w:color="CCEEFF"/>
            </w:tcBorders>
          </w:tcPr>
          <w:p>
            <w:pPr>
              <w:spacing w:after="0"/>
              <w:rPr>
                <w:sz w:val="18"/>
                <w:szCs w:val="18"/>
                <w:color w:val="auto"/>
              </w:rPr>
            </w:pPr>
          </w:p>
        </w:tc>
        <w:tc>
          <w:tcPr>
            <w:tcW w:w="4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derivatives: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Amortization of pension components included in the computation of net periodic pension cost:</w:t>
            </w:r>
          </w:p>
        </w:tc>
        <w:tc>
          <w:tcPr>
            <w:tcW w:w="1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amounts reclassified out of AOCI,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20" w:type="dxa"/>
            <w:vAlign w:val="bottom"/>
          </w:tcPr>
          <w:p>
            <w:pPr>
              <w:spacing w:after="0"/>
              <w:rPr>
                <w:sz w:val="16"/>
                <w:szCs w:val="16"/>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0" w:type="dxa"/>
            <w:vAlign w:val="bottom"/>
          </w:tcPr>
          <w:p>
            <w:pPr>
              <w:spacing w:after="0"/>
              <w:rPr>
                <w:sz w:val="1"/>
                <w:szCs w:val="1"/>
                <w:color w:val="auto"/>
              </w:rPr>
            </w:pPr>
          </w:p>
        </w:tc>
      </w:tr>
      <w:tr>
        <w:trPr>
          <w:trHeight w:val="229"/>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961,474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507,121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507,121</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498,741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511,184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shares related to:</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stock-based awards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Special Charges, Net</w:t>
      </w:r>
    </w:p>
    <w:p>
      <w:pPr>
        <w:spacing w:after="0" w:line="175" w:lineRule="exact"/>
        <w:rPr>
          <w:sz w:val="20"/>
          <w:szCs w:val="20"/>
          <w:color w:val="auto"/>
        </w:rPr>
      </w:pPr>
    </w:p>
    <w:p>
      <w:pPr>
        <w:ind w:right="140" w:firstLine="445"/>
        <w:spacing w:after="0" w:line="271" w:lineRule="auto"/>
        <w:rPr>
          <w:sz w:val="20"/>
          <w:szCs w:val="20"/>
          <w:color w:val="auto"/>
        </w:rPr>
      </w:pPr>
      <w:r>
        <w:rPr>
          <w:rFonts w:ascii="Times New Roman" w:cs="Times New Roman" w:eastAsia="Times New Roman" w:hAnsi="Times New Roman"/>
          <w:sz w:val="18"/>
          <w:szCs w:val="18"/>
          <w:color w:val="auto"/>
        </w:rPr>
        <w:t>Liabilities related to special charges, net are included in Accrued liabilities and Other non-current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16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Accrued Special Charges</w:t>
            </w:r>
          </w:p>
        </w:tc>
        <w:tc>
          <w:tcPr>
            <w:tcW w:w="3040" w:type="dxa"/>
            <w:vAlign w:val="bottom"/>
          </w:tcPr>
          <w:p>
            <w:pPr>
              <w:spacing w:after="0"/>
              <w:rPr>
                <w:sz w:val="17"/>
                <w:szCs w:val="17"/>
                <w:color w:val="auto"/>
              </w:rPr>
            </w:pPr>
          </w:p>
        </w:tc>
        <w:tc>
          <w:tcPr>
            <w:tcW w:w="2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Global Repositioning Actions</w:t>
            </w:r>
          </w:p>
        </w:tc>
        <w:tc>
          <w:tcPr>
            <w:tcW w:w="340" w:type="dxa"/>
            <w:vAlign w:val="bottom"/>
          </w:tcPr>
          <w:p>
            <w:pPr>
              <w:spacing w:after="0"/>
              <w:rPr>
                <w:sz w:val="17"/>
                <w:szCs w:val="17"/>
                <w:color w:val="auto"/>
              </w:rPr>
            </w:pPr>
          </w:p>
        </w:tc>
        <w:tc>
          <w:tcPr>
            <w:tcW w:w="16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Q4 2023 Plan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28, 2023</w:t>
            </w:r>
          </w:p>
        </w:tc>
        <w:tc>
          <w:tcPr>
            <w:tcW w:w="30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3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30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February 3, 2024</w:t>
            </w:r>
          </w:p>
        </w:tc>
        <w:tc>
          <w:tcPr>
            <w:tcW w:w="3040" w:type="dxa"/>
            <w:vAlign w:val="bottom"/>
          </w:tcPr>
          <w:p>
            <w:pPr>
              <w:spacing w:after="0"/>
              <w:rPr>
                <w:sz w:val="17"/>
                <w:szCs w:val="17"/>
                <w:color w:val="auto"/>
              </w:rPr>
            </w:pPr>
          </w:p>
        </w:tc>
        <w:tc>
          <w:tcPr>
            <w:tcW w:w="740" w:type="dxa"/>
            <w:vAlign w:val="bottom"/>
            <w:tcBorders>
              <w:bottom w:val="single" w:sz="8" w:color="auto"/>
            </w:tcBorders>
          </w:tcPr>
          <w:p>
            <w:pPr>
              <w:jc w:val="right"/>
              <w:ind w:right="55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32,561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35,410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30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1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78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Borders>
              <w:top w:val="single" w:sz="8" w:color="CCEEFF"/>
            </w:tcBorders>
            <w:vMerge w:val="continue"/>
          </w:tcPr>
          <w:p>
            <w:pPr>
              <w:spacing w:after="0"/>
              <w:rPr>
                <w:sz w:val="17"/>
                <w:szCs w:val="17"/>
                <w:color w:val="auto"/>
              </w:rPr>
            </w:pPr>
          </w:p>
        </w:tc>
        <w:tc>
          <w:tcPr>
            <w:tcW w:w="4160" w:type="dxa"/>
            <w:vAlign w:val="bottom"/>
            <w:tcBorders>
              <w:top w:val="single" w:sz="8" w:color="CCEEFF"/>
            </w:tcBorders>
            <w:gridSpan w:val="2"/>
            <w:vMerge w:val="continue"/>
          </w:tcPr>
          <w:p>
            <w:pPr>
              <w:spacing w:after="0"/>
              <w:rPr>
                <w:sz w:val="17"/>
                <w:szCs w:val="17"/>
                <w:color w:val="auto"/>
              </w:rPr>
            </w:pPr>
          </w:p>
        </w:tc>
        <w:tc>
          <w:tcPr>
            <w:tcW w:w="30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54"/>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23,136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4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March 17, 2022, Walter E. Ryan and Ryan Asset Management, LLC, purported stockholders of Maxim Integrated Products, Inc. (Maxim), filed a putative class action in the Court of Chancery of the State of Delaware (C.A. No. 2022—0255) against the Company and the former directors of Maxim. The complaint alleges breaches of fiduciary duties by the individual defendants in connection with Maxim’s agreement, as part of the merger negotiations with the Company, to suspend Maxim dividends for up to four quarters prior to the closing of the Company's acquisition of Maxim. The complaint further alleges that the Company aided and abetted those alleged breaches of fiduciary duties. The plaintiffs seek damages in an amount to be determined at trial, plaintiffs’ costs and disbursements, including reasonable attorneys’ and experts’ fees, costs and other expenses. On May 2, 2023, the Court of Chancery entered an order dismissing the action in its entirety and with prejudice. On May 9, 2023, the plaintiffs filed a Motion for Reargument, which the Court denied on May 30, 2023. On June 21, 2023, the plaintiffs filed a Notice of Appeal to the Delaware Supreme Court. The appeal is fully briefed, and the Delaware Supreme Court heard argument on February 14, 2024. The Company believes that it and the other defendants have meritorious arguments in response to the appeal and defenses to the underlying allegations; however, the Company is currently unable to determine the ultimate outcome of this matter or determine an estimate, or a range of estimates, of potential losses, if 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73"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1,196,832</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1,740,780</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739,158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680,637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302,573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477,266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274,141</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350,947</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2,512,704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3,249,630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2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Borders>
              <w:bottom w:val="single" w:sz="8" w:color="auto"/>
            </w:tcBorders>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1,535,210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2,011,323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939,975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1,195,534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37,519</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2,512,704</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3,249,630</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60" w:hanging="134"/>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individual percentages may not equal the total due to rounding.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Recurring Basis</w:t>
      </w:r>
    </w:p>
    <w:p>
      <w:pPr>
        <w:spacing w:after="0" w:line="175" w:lineRule="exact"/>
        <w:rPr>
          <w:sz w:val="20"/>
          <w:szCs w:val="20"/>
          <w:color w:val="auto"/>
        </w:rPr>
      </w:pPr>
    </w:p>
    <w:p>
      <w:pPr>
        <w:ind w:right="60" w:firstLine="445"/>
        <w:spacing w:after="0" w:line="260" w:lineRule="auto"/>
        <w:rPr>
          <w:sz w:val="20"/>
          <w:szCs w:val="20"/>
          <w:color w:val="auto"/>
        </w:rPr>
      </w:pPr>
      <w:r>
        <w:rPr>
          <w:rFonts w:ascii="Times New Roman" w:cs="Times New Roman" w:eastAsia="Times New Roman" w:hAnsi="Times New Roman"/>
          <w:sz w:val="18"/>
          <w:szCs w:val="18"/>
          <w:color w:val="auto"/>
        </w:rPr>
        <w:t>The tables below, set forth by level, present the Company’s financial assets and liabilities, excluding accrued interest components that were accounted for at fair value on a recurring basis as of February 3, 2024 and October 28, 2023. The tables exclude cash on hand and assets and liabilities that are measured at historical cost or any basis other than fair value. As of February 3, 2024 and October 28, 2023, the Company held $721.4 million and $642.1 million, respectively, of cash that is excluded from the tables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5"/>
                <w:szCs w:val="15"/>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512,453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69,755</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89,267</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675,519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(3)</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February 3, 2024 was $69.8 million.</w:t>
      </w:r>
    </w:p>
    <w:p>
      <w:pPr>
        <w:spacing w:after="0" w:line="27"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315,980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315,980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78,246</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394,226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396,166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derivatives (2)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81,602</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95,117</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95,117</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60" w:right="360" w:hanging="328"/>
        <w:spacing w:after="0" w:line="26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60" w:hanging="328"/>
        <w:spacing w:after="0" w:line="255"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Recorded at Fair Value on a Recurring Basis</w:t>
      </w:r>
    </w:p>
    <w:p>
      <w:pPr>
        <w:spacing w:after="0" w:line="135" w:lineRule="exact"/>
        <w:rPr>
          <w:sz w:val="20"/>
          <w:szCs w:val="20"/>
          <w:color w:val="auto"/>
        </w:rPr>
      </w:pPr>
    </w:p>
    <w:p>
      <w:pPr>
        <w:ind w:right="40" w:firstLine="405"/>
        <w:spacing w:after="0" w:line="260" w:lineRule="auto"/>
        <w:rPr>
          <w:sz w:val="20"/>
          <w:szCs w:val="20"/>
          <w:color w:val="auto"/>
        </w:rPr>
      </w:pPr>
      <w:r>
        <w:rPr>
          <w:rFonts w:ascii="Times New Roman" w:cs="Times New Roman" w:eastAsia="Times New Roman" w:hAnsi="Times New Roman"/>
          <w:sz w:val="18"/>
          <w:szCs w:val="18"/>
          <w:color w:val="auto"/>
        </w:rPr>
        <w:t>The table below presents the estimated fair values of certain financial instruments not recorded at fair value on a recurring basis. Given the short tenure of the Company's commercial paper notes, the carrying value of the outstanding commercial paper notes approximates the fair values, and therefore, are excluded from the table below ($544.4 million and $547.2 million as of February 3, 2024 and October 28, 2023, respectively). The fair values of the senior unsecured notes are obtained from broker prices and are classified as Level 1 measurements according to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60" w:type="dxa"/>
            <w:vAlign w:val="bottom"/>
          </w:tcPr>
          <w:p>
            <w:pPr>
              <w:spacing w:after="0"/>
              <w:rPr>
                <w:sz w:val="16"/>
                <w:szCs w:val="16"/>
                <w:color w:val="auto"/>
              </w:rPr>
            </w:pPr>
          </w:p>
        </w:tc>
        <w:tc>
          <w:tcPr>
            <w:tcW w:w="30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4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senior unsecured notes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6,517,077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5,654,379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6,517,077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9 – Derivatives</w:t>
      </w:r>
    </w:p>
    <w:p>
      <w:pPr>
        <w:spacing w:after="0" w:line="173"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total notional amounts of forward foreign currency derivative instruments designated as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of cash flow hedges denominated in Euros, British Pounds, Philippine Pesos, Thai Baht, South Korean Won and Japanese Yen as of February 3, 2024 and October 28, 2023 were $292.7 million and $322.6 million, respectively. The fair values of forward foreign currency derivative instruments designated as hedging instruments in the Company’s Condensed Consolidated Balance Sheets as of February 3, 2024 and October 28, 2023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8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firstLine="445"/>
        <w:spacing w:after="0" w:line="263" w:lineRule="auto"/>
        <w:rPr>
          <w:sz w:val="20"/>
          <w:szCs w:val="20"/>
          <w:color w:val="auto"/>
        </w:rPr>
      </w:pPr>
      <w:r>
        <w:rPr>
          <w:rFonts w:ascii="Times New Roman" w:cs="Times New Roman" w:eastAsia="Times New Roman" w:hAnsi="Times New Roman"/>
          <w:sz w:val="18"/>
          <w:szCs w:val="18"/>
          <w:color w:val="auto"/>
        </w:rPr>
        <w:t>As of February 3, 2024 and October 28, 2023, the total notional amounts of undesignated hedges related to forward foreign currency exchange contracts were $293.1 million and $334.7 million, respectively. The fair values of undesignated hedges in the Company’s Condensed Consolidated Balance Sheets as of February 3, 2024 and October 28, 2023 were as follows:</w:t>
      </w:r>
    </w:p>
    <w:p>
      <w:pPr>
        <w:spacing w:after="0" w:line="2"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Fair Value At</w:t>
      </w:r>
    </w:p>
    <w:p>
      <w:pPr>
        <w:sectPr>
          <w:pgSz w:w="11900" w:h="16838" w:orient="portrait"/>
          <w:cols w:equalWidth="0" w:num="1">
            <w:col w:w="11240"/>
          </w:cols>
          <w:pgMar w:left="320" w:top="1184" w:right="339" w:bottom="1440" w:gutter="0" w:footer="0" w:header="0"/>
        </w:sectPr>
      </w:pPr>
    </w:p>
    <w:p>
      <w:pPr>
        <w:spacing w:after="0" w:line="264"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October 28, 2023</w:t>
            </w:r>
          </w:p>
        </w:tc>
      </w:tr>
      <w:tr>
        <w:trPr>
          <w:trHeight w:val="405"/>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418"/>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-530860</wp:posOffset>
            </wp:positionV>
            <wp:extent cx="708914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26543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3460" w:space="620"/>
            <w:col w:w="7160"/>
          </w:cols>
          <w:pgMar w:left="320" w:top="1184" w:right="339" w:bottom="1440" w:gutter="0" w:footer="0" w:header="0"/>
          <w:type w:val="continuous"/>
        </w:sectPr>
      </w:pPr>
    </w:p>
    <w:p>
      <w:pPr>
        <w:ind w:right="20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 does not consider the risk of counterparty default to be significant. The gain or loss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interest rate swap transactions attributable to the hedged benchmark interest rate risk and the offsetting gain or loss on the related interest rate swaps were recorded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Gain on Note</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37,074</w:t>
            </w:r>
          </w:p>
        </w:tc>
      </w:tr>
    </w:tbl>
    <w:p>
      <w:pPr>
        <w:spacing w:after="0" w:line="238"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in these Notes to Condensed Consolidated Financial Statements for further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February 3, 2024 and October 28, 2023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60" w:type="dxa"/>
            <w:vAlign w:val="bottom"/>
          </w:tcPr>
          <w:p>
            <w:pPr>
              <w:spacing w:after="0"/>
              <w:rPr>
                <w:sz w:val="16"/>
                <w:szCs w:val="16"/>
                <w:color w:val="auto"/>
              </w:rPr>
            </w:pPr>
          </w:p>
        </w:tc>
        <w:tc>
          <w:tcPr>
            <w:tcW w:w="16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October 28, 2023</w:t>
            </w:r>
          </w:p>
        </w:tc>
      </w:tr>
      <w:tr>
        <w:trPr>
          <w:trHeight w:val="2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128,142</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1,125,819</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388,253</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1,553,221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1,642,214</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9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Company’s effective tax rates for the three-month periods ended February 3, 2024 and January 28, 2023 were below the U.S. statutory tax rate of 21.0%, due to lower statutory tax rates applicable to the Company's operations in the foreign jurisdictions in which it earns income. The Company's effective tax rate also includes the effects of the mandatory capitalization and amortization of research and development expenses which began in fiscal 2023 under the Tax Cuts and Jobs Act of 2017. The mandatory capitalization requirement decreases the Company's effective tax rate primarily by increasing the foreign-derived intangible income deduction.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12" w:name="page13"/>
    <w:bookmarkEnd w:id="12"/>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balance of gross unrealized tax benefits, including accrued interest and penalties, could decrease by as much as approximately $136.0 million within the next twelve months due to the completion of tax audits, including any administrative appeals.</w:t>
      </w:r>
    </w:p>
    <w:p>
      <w:pPr>
        <w:spacing w:after="0" w:line="27"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has numerous audits ongoing throughout the world including: an IRS income tax audit for the fiscal years ended November 2, 2019 and November 3, 2018; a pre-acquisition IRS income tax audit for Maxim's fiscal years ended June 27, 2015 through August 26, 2021; various U.S. state and local audits and international audits, including an Irish corporate tax audit for the fiscal year ended November 2, 2019. The Company's U.S. federal income tax returns prior to the fiscal year ended November 3, 2018 are no longer subject to examination, except for the applicable Maxim pre-acquisition fiscal years noted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Acquired Contract Assets and Contract Liabilities</w:t>
      </w:r>
    </w:p>
    <w:p>
      <w:pPr>
        <w:spacing w:after="0" w:line="10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Accounting Standards Update (ASU)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805): Accounting for Acquired Contract Assets and Contract Liabilities</w:t>
      </w:r>
      <w:r>
        <w:rPr>
          <w:rFonts w:ascii="Times New Roman" w:cs="Times New Roman" w:eastAsia="Times New Roman" w:hAnsi="Times New Roman"/>
          <w:sz w:val="18"/>
          <w:szCs w:val="18"/>
          <w:color w:val="auto"/>
        </w:rPr>
        <w:t>. Under this guidance (ASC 805-20-30-28), the acquirer should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what contract assets and/or contract liabilities it would have recorded under ASC 606 (the revenue guidance) as of the acquisition date, as if the acquirer had entered into the original contract at the same date and on the same terms as the acquiree. The recognition and measurement of those contract assets and contract liabilities will likely be comparable to what the acquiree has recorded on its books under ASC 606 as of the acquisition date. ASU 2021-08 is effective for fiscal years beginning after December 15, 2022, including interim periods within those fiscal years. The Company adopted ASU 2021-08 in the first quarter of fiscal 2024. Upon adoption, ASU 2021-08 did not have a material impact on the Company's financial position and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enhances the disclosure requirements for reportable segments. ASU 2023-07 requires segment disclosure to include significant segment expense categories and amounts, and qualitative detail of other segment items. Disclosure of multiple measures of segment profit and loss may also be reported. ASU 2023-07 is effective for fiscal years beginning after December 15, 2023, and interim periods within fiscal years beginning after December 15, 2024, with early adoption permitted. The Company is currently evaluating the impact, if any, adoption will have on its financial position and results of operations.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the disaggregation of information in existing income tax disclosures related to the effective tax rate reconciliation and income taxes paid. ASU 2023-09 is effective for fiscal years beginning after December 15, 2024, with early adoption permitted. The Company is currently evaluating the impact, if any, adoption will have on its financial position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175"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On February 20, 2024, the Board of Directors of the Company declared a cash dividend of $0.92 per outstanding share of common stock. The dividend will be paid on March 15, 2024 to all shareholders of record at the close of business on March 5, 2024 and is expected to total approximately $456.2 million.</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13" w:name="page14"/>
    <w:bookmarkEnd w:id="13"/>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28, 2023 (fiscal 2023).</w:t>
      </w:r>
    </w:p>
    <w:p>
      <w:pPr>
        <w:spacing w:after="0" w:line="122"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In addition, any statements that refer to projections regarding our future financial performance or results;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the anticipated result of litigation matters; our plans to pay dividends or repurchase stock; servicing our outstanding debt; our plans to borrow under our third amended and restated revolving credit agreement, as amended, and issue notes under our commercial paper program and the planned use of proceeds from such borrowing and issuing; our expected tax rate; expected cost savings; the effect of new accounting pronouncements; our plans to integrate or realize the benefits or synergies expected of acquired businesses and technologies; our Global Repositioning Actions and Q4 2023 Plan; and other characterizations of future events or circumstances are forward-looking statements. Our actual results could differ materially from those anticipated in these forward-looking statements as a result of various factors.</w:t>
      </w:r>
    </w:p>
    <w:p>
      <w:pPr>
        <w:spacing w:after="0" w:line="139"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results to differ materially from those described in the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unanticipated difficulties or expenditures relating to integrating Maxim; the discretion of our board of directors to declare dividends and our ability to pay dividends in the future; factors impacting our ability to repurchase shares; and uncertainty as to the long-term value of our common stock. Additional factors that could cause actual results to differ materially from those in these forward-looking statements include the risk factors included in Part I, Item 1A, “Risk Factors” of our Annual Report on Form 10-K for fiscal 2023. We undertake no obligation to revise or update any forward-looking statements, including to reflect events or circumstances occurring after the date of the filing of this report, except to the extent required by law.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 and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2,512,704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3,249,630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(736,926)</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462,727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961,474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(498,747)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864"/>
        </w:trPr>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center"/>
              <w:ind w:left="1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0" w:type="dxa"/>
            <w:vAlign w:val="bottom"/>
          </w:tcPr>
          <w:p>
            <w:pPr>
              <w:spacing w:after="0"/>
              <w:rPr>
                <w:sz w:val="1"/>
                <w:szCs w:val="1"/>
                <w:color w:val="auto"/>
              </w:rPr>
            </w:pPr>
          </w:p>
        </w:tc>
      </w:tr>
      <w:tr>
        <w:trPr>
          <w:trHeight w:val="137"/>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478"/>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24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60" w:type="dxa"/>
            <w:vAlign w:val="bottom"/>
          </w:tcPr>
          <w:p>
            <w:pPr>
              <w:jc w:val="right"/>
              <w:ind w:right="495"/>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1,196,832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1,740,780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739,158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680,637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477,266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274,141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350,947</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1"/>
        </w:trPr>
        <w:tc>
          <w:tcPr>
            <w:tcW w:w="42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2,512,704</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3,249,630</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12"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Revenue decreased 23% in the three-month period ended February 3, 2024 as compared to the same period of the prior fiscal year, primarily as a result of broad-based decline in demand for our products, partially offset by increased demand in the Automotive end market, namely in cabin electronics, as well as an additional week of operations in the first quarter of fiscal 2024 as compared to the first quarter of fiscal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8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300" w:type="dxa"/>
            <w:vAlign w:val="bottom"/>
          </w:tcPr>
          <w:p>
            <w:pPr>
              <w:spacing w:after="0"/>
              <w:rPr>
                <w:sz w:val="16"/>
                <w:szCs w:val="16"/>
                <w:color w:val="auto"/>
              </w:rPr>
            </w:pPr>
          </w:p>
        </w:tc>
        <w:tc>
          <w:tcPr>
            <w:tcW w:w="3020" w:type="dxa"/>
            <w:vAlign w:val="bottom"/>
            <w:gridSpan w:val="3"/>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1,535,210</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2,011,323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939,975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1,195,534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37,519</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42,773</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1"/>
        </w:trPr>
        <w:tc>
          <w:tcPr>
            <w:tcW w:w="45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2,512,704</w:t>
            </w: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3,249,630</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52"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As indicated in the table above, the percentage of total revenue sold via each channel has remained relatively consistent in the periods presented, but can fluctuate from time to time based on end customer demand.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1,473,941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2,124,341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(650,400)</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33"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Gross margin percentage decreased by 670 basis points in the three-month period ended February 3, 2024, as compared to the same period of the prior fiscal year, primarily due to lower utilization of our factories due to decreased customer demand and unfavorable product mix.</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391,427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414,095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expenses as a % of revenue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33"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R&amp;D expenses decreased in the three-month period ended February 3, 2024, as compared to the same period of the prior fiscal year. The decrease was primarily as a result of lower R&amp;D employee-related variable compensation expenses, partially offset by higher salary and benefit expenses, as well as an additional week of operations in the first quarter of fiscal 2024 as compared to the first quarter of fiscal 2023.</w:t>
      </w:r>
    </w:p>
    <w:p>
      <w:pPr>
        <w:spacing w:after="0" w:line="12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SMG&amp;A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290,078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326,284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(36,206)</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SMG&amp;A expenses as a % of revenue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20"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SMG&amp;A expenses decreased in the three-month period ended February 3, 2024, as compared to the same period of the prior fiscal year, primarily as a result of lower SMG&amp;A employee-related variable compensation expenses and discretionary spending, partially offset by higher salary and benefit expenses, as well as an additional week of operations in the first quarter of fiscal 2024 as compared to the first quarter of fiscal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3"/>
        </w:trPr>
        <w:tc>
          <w:tcPr>
            <w:tcW w:w="6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190,332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253,142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(62,810)</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expenses as a % of revenue</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33"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Amortization expenses decreased in the three-month period ended February 3, 2024, as compared to the same period of the prior fiscal year as a result of a portion of our acquired intangible assets becoming fully amortized during fiscal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r>
      <w:tr>
        <w:trPr>
          <w:trHeight w:val="23"/>
        </w:trPr>
        <w:tc>
          <w:tcPr>
            <w:tcW w:w="6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16,140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charges, net as a % of revenue</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33"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Special charges, net increased in the three-month period ended February 3, 2024, as compared to the same period of the prior fiscal year, primarily as a result of the charges recorded for our plan, committed to during fiscal 2023, to reorganize our business (the Q4 2023 Plan). The Q4 2023 Plan, consisting of voluntary and involuntary reductions-in-force, and other cost-savings initiatives, was commenced to adjust our cost structure and business activities to better align with weaker market demand and continued economic uncertainty in our end markets, as well as make certain strategic shifts in our workforce necessary to achieve our long-term vision.</w:t>
      </w:r>
    </w:p>
    <w:p>
      <w:pPr>
        <w:spacing w:after="0" w:line="127" w:lineRule="exact"/>
        <w:rPr>
          <w:sz w:val="20"/>
          <w:szCs w:val="20"/>
          <w:color w:val="auto"/>
        </w:rPr>
      </w:pPr>
    </w:p>
    <w:p>
      <w:pPr>
        <w:ind w:right="24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Special Charges, Net</w:t>
      </w:r>
      <w:r>
        <w:rPr>
          <w:rFonts w:ascii="Times New Roman" w:cs="Times New Roman" w:eastAsia="Times New Roman" w:hAnsi="Times New Roman"/>
          <w:sz w:val="18"/>
          <w:szCs w:val="18"/>
          <w:color w:val="auto"/>
        </w:rPr>
        <w:t>, in the Notes to Condensed Consolidated Financial Statements in Part I, Item 1 of this Quarterly Report on Form 10-Q for further discussion.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4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585,964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1,130,820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(544,856)</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20"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year-over-year decrease in operating income in the three-month period ended February 3, 2024 was primarily the result of a decrease in revenue, which contributed to a decrease in gross margin of $650.4 million, and an increase of $16.1 million in special charges, net, partially offset by decreases of $62.8 million in amortization expenses, $36.2 million in SMG&amp;A expenses and $22.7 million in R&amp;D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4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00" w:type="dxa"/>
            <w:vAlign w:val="bottom"/>
          </w:tcPr>
          <w:p>
            <w:pPr>
              <w:spacing w:after="0"/>
              <w:rPr>
                <w:sz w:val="16"/>
                <w:szCs w:val="16"/>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w:t>
            </w:r>
          </w:p>
        </w:tc>
      </w:tr>
    </w:tbl>
    <w:p>
      <w:pPr>
        <w:spacing w:after="0" w:line="23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year-over-year increase in nonoperating expense (income) in the three-month period ended February 3, 2024 as compared to the same period of the prior fiscal year was primarily the result of higher interest expense related to our commercial paper obligations and higher interest rates on certain of our existing debt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50,691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111,999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(61,308)</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3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three-month periods ended February 3, 2024 and January 28, 2023 were below the U.S. statutory tax rate of 21% due to lower statutory tax rates applicable to our operations in the foreign jurisdictions in which we earn income. Our pretax income for the three-month periods ended February 3, 2024 and January 28, 2023 was primarily generated in Ireland at a tax rate of 12.5%.</w:t>
      </w:r>
    </w:p>
    <w:p>
      <w:pPr>
        <w:spacing w:after="0" w:line="120" w:lineRule="exact"/>
        <w:rPr>
          <w:sz w:val="20"/>
          <w:szCs w:val="20"/>
          <w:color w:val="auto"/>
        </w:rPr>
      </w:pPr>
    </w:p>
    <w:p>
      <w:pPr>
        <w:ind w:right="4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Condensed Consolidated Financial Statements in Part I, Item 1 of this Quarterly Report on Form 10-Q for further discussion.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462,727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961,474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(498,747)</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decreased in the three-month period ended February 3, 2024, as compared to the same period of the prior fiscal year as the result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$544.9 million decrease in operating income and a $15.2 million increase in nonoperating expense (income), partially offset by a $61.3 million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At February 3, 2024, our principal source of liquidity was $1.3 billion of cash and cash equivalents, of which approximately $597.8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and cash equivalents consist of highly liquid investments with maturities of three months or less, including money market funds. We maintain these balances with counterparties with high credit ratings, and continually monitor the amount of credit exposure to any one issuer and diversify our investments in order to minimize our credit risk.</w:t>
      </w:r>
    </w:p>
    <w:p>
      <w:pPr>
        <w:spacing w:after="0" w:line="81" w:lineRule="exact"/>
        <w:rPr>
          <w:sz w:val="20"/>
          <w:szCs w:val="20"/>
          <w:color w:val="auto"/>
        </w:rPr>
      </w:pPr>
    </w:p>
    <w:p>
      <w:pPr>
        <w:ind w:right="38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60" w:type="dxa"/>
            <w:vAlign w:val="bottom"/>
          </w:tcPr>
          <w:p>
            <w:pPr>
              <w:spacing w:after="0"/>
              <w:rPr>
                <w:sz w:val="16"/>
                <w:szCs w:val="16"/>
                <w:color w:val="auto"/>
              </w:rPr>
            </w:pPr>
          </w:p>
        </w:tc>
        <w:tc>
          <w:tcPr>
            <w:tcW w:w="16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1,138,832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1,406,305</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(219,101)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(176,056)</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(574,232)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(1,030,359)</w:t>
            </w:r>
          </w:p>
        </w:tc>
      </w:tr>
    </w:tbl>
    <w:p>
      <w:pPr>
        <w:spacing w:after="0" w:line="17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in the three-month period ended February 3, 2024 as compared to the same period in fiscal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operating assets and liabilities. The decrease in cash provided by operating activities during the three-month period ended February 3, 2024, as compared to the same period of the prior fiscal year, was mainly the result of lower net income adjusted for noncash items offset by changes in working capital.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Investing cash flows generally consist of capital expenditures and cash used for acquisitions. The increase in cash used for investing activities during the three-month period ended February 3, 2024, as compared to the same period of the prior fiscal year, was primarily the result of an increase in cash used for capital expenditures.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Financing cash flows generally consist of payments of dividends to stockholders, repurchases of common stock, issuance and repayment of debt and proceeds from the sale of shares of common stock pursuant to employee equity incentive plans. The decrease in cash used for financing activities during the three-month period ended February 3, 2024, as compared to the same period of the prior fiscal year, was primarily the result of lower common stock repurchases, partially offset by higher dividend payments.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240" w:hanging="332"/>
        <w:spacing w:after="0" w:line="293"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quarter and prior quarter ending net accounts receivable and ending inventory balance in our calculation of days sales outstanding and days cost of sales in inventory, respectively. The first quarter of fiscal 2024 included an additional week of operations as compared to the first quarter of 2023.</w:t>
      </w:r>
    </w:p>
    <w:p>
      <w:pPr>
        <w:spacing w:after="0" w:line="42"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decrease in accounts receivable in dollars was primarily the result of variations in the timing of collections and billings and decreased revenue levels in the first quarter of fiscal 2024 as compared to the fourth quarter of fiscal 2023.</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8" w:name="page19"/>
    <w:bookmarkEnd w:id="18"/>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Inventory decreased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54"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decreased to $2,923.4 million at February 3, 2024 as compared to $3,201.0 million at the end of fiscal 2023 due to lower accrued liabilities and accounts payable, partially offset by higher income taxes payable.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February 3, 2024,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41"/>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5"/>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notes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544,444</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7,061,521</w:t>
            </w:r>
          </w:p>
        </w:tc>
      </w:tr>
      <w:tr>
        <w:trPr>
          <w:trHeight w:val="21"/>
        </w:trPr>
        <w:tc>
          <w:tcPr>
            <w:tcW w:w="40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February 3, 2024, we were in compliance with these covenants.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9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Under our commercial paper program, we may issue short-term, unsecured commercial paper notes in amounts up to a maximum aggregate face amount of $2.5 billion outstanding at any time, with maturities of up to 397 days from the date of issuance. As of February 3, 2024, we had $544.4 million of outstanding borrowings under the commercial paper program recorded in the Condensed Consolidated Balance Sheet. We use the net proceeds of the commercial paper program for general corporate purposes, including without limitation, repayment of indebtedness, stock repurchases, acquisitions, capital expenditures and working capital.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Our Third Amended and Restated Revolving Credit Agreement, dated as of June 23, 2021 and as amended (Revolving Credit Agreement), provides for a five year unsecured revolving credit facility in an aggregate principal amount not to exceed $2.5 billion (subject to certain terms and conditions).</w:t>
      </w:r>
    </w:p>
    <w:p>
      <w:pPr>
        <w:spacing w:after="0" w:line="54"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February 3, 2024, we were in compliance with these covenants.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60" w:firstLine="405"/>
        <w:spacing w:after="0" w:line="274" w:lineRule="auto"/>
        <w:rPr>
          <w:sz w:val="20"/>
          <w:szCs w:val="20"/>
          <w:color w:val="auto"/>
        </w:rPr>
      </w:pPr>
      <w:r>
        <w:rPr>
          <w:rFonts w:ascii="Times New Roman" w:cs="Times New Roman" w:eastAsia="Times New Roman" w:hAnsi="Times New Roman"/>
          <w:sz w:val="17"/>
          <w:szCs w:val="17"/>
          <w:color w:val="auto"/>
        </w:rPr>
        <w:t>In the aggregate, our Board of Directors has authorized us to repurchase $16.7 billion of our common stock under our common stock repurchase program. Unless terminated earlier by resolution of our Board of Directors, the repurchase program will expire when we have repurchased all shares authorized under the program. As of February 3, 2024, an additional $2.0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as well as for our employee stock purchase plan. Future repurchases of common stock will be dependent upon our financial position, results of operations, outlook, liquidity and other factors we deem relevant.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06"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Net additions to property, plant and equipment were $223.0 million in the first three months of fiscal 2024. We expect capital expenditures for fiscal 2024 to be between approximately $600 million and $800 million. These capital expenditures will be funded with a combination of cash on hand and cash expected to be generated from future operations, together with existing and anticipated available short- and long-term financing.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February 20, 2024, our Board of Directors declared a cash dividend of $0.92 per outstanding share of common stock. The dividend will be paid on March 15, 2024 to all shareholders of record at the close of business on March 5, 2024 and is expected to total approximately $456.2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8" w:right="399" w:bottom="1440" w:gutter="0" w:footer="0" w:header="0"/>
        </w:sectPr>
      </w:pPr>
    </w:p>
    <w:bookmarkStart w:id="20" w:name="page21"/>
    <w:bookmarkEnd w:id="20"/>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340" w:firstLine="445"/>
        <w:spacing w:after="0" w:line="271" w:lineRule="auto"/>
        <w:rPr>
          <w:sz w:val="20"/>
          <w:szCs w:val="20"/>
          <w:color w:val="auto"/>
        </w:rPr>
      </w:pPr>
      <w:r>
        <w:rPr>
          <w:rFonts w:ascii="Times New Roman" w:cs="Times New Roman" w:eastAsia="Times New Roman" w:hAnsi="Times New Roman"/>
          <w:sz w:val="18"/>
          <w:szCs w:val="18"/>
          <w:color w:val="auto"/>
        </w:rPr>
        <w:t>There were no material changes in the three-month period ended February 3, 2024 to the information provided under Item 7A. “Quantitative and Qualitative Disclosures about Market Risk,” set forth in our Annual Report on Form 10-K for the fiscal year ended October 28, 2023</w:t>
      </w:r>
      <w:r>
        <w:rPr>
          <w:rFonts w:ascii="Times New Roman" w:cs="Times New Roman" w:eastAsia="Times New Roman" w:hAnsi="Times New Roman"/>
          <w:sz w:val="18"/>
          <w:szCs w:val="18"/>
          <w:color w:val="EE2724"/>
        </w:rPr>
        <w:t>.</w:t>
      </w:r>
    </w:p>
    <w:p>
      <w:pPr>
        <w:spacing w:after="0" w:line="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firstLine="8"/>
        <w:spacing w:after="0" w:line="253" w:lineRule="auto"/>
        <w:tabs>
          <w:tab w:leader="none" w:pos="2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February 3, 2024.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February 3, 2024, our Chief Executive Officer and Chief Financial Officer concluded that, as of such date, our disclosure controls and procedures were effective at the reasonable assurance level.</w:t>
      </w:r>
    </w:p>
    <w:p>
      <w:pPr>
        <w:spacing w:after="0" w:line="9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w:t>
      </w:r>
    </w:p>
    <w:p>
      <w:pPr>
        <w:spacing w:after="0" w:line="29" w:lineRule="exact"/>
        <w:rPr>
          <w:rFonts w:ascii="Times New Roman" w:cs="Times New Roman" w:eastAsia="Times New Roman" w:hAnsi="Times New Roman"/>
          <w:sz w:val="18"/>
          <w:szCs w:val="18"/>
          <w:color w:val="auto"/>
        </w:rPr>
      </w:pPr>
    </w:p>
    <w:p>
      <w:pPr>
        <w:ind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under the Exchange Act) occurred during the quarter ended February 3,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ind w:right="280" w:firstLine="445"/>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is provided in Note 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Condensed Consolidated Financial Statements in Part I, Item 1 of this Quarterly Report on Form 10-Q.</w:t>
      </w:r>
    </w:p>
    <w:p>
      <w:pPr>
        <w:spacing w:after="0" w:line="10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that could adversely affect our business, results of operations, financial condition and future prospects, including those identified in Part I, Item 1A, “Risk Factors” of our Annual Report on Form 10-K for the fiscal year ended October 28, 2023, which was filed with the Securities and Exchange Commission on November 21, 2023.</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29, 2023 through November 25, 2023</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1,994,312,494</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26, 2023 through December 30, 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1,963,312,783</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through February 3,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1,963,312,783</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1,963,312,783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40" w:hanging="328"/>
        <w:spacing w:after="0" w:line="261"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64,246 shares withheld by us from employees to satisfy employee tax obligations upon vesting of restricted stock units/awards granted to our employees under our equity compensation plans.</w:t>
      </w:r>
    </w:p>
    <w:p>
      <w:pPr>
        <w:ind w:left="660" w:right="160" w:hanging="328"/>
        <w:spacing w:after="0" w:line="250"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420" w:hanging="328"/>
        <w:spacing w:after="0" w:line="253"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37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adopted by our directors or officers during the first quarter of fiscal 2024 that are intended to satisfy the affirmative defense conditions of Rule 10b5-1(c) under the Exchange Act (Rule 10b5-1 trading arrangement).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Rule 10b5-1 Trading Arrangement</w:t>
            </w:r>
          </w:p>
        </w:tc>
        <w:tc>
          <w:tcPr>
            <w:tcW w:w="276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w:t>
            </w:r>
          </w:p>
        </w:tc>
        <w:tc>
          <w:tcPr>
            <w:tcW w:w="0" w:type="dxa"/>
            <w:vAlign w:val="bottom"/>
          </w:tcPr>
          <w:p>
            <w:pPr>
              <w:spacing w:after="0"/>
              <w:rPr>
                <w:sz w:val="1"/>
                <w:szCs w:val="1"/>
                <w:color w:val="auto"/>
              </w:rPr>
            </w:pPr>
          </w:p>
        </w:tc>
      </w:tr>
      <w:tr>
        <w:trPr>
          <w:trHeight w:val="195"/>
        </w:trPr>
        <w:tc>
          <w:tcPr>
            <w:tcW w:w="30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368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Purchased or Sold</w:t>
            </w:r>
          </w:p>
        </w:tc>
        <w:tc>
          <w:tcPr>
            <w:tcW w:w="0" w:type="dxa"/>
            <w:vAlign w:val="bottom"/>
          </w:tcPr>
          <w:p>
            <w:pPr>
              <w:spacing w:after="0"/>
              <w:rPr>
                <w:sz w:val="1"/>
                <w:szCs w:val="1"/>
                <w:color w:val="auto"/>
              </w:rPr>
            </w:pPr>
          </w:p>
        </w:tc>
      </w:tr>
      <w:tr>
        <w:trPr>
          <w:trHeight w:val="174"/>
        </w:trPr>
        <w:tc>
          <w:tcPr>
            <w:tcW w:w="30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James Mollica,</w:t>
            </w:r>
          </w:p>
        </w:tc>
        <w:tc>
          <w:tcPr>
            <w:tcW w:w="1800" w:type="dxa"/>
            <w:vAlign w:val="bottom"/>
            <w:shd w:val="clear" w:color="auto" w:fill="CCEEFF"/>
          </w:tcPr>
          <w:p>
            <w:pPr>
              <w:spacing w:after="0"/>
              <w:rPr>
                <w:sz w:val="15"/>
                <w:szCs w:val="15"/>
                <w:color w:val="auto"/>
              </w:rPr>
            </w:pPr>
          </w:p>
        </w:tc>
        <w:tc>
          <w:tcPr>
            <w:tcW w:w="3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Until June 28, 2024, or such earlier date upon</w:t>
            </w:r>
          </w:p>
        </w:tc>
        <w:tc>
          <w:tcPr>
            <w:tcW w:w="2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00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Vice President, Finance and Sales</w:t>
            </w:r>
          </w:p>
        </w:tc>
        <w:tc>
          <w:tcPr>
            <w:tcW w:w="1800" w:type="dxa"/>
            <w:vAlign w:val="bottom"/>
            <w:shd w:val="clear" w:color="auto" w:fill="CCEEFF"/>
          </w:tcPr>
          <w:p>
            <w:pPr>
              <w:spacing w:after="0"/>
              <w:rPr>
                <w:sz w:val="7"/>
                <w:szCs w:val="7"/>
                <w:color w:val="auto"/>
              </w:rPr>
            </w:pPr>
          </w:p>
        </w:tc>
        <w:tc>
          <w:tcPr>
            <w:tcW w:w="3680" w:type="dxa"/>
            <w:vAlign w:val="bottom"/>
            <w:vMerge w:val="continue"/>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000" w:type="dxa"/>
            <w:vAlign w:val="bottom"/>
            <w:vMerge w:val="continue"/>
            <w:shd w:val="clear" w:color="auto" w:fill="CCEEFF"/>
          </w:tcPr>
          <w:p>
            <w:pPr>
              <w:spacing w:after="0"/>
              <w:rPr>
                <w:sz w:val="8"/>
                <w:szCs w:val="8"/>
                <w:color w:val="auto"/>
              </w:rPr>
            </w:pPr>
          </w:p>
        </w:tc>
        <w:tc>
          <w:tcPr>
            <w:tcW w:w="180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November 28, 2023</w:t>
            </w:r>
          </w:p>
        </w:tc>
        <w:tc>
          <w:tcPr>
            <w:tcW w:w="368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which all transactions are completed or expire</w:t>
            </w:r>
          </w:p>
        </w:tc>
        <w:tc>
          <w:tcPr>
            <w:tcW w:w="276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Sale of up to 4,381 shares</w:t>
            </w:r>
          </w:p>
        </w:tc>
        <w:tc>
          <w:tcPr>
            <w:tcW w:w="0" w:type="dxa"/>
            <w:vAlign w:val="bottom"/>
          </w:tcPr>
          <w:p>
            <w:pPr>
              <w:spacing w:after="0"/>
              <w:rPr>
                <w:sz w:val="1"/>
                <w:szCs w:val="1"/>
                <w:color w:val="auto"/>
              </w:rPr>
            </w:pPr>
          </w:p>
        </w:tc>
      </w:tr>
      <w:tr>
        <w:trPr>
          <w:trHeight w:val="86"/>
        </w:trPr>
        <w:tc>
          <w:tcPr>
            <w:tcW w:w="300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Operations and former Interim Chief</w:t>
            </w:r>
          </w:p>
        </w:tc>
        <w:tc>
          <w:tcPr>
            <w:tcW w:w="1800" w:type="dxa"/>
            <w:vAlign w:val="bottom"/>
            <w:vMerge w:val="continue"/>
            <w:shd w:val="clear" w:color="auto" w:fill="CCEEFF"/>
          </w:tcPr>
          <w:p>
            <w:pPr>
              <w:spacing w:after="0"/>
              <w:rPr>
                <w:sz w:val="7"/>
                <w:szCs w:val="7"/>
                <w:color w:val="auto"/>
              </w:rPr>
            </w:pPr>
          </w:p>
        </w:tc>
        <w:tc>
          <w:tcPr>
            <w:tcW w:w="3680" w:type="dxa"/>
            <w:vAlign w:val="bottom"/>
            <w:vMerge w:val="continue"/>
            <w:shd w:val="clear" w:color="auto" w:fill="CCEEFF"/>
          </w:tcPr>
          <w:p>
            <w:pPr>
              <w:spacing w:after="0"/>
              <w:rPr>
                <w:sz w:val="7"/>
                <w:szCs w:val="7"/>
                <w:color w:val="auto"/>
              </w:rPr>
            </w:pPr>
          </w:p>
        </w:tc>
        <w:tc>
          <w:tcPr>
            <w:tcW w:w="27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0" w:type="dxa"/>
            <w:vAlign w:val="bottom"/>
            <w:vMerge w:val="continue"/>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3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without execution</w:t>
            </w:r>
          </w:p>
        </w:tc>
        <w:tc>
          <w:tcPr>
            <w:tcW w:w="2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Financial Officer</w:t>
            </w:r>
          </w:p>
        </w:tc>
        <w:tc>
          <w:tcPr>
            <w:tcW w:w="1800" w:type="dxa"/>
            <w:vAlign w:val="bottom"/>
            <w:shd w:val="clear" w:color="auto" w:fill="CCEEFF"/>
          </w:tcPr>
          <w:p>
            <w:pPr>
              <w:spacing w:after="0"/>
              <w:rPr>
                <w:sz w:val="12"/>
                <w:szCs w:val="12"/>
                <w:color w:val="auto"/>
              </w:rPr>
            </w:pPr>
          </w:p>
        </w:tc>
        <w:tc>
          <w:tcPr>
            <w:tcW w:w="3680" w:type="dxa"/>
            <w:vAlign w:val="bottom"/>
            <w:vMerge w:val="continue"/>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000" w:type="dxa"/>
            <w:vAlign w:val="bottom"/>
            <w:vMerge w:val="continue"/>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368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terminated a Rule 10b5-1 trading arrangement or adopted or terminated a non-Rule 10b5-1 trading arrangement (as defined in Item 408(c) of Regulation S-K) during the first quarter of fiscal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238"/>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00" w:type="dxa"/>
            <w:vAlign w:val="bottom"/>
            <w:gridSpan w:val="19"/>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 w:type="dxa"/>
            <w:vAlign w:val="bottom"/>
          </w:tcPr>
          <w:p>
            <w:pPr>
              <w:spacing w:after="0"/>
              <w:rPr>
                <w:sz w:val="24"/>
                <w:szCs w:val="24"/>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19"/>
                <w:szCs w:val="19"/>
                <w:color w:val="auto"/>
              </w:rPr>
            </w:pPr>
          </w:p>
        </w:tc>
        <w:tc>
          <w:tcPr>
            <w:tcW w:w="96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Form of Global Non-Qualified Stock Option Agreement for usage under the Company's Amended and Restated 1996 Stock Incentive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Plan adopted December 11, 2023.</w:t>
            </w:r>
          </w:p>
        </w:tc>
        <w:tc>
          <w:tcPr>
            <w:tcW w:w="7180" w:type="dxa"/>
            <w:vAlign w:val="bottom"/>
            <w:gridSpan w:val="15"/>
          </w:tcPr>
          <w:p>
            <w:pPr>
              <w:spacing w:after="0"/>
              <w:rPr>
                <w:sz w:val="14"/>
                <w:szCs w:val="14"/>
                <w:color w:val="auto"/>
              </w:rPr>
            </w:pPr>
          </w:p>
        </w:tc>
      </w:tr>
      <w:tr>
        <w:trPr>
          <w:trHeight w:val="21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Global Restricted Stock Unit Agreement for Employees for usage under the Company’s Amended and Restated 1996 Stock</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Incentive Plan adopted December 11, 2023.</w:t>
            </w:r>
          </w:p>
        </w:tc>
        <w:tc>
          <w:tcPr>
            <w:tcW w:w="636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Global Non-Qualified Stock Option Agreement for Employees for usage under the Company’s 2020 Equity Incentive Plan</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December 11, 2023.</w:t>
            </w:r>
          </w:p>
        </w:tc>
        <w:tc>
          <w:tcPr>
            <w:tcW w:w="7380" w:type="dxa"/>
            <w:vAlign w:val="bottom"/>
            <w:tcBorders>
              <w:top w:val="single" w:sz="8" w:color="0000FF"/>
            </w:tcBorders>
            <w:gridSpan w:val="1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Global Restricted Stock Unit Agreement for Employees for usage under the Company’s 2020 Equity Incentive Plan adopted</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December 11, 2023.</w:t>
            </w:r>
          </w:p>
        </w:tc>
        <w:tc>
          <w:tcPr>
            <w:tcW w:w="8120" w:type="dxa"/>
            <w:vAlign w:val="bottom"/>
            <w:tcBorders>
              <w:top w:val="single" w:sz="8" w:color="0000FF"/>
            </w:tcBorders>
            <w:gridSpan w:val="16"/>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for Non-Employee Directors for usage under the Company’s 2020 Equity Incentive Plan</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December 11, 2023.</w:t>
            </w:r>
          </w:p>
        </w:tc>
        <w:tc>
          <w:tcPr>
            <w:tcW w:w="7360" w:type="dxa"/>
            <w:vAlign w:val="bottom"/>
            <w:tcBorders>
              <w:top w:val="single" w:sz="8" w:color="0000FF"/>
            </w:tcBorders>
            <w:gridSpan w:val="11"/>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48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Financial Metric Performance Restricted Stock Unit Agreement for Employees for usage under the Company's 2020 Equity</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Incentive Plan adopted December 11, 2023.</w:t>
            </w:r>
          </w:p>
        </w:tc>
        <w:tc>
          <w:tcPr>
            <w:tcW w:w="6380" w:type="dxa"/>
            <w:vAlign w:val="bottom"/>
            <w:tcBorders>
              <w:top w:val="single" w:sz="8" w:color="0000FF"/>
            </w:tcBorders>
            <w:gridSpan w:val="1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1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48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Relative Total Shareholder Return Performance Restricted Stock Unit Agreement for Employees for usage under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2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Company's 2020 Equity Incentive Plan adopted December 11, 2023.</w:t>
            </w:r>
          </w:p>
        </w:tc>
        <w:tc>
          <w:tcPr>
            <w:tcW w:w="340" w:type="dxa"/>
            <w:vAlign w:val="bottom"/>
          </w:tcPr>
          <w:p>
            <w:pPr>
              <w:spacing w:after="0"/>
              <w:rPr>
                <w:sz w:val="14"/>
                <w:szCs w:val="14"/>
                <w:color w:val="auto"/>
              </w:rPr>
            </w:pPr>
          </w:p>
        </w:tc>
        <w:tc>
          <w:tcPr>
            <w:tcW w:w="260" w:type="dxa"/>
            <w:vAlign w:val="bottom"/>
            <w:gridSpan w:val="6"/>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tcPr>
          <w:p>
            <w:pPr>
              <w:spacing w:after="0"/>
              <w:rPr>
                <w:sz w:val="18"/>
                <w:szCs w:val="18"/>
                <w:color w:val="auto"/>
              </w:rPr>
            </w:pPr>
          </w:p>
        </w:tc>
        <w:tc>
          <w:tcPr>
            <w:tcW w:w="45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Offer Letter for Richard C. Puccio, Jr. dated January 17, 2024.</w:t>
            </w:r>
          </w:p>
        </w:tc>
        <w:tc>
          <w:tcPr>
            <w:tcW w:w="420" w:type="dxa"/>
            <w:vAlign w:val="bottom"/>
            <w:tcBorders>
              <w:top w:val="single" w:sz="8" w:color="0000FF"/>
            </w:tcBorders>
          </w:tcPr>
          <w:p>
            <w:pPr>
              <w:spacing w:after="0"/>
              <w:rPr>
                <w:sz w:val="18"/>
                <w:szCs w:val="18"/>
                <w:color w:val="auto"/>
              </w:rPr>
            </w:pPr>
          </w:p>
        </w:tc>
        <w:tc>
          <w:tcPr>
            <w:tcW w:w="4700" w:type="dxa"/>
            <w:vAlign w:val="bottom"/>
            <w:gridSpan w:val="10"/>
          </w:tcPr>
          <w:p>
            <w:pPr>
              <w:spacing w:after="0"/>
              <w:rPr>
                <w:sz w:val="18"/>
                <w:szCs w:val="18"/>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48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(Chief Executive Officer).</w:t>
            </w:r>
          </w:p>
        </w:tc>
        <w:tc>
          <w:tcPr>
            <w:tcW w:w="5360" w:type="dxa"/>
            <w:vAlign w:val="bottom"/>
            <w:tcBorders>
              <w:top w:val="single" w:sz="8" w:color="0000FF"/>
            </w:tcBorders>
            <w:gridSpan w:val="6"/>
          </w:tcPr>
          <w:p>
            <w:pPr>
              <w:spacing w:after="0"/>
              <w:rPr>
                <w:sz w:val="14"/>
                <w:szCs w:val="14"/>
                <w:color w:val="auto"/>
              </w:rPr>
            </w:pPr>
          </w:p>
        </w:tc>
        <w:tc>
          <w:tcPr>
            <w:tcW w:w="260" w:type="dxa"/>
            <w:vAlign w:val="bottom"/>
            <w:gridSpan w:val="6"/>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48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6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(Chief Financial Officer).</w:t>
            </w:r>
          </w:p>
        </w:tc>
        <w:tc>
          <w:tcPr>
            <w:tcW w:w="260" w:type="dxa"/>
            <w:vAlign w:val="bottom"/>
            <w:gridSpan w:val="6"/>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gridSpan w:val="5"/>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18"/>
                <w:szCs w:val="18"/>
                <w:color w:val="auto"/>
              </w:rPr>
            </w:pPr>
          </w:p>
        </w:tc>
        <w:tc>
          <w:tcPr>
            <w:tcW w:w="5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Executive Officer).</w:t>
            </w:r>
          </w:p>
        </w:tc>
        <w:tc>
          <w:tcPr>
            <w:tcW w:w="4160" w:type="dxa"/>
            <w:vAlign w:val="bottom"/>
            <w:gridSpan w:val="8"/>
          </w:tcPr>
          <w:p>
            <w:pPr>
              <w:spacing w:after="0"/>
              <w:rPr>
                <w:sz w:val="18"/>
                <w:szCs w:val="18"/>
                <w:color w:val="auto"/>
              </w:rPr>
            </w:pPr>
          </w:p>
        </w:tc>
      </w:tr>
      <w:tr>
        <w:trPr>
          <w:trHeight w:val="21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18"/>
                <w:szCs w:val="18"/>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Financial Officer).</w:t>
            </w: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0" w:type="dxa"/>
            <w:vAlign w:val="bottom"/>
            <w:gridSpan w:val="9"/>
            <w:shd w:val="clear" w:color="auto" w:fill="0000FF"/>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r>
      <w:tr>
        <w:trPr>
          <w:trHeight w:val="205"/>
        </w:trPr>
        <w:tc>
          <w:tcPr>
            <w:tcW w:w="106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101.INS</w:t>
            </w:r>
          </w:p>
        </w:tc>
        <w:tc>
          <w:tcPr>
            <w:tcW w:w="480" w:type="dxa"/>
            <w:vAlign w:val="bottom"/>
          </w:tcPr>
          <w:p>
            <w:pPr>
              <w:spacing w:after="0"/>
              <w:rPr>
                <w:sz w:val="17"/>
                <w:szCs w:val="17"/>
                <w:color w:val="auto"/>
              </w:rPr>
            </w:pPr>
          </w:p>
        </w:tc>
        <w:tc>
          <w:tcPr>
            <w:tcW w:w="962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r>
      <w:tr>
        <w:trPr>
          <w:trHeight w:val="230"/>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2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480" w:type="dxa"/>
            <w:vAlign w:val="bottom"/>
          </w:tcPr>
          <w:p>
            <w:pPr>
              <w:spacing w:after="0"/>
              <w:rPr>
                <w:sz w:val="19"/>
                <w:szCs w:val="19"/>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3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480" w:type="dxa"/>
            <w:vAlign w:val="bottom"/>
          </w:tcPr>
          <w:p>
            <w:pPr>
              <w:spacing w:after="0"/>
              <w:rPr>
                <w:sz w:val="19"/>
                <w:szCs w:val="19"/>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480" w:type="dxa"/>
            <w:vAlign w:val="bottom"/>
          </w:tcPr>
          <w:p>
            <w:pPr>
              <w:spacing w:after="0"/>
              <w:rPr>
                <w:sz w:val="19"/>
                <w:szCs w:val="19"/>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3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480" w:type="dxa"/>
            <w:vAlign w:val="bottom"/>
          </w:tcPr>
          <w:p>
            <w:pPr>
              <w:spacing w:after="0"/>
              <w:rPr>
                <w:sz w:val="19"/>
                <w:szCs w:val="19"/>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34"/>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480" w:type="dxa"/>
            <w:vAlign w:val="bottom"/>
          </w:tcPr>
          <w:p>
            <w:pPr>
              <w:spacing w:after="0"/>
              <w:rPr>
                <w:sz w:val="20"/>
                <w:szCs w:val="20"/>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ind w:left="1560" w:right="180" w:hanging="1140"/>
        <w:spacing w:after="0" w:line="242" w:lineRule="auto"/>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560" w:hanging="1050"/>
        <w:spacing w:after="0"/>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3" w:lineRule="exact"/>
        <w:rPr>
          <w:sz w:val="20"/>
          <w:szCs w:val="20"/>
          <w:color w:val="auto"/>
        </w:rPr>
      </w:pPr>
    </w:p>
    <w:p>
      <w:pPr>
        <w:ind w:left="1560" w:hanging="1050"/>
        <w:spacing w:after="0"/>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23" w:lineRule="exact"/>
        <w:rPr>
          <w:sz w:val="20"/>
          <w:szCs w:val="20"/>
          <w:color w:val="auto"/>
        </w:rPr>
      </w:pPr>
    </w:p>
    <w:p>
      <w:pPr>
        <w:ind w:left="1560" w:right="100" w:hanging="1050"/>
        <w:spacing w:after="0" w:line="222" w:lineRule="auto"/>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1560" w:hanging="1095"/>
        <w:spacing w:after="0"/>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Condensed Consolidated Statements of Income for the three months ended February 3, 2024 and January 28, 2023, (ii) Condensed Consolidated Statements of Comprehensive Income for the three months ended February 3, 2024 and January 28, 2023, (iii) Condensed Consolidated Balance Sheets at February 3, 2024 and October 28, 2023, (iv) Condensed Consolidated Statements of Shareholders' Equity for the three months ended February 3, 2024 and January 28, 2023,</w:t>
      </w:r>
    </w:p>
    <w:p>
      <w:pPr>
        <w:spacing w:after="0" w:line="3" w:lineRule="exact"/>
        <w:rPr>
          <w:sz w:val="20"/>
          <w:szCs w:val="20"/>
          <w:color w:val="auto"/>
        </w:rPr>
      </w:pPr>
    </w:p>
    <w:p>
      <w:pPr>
        <w:ind w:right="260" w:firstLine="8"/>
        <w:spacing w:after="0" w:line="26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three months ended February 3, 2024 and January 28, 2023 and (vi) Notes to Condensed Consolidated Financial Statements for the three months ended February 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24" w:name="page25"/>
    <w:bookmarkEnd w:id="2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76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9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2024</w:t>
            </w:r>
          </w:p>
        </w:tc>
        <w:tc>
          <w:tcPr>
            <w:tcW w:w="2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18"/>
        </w:trPr>
        <w:tc>
          <w:tcPr>
            <w:tcW w:w="3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29"/>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2024</w:t>
            </w:r>
          </w:p>
        </w:tc>
        <w:tc>
          <w:tcPr>
            <w:tcW w:w="2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Richard C. Puccio, Jr.</w:t>
            </w:r>
          </w:p>
        </w:tc>
      </w:tr>
      <w:tr>
        <w:trPr>
          <w:trHeight w:val="218"/>
        </w:trPr>
        <w:tc>
          <w:tcPr>
            <w:tcW w:w="3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C. Puccio, Jr.</w:t>
            </w:r>
          </w:p>
        </w:tc>
      </w:tr>
      <w:tr>
        <w:trPr>
          <w:trHeight w:val="230"/>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320" w:top="1008" w:right="659" w:bottom="1440" w:gutter="0" w:footer="0" w:header="0"/>
        </w:sectPr>
      </w:pPr>
    </w:p>
    <w:bookmarkStart w:id="25" w:name="page26"/>
    <w:bookmarkEnd w:id="25"/>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ind w:left="3400"/>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11" w:lineRule="auto"/>
        <w:rPr>
          <w:sz w:val="20"/>
          <w:szCs w:val="20"/>
          <w:color w:val="auto"/>
        </w:rPr>
      </w:pPr>
      <w:r>
        <w:rPr>
          <w:rFonts w:ascii="Times New Roman" w:cs="Times New Roman" w:eastAsia="Times New Roman" w:hAnsi="Times New Roman"/>
          <w:sz w:val="16"/>
          <w:szCs w:val="16"/>
          <w:color w:val="auto"/>
        </w:rPr>
        <w:t>Employee ID</w:t>
      </w:r>
    </w:p>
    <w:p>
      <w:pPr>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12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Amended and Restated 1996 Stock Incentive Plan (the “Plan”), and this Global Non-Qualified Stock Option Agreement, including Appendix A, which includes any applicable country-specific provisions. This Global Non-Qualified Stock Option Agreement, together with Appendix A, is referred to as the “Agreement.” The grant of this Option reflects the Company’s confidence in the Optionee’s commitment and contributions to the success and continued growth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terms not defined herein shall have the meanings assigned to such terms in the Plan.</w:t>
      </w:r>
    </w:p>
    <w:p>
      <w:pPr>
        <w:spacing w:after="0" w:line="140" w:lineRule="exact"/>
        <w:rPr>
          <w:sz w:val="20"/>
          <w:szCs w:val="20"/>
          <w:color w:val="auto"/>
        </w:rPr>
      </w:pPr>
    </w:p>
    <w:p>
      <w:pPr>
        <w:ind w:left="340" w:right="20" w:hanging="332"/>
        <w:spacing w:after="0" w:line="245"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Option</w:t>
      </w:r>
      <w:r>
        <w:rPr>
          <w:rFonts w:ascii="Times New Roman" w:cs="Times New Roman" w:eastAsia="Times New Roman" w:hAnsi="Times New Roman"/>
          <w:sz w:val="16"/>
          <w:szCs w:val="16"/>
          <w:color w:val="auto"/>
        </w:rPr>
        <w:t>. Subject to the terms and conditions of the Plan and this Agreement, the Company has granted to the Optionee an Option to purchase that number of shares of Common Stock (the “Option Shares”) effective on the Date of Grant set forth below:</w:t>
      </w:r>
    </w:p>
    <w:p>
      <w:pPr>
        <w:spacing w:after="0" w:line="106"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6"/>
          <w:szCs w:val="16"/>
          <w:b w:val="1"/>
          <w:bCs w:val="1"/>
          <w:color w:val="0000CC"/>
        </w:rPr>
        <w:t>Date of Grant:</w:t>
        <w:tab/>
        <w:t>Grant Date</w:t>
      </w:r>
    </w:p>
    <w:p>
      <w:pPr>
        <w:ind w:left="1300"/>
        <w:spacing w:after="0" w:line="211" w:lineRule="auto"/>
        <w:tabs>
          <w:tab w:leader="none" w:pos="3900" w:val="left"/>
        </w:tabs>
        <w:rPr>
          <w:sz w:val="20"/>
          <w:szCs w:val="20"/>
          <w:color w:val="auto"/>
        </w:rPr>
      </w:pPr>
      <w:r>
        <w:rPr>
          <w:rFonts w:ascii="Times New Roman" w:cs="Times New Roman" w:eastAsia="Times New Roman" w:hAnsi="Times New Roman"/>
          <w:sz w:val="16"/>
          <w:szCs w:val="16"/>
          <w:b w:val="1"/>
          <w:bCs w:val="1"/>
          <w:color w:val="0000CC"/>
        </w:rPr>
        <w:t>Number of Option Shares Granted:</w:t>
        <w:tab/>
        <w:t>Number of Awards Granted</w:t>
      </w:r>
    </w:p>
    <w:p>
      <w:pPr>
        <w:ind w:left="130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0000CC"/>
        </w:rPr>
        <w:t>Option Exercise Price Per Share:</w:t>
        <w:tab/>
        <w:t>Grant Price</w:t>
      </w:r>
    </w:p>
    <w:p>
      <w:pPr>
        <w:spacing w:after="0" w:line="122" w:lineRule="exact"/>
        <w:rPr>
          <w:sz w:val="20"/>
          <w:szCs w:val="20"/>
          <w:color w:val="auto"/>
        </w:rPr>
      </w:pPr>
    </w:p>
    <w:p>
      <w:pPr>
        <w:ind w:left="340" w:right="20" w:hanging="332"/>
        <w:spacing w:after="0" w:line="245"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Exercise of Option</w:t>
      </w:r>
      <w:r>
        <w:rPr>
          <w:rFonts w:ascii="Times New Roman" w:cs="Times New Roman" w:eastAsia="Times New Roman" w:hAnsi="Times New Roman"/>
          <w:sz w:val="16"/>
          <w:szCs w:val="16"/>
          <w:color w:val="auto"/>
        </w:rPr>
        <w:t>. Subject to the Optionee’s continued employment with the Company or the Employer (as defined in 7 below) and other limitations set forth in this Agreement and the Plan, the Option will vest as to a set number of shares on each of the scheduled vesting dates. Vesting Schedule.</w:t>
      </w:r>
    </w:p>
    <w:p>
      <w:pPr>
        <w:spacing w:after="0" w:line="11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right of exercise is cumulative, so that an Option, once vested, may be exercised, in whole or in part, at any time up to Expiration Date, the expiration date, or such earlier date as provided in Section 3 below or in the country-specific provisions in Appendix A.</w:t>
      </w:r>
    </w:p>
    <w:p>
      <w:pPr>
        <w:spacing w:after="0" w:line="110"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of Option; Termination of Employment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of the Option is ten (10) years after the Date of Grant, subject, however, to the early termination provisions set forth herein.</w:t>
      </w:r>
    </w:p>
    <w:p>
      <w:pPr>
        <w:spacing w:after="0" w:line="140" w:lineRule="exact"/>
        <w:rPr>
          <w:rFonts w:ascii="Times New Roman" w:cs="Times New Roman" w:eastAsia="Times New Roman" w:hAnsi="Times New Roman"/>
          <w:sz w:val="16"/>
          <w:szCs w:val="16"/>
          <w:color w:val="auto"/>
        </w:rPr>
      </w:pPr>
    </w:p>
    <w:p>
      <w:pPr>
        <w:ind w:left="660" w:hanging="328"/>
        <w:spacing w:after="0" w:line="245" w:lineRule="auto"/>
        <w:tabs>
          <w:tab w:leader="none" w:pos="6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the Option shall be exercisable by the Optionee (or his or her successor in interest) following the termination of the Optionee’s employment only to the extent that the Option was vested on or prior to the date of such termination.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51"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vesting of the Option shall terminate on the date the Optionee </w:t>
      </w:r>
      <w:r>
        <w:rPr>
          <w:rFonts w:ascii="Times New Roman" w:cs="Times New Roman" w:eastAsia="Times New Roman" w:hAnsi="Times New Roman"/>
          <w:sz w:val="16"/>
          <w:szCs w:val="16"/>
          <w:u w:val="single" w:color="auto"/>
          <w:color w:val="auto"/>
        </w:rPr>
        <w:t>voluntarily terminates</w:t>
      </w:r>
      <w:r>
        <w:rPr>
          <w:rFonts w:ascii="Times New Roman" w:cs="Times New Roman" w:eastAsia="Times New Roman" w:hAnsi="Times New Roman"/>
          <w:sz w:val="16"/>
          <w:szCs w:val="16"/>
          <w:color w:val="auto"/>
        </w:rPr>
        <w:t xml:space="preserve"> employment with the Company or the Employer (as defined in Section 7) or on the date his or her employment is terminated by the Company or the Employer without “Cause” (as defined in paragraph (d)), but any Option that is vested on the date of such termination shall continue to be exercisable for a period of three (3) months following such termination date.</w:t>
      </w:r>
    </w:p>
    <w:p>
      <w:pPr>
        <w:spacing w:after="0" w:line="114"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Option shall terminate on the date the Optionee’s employment with the Company or the Employer is terminated by the Company or one of its Subsidiaries </w:t>
      </w:r>
      <w:r>
        <w:rPr>
          <w:rFonts w:ascii="Times New Roman" w:cs="Times New Roman" w:eastAsia="Times New Roman" w:hAnsi="Times New Roman"/>
          <w:sz w:val="16"/>
          <w:szCs w:val="16"/>
          <w:u w:val="single" w:color="auto"/>
          <w:color w:val="auto"/>
        </w:rPr>
        <w:t>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and all Option Shares that are then vested shall forthwith cease to be exercisable. “Cause” for this purpose means unsatisfactory job performance (as determined by the Company), willful misconduct, fraud, gross negligence, disobedience or dishonesty, or as otherwise determined under applicable law.</w:t>
      </w:r>
    </w:p>
    <w:p>
      <w:pPr>
        <w:spacing w:after="0" w:line="114" w:lineRule="exact"/>
        <w:rPr>
          <w:rFonts w:ascii="Times New Roman" w:cs="Times New Roman" w:eastAsia="Times New Roman" w:hAnsi="Times New Roman"/>
          <w:sz w:val="16"/>
          <w:szCs w:val="16"/>
          <w:color w:val="auto"/>
        </w:rPr>
      </w:pPr>
    </w:p>
    <w:p>
      <w:pPr>
        <w:ind w:left="660" w:hanging="328"/>
        <w:spacing w:after="0" w:line="245" w:lineRule="auto"/>
        <w:tabs>
          <w:tab w:leader="none" w:pos="651"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xml:space="preserve"> of the Optionee while he or 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27" w:lineRule="auto"/>
        <w:tabs>
          <w:tab w:leader="none" w:pos="6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Optionee’s employment with the Company or the Employer terminates by reason of the retirement of the Optionee after attaining age 60, the vesting of the Option shall terminate on the date of such retirement, but any Option that is vested on the date of such retirement shall continue to be exercisable over the remaining term of the Option; provided that all then-exercisable Options held by such Optionee shall immediately cease to be exercisable in the event that such Optionee becomes an employee of any competitor of the Company or the Employer (as determined in the sole discretion of the Company).</w:t>
      </w:r>
    </w:p>
    <w:p>
      <w:pPr>
        <w:spacing w:after="0" w:line="113"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Optionee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Optionee terminates employment with the Company or the Employer, the Option shall vest and become exercisable in full on the date the Optionee is determined to be Disabled and shall continue to be exercisable until the date that is ten (10) years after the Date of Grant, at which time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6"/>
          <w:szCs w:val="16"/>
          <w:color w:val="auto"/>
        </w:rPr>
        <w:t>shall terminate. “Disabled” with respect to the Optionee shall have the meaning set forth in Section 409(a)(2)(C) of the Code.</w:t>
      </w:r>
    </w:p>
    <w:p>
      <w:pPr>
        <w:spacing w:after="0" w:line="140" w:lineRule="exact"/>
        <w:rPr>
          <w:sz w:val="20"/>
          <w:szCs w:val="20"/>
          <w:color w:val="auto"/>
        </w:rPr>
      </w:pPr>
    </w:p>
    <w:p>
      <w:pPr>
        <w:jc w:val="both"/>
        <w:ind w:left="652" w:hanging="328"/>
        <w:spacing w:after="0" w:line="232" w:lineRule="auto"/>
        <w:tabs>
          <w:tab w:leader="none" w:pos="65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eligible for grants of Options under the Plan and this Agreement, the Optionee must be an Employee, Director, or Consultant. Should an Optionee transfer employment to become a Director or Consultant following the Date of Grant, he or she will be considered employed for vesting purposes until he or she ceases to provide services to the Company or any direct or indirect Parent or Subsidiary of the Company, or any successor to the Company or any such Parent or Subsidiary.</w:t>
      </w:r>
    </w:p>
    <w:p>
      <w:pPr>
        <w:spacing w:after="0" w:line="114" w:lineRule="exact"/>
        <w:rPr>
          <w:rFonts w:ascii="Times New Roman" w:cs="Times New Roman" w:eastAsia="Times New Roman" w:hAnsi="Times New Roman"/>
          <w:sz w:val="16"/>
          <w:szCs w:val="16"/>
          <w:color w:val="auto"/>
        </w:rPr>
      </w:pPr>
    </w:p>
    <w:p>
      <w:pPr>
        <w:jc w:val="both"/>
        <w:ind w:left="652" w:right="20" w:hanging="328"/>
        <w:spacing w:after="0" w:line="232" w:lineRule="auto"/>
        <w:tabs>
          <w:tab w:leader="none" w:pos="643"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14" w:lineRule="exact"/>
        <w:rPr>
          <w:rFonts w:ascii="Times New Roman" w:cs="Times New Roman" w:eastAsia="Times New Roman" w:hAnsi="Times New Roman"/>
          <w:sz w:val="16"/>
          <w:szCs w:val="16"/>
          <w:color w:val="auto"/>
        </w:rPr>
      </w:pPr>
    </w:p>
    <w:p>
      <w:pPr>
        <w:ind w:left="652" w:hanging="328"/>
        <w:spacing w:after="0" w:line="245" w:lineRule="auto"/>
        <w:tabs>
          <w:tab w:leader="none" w:pos="643"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Options granted to the Optionee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payment methods may be used to purchase Option Shares:</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cashless exercise in a manner described in Section 6(e)(ii)(D)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or check payable to the Company.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by the Optionee of shares of Common Stock (by actual delivery or attestation) in accordance with Section 6(e)(ii)(C)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 above methods.</w:t>
      </w:r>
    </w:p>
    <w:p>
      <w:pPr>
        <w:spacing w:after="0" w:line="140"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Non-Transferability of Option</w:t>
      </w:r>
      <w:r>
        <w:rPr>
          <w:rFonts w:ascii="Times New Roman" w:cs="Times New Roman" w:eastAsia="Times New Roman" w:hAnsi="Times New Roman"/>
          <w:sz w:val="16"/>
          <w:szCs w:val="16"/>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14"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w:t>
      </w:r>
      <w:r>
        <w:rPr>
          <w:rFonts w:ascii="Times New Roman" w:cs="Times New Roman" w:eastAsia="Times New Roman" w:hAnsi="Times New Roman"/>
          <w:sz w:val="16"/>
          <w:szCs w:val="16"/>
          <w:color w:val="auto"/>
        </w:rPr>
        <w:t>. This Option is subject to adjustment (including with respect to vesting of the Option Shares) upon certain changes in the Common Stock and certain other events, including a Change in Control Event or a Reorganization Event, as provided in Section 14 of the Plan.</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17"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 Regardless of any action the Company or, if different, the Optionee’s employer (the “Employer”)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Tax-Related Items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118" w:lineRule="exact"/>
        <w:rPr>
          <w:rFonts w:ascii="Times New Roman" w:cs="Times New Roman" w:eastAsia="Times New Roman" w:hAnsi="Times New Roman"/>
          <w:sz w:val="16"/>
          <w:szCs w:val="16"/>
          <w:color w:val="auto"/>
        </w:rPr>
      </w:pPr>
    </w:p>
    <w:p>
      <w:pPr>
        <w:jc w:val="both"/>
        <w:ind w:left="332"/>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if any, with regard to all Tax-Related Items by one or a combination of the following: (i) withholding from the Optionee’s wages or other cash compensation payable to the Optionee by the Company, the Employer and/or any other subsidiary of the Company; (ii) withholding from proceeds of the sale of Option Shares acquired at exercise of the Option either through a voluntary sale or through a mandatory sale arranged by the Company (on the Optionee’s behalf pursuant to this authorization); or (iii) any other method determined by the Company, to the extent permitted under the Plan and applicable laws. The Company may withhold or account for Tax-Related Items by considering statutory withholding amounts or other applicable withholding rates in the Optionee’s jurisdiction(s), including maximum applicable rates. If the Company and/or the Employer withhold more than the amount necessary to satisfy the liability for Tax-Related Items, the Optionee may receive a refund of any over-withheld amount in cash (with no entitlement to the equivalent in shares of Common Stock) or, if not refunded, the Optionee may be able to seek a refund from the applicable tax authorities. If the Company and/or the Employer withhold less than the amount necessary to satisfy the liability for Tax-Related Items, the Optionee may be required to pay additional Tax-Related Items directly to the applicable tax authorities or to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32"/>
          </w:cols>
          <w:pgMar w:left="328" w:top="1440" w:right="339" w:bottom="1440" w:gutter="0" w:footer="0" w:header="0"/>
        </w:sectPr>
      </w:pPr>
    </w:p>
    <w:bookmarkStart w:id="27" w:name="page28"/>
    <w:bookmarkEnd w:id="27"/>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both"/>
        <w:ind w:left="332"/>
        <w:spacing w:after="0" w:line="232" w:lineRule="auto"/>
        <w:rPr>
          <w:sz w:val="20"/>
          <w:szCs w:val="20"/>
          <w:color w:val="auto"/>
        </w:rPr>
      </w:pPr>
      <w:r>
        <w:rPr>
          <w:rFonts w:ascii="Times New Roman" w:cs="Times New Roman" w:eastAsia="Times New Roman" w:hAnsi="Times New Roman"/>
          <w:sz w:val="16"/>
          <w:szCs w:val="16"/>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114" w:lineRule="exact"/>
        <w:rPr>
          <w:sz w:val="20"/>
          <w:szCs w:val="20"/>
          <w:color w:val="auto"/>
        </w:rPr>
      </w:pPr>
    </w:p>
    <w:p>
      <w:pPr>
        <w:ind w:left="332" w:hanging="332"/>
        <w:spacing w:after="0"/>
        <w:tabs>
          <w:tab w:leader="none" w:pos="3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In accepting the Option, the Optionee acknowledges, understands and agrees that:</w:t>
      </w:r>
    </w:p>
    <w:p>
      <w:pPr>
        <w:spacing w:after="0" w:line="140"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4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may be amended, suspended or terminated by the Company at any time, to the extent permitted by the Plan;</w:t>
      </w:r>
    </w:p>
    <w:p>
      <w:pPr>
        <w:spacing w:after="0" w:line="11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is exceptional, voluntary and occasional and does not create any contractual or other right to receive future grants of options, or benefits in lieu of options, even if options have been granted repeatedly in the past;</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option grants, if any, will be at the sole discretion of the Company;</w:t>
      </w:r>
    </w:p>
    <w:p>
      <w:pPr>
        <w:spacing w:after="0" w:line="14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is voluntarily participating in the Plan;</w:t>
      </w:r>
    </w:p>
    <w:p>
      <w:pPr>
        <w:spacing w:after="0" w:line="140" w:lineRule="exact"/>
        <w:rPr>
          <w:rFonts w:ascii="Times New Roman" w:cs="Times New Roman" w:eastAsia="Times New Roman" w:hAnsi="Times New Roman"/>
          <w:sz w:val="16"/>
          <w:szCs w:val="16"/>
          <w:color w:val="auto"/>
        </w:rPr>
      </w:pPr>
    </w:p>
    <w:p>
      <w:pPr>
        <w:jc w:val="both"/>
        <w:ind w:left="652" w:hanging="328"/>
        <w:spacing w:after="0" w:line="227" w:lineRule="auto"/>
        <w:tabs>
          <w:tab w:leader="none" w:pos="65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 awards, holiday pay, pension or retirement or welfare benefits or similar payments and in no event should be considered as compensation for, or relating in any way to, past services for the Company or the Employer;</w:t>
      </w:r>
    </w:p>
    <w:p>
      <w:pPr>
        <w:spacing w:after="0" w:line="113"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5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grant and the Optionee’s participation in the Plan will not be interpreted to form or amend an employment or service contract or relationship with the Company or the Employer;</w:t>
      </w:r>
    </w:p>
    <w:p>
      <w:pPr>
        <w:spacing w:after="0" w:line="11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Option Shares underlying the Option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underlying Option Shares do not increase in value, the Option will have no value;</w:t>
      </w:r>
    </w:p>
    <w:p>
      <w:pPr>
        <w:spacing w:after="0" w:line="140" w:lineRule="exact"/>
        <w:rPr>
          <w:rFonts w:ascii="Times New Roman" w:cs="Times New Roman" w:eastAsia="Times New Roman" w:hAnsi="Times New Roman"/>
          <w:sz w:val="16"/>
          <w:szCs w:val="16"/>
          <w:color w:val="auto"/>
        </w:rPr>
      </w:pPr>
    </w:p>
    <w:p>
      <w:pPr>
        <w:ind w:left="652" w:hanging="328"/>
        <w:spacing w:after="0" w:line="242" w:lineRule="auto"/>
        <w:tabs>
          <w:tab w:leader="none" w:pos="64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 exercises the Option and acquires Option Shares, the value of such Option Shares may increase or decrease in value, even below the Exercise Price;</w:t>
      </w:r>
    </w:p>
    <w:p>
      <w:pPr>
        <w:spacing w:after="0" w:line="30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Optionees who reside outside the U.S. and/or the Company is not the Optionee’s employer, the following additional provisions shall apply:</w:t>
      </w:r>
    </w:p>
    <w:p>
      <w:pPr>
        <w:spacing w:after="0" w:line="140" w:lineRule="exact"/>
        <w:rPr>
          <w:rFonts w:ascii="Times New Roman" w:cs="Times New Roman" w:eastAsia="Times New Roman" w:hAnsi="Times New Roman"/>
          <w:sz w:val="16"/>
          <w:szCs w:val="16"/>
          <w:color w:val="auto"/>
        </w:rPr>
      </w:pPr>
    </w:p>
    <w:p>
      <w:pPr>
        <w:ind w:left="1292" w:hanging="315"/>
        <w:spacing w:after="0" w:line="245" w:lineRule="auto"/>
        <w:tabs>
          <w:tab w:leader="none" w:pos="1283"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intended to replace any pension rights or compensation;</w:t>
      </w:r>
    </w:p>
    <w:p>
      <w:pPr>
        <w:spacing w:after="0" w:line="110" w:lineRule="exact"/>
        <w:rPr>
          <w:rFonts w:ascii="Times New Roman" w:cs="Times New Roman" w:eastAsia="Times New Roman" w:hAnsi="Times New Roman"/>
          <w:sz w:val="16"/>
          <w:szCs w:val="16"/>
          <w:color w:val="auto"/>
        </w:rPr>
      </w:pPr>
    </w:p>
    <w:p>
      <w:pPr>
        <w:ind w:left="1292" w:right="20" w:hanging="315"/>
        <w:spacing w:after="0" w:line="245" w:lineRule="auto"/>
        <w:tabs>
          <w:tab w:leader="none" w:pos="1287"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are extraordinary items that do not constitute compensation of any kind for services of any kind rendered to the Company or the Employer, and which are outside the scope of the Optionee’s employment or service contract, if any;</w:t>
      </w:r>
    </w:p>
    <w:p>
      <w:pPr>
        <w:spacing w:after="0" w:line="110" w:lineRule="exact"/>
        <w:rPr>
          <w:rFonts w:ascii="Times New Roman" w:cs="Times New Roman" w:eastAsia="Times New Roman" w:hAnsi="Times New Roman"/>
          <w:sz w:val="16"/>
          <w:szCs w:val="16"/>
          <w:color w:val="auto"/>
        </w:rPr>
      </w:pPr>
    </w:p>
    <w:p>
      <w:pPr>
        <w:jc w:val="both"/>
        <w:ind w:left="1292" w:hanging="315"/>
        <w:spacing w:after="0" w:line="232" w:lineRule="auto"/>
        <w:tabs>
          <w:tab w:leader="none" w:pos="1292"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 and</w:t>
      </w:r>
    </w:p>
    <w:p>
      <w:pPr>
        <w:spacing w:after="0" w:line="114" w:lineRule="exact"/>
        <w:rPr>
          <w:rFonts w:ascii="Times New Roman" w:cs="Times New Roman" w:eastAsia="Times New Roman" w:hAnsi="Times New Roman"/>
          <w:sz w:val="16"/>
          <w:szCs w:val="16"/>
          <w:color w:val="auto"/>
        </w:rPr>
      </w:pPr>
    </w:p>
    <w:p>
      <w:pPr>
        <w:jc w:val="both"/>
        <w:ind w:left="1292" w:hanging="315"/>
        <w:spacing w:after="0"/>
        <w:tabs>
          <w:tab w:leader="none" w:pos="1283"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shall arise from forfeiture of the Option resulting from termination of the Optionee’s employment by the Company or the Employer (regardless of the reason for such termination and whether or not later found to be invalid or in breach of applicable laws in the jurisdiction where Optionee is employed or the terms of Optionee’s employment agreement, if any) and in consideration of the grant of the Option to which the Optionee is otherwise not entitled, the Optionee irrevocably agrees never to institute any claim against the Company or the Employer and waives his or her ability, if any, to bring such a claim, and releases the Company and the Employer from any such claim;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claims.</w:t>
      </w:r>
    </w:p>
    <w:p>
      <w:pPr>
        <w:spacing w:after="0" w:line="170" w:lineRule="exact"/>
        <w:rPr>
          <w:rFonts w:ascii="Times New Roman" w:cs="Times New Roman" w:eastAsia="Times New Roman" w:hAnsi="Times New Roman"/>
          <w:sz w:val="16"/>
          <w:szCs w:val="16"/>
          <w:color w:val="auto"/>
        </w:rPr>
      </w:pPr>
    </w:p>
    <w:p>
      <w:pPr>
        <w:jc w:val="both"/>
        <w:ind w:left="332" w:right="20" w:hanging="332"/>
        <w:spacing w:after="0" w:line="232" w:lineRule="auto"/>
        <w:tabs>
          <w:tab w:leader="none" w:pos="3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Optionee’s participation in the Plan, or the Optionee’s acquisition or sale of the underlying Option Shares. The Optionee is encouraged to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32"/>
          </w:cols>
          <w:pgMar w:left="328" w:top="1440" w:right="339" w:bottom="1440" w:gutter="0" w:footer="0" w:header="0"/>
        </w:sectPr>
      </w:pPr>
    </w:p>
    <w:bookmarkStart w:id="28" w:name="page29"/>
    <w:bookmarkEnd w:id="28"/>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332" w:right="20" w:hanging="332"/>
        <w:spacing w:after="0" w:line="245" w:lineRule="auto"/>
        <w:tabs>
          <w:tab w:leader="none" w:pos="3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Optionee and his or her respective heirs, executors, administrators, legal representatives, successors and assigns, subject to the restrictions on transfer set forth in Section 5 of this Agreement.</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27" w:lineRule="auto"/>
        <w:tabs>
          <w:tab w:leader="none" w:pos="32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Optionee shall be addressed to the Optionee at the Optionee’s last known mailing or email address, as applicable, on the records of the Company.</w:t>
      </w:r>
    </w:p>
    <w:p>
      <w:pPr>
        <w:spacing w:after="0" w:line="113"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16" w:lineRule="auto"/>
        <w:tabs>
          <w:tab w:leader="none" w:pos="3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Optionee understands that the Company is under no obligation to register or qualify the Option Shares with the SEC or any state or non-U.S. securities commission or to seek approval or clearance from any governmental authority for the issuance or sale of the Option Shares. The Optionee also understands and agrees that the Awards granted under the Plan, including the Options and the underlying Option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118" w:lineRule="exact"/>
        <w:rPr>
          <w:rFonts w:ascii="Times New Roman" w:cs="Times New Roman" w:eastAsia="Times New Roman" w:hAnsi="Times New Roman"/>
          <w:sz w:val="16"/>
          <w:szCs w:val="16"/>
          <w:color w:val="auto"/>
        </w:rPr>
      </w:pPr>
    </w:p>
    <w:p>
      <w:pPr>
        <w:jc w:val="both"/>
        <w:ind w:left="332" w:hanging="332"/>
        <w:spacing w:after="0" w:line="218" w:lineRule="auto"/>
        <w:tabs>
          <w:tab w:leader="none" w:pos="3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Option and any cash payment or Option Shares delivered pursuant to the Option are subject to forfeiture, recovery by the Company or other action pursuant to any clawback or recoupment policy which the Company may adopt from time to time, including without limitation any such policy which the Company may be required to adopt under the Dodd-Frank Act and implementing rules and regulations thereunder, or as otherwise required by law. Further, the Option and any Option Shares issued upon exercise of the Option, shall be subject to deduction, clawback or forfeiture to the extent required to comply with any recoupment requirement imposed under applicable laws, rules, regulations or stock exchange listing standards. In order to satisfy any recoupment obligation arising under any clawback or recoupment policy of the Company or otherwise under applicable laws, rules, regulations or stock exchange listing standards, among other things, the Optionee expressly and explicitly authorizes the Company to issue instructions, on the Optionee’s behalf, to any brokerage firm or stock plan service provider engaged by the Company to hold any Option Shares or other amounts acquired pursuant to the Option to re-convey, transfer or otherwise return such Option Shares and/or other amounts to the Company upon the Company’s enforcement of any clawback or recoupment policy.</w:t>
      </w:r>
    </w:p>
    <w:p>
      <w:pPr>
        <w:spacing w:after="0" w:line="115"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Optionee’s Acceptance</w:t>
      </w:r>
      <w:r>
        <w:rPr>
          <w:rFonts w:ascii="Times New Roman" w:cs="Times New Roman" w:eastAsia="Times New Roman" w:hAnsi="Times New Roman"/>
          <w:sz w:val="16"/>
          <w:szCs w:val="16"/>
          <w:color w:val="auto"/>
        </w:rPr>
        <w:t>. The Optionee is urged to read this Agreement carefully and to consult with his or her own legal counsel regarding the terms and consequences of this Agreement and the legal and binding effect of this Agreement. By virtue of his or her acceptance of this Option, the Optionee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10"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32"/>
          </w:cols>
          <w:pgMar w:left="328" w:top="1440" w:right="339" w:bottom="1440" w:gutter="0" w:footer="0" w:header="0"/>
        </w:sectPr>
      </w:pPr>
    </w:p>
    <w:bookmarkStart w:id="29" w:name="page30"/>
    <w:bookmarkEnd w:id="2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both"/>
        <w:ind w:left="332" w:hanging="332"/>
        <w:spacing w:after="0" w:line="227" w:lineRule="auto"/>
        <w:tabs>
          <w:tab w:leader="none" w:pos="33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w:t>
      </w:r>
      <w:r>
        <w:rPr>
          <w:rFonts w:ascii="Times New Roman" w:cs="Times New Roman" w:eastAsia="Times New Roman" w:hAnsi="Times New Roman"/>
          <w:sz w:val="16"/>
          <w:szCs w:val="16"/>
          <w:color w:val="auto"/>
        </w:rPr>
        <w:t>. The Option shall be subject to any additional provisions set forth in the Appendix for the Optionee’s country of employment and/or residence, if any. If the Optionee relocates to one of the countries included in the Appendix during the life of the Option, the additional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113"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Option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332" w:hanging="332"/>
        <w:spacing w:after="0"/>
        <w:tabs>
          <w:tab w:leader="none" w:pos="33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Optionee may be subject to insider trading restrictions and/or market abuse laws, which may affect the Optionee’s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Options)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Optionee is considered to have “inside information” regarding the Company (as defined by the laws or regulations in the Optionee’s country). Local insider trading laws and regulations may prohibit the cancellation or amendment of orders the Optionee placed before possessing inside information. Furthermore, the Optionee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and the Optionee should speak to his or her personal advisor on this matter.</w:t>
      </w:r>
    </w:p>
    <w:p>
      <w:pPr>
        <w:spacing w:after="0" w:line="148" w:lineRule="exact"/>
        <w:rPr>
          <w:rFonts w:ascii="Times New Roman" w:cs="Times New Roman" w:eastAsia="Times New Roman" w:hAnsi="Times New Roman"/>
          <w:sz w:val="16"/>
          <w:szCs w:val="16"/>
          <w:color w:val="auto"/>
        </w:rPr>
      </w:pPr>
    </w:p>
    <w:p>
      <w:pPr>
        <w:jc w:val="both"/>
        <w:ind w:left="332" w:hanging="332"/>
        <w:spacing w:after="0" w:line="220" w:lineRule="auto"/>
        <w:tabs>
          <w:tab w:leader="none" w:pos="33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Optionee may be subject to foreign asset/account, exchange control and/or tax reporting requirements as a result of the exercise of the Option, the acquisition, holding, and/or transfer of Option Shares or cash resulting from participation in the Plan and/or the opening and maintenance of a brokerage or bank account in connection with the Plan. The Optionee may be required to report such assets, accounts, account balances and values and/or related transactions to the applicable authorities in his or her country. The Optionee also may be required to repatriate sale proceeds or other funds received as a result of participation in the Plan to the Optionee’s country through a designated broker or bank and/or within a certain time after receipt. The Optionee acknowledges that he or she is responsible for ensuring compliance with any applicable foreign asset/account, exchange control and tax reporting requirements. The Optionee further understands that he or she should consult the Optionee’s personal legal advisor on these matters.</w:t>
      </w:r>
    </w:p>
    <w:p>
      <w:pPr>
        <w:spacing w:after="0" w:line="115"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32"/>
          </w:cols>
          <w:pgMar w:left="328" w:top="1440" w:right="339" w:bottom="1440" w:gutter="0" w:footer="0" w:header="0"/>
        </w:sectPr>
      </w:pPr>
    </w:p>
    <w:bookmarkStart w:id="30" w:name="page31"/>
    <w:bookmarkEnd w:id="30"/>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both"/>
        <w:spacing w:after="0" w:line="232" w:lineRule="auto"/>
        <w:rPr>
          <w:sz w:val="20"/>
          <w:szCs w:val="20"/>
          <w:color w:val="auto"/>
        </w:rPr>
      </w:pPr>
      <w:r>
        <w:rPr>
          <w:rFonts w:ascii="Times New Roman" w:cs="Times New Roman" w:eastAsia="Times New Roman" w:hAnsi="Times New Roman"/>
          <w:sz w:val="16"/>
          <w:szCs w:val="16"/>
          <w:color w:val="auto"/>
        </w:rPr>
        <w:t xml:space="preserve">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Optionee is unable to access this information via the Intranet, the Company’s Stock Plan Administrator can provide the Optionee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20320</wp:posOffset>
            </wp:positionV>
            <wp:extent cx="26485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20"/>
          </w:cols>
          <w:pgMar w:left="320" w:top="1440" w:right="359" w:bottom="1440" w:gutter="0" w:footer="0" w:header="0"/>
        </w:sectPr>
      </w:pPr>
    </w:p>
    <w:bookmarkStart w:id="31" w:name="page32"/>
    <w:bookmarkEnd w:id="31"/>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t>APPENDIX A</w:t>
      </w:r>
    </w:p>
    <w:p>
      <w:pPr>
        <w:spacing w:after="0" w:line="13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Options granted to the Optionee if the Optionee resides and/or works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October 2023.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21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Optionee’s particular situation, and the Company is not in a position to assure the Optionee of any particular result. Therefore, the Optionee should seek appropriate professional advice as to how the relevant laws in the Optionee’s country may apply to his or her situation.</w:t>
      </w:r>
    </w:p>
    <w:p>
      <w:pPr>
        <w:spacing w:after="0" w:line="19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Finally, the Optionee understands that if he or she is a citizen or resident of a country other than the one in which the Optionee is currently working and/or residing, transfers employment and/or residency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OPTIONEES OUTSIDE THE U.S.</w:t>
      </w:r>
    </w:p>
    <w:p>
      <w:pPr>
        <w:spacing w:after="0" w:line="233"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Options, at the Company’s sole discretion. If the Optionee would like to participate in the Plan, please review the following information about the Company’s data processing practices and declare the Optionee’s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Optionees, including, name, home address and telephone number, date of birth, social insurance number or other identification number, salary, citizenship, job title, any shares of stock or directorships held in the Company, and details of all Options, canceled, vested, or outstanding in the Optionee’s favor, which the Company receives from the Optionee or the Employer. If the Company offers the Optionee a grant of Options under the Plan, then the Company will collect the Optionee’s personal data for purposes of allocating stock and implementing, administering and managing the Plan. The Company’s legal basis for the processing of the Optionee’s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2" w:lineRule="auto"/>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Optionee’s data with another company that serves in a similar manner. The Company’s service provider will open an account for the Optionee to receive and trade shares of Common Stock. The Optionee will be asked to agree on separate terms and data processing practices with the service provider, which is a condition to the Optionee’s ability to participate in the Plan.</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Optionee is outside the United States, the Optionee should note that his or her country has enacted data privacy laws that are different from the United States and that the United States might not provide a level of protection of personal data equivalent to the level of protection in the Optionee’s country. In order to ensure an appropriate level of protection for the transfer of the Optionee’s personal data to the Company in the United States, the Company has implemented the EU Standard Contractual Clauses. However, the onward transfer of the Optionee’s personal data by the Company to its service provider is not subject to appropriate safeguards such as the EU Standard Contractual Clauses and is based solely on the Optionee’s consent. The Optionee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Optionee’s personal data only as long as is necessary to implement, administer and manage the Optionee’s participation in the Plan or as required to comply with applicable laws, exercise or defense of legal rights, and archiving, deletion and backup purposes. This means the Optionee’s personal data may be retained beyond the termination of the Optionee’s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Optionee’s participation in the Plan and the Optionee’s grant of consent is purely voluntary. The Optionee may deny or withdraw his or her consent at any time. If the Optionee does not consent, or if the Optionee withdraws his or her consent, the Optionee cannot participate in the Plan. This would not affect the Optionee’s salary from or employment with the Employer; the Optionee would merely forfeit the opportunities associated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760"/>
          </w:cols>
          <w:pgMar w:left="480" w:top="1015" w:right="6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500" w:hanging="328"/>
        <w:spacing w:after="0" w:line="222" w:lineRule="auto"/>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Optionee has a number of rights under data privacy laws in his or her country. Depending on where the Optionee is based, the Optionee’s rights may include the right to (a) request access or copies of personal data the Company processes, (b) rectification of incorrect data, (c) deletion of data, (d) restrictions on processing, (e) portability of data, (f) lodge complaints with competent authorities in the Optionee’s country, and/or (g) a list with the names and addresses of any potential recipients of the Optionee’s personal data. To receive clarification regarding the Optionee’s rights or to exercise the Optionee’s rights please contact the Company at Analog Devices, Inc., One Analog Way, Wilmington, Massachusetts, 01887 U.S.A., Attention: Stock Plan Administrator.</w:t>
      </w:r>
    </w:p>
    <w:p>
      <w:pPr>
        <w:spacing w:after="0" w:line="113" w:lineRule="exact"/>
        <w:rPr>
          <w:sz w:val="20"/>
          <w:szCs w:val="20"/>
          <w:color w:val="auto"/>
        </w:rPr>
      </w:pPr>
    </w:p>
    <w:p>
      <w:pPr>
        <w:jc w:val="both"/>
        <w:ind w:left="180" w:right="2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Optionee resides in a European Economic Area, European Union member state or the United Kingdom and agrees with the data processing practices described in this notice, the Optionee declares his or her consent by clicking “Accept Your Grant” on the Accepting Your Grants page on Fidelity’s participant website.</w:t>
      </w:r>
    </w:p>
    <w:p>
      <w:pPr>
        <w:spacing w:after="0" w:line="19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Optionee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holds securities (including Option Shares acquired under the Plan) or cash (including proceeds from the sale of Option Shares) outside Austria, he or she may be subject to reporting obligations to the Austrian National Bank. If the value of the Option Shares meets or exceeds a certain threshold, the Optionee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If the Optionee sells Option Shares, or receives any cash dividends, the Optionee may have exchange control obligations if he or she holds the cash proceeds outside Austria. If the transaction volume of all the Optionee’s accounts abroad meets or exceeds a certain threshold, the Optionee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Taxation of Option</w:t>
      </w:r>
      <w:r>
        <w:rPr>
          <w:rFonts w:ascii="Times New Roman" w:cs="Times New Roman" w:eastAsia="Times New Roman" w:hAnsi="Times New Roman"/>
          <w:sz w:val="16"/>
          <w:szCs w:val="16"/>
          <w:color w:val="auto"/>
        </w:rPr>
        <w:t>. The Optionee will not be permitted to accept the Options until after 60 days from the offer date. If the Optionee accepts the Options within 60 days of the offer date, the Optionee will be deemed to have accepted the Option after the 60th day from the offer date. Therefore, the Options will not be subject to Belgian tax until they are exercised by the Optionee.</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report any securities (e.g., Option Shares) or bank accounts opened and maintained outside Belgium on his or her annual tax return. In a separate report, certain details regarding such foreign accounts (including the account number, bank name and country in which such account was opened) must be reported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2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Option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Optionee should consult with his or her personal tax or financial advisor for additional details.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Optionee is permitted to sell Option Shares acquired through the Plan through the designated broker appointed under the Plan, if any (or any other broker acceptable to the Company), provided the resale of Option Shares acquired under the Plan takes place outside Canada through the facilities of a stock exchange on which the Option Shares are listed. The Option Shares are currently listed on the Nasdaq Global Select Market.</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Payment of Exercise Price and Withholding Taxes</w:t>
      </w:r>
      <w:r>
        <w:rPr>
          <w:rFonts w:ascii="Times New Roman" w:cs="Times New Roman" w:eastAsia="Times New Roman" w:hAnsi="Times New Roman"/>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0760"/>
          </w:cols>
          <w:pgMar w:left="480" w:top="1440" w:right="65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3 of the Agreement (except Section 3(g) regarding disability) as well as any other section required to give effect to the same:</w:t>
      </w:r>
    </w:p>
    <w:p>
      <w:pPr>
        <w:spacing w:after="0" w:line="205"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color w:val="auto"/>
        </w:rPr>
        <w:t>In the event of termination of the Optionee’s employment for any reason (other than by reason of the Optionee’s death), either by the Optionee or by the Employer, with or without cause, the Optionee's right to vest or continue to vest in the Option under the Plan, if any, will terminate as of the actual Date of Termination. For this purpose, “Date of Termination” shall mean the earlier of (1) the date the Optionee’s employment with the Employer is terminated for any reason; or (2) the date the Optionee receives written notice of termination from the Employer and shall not include or be extended by any period following such day during which the Optionee is in receipt of or eligible to receive any notice of termination, pay in lieu of notice of termination, severance pay or any other payments or damages, whether arising under statute, contract or at common law. For greater certainty, the Optionee will not earn or be entitled to any pro-rated vesting or extended exercisability for that portion of time before the date on which the Optionee’s right to vest in or exercise the Option terminates, nor will the Optionee be entitled to any compensation for lost vesting or exercisability.</w:t>
      </w:r>
    </w:p>
    <w:p>
      <w:pPr>
        <w:spacing w:after="0" w:line="209"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Optionee’s right to vest in the Options under the Plan, if any, will terminate effective as of the last day of the Optionee’s minimum statutory notice period, but the Optionee will not earn or be entitled to pro-rated vesting if the vesting date falls after the end of the Optionee’s statutory notice period, nor will the Optionee be entitled to any compensation for lost vesting.</w:t>
      </w:r>
    </w:p>
    <w:p>
      <w:pPr>
        <w:spacing w:after="0" w:line="19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Option Shares) held by Canadian residents must be reported annually on Form T1135 (Foreign Income Verification Statement) if the cost of such foreign specified property exceeds C$100,000 at any time during the year. Foreign specified property may also include the unvested portion of the Options. The Options must be reported (generally at a nil cost) if the $100,000 cost threshold is exceeded because of other foreign specified property the Optionee holds. If Option Shares are acquired, their cost generally is the adjusted cost base (“ACB”) of the Option Shares. The ACB would normally equal the fair market value of the Option Shares at exercise, but if the Optionee owns other shares, this ACB may have to be averaged with the ACB of the other shares. If due, the Form must be filed by April 30 of the following year. The Optionee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Optionee is in Quebec:</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Optionees Outside the U.S. set forth above:</w:t>
      </w:r>
    </w:p>
    <w:p>
      <w:pPr>
        <w:spacing w:after="0" w:line="20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acknowledges that his or her personal information, may be transferred or disclosed outside the Province of Quebec, including to the United States. The Optionee further authorizes the Company and the Employer to record such information and to keep such information in the Optionee’s employee file. The Optionee also acknowledges that the Company, Fidelity, and the Employer may use technology of profiling purposes and to make automated decisions that may have an impact on the Optionee or the administration of the Plan.</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Optionee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Options will not vest and no Option Shares will be issued to the Optionee unless and until all necessary exchange control or other approvals with respect to the Options under the Plan have been obtained from the SAFE or its local counterpart (“SAFE Approval”). In the event that SAFE Approval has not been obtained prior to any date(s) on which the Options are scheduled to vest in accordance with the vesting schedule set forth in the Agreement, the Options will not vest until the seventh day of the month following the month in which SAFE Approval is obtained (the “Actual Vesting Date”). If the Optionee’s status as a service provider terminates prior to the Actual Vesting Date, the Optionee shall not be entitled to vest in any portion of the Options and the Options shall be forfeited without any liability to the Company, the Employer or any other Parent or Subsidiary of the Company.</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supplements Section 4 of the Agreement:</w:t>
      </w:r>
    </w:p>
    <w:p>
      <w:pPr>
        <w:spacing w:after="0" w:line="23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the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440" w:right="659"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208"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Further, notwithstanding Section 3(e) or 3(g) of the Agreement, if the Optionee terminates employment with the Company or the Employer due to death or the Optionee becomes Disabled as determined by the Company, the vesting of the Option shall accelerate on the date of such termination or determination of disability, and the Option shall continue to be exercisable for a period of three (3) months (or such other period as may be required by the SAFE) following the termination date due to death or disability. If the Optionee or the Optionee’s heirs do not exercise the Option within three (3) months (or such other period as may be required by the SAFE) of the Optionee’s death or date of termination in the event of disability, the Option will be forfeited and the Optionee or the Optionee’s heirs will not be able to exercise the Option.</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Optionee acknowledges that he or she received an Employer Statement translated into Danish, which is being provided to comply with the Danish Stock Option Act, as amended effective January 1, 2019, and is attached hereto as Appendix B.</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Notice of Grant</w:t>
      </w:r>
      <w:r>
        <w:rPr>
          <w:rFonts w:ascii="Times New Roman" w:cs="Times New Roman" w:eastAsia="Times New Roman" w:hAnsi="Times New Roman"/>
          <w:sz w:val="16"/>
          <w:szCs w:val="16"/>
          <w:color w:val="auto"/>
        </w:rPr>
        <w:t>. This provision supplements Section 8 in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this grant relates to future services to be performed and is not a bonus or compensation for past services.</w:t>
      </w:r>
    </w:p>
    <w:p>
      <w:pPr>
        <w:spacing w:after="0" w:line="19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establishes an account holding Option Shares or cash outside Denmark, the Optionee must report the account to the Danish Tax Administration. The form which should be used in this respect can be obtained from a local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transfers funds out of or into Egypt in connection with the exercise of the Option or remits proceeds from the sale of Option Shares, the Optionee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pacing w:after="0" w:line="221"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Optionee understands that he or she would generally not be subject to taxation in Estonia when the Option is exercised and Shares are issued under the Plan, and that the Employer would generally be subject to fringe benefits tax (“FBT”) due, unless an exemption applies. Notwithstanding the foregoing, as a condition to the Optionee’s participation in the Plan, the Optionee agrees and consents that the Company and/or the Employer may in their discretion seek indemnification / reimbursement from the Optionee for any FBT the Employer is required to pay, has paid or will pay. If the Company and/or the Employer exercise such discretion and choose to seek indemnification / reimbursement from the Optionee, they will reduce the number of Shares otherwise issuable to the Optionee by an amount determined by the Company to be appropriate to offset the FBT, and may otherwise recover the FBT by any other means referred to in Section 7 of the Agreement. The Optionee further acknowledges that the discretion of the Company and/or Employer to seek indemnification for the FBT is not imbalanced or harmful to the Optionee, and the Optionee unconditionally and irrevocably waives any rights to amend or dispute its validity on the basis of any law or regulation of Estonia or any other jurisdiction.</w:t>
      </w:r>
    </w:p>
    <w:p>
      <w:pPr>
        <w:spacing w:after="0" w:line="208"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(Option)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440" w:right="65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By accepting the grant of the Option, the Optionee confirms having read and understood the documents related to the grant (the Agreement and the Plan), which were provided in the English language, and that he or she does not need the translation thereof into the Estonian language. The Optionee accepts the terms of those documents accordingly.</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Options Not Tax-Qualified</w:t>
      </w:r>
      <w:r>
        <w:rPr>
          <w:rFonts w:ascii="Times New Roman" w:cs="Times New Roman" w:eastAsia="Times New Roman" w:hAnsi="Times New Roman"/>
          <w:sz w:val="16"/>
          <w:szCs w:val="16"/>
          <w:color w:val="auto"/>
        </w:rPr>
        <w:t>. The Optionee understand that this Option is not intended to qualify for favorable tax and social security treatment applicable to stock options granted under Section L.225-177 to L.225-186 and Sections L. 22-10-56 to L. 22-10-58 of the French Commercial Code, as amended.</w:t>
      </w:r>
    </w:p>
    <w:p>
      <w:pPr>
        <w:spacing w:after="0" w:line="164"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66"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En signant et renvoyant cet Accord, ou par acceptant autrement l’Accord, le Titulaire de l’Option confirme ainsi avoir lu et compris les documents relatifs à l’Option, (c’est-à-dire, Le Plan, Le Plan pour la France et cet Accord) qui ont été fournis en langue anglaise. Le Titulaire de l’Option accepte les termes de ces documents en connaissance de cause.</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Option Shares outside France or maintaining a foreign bank account are required to report such to French tax authorities when filing his or her annual tax return. Failure to comply may trigger significant penalties.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21"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Optionee otherwise makes or receives a payment in excess of €12,500 (including if the Optionee acquires Option Shares with a value in excess of this amount or sells Option Shares via a foreign broker, bank or service provider and receives proceeds in excess of this amount) and/or if the Company withholds or sells Option Shares with a value in excess of this amount to cover Tax-Related Items, the Optionee must report the payment and/or the value of the Option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 Meldeportal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000FF"/>
        </w:rPr>
        <w:t>www.bundesbank.de</w:t>
      </w:r>
      <w:r>
        <w:rPr>
          <w:rFonts w:ascii="Times New Roman" w:cs="Times New Roman" w:eastAsia="Times New Roman" w:hAnsi="Times New Roman"/>
          <w:sz w:val="16"/>
          <w:szCs w:val="16"/>
          <w:color w:val="auto"/>
        </w:rPr>
        <w:t>), or by such other method (e.g., email or telephone) and within such other timing as permitted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required by Bundesbank. The report must be submitted monthly or within such timing as it permitted or required by the Bundesbank. It is the Optionee’s responsibility to comply with this reporting obligation and the Optionee should consult with his or her personal legal advisor in this regard.</w:t>
      </w:r>
    </w:p>
    <w:p>
      <w:pPr>
        <w:spacing w:after="0" w:line="171"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 xml:space="preserve">Foreign Asset/Account Reporting Information. If the Optionee’s acquisition of Option Shares under the Plan leads to a “qualified participation” at any point during the calendar year, the Optionee will need to report the acquisition when the Optionee files his or her tax return for the relevant year. A qualified participation is attained if (i) the value of the Option Shares acquired exceeds a certain threshold or (ii) in the unlikely event the Optionee holds shares of Common Stock </w:t>
      </w:r>
      <w:r>
        <w:rPr>
          <w:rFonts w:ascii="Times New Roman" w:cs="Times New Roman" w:eastAsia="Times New Roman" w:hAnsi="Times New Roman"/>
          <w:sz w:val="16"/>
          <w:szCs w:val="16"/>
          <w:color w:val="auto"/>
          <w:highlight w:val="white"/>
        </w:rPr>
        <w:t xml:space="preserve">exceeding a certain threshold of the total Common Stock. </w:t>
      </w:r>
      <w:r>
        <w:rPr>
          <w:rFonts w:ascii="Times New Roman" w:cs="Times New Roman" w:eastAsia="Times New Roman" w:hAnsi="Times New Roman"/>
          <w:sz w:val="16"/>
          <w:szCs w:val="16"/>
          <w:color w:val="auto"/>
        </w:rPr>
        <w:t>However, provided the Common Stock is listed on a recognized stock exchange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the Nasdaq Stock</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Market) and the Optionee owns less than 1% of the Company, this requirement will not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-430530</wp:posOffset>
            </wp:positionV>
            <wp:extent cx="672084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20840" cy="222885"/>
                    </a:xfrm>
                    <a:prstGeom prst="rect">
                      <a:avLst/>
                    </a:prstGeom>
                    <a:noFill/>
                  </pic:spPr>
                </pic:pic>
              </a:graphicData>
            </a:graphic>
          </wp:anchor>
        </w:drawing>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the Optionee remits funds out of India to purchase Option Shares, it is the Optionee’s responsibility to comply with applicable exchange control laws. The Optionee may be subject to Tax Collection At Source (“TCS”) if the Optionee’s annual remittances out of India exceed a certain amount (currently INR 700,000). The Optionee may be required to provide a declaration to the bank remitting the funds to determine if such amount has been reached.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or such other period of time as required under applicable regulations.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 The Optionee agrees to provide any information that may be required by the Company or the Employer to make any applicable filings under exchange control laws in India.</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440" w:right="659" w:bottom="1440" w:gutter="0" w:footer="0" w:header="0"/>
          <w:type w:val="continuous"/>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declare any foreign bank accounts and assets (including Option Shares acquired under the Plan) on his or her annual tax return. The Optionee should consult with his or her personal tax advisor to determine his or her reporting requirements.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Labor Law Acknowledgment</w:t>
      </w:r>
      <w:r>
        <w:rPr>
          <w:rFonts w:ascii="Times New Roman" w:cs="Times New Roman" w:eastAsia="Times New Roman" w:hAnsi="Times New Roman"/>
          <w:sz w:val="16"/>
          <w:szCs w:val="16"/>
          <w:color w:val="auto"/>
        </w:rPr>
        <w:t>. This provision supplements Section 8 of the Agreement:</w:t>
      </w:r>
    </w:p>
    <w:p>
      <w:pPr>
        <w:spacing w:after="0" w:line="140" w:lineRule="exact"/>
        <w:rPr>
          <w:sz w:val="20"/>
          <w:szCs w:val="20"/>
          <w:color w:val="auto"/>
        </w:rPr>
      </w:pPr>
    </w:p>
    <w:p>
      <w:pPr>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the benefits received under the Plan will not be taken into account for any redundancy or unfair dismissal claim.</w:t>
      </w:r>
    </w:p>
    <w:p>
      <w:pPr>
        <w:spacing w:after="0" w:line="164" w:lineRule="exact"/>
        <w:rPr>
          <w:sz w:val="20"/>
          <w:szCs w:val="20"/>
          <w:color w:val="auto"/>
        </w:rPr>
      </w:pPr>
    </w:p>
    <w:p>
      <w:pPr>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Restriction on Type of Shares Issued to Directors</w:t>
      </w:r>
      <w:r>
        <w:rPr>
          <w:rFonts w:ascii="Times New Roman" w:cs="Times New Roman" w:eastAsia="Times New Roman" w:hAnsi="Times New Roman"/>
          <w:sz w:val="16"/>
          <w:szCs w:val="16"/>
          <w:color w:val="auto"/>
        </w:rPr>
        <w:t>. If the Optionee is a director of an Irish Subsidiary, the Option will be granted over newly issued shares only. In no event will treasury shares be issued pursuant to the exercise of the Option. This restriction also applies to a shadow director of an Irish Subsidiary.</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This provision supplements Section 4 of the Agreement:</w:t>
      </w:r>
    </w:p>
    <w:p>
      <w:pPr>
        <w:spacing w:after="0" w:line="221"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w:t>
      </w:r>
    </w:p>
    <w:p>
      <w:pPr>
        <w:jc w:val="both"/>
        <w:ind w:left="180" w:hanging="8"/>
        <w:spacing w:after="0" w:line="224" w:lineRule="auto"/>
        <w:tabs>
          <w:tab w:leader="none" w:pos="37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Options does not constitute a public offering under the Securities Law, 1968.</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Option, the Optionee acknowledges a copy of the Plan was made available to the Optionee, and that the Optionee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Optionee further acknowledges that he or she has read and specifically and expressly approves the following provision in the Agreement: Term of Option; Termination of Employment; Withholding Taxes; Nature of Grant; and Additional Requirements.</w:t>
      </w:r>
    </w:p>
    <w:p>
      <w:pPr>
        <w:spacing w:after="0" w:line="164"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Option Shares (and other the financial assets) held outside Italy by individuals resident of Italy may be subject to a foreign asset tax. The taxable amount will be the fair market value of the financial assets (e.g., Option Shares) assessed at the end of the calendar year. The value of financial assets held abroad must be reported in Form RM of the annual tax return. The Optionee should consult his or her personal tax advisor for additional information on the foreign asset tax.</w:t>
      </w:r>
    </w:p>
    <w:p>
      <w:pPr>
        <w:spacing w:after="0" w:line="20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holds investments abroad or foreign financial assets (e.g., cash, Option Shares, Options) that may generate income taxable in Italy, the Optionee is required to report them on his or her annual tax returns (UNICO Form, RW Schedule) or on a special form if no tax return is due, irrespective of their value. The same reporting duties apply to the Optionee if he or she is a beneficial owner of the investments, even if the Optionee does not directly hold investments abroad or foreign assets.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Japanese resident and acquires Option Shares valued at more than ¥100,000,000 in a single transaction, the Optionee must file a Securities Acquisition Report with the Ministry of Finance through the Bank of Japan within 20 days of the acquisition of the Option Shares.</w:t>
      </w:r>
    </w:p>
    <w:p>
      <w:pPr>
        <w:spacing w:after="0" w:line="20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In addition, if the Optionee is a Japanese resident and pays more than ¥30,000,000 in a single transaction for the purchase of Option Shares when he or she exercises the option, the Optionee must file a Payment Report with the Ministry of Finance through the Bank of Japan by the 20th day following the month in which the payment was made. The precise reporting requirements vary depending on whether the relevant payment is made through a bank in Japan. The Optionee should consult with his or her legal advisor in this regard.</w:t>
      </w:r>
    </w:p>
    <w:p>
      <w:pPr>
        <w:spacing w:after="0" w:line="208"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A Payment Report is required independently of a Securities Acquisition Report. Therefore, if the total amount that the Optionee pays upon a one-time transaction for exercising this Option and purchasing Option Shares exceeds ¥100,000,000, then the Optionee must file both a Payment Report and a Securities Acquisition Report.</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440" w:right="65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will be required to report details of any assets held outside Japan as of December 31st to the extent such assets have a total net fair market value exceeding ¥50,000,000. This report is due by March 15th each year. The Optionee should consult with his or her personal tax advisor as to whether the reporting obligation applies to him or her and whether the requirement extends to any outstanding Options or Option Shares acquired under the Plan.</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Optionee should consult with his or her personal tax advisor to determine any personal reporting obligations.</w:t>
      </w:r>
    </w:p>
    <w:p>
      <w:pPr>
        <w:spacing w:after="0" w:line="209"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Restriction on Sale of Shares.</w:t>
      </w:r>
      <w:r>
        <w:rPr>
          <w:rFonts w:ascii="Times New Roman" w:cs="Times New Roman" w:eastAsia="Times New Roman" w:hAnsi="Times New Roman"/>
          <w:sz w:val="16"/>
          <w:szCs w:val="16"/>
          <w:color w:val="auto"/>
        </w:rPr>
        <w:t xml:space="preserve"> Korean residents are not permitted to sell foreign securities (e.g., Option Shares) through non-Korean brokers or deposit funds resulting from the sale of Option Shares in an account with an overseas financial institution. If a Korean resident wishes to sell Option Shares acquired under the Plan, the Korean resident may be required to transfer the Option Shares to a domestic investment broker in Korea and to effect the sale through such broker. The Korean resident is solely responsible for engaging the domestic broker. Non-compliance with the requirement to sell Option Shares through a domestic broker can result in significant penalties. Because regulations may change without notice, Korean residents should consult with a legal advisor to ensure compliance with any regulations applicable to any aspect of participation in the Plan.</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23"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of a Subsidiary of the Company or other related company in Malaysia, then the Optionee is subject to certain notification requirements under the Malaysian Companies Act, 2016.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following provision replaces the Data Privacy Information and Consent provision under the Terms and Conditions for Optionees Outside the</w:t>
      </w:r>
    </w:p>
    <w:p>
      <w:pPr>
        <w:ind w:left="180"/>
        <w:spacing w:after="0"/>
        <w:rPr>
          <w:sz w:val="20"/>
          <w:szCs w:val="20"/>
          <w:color w:val="auto"/>
        </w:rPr>
      </w:pPr>
      <w:r>
        <w:rPr>
          <w:rFonts w:ascii="Times New Roman" w:cs="Times New Roman" w:eastAsia="Times New Roman" w:hAnsi="Times New Roman"/>
          <w:sz w:val="16"/>
          <w:szCs w:val="16"/>
          <w:color w:val="auto"/>
        </w:rPr>
        <w:t>U.S.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440" w:right="6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drawing>
          <wp:anchor simplePos="0" relativeHeight="251657728" behindDoc="1" locked="0" layoutInCell="0" allowOverlap="1">
            <wp:simplePos x="0" y="0"/>
            <wp:positionH relativeFrom="page">
              <wp:posOffset>422275</wp:posOffset>
            </wp:positionH>
            <wp:positionV relativeFrom="page">
              <wp:posOffset>1726565</wp:posOffset>
            </wp:positionV>
            <wp:extent cx="3120390"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203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60"/>
        <w:spacing w:after="0" w:line="222" w:lineRule="auto"/>
        <w:rPr>
          <w:sz w:val="20"/>
          <w:szCs w:val="20"/>
          <w:color w:val="auto"/>
        </w:rPr>
      </w:pPr>
      <w:r>
        <w:rPr>
          <w:rFonts w:ascii="Times New Roman" w:cs="Times New Roman" w:eastAsia="Times New Roman" w:hAnsi="Times New Roman"/>
          <w:sz w:val="16"/>
          <w:szCs w:val="16"/>
          <w:b w:val="1"/>
          <w:bCs w:val="1"/>
          <w:i w:val="1"/>
          <w:iCs w:val="1"/>
          <w:color w:val="auto"/>
        </w:rPr>
        <w:t>The Optionee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Optionee's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-645160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-628015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-610870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-593725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-576580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-559435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-542290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-525145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-508000</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-490855</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-473710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-456565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-439420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-422275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-405130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-387985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-370840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-353695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-336550</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-319405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-302260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-285115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-267970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-250825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-233680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-216535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-199390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-182245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-165100</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-147955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-130810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-113665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-96520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-79375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-62230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-45085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-27940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-10795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5715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22860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40005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57150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74295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91440</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108585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-645160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-628015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-610870</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-593725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-576580</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-559435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-542290</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-525145</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-508000</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-490855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-473710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-456565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-439420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-422275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-405130</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-387985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-370840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-353695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-336550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-319405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-302260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-285115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-267970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-250825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-233680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-216535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-199390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-182245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-165100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-147955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-130810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-113665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-96520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-79375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-62230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-45085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-27940</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-10795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5715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22860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40005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57150</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74295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91440</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108585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74" w:lineRule="exact"/>
        <w:rPr>
          <w:sz w:val="20"/>
          <w:szCs w:val="20"/>
          <w:color w:val="auto"/>
        </w:rPr>
      </w:pPr>
    </w:p>
    <w:p>
      <w:pPr>
        <w:jc w:val="both"/>
        <w:ind w:left="260"/>
        <w:spacing w:after="0" w:line="212" w:lineRule="auto"/>
        <w:rPr>
          <w:sz w:val="20"/>
          <w:szCs w:val="20"/>
          <w:color w:val="auto"/>
        </w:rPr>
      </w:pPr>
      <w:r>
        <w:rPr>
          <w:rFonts w:ascii="Times New Roman" w:cs="Times New Roman" w:eastAsia="Times New Roman" w:hAnsi="Times New Roman"/>
          <w:sz w:val="16"/>
          <w:szCs w:val="16"/>
          <w:b w:val="1"/>
          <w:bCs w:val="1"/>
          <w:i w:val="1"/>
          <w:iCs w:val="1"/>
          <w:color w:val="auto"/>
        </w:rPr>
        <w:t>The Optionee understands that the Company and the Employer may hold certain personal information about the Optionee, including, but not limited to, his or her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purpose of implementing, administering and managing the Plan (“Data”). The source of the Data is the Employer as well as information the Optionee is providing to the Company and the Employer in connection with the Option. The Optionee understands that Data may be transferred to Fidelity or any other third parties as may be selected by the Company in the future, which are assisting in the implementation, administration and management of the Plan, that these recipients may be located in the Optionee’s country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the Company, Fidelity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including any requisite transfer of such Data as may be required to a broker or other third party with whom the Optionee may elect to deposit any Shares acquired upon exercise of this Option.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a refusal to consent or withdrawal of consent, the Optionee understands that he or she may contact his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-4124325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-4107180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-4090035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-4072890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-4055745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-4038600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-4021455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-4004310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-3987165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-3970020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-3952875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-3935730</wp:posOffset>
            </wp:positionV>
            <wp:extent cx="8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-3918585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-3901440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-3884295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-3867150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-3850005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-3832860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-3815715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-3798570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-3781425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-3764280</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-3747135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-3729990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-3712845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-3695700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-3678555</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-3661410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-3644265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-3627120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-3609975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-3592830</wp:posOffset>
            </wp:positionV>
            <wp:extent cx="82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-3575685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-3558540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-3541395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-3524250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-3507105</wp:posOffset>
            </wp:positionV>
            <wp:extent cx="8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-3489960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-3472815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-3455670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-3438525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-3421380</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-3404235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-3387090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-3369945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-3352800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-3335655</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-3318510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-3301365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-3284220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-3267075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-3249930</wp:posOffset>
            </wp:positionV>
            <wp:extent cx="8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-3232785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-3215640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-3198495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-3181350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-3164205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-3147060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-3129915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-3112770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-3095625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-3078480</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-3061335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-3044190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-3027045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-3009900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-2992755</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-2975610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-2958465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-2941320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-2924175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-2907030</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-2889885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-2872740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-2855595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-2838450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-2821305</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-2804160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-2787015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-2769870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-2752725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-2735580</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-2718435</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-2701290</wp:posOffset>
            </wp:positionV>
            <wp:extent cx="82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-2684145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-2667000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-2649855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-2632710</wp:posOffset>
            </wp:positionV>
            <wp:extent cx="8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-2615565</wp:posOffset>
            </wp:positionV>
            <wp:extent cx="82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-2598420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-2581275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-2564130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-2546985</wp:posOffset>
            </wp:positionV>
            <wp:extent cx="82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-2529840</wp:posOffset>
            </wp:positionV>
            <wp:extent cx="82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-2512695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-2495550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-2478405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-2461260</wp:posOffset>
            </wp:positionV>
            <wp:extent cx="82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-2444115</wp:posOffset>
            </wp:positionV>
            <wp:extent cx="82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-2426970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-2409825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-2392680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-2375535</wp:posOffset>
            </wp:positionV>
            <wp:extent cx="8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-2358390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-2341245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-2324100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-2306955</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-2289810</wp:posOffset>
            </wp:positionV>
            <wp:extent cx="82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-2272665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-2255520</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-2238375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-2221230</wp:posOffset>
            </wp:positionV>
            <wp:extent cx="8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-2204085</wp:posOffset>
            </wp:positionV>
            <wp:extent cx="82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-2186940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-2169795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-2152650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-2135505</wp:posOffset>
            </wp:positionV>
            <wp:extent cx="8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-2118360</wp:posOffset>
            </wp:positionV>
            <wp:extent cx="8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-2101215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-2084070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-2066925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-2049780</wp:posOffset>
            </wp:positionV>
            <wp:extent cx="8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-2032635</wp:posOffset>
            </wp:positionV>
            <wp:extent cx="8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-2015490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-1998345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-1981200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-1964055</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-1946910</wp:posOffset>
            </wp:positionV>
            <wp:extent cx="82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-1929765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-1912620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-1895475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-1878330</wp:posOffset>
            </wp:positionV>
            <wp:extent cx="82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-1861185</wp:posOffset>
            </wp:positionV>
            <wp:extent cx="8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-1844040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-1826895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-1809750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-1792605</wp:posOffset>
            </wp:positionV>
            <wp:extent cx="82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-1775460</wp:posOffset>
            </wp:positionV>
            <wp:extent cx="82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-1758315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-1741170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-1724025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-1706880</wp:posOffset>
            </wp:positionV>
            <wp:extent cx="82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-1689735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-1672590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-1655445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-1638300</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-1621155</wp:posOffset>
            </wp:positionV>
            <wp:extent cx="8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-1604010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-1586865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-1569720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-1552575</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-1535430</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-1518285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-1501140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-1483995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-1466850</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-1449705</wp:posOffset>
            </wp:positionV>
            <wp:extent cx="8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-1432560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-1415415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-1398270</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-1381125</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-1363980</wp:posOffset>
            </wp:positionV>
            <wp:extent cx="8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-1346835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-1329690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-1312545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-1295400</wp:posOffset>
            </wp:positionV>
            <wp:extent cx="82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-1278255</wp:posOffset>
            </wp:positionV>
            <wp:extent cx="82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-1261110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-1243965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-1226820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-1209675</wp:posOffset>
            </wp:positionV>
            <wp:extent cx="8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-1192530</wp:posOffset>
            </wp:positionV>
            <wp:extent cx="8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-1175385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-1158240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-1141095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-1123950</wp:posOffset>
            </wp:positionV>
            <wp:extent cx="82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-1106805</wp:posOffset>
            </wp:positionV>
            <wp:extent cx="8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-1089660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-1072515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-1055370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-1038225</wp:posOffset>
            </wp:positionV>
            <wp:extent cx="82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-1021080</wp:posOffset>
            </wp:positionV>
            <wp:extent cx="82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-1003935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-986790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-969645</wp:posOffset>
            </wp:positionV>
            <wp:extent cx="82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-952500</wp:posOffset>
            </wp:positionV>
            <wp:extent cx="82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-935355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-918210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-901065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-883920</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-866775</wp:posOffset>
            </wp:positionV>
            <wp:extent cx="82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-849630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-832485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-815340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-798195</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-781050</wp:posOffset>
            </wp:positionV>
            <wp:extent cx="82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-763905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-746760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-729615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-712470</wp:posOffset>
            </wp:positionV>
            <wp:extent cx="82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-695325</wp:posOffset>
            </wp:positionV>
            <wp:extent cx="82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-678180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-661035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-643890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-626745</wp:posOffset>
            </wp:positionV>
            <wp:extent cx="82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-609600</wp:posOffset>
            </wp:positionV>
            <wp:extent cx="82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-592455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-575310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-558165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-541020</wp:posOffset>
            </wp:positionV>
            <wp:extent cx="82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-523875</wp:posOffset>
            </wp:positionV>
            <wp:extent cx="825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-506730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-489585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-472440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-455295</wp:posOffset>
            </wp:positionV>
            <wp:extent cx="82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-438150</wp:posOffset>
            </wp:positionV>
            <wp:extent cx="825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-421005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-403860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-386715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-369570</wp:posOffset>
            </wp:positionV>
            <wp:extent cx="82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-352425</wp:posOffset>
            </wp:positionV>
            <wp:extent cx="82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-335280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-318135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-300990</wp:posOffset>
            </wp:positionV>
            <wp:extent cx="82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-283845</wp:posOffset>
            </wp:positionV>
            <wp:extent cx="825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-249555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-232410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-215265</wp:posOffset>
            </wp:positionV>
            <wp:extent cx="82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-198120</wp:posOffset>
            </wp:positionV>
            <wp:extent cx="82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-180975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-163830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-146685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-129540</wp:posOffset>
            </wp:positionV>
            <wp:extent cx="82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-112395</wp:posOffset>
            </wp:positionV>
            <wp:extent cx="82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-78105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-60960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-43815</wp:posOffset>
            </wp:positionV>
            <wp:extent cx="82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wp:posOffset>
            </wp:positionV>
            <wp:extent cx="825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-4124325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-4107180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-4090035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-4072890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-4055745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-4038600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-4021455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-4004310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-3987165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-3970020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-3952875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-3935730</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-3918585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-3901440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-3884295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-3867150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-3850005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-3832860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-3815715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-3798570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-3781425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-3764280</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-3747135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-3729990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-3712845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-3695700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-3678555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-3661410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-3644265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-3627120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-3609975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-3592830</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-3575685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-3558540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-3541395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-3524250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-3507105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-3489960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-3472815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-3455670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-3438525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-3421380</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-3404235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-3387090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-3369945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-3352800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-3335655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-3318510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-3301365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-3284220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-3267075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-3249930</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-3232785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-3215640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-3198495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-3181350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-3164205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-3147060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-3129915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-3112770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-3095625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-3078480</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-3061335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-3044190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-3027045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-3009900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-2992755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-2975610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-2958465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-2941320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-2924175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-2907030</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-2889885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-2872740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-2855595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-2838450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-2821305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-2804160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-2787015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-2769870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-2752725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-2735580</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-2718435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-2701290</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-2684145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-2667000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-2649855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-2632710</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-2615565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-2598420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-2581275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-2564130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-2546985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-2529840</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-2512695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-2495550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-2478405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-2461260</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-2444115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-2426970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-2409825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-2392680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-2375535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-2358390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-2341245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-2324100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-2306955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-2289810</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-2272665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-2255520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-2238375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-2221230</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-2204085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-2186940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-2169795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-2152650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-2135505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-2118360</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-2101215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-2084070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-2066925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-2049780</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-2032635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-2015490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-1998345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-1981200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-1964055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-1946910</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-1929765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-1912620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-1895475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-1878330</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-1861185</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-1844040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-1826895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-1809750</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-1792605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-1775460</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-1758315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-1741170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-1724025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-1706880</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-1689735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-1672590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-1655445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-1638300</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-1621155</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-1604010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-1586865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-1569720</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-1552575</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-1535430</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-1518285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-1501140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-1483995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-1466850</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-1449705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-1432560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-1415415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-1398270</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-1381125</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-1363980</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-1346835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-1329690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-1312545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-1295400</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-1278255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-1261110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-1243965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-1226820</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-1209675</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-1192530</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-1175385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-1158240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-1141095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-1123950</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-1106805</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-1089660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-1072515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-1055370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-1038225</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-1021080</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-1003935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-986790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-969645</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-952500</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-935355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-918210</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-901065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-883920</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-866775</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-849630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-832485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-815340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-798195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-781050</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-763905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-746760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-729615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-712470</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-695325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-678180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-661035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-643890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-626745</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-609600</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-592455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-575310</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-558165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-541020</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-523875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-506730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-489585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-472440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-455295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-438150</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-421005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-403860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-386715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-369570</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-352425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-335280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-318135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-300990</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-283845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-266700</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-249555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-232410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-215265</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-198120</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-180975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-163830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-146685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-129540</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-112395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-78105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-60960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-43815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jc w:val="both"/>
        <w:ind w:left="260"/>
        <w:spacing w:after="0" w:line="231" w:lineRule="auto"/>
        <w:rPr>
          <w:sz w:val="20"/>
          <w:szCs w:val="20"/>
          <w:color w:val="auto"/>
        </w:rPr>
      </w:pPr>
      <w:r>
        <w:rPr>
          <w:rFonts w:ascii="Times New Roman" w:cs="Times New Roman" w:eastAsia="Times New Roman" w:hAnsi="Times New Roman"/>
          <w:sz w:val="16"/>
          <w:szCs w:val="16"/>
          <w:b w:val="1"/>
          <w:bCs w:val="1"/>
          <w:i w:val="1"/>
          <w:iCs w:val="1"/>
          <w:color w:val="auto"/>
        </w:rPr>
        <w:t>her regional stock plan administrator at 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-218440</wp:posOffset>
            </wp:positionV>
            <wp:extent cx="3120390" cy="2317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12039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6"/>
          <w:szCs w:val="16"/>
          <w:b w:val="1"/>
          <w:bCs w:val="1"/>
          <w:i w:val="1"/>
          <w:iCs w:val="1"/>
          <w:color w:val="auto"/>
        </w:rPr>
        <w:t>Pemegang Opsyen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Pemegang Opsyen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-732790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-715645</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-698500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-681355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-664210</wp:posOffset>
            </wp:positionV>
            <wp:extent cx="825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-647065</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-629920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-612775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-595630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-578485</wp:posOffset>
            </wp:positionV>
            <wp:extent cx="825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-561340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-544195</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-527050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-509905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-492760</wp:posOffset>
            </wp:positionV>
            <wp:extent cx="825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-475615</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-458470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-441325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-424180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-407035</wp:posOffset>
            </wp:positionV>
            <wp:extent cx="825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-389890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-372745</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-355600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-338455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-321310</wp:posOffset>
            </wp:positionV>
            <wp:extent cx="825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-304165</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-287020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-269875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-252730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-235585</wp:posOffset>
            </wp:positionV>
            <wp:extent cx="825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-218440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-201295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-184150</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-167005</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-149860</wp:posOffset>
            </wp:positionV>
            <wp:extent cx="825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-132715</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-115570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-98425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-81280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-64135</wp:posOffset>
            </wp:positionV>
            <wp:extent cx="825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-46990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-29845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-12700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20955</wp:posOffset>
            </wp:positionV>
            <wp:extent cx="825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38100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55245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72390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89535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-758190</wp:posOffset>
            </wp:positionV>
            <wp:extent cx="345440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454400" cy="17145"/>
                    </a:xfrm>
                    <a:prstGeom prst="rect">
                      <a:avLst/>
                    </a:prstGeom>
                    <a:noFill/>
                  </pic:spPr>
                </pic:pic>
              </a:graphicData>
            </a:graphic>
          </wp:anchor>
        </w:drawing>
      </w:r>
    </w:p>
    <w:p>
      <w:pPr>
        <w:spacing w:after="0" w:line="14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Pemegang Opsyen memahami bahawa Syarikat dan Majikan mungkin memegang maklumat peribadi tertentu tentang Pemegang Opsyen, termasuk, tetapi tidak terhad kepada, namanya , alamat rumah dan nombor telefon, tarikh lahir, nombor insurans sosial atau nombor pengenalan lain, gaji, kewarganegaraan, jawatan, apa-apa syer dalam saham atau jawatan pengarah yang dipegang dalam Syarikat, butir-butir semua opsyen atau apa-apa hak lain untuk syer dalam saham yang dianugerahkan, dibatalkan, dilaksanakan, terletak hak, tidak diletak hak ataupun yang belum dijelaskan bagi faedah Pemegang Opsyen, untuk tujuan eksklusif bagi melaksanakan, mentadbir dan menguruskan Pelan (“Data”). Sumber Data adalah daripada Majikan dan juga daripada maklumat yang dibekalkan oleh Pemegang Opsyen kepada Syarikat dan Majikan berkenaan dengan Opysen. Pemegang Opysen juga memahami bahawa Data mungkin dipindahkan kepada Fidelity atau mana-mana pihak ketiga yang mungkin dipilih oleh Syarikat pada masa depan, </w:t>
      </w:r>
      <w:r>
        <w:rPr>
          <w:rFonts w:ascii="Times New Roman" w:cs="Times New Roman" w:eastAsia="Times New Roman" w:hAnsi="Times New Roman"/>
          <w:sz w:val="16"/>
          <w:szCs w:val="16"/>
          <w:b w:val="1"/>
          <w:bCs w:val="1"/>
          <w:i w:val="1"/>
          <w:iCs w:val="1"/>
          <w:color w:val="222222"/>
        </w:rPr>
        <w:t>yang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222222"/>
        </w:rPr>
        <w:t xml:space="preserve">membantu dalam pelaksanaan, pentadbiran dan pengurusan Pelan, bahawa penerima-penerima ini mungkin berada di negara Pemegang Opsyen atau di tempat lain, dan bahawa negara penerima (contohnya, Amerika Syarikat) mungkin mempunyai undang-undang privasi data dan perlindungan yang berbeza daripada negara Pemegang Opsyen. Pemegang Opsyen memahami bahawa dia boleh meminta senarai nama dan alamat mana-mana penerima Data dengan menghubungi wakil sumber manusia tempatannya. </w:t>
      </w:r>
      <w:r>
        <w:rPr>
          <w:rFonts w:ascii="Times New Roman" w:cs="Times New Roman" w:eastAsia="Times New Roman" w:hAnsi="Times New Roman"/>
          <w:sz w:val="16"/>
          <w:szCs w:val="16"/>
          <w:b w:val="1"/>
          <w:bCs w:val="1"/>
          <w:i w:val="1"/>
          <w:iCs w:val="1"/>
          <w:color w:val="000000"/>
        </w:rPr>
        <w:t>Pemegang</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 xml:space="preserve">Opsyen memberi kuasa kepada Syarikat, Fidelity, dan mana-mana penerima lain yang mungkin membantu Syarikat (masa sekarang atau pada masa depan) untuk melaksanakan, mentadbir dan menguruskan penyertaan Pemegang Opsyen dalam Pelan untuk menerima, memiliki, menggunakan, mengekalkan dan memindahkan Data, dalam bentuk elektronik atau lain-lain, semata-mata dengan tujuan untuk melaksanakan, mentadbir dan menguruskan penyertaan Pemegang Opsyen dalam Pelan, termasuk apa-apa pemindahan Data yang diperlukan kepada broker atau pihak ketiga dengan siapa Pemegang Opsyen mungkin pilih untuk mendepositkan apa-apa Saham yang diperolehi di atas pelaksanaan Opsyen ini. </w:t>
      </w:r>
      <w:r>
        <w:rPr>
          <w:rFonts w:ascii="Times New Roman" w:cs="Times New Roman" w:eastAsia="Times New Roman" w:hAnsi="Times New Roman"/>
          <w:sz w:val="16"/>
          <w:szCs w:val="16"/>
          <w:b w:val="1"/>
          <w:bCs w:val="1"/>
          <w:i w:val="1"/>
          <w:iCs w:val="1"/>
          <w:color w:val="222222"/>
        </w:rPr>
        <w:t>Pemegang Opsyen memahami</w:t>
      </w:r>
      <w:r>
        <w:rPr>
          <w:rFonts w:ascii="Times New Roman" w:cs="Times New Roman" w:eastAsia="Times New Roman" w:hAnsi="Times New Roman"/>
          <w:sz w:val="16"/>
          <w:szCs w:val="16"/>
          <w:b w:val="1"/>
          <w:bCs w:val="1"/>
          <w:i w:val="1"/>
          <w:iCs w:val="1"/>
          <w:color w:val="000000"/>
        </w:rPr>
        <w:t xml:space="preserve"> </w:t>
      </w:r>
      <w:r>
        <w:rPr>
          <w:rFonts w:ascii="Times New Roman" w:cs="Times New Roman" w:eastAsia="Times New Roman" w:hAnsi="Times New Roman"/>
          <w:sz w:val="16"/>
          <w:szCs w:val="16"/>
          <w:b w:val="1"/>
          <w:bCs w:val="1"/>
          <w:i w:val="1"/>
          <w:iCs w:val="1"/>
          <w:color w:val="222222"/>
        </w:rPr>
        <w:t xml:space="preserve">bahawa Data akan dipegang hanya untuk tempoh yang diperlukan untuk melaksanakan, mentadbir dan menguruskan penyertaannya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tersebut</w:t>
      </w:r>
      <w:r>
        <w:rPr>
          <w:rFonts w:ascii="Times New Roman" w:cs="Times New Roman" w:eastAsia="Times New Roman" w:hAnsi="Times New Roman"/>
          <w:sz w:val="16"/>
          <w:szCs w:val="16"/>
          <w:b w:val="1"/>
          <w:bCs w:val="1"/>
          <w:i w:val="1"/>
          <w:iCs w:val="1"/>
          <w:color w:val="222222"/>
        </w:rPr>
        <w:t>.</w:t>
      </w:r>
      <w:r>
        <w:rPr>
          <w:rFonts w:ascii="Times New Roman" w:cs="Times New Roman" w:eastAsia="Times New Roman" w:hAnsi="Times New Roman"/>
          <w:sz w:val="16"/>
          <w:szCs w:val="16"/>
          <w:b w:val="1"/>
          <w:bCs w:val="1"/>
          <w:i w:val="1"/>
          <w:iCs w:val="1"/>
          <w:color w:val="000000"/>
        </w:rPr>
        <w:t xml:space="preserve"> Pemegang Opsyen memahami bahawa dia boleh, pada bila-bila masa, </w:t>
      </w:r>
      <w:r>
        <w:rPr>
          <w:rFonts w:ascii="Times New Roman" w:cs="Times New Roman" w:eastAsia="Times New Roman" w:hAnsi="Times New Roman"/>
          <w:sz w:val="16"/>
          <w:szCs w:val="16"/>
          <w:b w:val="1"/>
          <w:bCs w:val="1"/>
          <w:i w:val="1"/>
          <w:iCs w:val="1"/>
          <w:color w:val="222222"/>
        </w:rPr>
        <w:t xml:space="preserve">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Pemegang Opsyen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 keengganan atau penarikan balik persetujuannya boleh menjejaskan 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 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 balik keizinan, Pemegang Opsyen fahami bahawa dia boleh menghubungi pentadbir pelan saham serantau di </w:t>
      </w:r>
      <w:r>
        <w:rPr>
          <w:rFonts w:ascii="Times New Roman" w:cs="Times New Roman" w:eastAsia="Times New Roman" w:hAnsi="Times New Roman"/>
          <w:sz w:val="16"/>
          <w:szCs w:val="16"/>
          <w:b w:val="1"/>
          <w:bCs w:val="1"/>
          <w:i w:val="1"/>
          <w:iCs w:val="1"/>
          <w:color w:val="000000"/>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22225</wp:posOffset>
            </wp:positionV>
            <wp:extent cx="825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22225</wp:posOffset>
            </wp:positionV>
            <wp:extent cx="825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22225</wp:posOffset>
            </wp:positionV>
            <wp:extent cx="825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22225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22225</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22225</wp:posOffset>
            </wp:positionV>
            <wp:extent cx="825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22225</wp:posOffset>
            </wp:positionV>
            <wp:extent cx="825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22225</wp:posOffset>
            </wp:positionV>
            <wp:extent cx="825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22225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22225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22225</wp:posOffset>
            </wp:positionV>
            <wp:extent cx="825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22225</wp:posOffset>
            </wp:positionV>
            <wp:extent cx="825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22225</wp:posOffset>
            </wp:positionV>
            <wp:extent cx="825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22225</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22225</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22225</wp:posOffset>
            </wp:positionV>
            <wp:extent cx="825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22225</wp:posOffset>
            </wp:positionV>
            <wp:extent cx="825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22225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22225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22225</wp:posOffset>
            </wp:positionV>
            <wp:extent cx="825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22225</wp:posOffset>
            </wp:positionV>
            <wp:extent cx="825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22225</wp:posOffset>
            </wp:positionV>
            <wp:extent cx="825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22225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22225</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22225</wp:posOffset>
            </wp:positionV>
            <wp:extent cx="825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22225</wp:posOffset>
            </wp:positionV>
            <wp:extent cx="825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22225</wp:posOffset>
            </wp:positionV>
            <wp:extent cx="825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22225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22225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22225</wp:posOffset>
            </wp:positionV>
            <wp:extent cx="82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22225</wp:posOffset>
            </wp:positionV>
            <wp:extent cx="825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22225</wp:posOffset>
            </wp:positionV>
            <wp:extent cx="825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22225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22225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22225</wp:posOffset>
            </wp:positionV>
            <wp:extent cx="825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22225</wp:posOffset>
            </wp:positionV>
            <wp:extent cx="825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22225</wp:posOffset>
            </wp:positionV>
            <wp:extent cx="825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22225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22225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22225</wp:posOffset>
            </wp:positionV>
            <wp:extent cx="825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22225</wp:posOffset>
            </wp:positionV>
            <wp:extent cx="825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22225</wp:posOffset>
            </wp:positionV>
            <wp:extent cx="825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22225</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22225</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22225</wp:posOffset>
            </wp:positionV>
            <wp:extent cx="825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22225</wp:posOffset>
            </wp:positionV>
            <wp:extent cx="825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22225</wp:posOffset>
            </wp:positionV>
            <wp:extent cx="825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22225</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22225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22225</wp:posOffset>
            </wp:positionV>
            <wp:extent cx="825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22225</wp:posOffset>
            </wp:positionV>
            <wp:extent cx="825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22225</wp:posOffset>
            </wp:positionV>
            <wp:extent cx="825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22225</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22225</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22225</wp:posOffset>
            </wp:positionV>
            <wp:extent cx="825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22225</wp:posOffset>
            </wp:positionV>
            <wp:extent cx="825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22225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22225</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22225</wp:posOffset>
            </wp:positionV>
            <wp:extent cx="825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22225</wp:posOffset>
            </wp:positionV>
            <wp:extent cx="825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22225</wp:posOffset>
            </wp:positionV>
            <wp:extent cx="825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22225</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22225</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22225</wp:posOffset>
            </wp:positionV>
            <wp:extent cx="825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22225</wp:posOffset>
            </wp:positionV>
            <wp:extent cx="825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22225</wp:posOffset>
            </wp:positionV>
            <wp:extent cx="825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22225</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22225</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22225</wp:posOffset>
            </wp:positionV>
            <wp:extent cx="825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22225</wp:posOffset>
            </wp:positionV>
            <wp:extent cx="825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22225</wp:posOffset>
            </wp:positionV>
            <wp:extent cx="825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22225</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22225</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22225</wp:posOffset>
            </wp:positionV>
            <wp:extent cx="825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22225</wp:posOffset>
            </wp:positionV>
            <wp:extent cx="825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22225</wp:posOffset>
            </wp:positionV>
            <wp:extent cx="825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22225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22225</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22225</wp:posOffset>
            </wp:positionV>
            <wp:extent cx="825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22225</wp:posOffset>
            </wp:positionV>
            <wp:extent cx="825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22225</wp:posOffset>
            </wp:positionV>
            <wp:extent cx="825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22225</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22225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22225</wp:posOffset>
            </wp:positionV>
            <wp:extent cx="825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22225</wp:posOffset>
            </wp:positionV>
            <wp:extent cx="825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22225</wp:posOffset>
            </wp:positionV>
            <wp:extent cx="825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22225</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22225</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22225</wp:posOffset>
            </wp:positionV>
            <wp:extent cx="825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22225</wp:posOffset>
            </wp:positionV>
            <wp:extent cx="825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22225</wp:posOffset>
            </wp:positionV>
            <wp:extent cx="825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22225</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22225</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22225</wp:posOffset>
            </wp:positionV>
            <wp:extent cx="825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22225</wp:posOffset>
            </wp:positionV>
            <wp:extent cx="825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22225</wp:posOffset>
            </wp:positionV>
            <wp:extent cx="825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22225</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22225</wp:posOffset>
            </wp:positionV>
            <wp:extent cx="825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22225</wp:posOffset>
            </wp:positionV>
            <wp:extent cx="825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22225</wp:posOffset>
            </wp:positionV>
            <wp:extent cx="825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22225</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22225</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22225</wp:posOffset>
            </wp:positionV>
            <wp:extent cx="825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22225</wp:posOffset>
            </wp:positionV>
            <wp:extent cx="825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22225</wp:posOffset>
            </wp:positionV>
            <wp:extent cx="825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22225</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22225</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22225</wp:posOffset>
            </wp:positionV>
            <wp:extent cx="825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22225</wp:posOffset>
            </wp:positionV>
            <wp:extent cx="825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22225</wp:posOffset>
            </wp:positionV>
            <wp:extent cx="825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22225</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22225</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22225</wp:posOffset>
            </wp:positionV>
            <wp:extent cx="825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22225</wp:posOffset>
            </wp:positionV>
            <wp:extent cx="825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22225</wp:posOffset>
            </wp:positionV>
            <wp:extent cx="825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22225</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22225</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22225</wp:posOffset>
            </wp:positionV>
            <wp:extent cx="825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22225</wp:posOffset>
            </wp:positionV>
            <wp:extent cx="825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22225</wp:posOffset>
            </wp:positionV>
            <wp:extent cx="825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22225</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22225</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22225</wp:posOffset>
            </wp:positionV>
            <wp:extent cx="825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22225</wp:posOffset>
            </wp:positionV>
            <wp:extent cx="825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22225</wp:posOffset>
            </wp:positionV>
            <wp:extent cx="825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22225</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22225</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22225</wp:posOffset>
            </wp:positionV>
            <wp:extent cx="825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22225</wp:posOffset>
            </wp:positionV>
            <wp:extent cx="825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22225</wp:posOffset>
            </wp:positionV>
            <wp:extent cx="825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22225</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22225</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22225</wp:posOffset>
            </wp:positionV>
            <wp:extent cx="825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22225</wp:posOffset>
            </wp:positionV>
            <wp:extent cx="825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22225</wp:posOffset>
            </wp:positionV>
            <wp:extent cx="825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22225</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22225</wp:posOffset>
            </wp:positionV>
            <wp:extent cx="825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22225</wp:posOffset>
            </wp:positionV>
            <wp:extent cx="825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22225</wp:posOffset>
            </wp:positionV>
            <wp:extent cx="825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22225</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22225</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22225</wp:posOffset>
            </wp:positionV>
            <wp:extent cx="825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22225</wp:posOffset>
            </wp:positionV>
            <wp:extent cx="825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22225</wp:posOffset>
            </wp:positionV>
            <wp:extent cx="825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22225</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22225</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22225</wp:posOffset>
            </wp:positionV>
            <wp:extent cx="825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22225</wp:posOffset>
            </wp:positionV>
            <wp:extent cx="825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22225</wp:posOffset>
            </wp:positionV>
            <wp:extent cx="825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22225</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22225</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22225</wp:posOffset>
            </wp:positionV>
            <wp:extent cx="825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22225</wp:posOffset>
            </wp:positionV>
            <wp:extent cx="825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22225</wp:posOffset>
            </wp:positionV>
            <wp:extent cx="825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22225</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22225</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22225</wp:posOffset>
            </wp:positionV>
            <wp:extent cx="825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22225</wp:posOffset>
            </wp:positionV>
            <wp:extent cx="825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22225</wp:posOffset>
            </wp:positionV>
            <wp:extent cx="825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22225</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22225</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22225</wp:posOffset>
            </wp:positionV>
            <wp:extent cx="825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22225</wp:posOffset>
            </wp:positionV>
            <wp:extent cx="825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22225</wp:posOffset>
            </wp:positionV>
            <wp:extent cx="825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22225</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22225</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22225</wp:posOffset>
            </wp:positionV>
            <wp:extent cx="825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22225</wp:posOffset>
            </wp:positionV>
            <wp:extent cx="825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22225</wp:posOffset>
            </wp:positionV>
            <wp:extent cx="825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22225</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22225</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22225</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22225</wp:posOffset>
            </wp:positionV>
            <wp:extent cx="825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22225</wp:posOffset>
            </wp:positionV>
            <wp:extent cx="8255"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22225</wp:posOffset>
            </wp:positionV>
            <wp:extent cx="825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22225</wp:posOffset>
            </wp:positionV>
            <wp:extent cx="825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22225</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22225</wp:posOffset>
            </wp:positionV>
            <wp:extent cx="8255"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22225</wp:posOffset>
            </wp:positionV>
            <wp:extent cx="8255"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22225</wp:posOffset>
            </wp:positionV>
            <wp:extent cx="825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22225</wp:posOffset>
            </wp:positionV>
            <wp:extent cx="825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22225</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22225</wp:posOffset>
            </wp:positionV>
            <wp:extent cx="825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22225</wp:posOffset>
            </wp:positionV>
            <wp:extent cx="825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22225</wp:posOffset>
            </wp:positionV>
            <wp:extent cx="825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22225</wp:posOffset>
            </wp:positionV>
            <wp:extent cx="825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22225</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22225</wp:posOffset>
            </wp:positionV>
            <wp:extent cx="825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22225</wp:posOffset>
            </wp:positionV>
            <wp:extent cx="825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22225</wp:posOffset>
            </wp:positionV>
            <wp:extent cx="825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22225</wp:posOffset>
            </wp:positionV>
            <wp:extent cx="825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22225</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22225</wp:posOffset>
            </wp:positionV>
            <wp:extent cx="8255"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22225</wp:posOffset>
            </wp:positionV>
            <wp:extent cx="8255"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22225</wp:posOffset>
            </wp:positionV>
            <wp:extent cx="825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22225</wp:posOffset>
            </wp:positionV>
            <wp:extent cx="825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22225</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22225</wp:posOffset>
            </wp:positionV>
            <wp:extent cx="8255"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22225</wp:posOffset>
            </wp:positionV>
            <wp:extent cx="825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22225</wp:posOffset>
            </wp:positionV>
            <wp:extent cx="825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-4537710</wp:posOffset>
            </wp:positionV>
            <wp:extent cx="825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-4520565</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-4503420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-4486275</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-4469130</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-4451985</wp:posOffset>
            </wp:positionV>
            <wp:extent cx="825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-4434840</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-4417695</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-4400550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-4383405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-4366260</wp:posOffset>
            </wp:positionV>
            <wp:extent cx="825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-4349115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-4331970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-4314825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-4297680</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-4280535</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-4263390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-4246245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-4229100</wp:posOffset>
            </wp:positionV>
            <wp:extent cx="8255"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-4211955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-4194810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-4177665</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-4160520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-4143375</wp:posOffset>
            </wp:positionV>
            <wp:extent cx="825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-4126230</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-4109085</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-4091940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-4074795</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-4057650</wp:posOffset>
            </wp:positionV>
            <wp:extent cx="825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-4040505</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-4023360</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-4006215</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-3989070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-3971925</wp:posOffset>
            </wp:positionV>
            <wp:extent cx="825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-3954780</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-3937635</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-3920490</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-3903345</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-3886200</wp:posOffset>
            </wp:positionV>
            <wp:extent cx="825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-3869055</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-3851910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-3834765</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-3817620</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-3800475</wp:posOffset>
            </wp:positionV>
            <wp:extent cx="825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-3783330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-3766185</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-3749040</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-3731895</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-3714750</wp:posOffset>
            </wp:positionV>
            <wp:extent cx="825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-3697605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-3680460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-3663315</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-3646170</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-3629025</wp:posOffset>
            </wp:positionV>
            <wp:extent cx="825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-3611880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-3594735</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-3577590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-3560445</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-3543300</wp:posOffset>
            </wp:positionV>
            <wp:extent cx="825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-3526155</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-3509010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-3491865</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-3474720</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-3457575</wp:posOffset>
            </wp:positionV>
            <wp:extent cx="825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-3440430</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-3423285</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-3406140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-3388995</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-3371850</wp:posOffset>
            </wp:positionV>
            <wp:extent cx="825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-3354705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-3337560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-3320415</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-3303270</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-3286125</wp:posOffset>
            </wp:positionV>
            <wp:extent cx="825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-3268980</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-3251835</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-3234690</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-3217545</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-3200400</wp:posOffset>
            </wp:positionV>
            <wp:extent cx="825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-3183255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-3166110</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-3148965</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-3131820</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-3114675</wp:posOffset>
            </wp:positionV>
            <wp:extent cx="825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-3097530</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-3080385</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-3063240</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-3046095</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-3028950</wp:posOffset>
            </wp:positionV>
            <wp:extent cx="8255"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-3011805</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-2994660</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-2977515</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-2960370</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-2943225</wp:posOffset>
            </wp:positionV>
            <wp:extent cx="8255"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-2926080</wp:posOffset>
            </wp:positionV>
            <wp:extent cx="8255"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-2908935</wp:posOffset>
            </wp:positionV>
            <wp:extent cx="8255"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-2891790</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-2874645</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-2857500</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-2840355</wp:posOffset>
            </wp:positionV>
            <wp:extent cx="8255"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-2823210</wp:posOffset>
            </wp:positionV>
            <wp:extent cx="8255"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-2806065</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-2788920</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-2771775</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-2754630</wp:posOffset>
            </wp:positionV>
            <wp:extent cx="825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-2737485</wp:posOffset>
            </wp:positionV>
            <wp:extent cx="825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-2720340</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-2703195</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-2686050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-2668905</wp:posOffset>
            </wp:positionV>
            <wp:extent cx="8255"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-2651760</wp:posOffset>
            </wp:positionV>
            <wp:extent cx="8255"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-2634615</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-2617470</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-2600325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-2583180</wp:posOffset>
            </wp:positionV>
            <wp:extent cx="8255"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-2566035</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-2548890</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-2531745</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-2514600</wp:posOffset>
            </wp:positionV>
            <wp:extent cx="8255"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-2497455</wp:posOffset>
            </wp:positionV>
            <wp:extent cx="8255"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-2480310</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-2463165</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-2446020</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-2428875</wp:posOffset>
            </wp:positionV>
            <wp:extent cx="825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-2411730</wp:posOffset>
            </wp:positionV>
            <wp:extent cx="825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-2394585</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-2377440</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-2360295</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-2343150</wp:posOffset>
            </wp:positionV>
            <wp:extent cx="8255"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-2326005</wp:posOffset>
            </wp:positionV>
            <wp:extent cx="8255"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-2308860</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-2291715</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-2274570</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-2257425</wp:posOffset>
            </wp:positionV>
            <wp:extent cx="8255"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-2240280</wp:posOffset>
            </wp:positionV>
            <wp:extent cx="825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-2223135</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-2205990</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-2188845</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-2171700</wp:posOffset>
            </wp:positionV>
            <wp:extent cx="8255"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-2154555</wp:posOffset>
            </wp:positionV>
            <wp:extent cx="825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-2137410</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-2120265</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-2103120</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-2085975</wp:posOffset>
            </wp:positionV>
            <wp:extent cx="8255"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-2068830</wp:posOffset>
            </wp:positionV>
            <wp:extent cx="8255"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-2051685</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-2034540</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-2017395</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-2000250</wp:posOffset>
            </wp:positionV>
            <wp:extent cx="8255"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-1983105</wp:posOffset>
            </wp:positionV>
            <wp:extent cx="8255"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-1965960</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-1948815</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-1931670</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-1914525</wp:posOffset>
            </wp:positionV>
            <wp:extent cx="8255"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-1897380</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-1880235</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-1863090</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-1845945</wp:posOffset>
            </wp:positionV>
            <wp:extent cx="8255"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-1828800</wp:posOffset>
            </wp:positionV>
            <wp:extent cx="8255"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-1811655</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-1794510</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-1777365</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-1760220</wp:posOffset>
            </wp:positionV>
            <wp:extent cx="8255"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-1743075</wp:posOffset>
            </wp:positionV>
            <wp:extent cx="8255"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-1725930</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-1708785</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-1691640</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-1674495</wp:posOffset>
            </wp:positionV>
            <wp:extent cx="8255"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-1657350</wp:posOffset>
            </wp:positionV>
            <wp:extent cx="825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-1640205</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-1623060</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-1605915</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-1588770</wp:posOffset>
            </wp:positionV>
            <wp:extent cx="8255"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-1571625</wp:posOffset>
            </wp:positionV>
            <wp:extent cx="825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-1554480</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-1537335</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-1520190</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-1503045</wp:posOffset>
            </wp:positionV>
            <wp:extent cx="8255"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-1485900</wp:posOffset>
            </wp:positionV>
            <wp:extent cx="8255"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-1468755</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-1451610</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-1434465</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-1417320</wp:posOffset>
            </wp:positionV>
            <wp:extent cx="8255"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-1400175</wp:posOffset>
            </wp:positionV>
            <wp:extent cx="8255"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-1383030</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-1365885</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-1348740</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-1331595</wp:posOffset>
            </wp:positionV>
            <wp:extent cx="8255"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-1314450</wp:posOffset>
            </wp:positionV>
            <wp:extent cx="8255"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-1297305</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-1280160</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-1263015</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-1245870</wp:posOffset>
            </wp:positionV>
            <wp:extent cx="8255"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-1228725</wp:posOffset>
            </wp:positionV>
            <wp:extent cx="8255"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-1211580</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-1194435</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-1177290</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-1160145</wp:posOffset>
            </wp:positionV>
            <wp:extent cx="8255"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-1143000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-1125855</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-1108710</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-1091565</wp:posOffset>
            </wp:positionV>
            <wp:extent cx="825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-1074420</wp:posOffset>
            </wp:positionV>
            <wp:extent cx="8255"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-1057275</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-1040130</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-1022985</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-1005840</wp:posOffset>
            </wp:positionV>
            <wp:extent cx="825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-988695</wp:posOffset>
            </wp:positionV>
            <wp:extent cx="8255"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-971550</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-954405</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-937260</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-920115</wp:posOffset>
            </wp:positionV>
            <wp:extent cx="8255"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-902970</wp:posOffset>
            </wp:positionV>
            <wp:extent cx="8255"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-885825</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-868680</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-851535</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-834390</wp:posOffset>
            </wp:positionV>
            <wp:extent cx="8255"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-817245</wp:posOffset>
            </wp:positionV>
            <wp:extent cx="8255"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-800100</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-782955</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-765810</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-748665</wp:posOffset>
            </wp:positionV>
            <wp:extent cx="8255"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-731520</wp:posOffset>
            </wp:positionV>
            <wp:extent cx="8255"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-714375</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-697230</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-680085</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-662940</wp:posOffset>
            </wp:positionV>
            <wp:extent cx="8255"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-645795</wp:posOffset>
            </wp:positionV>
            <wp:extent cx="8255"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-628650</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-611505</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-594360</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-577215</wp:posOffset>
            </wp:positionV>
            <wp:extent cx="8255"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-560070</wp:posOffset>
            </wp:positionV>
            <wp:extent cx="8255"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-542925</wp:posOffset>
            </wp:positionV>
            <wp:extent cx="825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-525780</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-508635</wp:posOffset>
            </wp:positionV>
            <wp:extent cx="8255"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-491490</wp:posOffset>
            </wp:positionV>
            <wp:extent cx="8255"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-474345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-457200</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-440055</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-422910</wp:posOffset>
            </wp:positionV>
            <wp:extent cx="8255"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-405765</wp:posOffset>
            </wp:positionV>
            <wp:extent cx="8255"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-388620</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-371475</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-354330</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-337185</wp:posOffset>
            </wp:positionV>
            <wp:extent cx="8255"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-320040</wp:posOffset>
            </wp:positionV>
            <wp:extent cx="8255"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-302895</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-285750</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-268605</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-251460</wp:posOffset>
            </wp:positionV>
            <wp:extent cx="8255"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-234315</wp:posOffset>
            </wp:positionV>
            <wp:extent cx="8255"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-217170</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-200025</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-182880</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-165735</wp:posOffset>
            </wp:positionV>
            <wp:extent cx="8255"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-148590</wp:posOffset>
            </wp:positionV>
            <wp:extent cx="8255"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-131445</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-114300</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-97155</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-80010</wp:posOffset>
            </wp:positionV>
            <wp:extent cx="8255"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-62865</wp:posOffset>
            </wp:positionV>
            <wp:extent cx="8255"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-45720</wp:posOffset>
            </wp:positionV>
            <wp:extent cx="825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5080</wp:posOffset>
            </wp:positionV>
            <wp:extent cx="8255"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22225</wp:posOffset>
            </wp:positionV>
            <wp:extent cx="8255"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5020" w:space="140"/>
            <w:col w:w="5320"/>
          </w:cols>
          <w:pgMar w:left="480" w:top="1440"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0480"/>
          </w:cols>
          <w:pgMar w:left="480" w:top="1440" w:right="93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38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the Optionee acknowledges that he or she has received a copy of the Plan, has reviewed the Plan in its entirety and fully understands and accepts all provisions of the Plan. The Optionee further acknowledges that he or she has read and expressly approves the terms and conditions set forth in the Nature of Grant paragraph of the Agreement, in which the following is clearly described and established: (i) the Optionee’s participation in the Plan does not constitute an acquired right; (ii) the Plan and the Optionee’s participation in the Plan are offered by the Company on a wholly discretionary basis; (iii) the Optionee’s participation in the Plan is voluntary; and (iv) the Company and its Subsidiaries are not responsible for any decrease in the value of the Option granted and/or the Option Shares issued under the Plan.</w:t>
      </w:r>
    </w:p>
    <w:p>
      <w:pPr>
        <w:spacing w:after="0" w:line="11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Optionee expressly recognizes that Analog Devices, Inc., with registered offices at One Analog Way, Wilmington, Massachusetts, 01887 U.S.A., is solely responsible for the administration of the Plan and that the Optionee’s participation in the Plan and acquisition of Option Shares does not constitute an employment relationship between the Optionee and the Company since the Optionee is participating in the Plan on a wholly commercial basis. Based on the foregoing, the Optionee expressly recognizes that the Plan and the benefits that the Optionee may derive from participation in the Plan do not establish any rights between the Optionee and the Company and do not form part of the employment conditions and/or benefits provided by the Company and any modification of the Plan or its termination shall not constitute a change or impairment of the terms and conditions of the Optionee’s employment.</w:t>
      </w:r>
    </w:p>
    <w:p>
      <w:pPr>
        <w:spacing w:after="0" w:line="11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Optionee further understands that the Optionee's participation in the Plan is as a result of a unilateral and discretionary decision of the Company; therefore, the Company reserves the absolute right to amend and/or discontinue the Optionee’s participation at any time without any liability to the Optionee.</w:t>
      </w:r>
    </w:p>
    <w:p>
      <w:pPr>
        <w:spacing w:after="0" w:line="110"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Optionee hereby declares that the Optionee does not reserve any action or right to bring any claim against the Company for any compensation or damages regarding any provision of the Plan or the benefits derived under the Plan, and the Optionee therefore grants a full and broad release to the Company, its Subsidiaries, branches, representation offices, its shareholders, officers, agents or legal representatives with respect to any claim that may arise.</w:t>
      </w:r>
    </w:p>
    <w:p>
      <w:pPr>
        <w:spacing w:after="0" w:line="112"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 Opción ofrecida y/o las Acciones distribuidas bajo el Plan.</w:t>
      </w:r>
    </w:p>
    <w:p>
      <w:pPr>
        <w:spacing w:after="0" w:line="11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13"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06"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70"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granted, and any Option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Option may not be publicly distributed in Mexico. These materials are addressed to the Optionee because of the Optionee’s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1080"/>
          </w:cols>
          <w:pgMar w:left="480" w:top="1440"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Optionee maintains bank or brokerage accounts holding cash and foreign securities (including Option Shares) outside Poland, the Optionee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Optionee understands that he or she is required to store all documents connected with any foreign exchange transactions for a period of five years, as measured from the end of the year in which such transaction occurred. The Optionee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10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deposits the proceeds from the sale of Option Shares acquired at exercise of the Option in a bank account in Romania, the Optionee may be required to provide the Romanian bank with appropriate documentation explaining the source of the funds. The Optionee should consult his or her personal advisor to determine whether he or she will be required to submit such documentation to the Romanian bank.</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37" w:lineRule="exact"/>
        <w:rPr>
          <w:sz w:val="20"/>
          <w:szCs w:val="20"/>
          <w:color w:val="auto"/>
        </w:rPr>
      </w:pPr>
    </w:p>
    <w:p>
      <w:pPr>
        <w:jc w:val="both"/>
        <w:ind w:left="180" w:right="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Options and the issuance of any Option Shares are not subject to the regulations concerning public offers and private placements under the Law on Capital Markets.</w:t>
      </w:r>
    </w:p>
    <w:p>
      <w:pPr>
        <w:spacing w:after="0" w:line="137" w:lineRule="exact"/>
        <w:rPr>
          <w:sz w:val="20"/>
          <w:szCs w:val="20"/>
          <w:color w:val="auto"/>
        </w:rPr>
      </w:pPr>
    </w:p>
    <w:p>
      <w:pPr>
        <w:jc w:val="both"/>
        <w:ind w:left="180" w:right="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Optionee is permitted to acquire Option Shares under the Plan, but a report may need to be made of the acquisition of such Option Shares, the value of the Option Shares at exercise, and, on a quarterly basis, any changes in the value of the Option Shares. As the exchange control regulations in Serbia may change without notice, the Optionee should consult with his or her personal advisor with respect to all applicable reporting obligations.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right="10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Options are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 and in accordance with any other applicable provision of the SFA.</w:t>
      </w:r>
    </w:p>
    <w:p>
      <w:pPr>
        <w:spacing w:after="0" w:line="212" w:lineRule="exact"/>
        <w:rPr>
          <w:sz w:val="20"/>
          <w:szCs w:val="20"/>
          <w:color w:val="auto"/>
        </w:rPr>
      </w:pPr>
    </w:p>
    <w:p>
      <w:pPr>
        <w:jc w:val="both"/>
        <w:ind w:left="180" w:right="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associate director or shadow director of a Subsidiary of the Company or other related company in Singapore, the Optionee is subject to certain notification requirements under the Singapore Companies Act. Among these requirements is 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(i) acquiring or disposing of any interest in the Company or any related company, or (ii) any change in a previously-disclosed interest (e.g., upon exercise of the Options or when Option Shares are subsequently sold). In addition, a notification must be made of the Optionee’s interests in the Company or any related company within two (2) business days of becoming a director, associate director, or shadow director. If the Optionee is the chief executive officer (“CEO”) of a Singapore Subsidiary and the above notification requirements are determined to apply to the CEO of a Singapore Subsidiary, the above notification requirements also may apply to the Optionee.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23" w:lineRule="exact"/>
        <w:rPr>
          <w:sz w:val="20"/>
          <w:szCs w:val="20"/>
          <w:color w:val="auto"/>
        </w:rPr>
      </w:pPr>
    </w:p>
    <w:p>
      <w:pPr>
        <w:jc w:val="both"/>
        <w:ind w:left="180" w:right="80"/>
        <w:spacing w:after="0" w:line="223" w:lineRule="auto"/>
        <w:rPr>
          <w:sz w:val="20"/>
          <w:szCs w:val="20"/>
          <w:color w:val="auto"/>
        </w:rPr>
      </w:pPr>
      <w:r>
        <w:rPr>
          <w:rFonts w:ascii="Times New Roman" w:cs="Times New Roman" w:eastAsia="Times New Roman" w:hAnsi="Times New Roman"/>
          <w:sz w:val="16"/>
          <w:szCs w:val="16"/>
          <w:u w:val="single" w:color="auto"/>
          <w:color w:val="auto"/>
        </w:rPr>
        <w:t>No Entitlement for Claims or Compensation</w:t>
      </w:r>
      <w:r>
        <w:rPr>
          <w:rFonts w:ascii="Times New Roman" w:cs="Times New Roman" w:eastAsia="Times New Roman" w:hAnsi="Times New Roman"/>
          <w:sz w:val="16"/>
          <w:szCs w:val="16"/>
          <w:color w:val="auto"/>
        </w:rPr>
        <w:t>. By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w:t>
      </w:r>
    </w:p>
    <w:p>
      <w:pPr>
        <w:sectPr>
          <w:pgSz w:w="11900" w:h="16838" w:orient="portrait"/>
          <w:cols w:equalWidth="0" w:num="1">
            <w:col w:w="10840"/>
          </w:cols>
          <w:pgMar w:left="48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840"/>
          </w:cols>
          <w:pgMar w:left="480" w:top="1440" w:right="57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198"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color w:val="auto"/>
        </w:rPr>
        <w:t>Further, and except as provided in Sections 3(e) or 3(g) of the Agreement in the event Optionee dies or becomes Disabled, the vesting of the Option is expressly conditioned on the Optionee’s continued rendering of service, such that if the Optionee’s employment terminates for any reason whatsoever, the Options will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(i.e., subject to a “</w:t>
      </w:r>
      <w:r>
        <w:rPr>
          <w:rFonts w:ascii="Times New Roman" w:cs="Times New Roman" w:eastAsia="Times New Roman" w:hAnsi="Times New Roman"/>
          <w:sz w:val="16"/>
          <w:szCs w:val="16"/>
          <w:i w:val="1"/>
          <w:iCs w:val="1"/>
          <w:color w:val="auto"/>
        </w:rPr>
        <w:t>despido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improcedente</w:t>
      </w:r>
      <w:r>
        <w:rPr>
          <w:rFonts w:ascii="Times New Roman" w:cs="Times New Roman" w:eastAsia="Times New Roman" w:hAnsi="Times New Roman"/>
          <w:sz w:val="16"/>
          <w:szCs w:val="16"/>
          <w:color w:val="auto"/>
        </w:rPr>
        <w:t>”); (2) the Optionee is dismissed for disciplinary or objective reasons or due to a collective dismissal; (3) the Optionee terminates service due to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will automatically lose any rights to Options that were not vested on the date of the Optionee’s termination of employment, as described in the Plan and the Agreement. The Optionee understands that the Option grant would not be made to the Optionee but for the assumptions and conditions referred to above; thus, the Optionee acknowledges and freely accepts that should any or all of the assumptions be mistaken or should any of the conditions not be met for any reason, then any Option grant shall be null and void.</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Optionee acknowledges that he or she has read and specifically accepts the conditions referred to in Section 3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Options and the Option Shares issued upon exercise of the Option are considered a private placement outside the scope of Spanish laws on public offerings and issuances of securities. No “offer of securities to the public”, as defined under Spanish law, has taken place or will take place in the Spanish territory. This Agreement has not been 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xml:space="preserve"> and does not constitute a public offering prospectus.</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Optionee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Optionee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Optionee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210"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Optionee holds assets (e.g., cash or Option Shares held in a bank or brokerage account) outside Spain with a value in excess of €50,000 per type of asset (e.g., Option Shares, cash, and so on) as of December 31 each year, the Optionee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w:t>
      </w:r>
    </w:p>
    <w:p>
      <w:pPr>
        <w:spacing w:after="0" w:line="1" w:lineRule="exact"/>
        <w:rPr>
          <w:sz w:val="20"/>
          <w:szCs w:val="20"/>
          <w:color w:val="auto"/>
        </w:rPr>
      </w:pPr>
    </w:p>
    <w:p>
      <w:pPr>
        <w:ind w:left="180" w:hanging="8"/>
        <w:spacing w:after="0" w:line="231" w:lineRule="auto"/>
        <w:tabs>
          <w:tab w:leader="none" w:pos="42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this reporting requirement may result in penalties to the Optionee. Accordingly, the Optionee should consult with his or her personal tax and legal advisors to ensure that he or she is properly complying with his or her reporting obligations.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Automatic Cashless Exercise and Sale</w:t>
      </w:r>
      <w:r>
        <w:rPr>
          <w:rFonts w:ascii="Times New Roman" w:cs="Times New Roman" w:eastAsia="Times New Roman" w:hAnsi="Times New Roman"/>
          <w:sz w:val="16"/>
          <w:szCs w:val="16"/>
          <w:color w:val="auto"/>
        </w:rPr>
        <w:t>. The grant of the Option is conditioned on the Optionee’s agreement to the below.</w:t>
      </w:r>
    </w:p>
    <w:p>
      <w:pPr>
        <w:spacing w:after="0" w:line="221"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Optionee agrees that, if he or she has not previously exercised the Option to the maximum extent possible in accordance with its terms prior to the first day on which the closing price of the Common Stock on the Nasdaq Global Select Market (“Nasdaq”) equals or exceeds 200% of the Exercise Price, then the Optionee will be deemed to have exercised the Option to the maximum extent possible in accordance with its terms on such date by means of a cashless exercise in the manner described in the Plan and the Agreement and to have directed the immediate sale of all of the Option Shares thereby purchased. The Optionee hereby authorizes the Company (or its designated broker pursuant to this authorization) to effect such cashless exercise and sale transaction on the Optionee’s behalf as soon as administratively possible, and to cause to be remitted to the Optionee the net proceeds, after deduction of the Exercise Price and all Tax-Related Items required to be withheld by the Company or the Employer.</w:t>
      </w:r>
    </w:p>
    <w:p>
      <w:pPr>
        <w:spacing w:after="0" w:line="16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To the extent that the Option by its terms is not exercisable on such date, the Optionee will be deemed to have exercised the Option and directed the immediate sale of all of the Option Shares thereby purchased on the first day thereafter on which it becomes exercisable on which the closing price of the Common Stock on the Nasdaq equals or exceeds 200% of the Exercise Price, and the Optionee grants the same authority to the Company as set forth in the preceding sentence. The Optionee agrees to execute and deliver any documentation which the Company’s designated broker may require in connection with this arrangement. The Company is authorized to act in this matter on behalf of the Employer.</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0760"/>
          </w:cols>
          <w:pgMar w:left="480" w:top="1440" w:right="65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7 of the Agreement:</w:t>
      </w:r>
    </w:p>
    <w:p>
      <w:pPr>
        <w:spacing w:after="0" w:line="22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7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Option grant is not intended to be a public offering in Switzerland and is therefore not subject to registration in Switzerland. Neither this document nor any materials relating to the Option Shares (i) constitutes a prospectus according to articles 35 et. seq. of the Swiss Federal Act on Financial Services (“FinSA”) (ii) may be publicly distributed or otherwise made publicly available in Switzerland to any person other than an employee of the Company or a Subsidiary of the Company, or (iii) has been or will be filed with, approved or supervised by any Swiss regulatory authority (in particular, the Swiss Financial Supervisory Authority (FINMA)).</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Optionee acknowledges that he or she has read and understands the terms regarding collection, processing and transfer of Data contained in the Data Privacy Information and Consent provision of the Terms and Conditions for Optionees outside the U.S. and agrees that, upon the request of the Company or the Employer, the Optionee will provide any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9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Option Shares) into Taiwan up to US$5,000,000 per year without justification.</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Optionee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23"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Thai resident and the Optionee realizes sale proceeds equal to or in excess of a specified threshold (currently US$1,000,000) in a single transaction, the Optionee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Optionee can rely on an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Optionee understands he or she must specifically report the inward remittance to the Bank of Thailand on a Foreign Exchange Transaction Form. The Optionee is responsible for ensuring compliance with all exchange control laws in Thailand.</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Exercising Option</w:t>
      </w:r>
      <w:r>
        <w:rPr>
          <w:rFonts w:ascii="Times New Roman" w:cs="Times New Roman" w:eastAsia="Times New Roman" w:hAnsi="Times New Roman"/>
          <w:sz w:val="16"/>
          <w:szCs w:val="16"/>
          <w:color w:val="auto"/>
        </w:rPr>
        <w:t>. This provision supplements Section 4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Due to legal restrictions in Turkey, Optionee may be required to exercise his or her option using the cashless sell-all exercise method whereby all Option Shares subject to the exercised option will be sold immediately upon exercise and the proceeds of the sale, less the Exercise Price, any Tax-Related Items and broker's fees or commissions will be remitted to Optionee in accordance with any applicable laws and regulations. Optionee will not be permitted to acquire and hold Option Shares after exercise. The Company reserves the right to provide additional methods of exercise to Optionee depending on the development of local law.</w:t>
      </w:r>
    </w:p>
    <w:p>
      <w:pPr>
        <w:spacing w:after="0" w:line="20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Optionee is not permitted to sell any Option Shares acquired under the Plan in Turkey. The Option Shares are currently traded on the Nasdaq Global Select Market, under the ticker symbol “ADI” and the Option Shares may be sold through this exchange.</w:t>
      </w:r>
    </w:p>
    <w:p>
      <w:pPr>
        <w:spacing w:after="0" w:line="19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Optionee may be required to engage a Turkish financial intermediary to assist with the sale of Option Shares acquired under the Plan. As the Optionee is solely responsible for complying with any applicable financial intermediary requirements, the Optionee should consider consulting his or her personal legal advisor prior to the exercise of the Options or any sale of Option Shares to ensure compliance.</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760"/>
          </w:cols>
          <w:pgMar w:left="480" w:top="1440" w:right="659"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pacing w:after="0" w:line="167"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7 of the Agreement, the Optionee agrees that the Optionee is liable for all Tax-Related Items and hereby covenants to pay all such Tax-Related Items, as and when requested by the Company or the Employer or by HM Revenue and Customs (“HMRC”) (or any other tax authority or any other relevant authority). The Optionee also agrees to indemnify and keep indemnified the Company and the Employer against any Tax–Related Items that they are required to pay or withhold or have paid or will pay to HMRC (or any other tax authority or any other relevant authority) on the Optionee’s behalf.</w:t>
      </w:r>
    </w:p>
    <w:p>
      <w:pPr>
        <w:spacing w:after="0" w:line="15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Optionee is a director or executive officer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Optionee by any of the means referred to in Section 7 of the Agreement.</w:t>
      </w:r>
    </w:p>
    <w:p>
      <w:pPr>
        <w:spacing w:after="0" w:line="11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1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108"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i w:val="1"/>
          <w:iCs w:val="1"/>
          <w:color w:val="auto"/>
        </w:rPr>
        <w:t>The Joint Election is attached hereto as Appendix C. 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- 13</w:t>
      </w:r>
    </w:p>
    <w:p>
      <w:pPr>
        <w:sectPr>
          <w:pgSz w:w="11900" w:h="16838" w:orient="portrait"/>
          <w:cols w:equalWidth="0" w:num="1">
            <w:col w:w="10760"/>
          </w:cols>
          <w:pgMar w:left="480" w:top="1440" w:right="659" w:bottom="1440" w:gutter="0" w:footer="0" w:header="0"/>
        </w:sectPr>
      </w:pPr>
    </w:p>
    <w:bookmarkStart w:id="44" w:name="page45"/>
    <w:bookmarkEnd w:id="44"/>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6"/>
          <w:szCs w:val="16"/>
          <w:b w:val="1"/>
          <w:bCs w:val="1"/>
          <w:u w:val="single" w:color="auto"/>
          <w:color w:val="auto"/>
        </w:rPr>
        <w:t>APPENDIX B</w:t>
      </w:r>
    </w:p>
    <w:p>
      <w:pPr>
        <w:spacing w:after="0" w:line="2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u w:val="single" w:color="auto"/>
          <w:color w:val="auto"/>
        </w:rPr>
        <w:t>SPECIAL NOTICE FOR DANISH EMPLOYEES</w:t>
      </w:r>
    </w:p>
    <w:p>
      <w:pPr>
        <w:jc w:val="center"/>
        <w:ind w:right="120"/>
        <w:spacing w:after="0"/>
        <w:rPr>
          <w:sz w:val="20"/>
          <w:szCs w:val="20"/>
          <w:color w:val="auto"/>
        </w:rPr>
      </w:pPr>
      <w:r>
        <w:rPr>
          <w:rFonts w:ascii="Times New Roman" w:cs="Times New Roman" w:eastAsia="Times New Roman" w:hAnsi="Times New Roman"/>
          <w:sz w:val="16"/>
          <w:szCs w:val="16"/>
          <w:b w:val="1"/>
          <w:bCs w:val="1"/>
          <w:u w:val="single" w:color="auto"/>
          <w:color w:val="auto"/>
        </w:rPr>
        <w:t>EMPLOYER STATEMENT</w:t>
      </w:r>
    </w:p>
    <w:p>
      <w:pPr>
        <w:spacing w:after="0" w:line="203" w:lineRule="exact"/>
        <w:rPr>
          <w:sz w:val="20"/>
          <w:szCs w:val="20"/>
          <w:color w:val="auto"/>
        </w:rPr>
      </w:pPr>
    </w:p>
    <w:p>
      <w:pPr>
        <w:jc w:val="both"/>
        <w:ind w:left="180" w:right="280"/>
        <w:spacing w:after="0" w:line="245" w:lineRule="auto"/>
        <w:rPr>
          <w:sz w:val="20"/>
          <w:szCs w:val="20"/>
          <w:color w:val="auto"/>
        </w:rPr>
      </w:pPr>
      <w:r>
        <w:rPr>
          <w:rFonts w:ascii="Times New Roman" w:cs="Times New Roman" w:eastAsia="Times New Roman" w:hAnsi="Times New Roman"/>
          <w:sz w:val="16"/>
          <w:szCs w:val="16"/>
          <w:color w:val="auto"/>
        </w:rPr>
        <w:t>If Section 3(1) of the Act on Stock Options in employment relations, as amended as of January 1, 2019 (the “Act”) applies to your stock option grant, you are entitled to receive the following information regarding Analog Devices, Inc.’s (the “Company’s”) stock option program in a separate written statement.</w:t>
      </w:r>
    </w:p>
    <w:p>
      <w:pPr>
        <w:spacing w:after="0" w:line="83" w:lineRule="exact"/>
        <w:rPr>
          <w:sz w:val="20"/>
          <w:szCs w:val="20"/>
          <w:color w:val="auto"/>
        </w:rPr>
      </w:pPr>
    </w:p>
    <w:p>
      <w:pPr>
        <w:jc w:val="both"/>
        <w:ind w:left="180" w:right="280"/>
        <w:spacing w:after="0" w:line="232" w:lineRule="auto"/>
        <w:rPr>
          <w:sz w:val="20"/>
          <w:szCs w:val="20"/>
          <w:color w:val="auto"/>
        </w:rPr>
      </w:pPr>
      <w:r>
        <w:rPr>
          <w:rFonts w:ascii="Times New Roman" w:cs="Times New Roman" w:eastAsia="Times New Roman" w:hAnsi="Times New Roman"/>
          <w:sz w:val="16"/>
          <w:szCs w:val="16"/>
          <w:color w:val="auto"/>
        </w:rPr>
        <w:t>This statement contains only the information mentioned in the Act. The other terms and conditions of your stock option grant are described in detail in the Analog Devices, Inc. Amended and Restated 1996 Stock Incentive Plan (the “Plan”), and the Global Non-Qualified Stock Option Agreement, including the country-specific appendix (the “Agreement”), which have been given to you.</w:t>
      </w:r>
    </w:p>
    <w:p>
      <w:pPr>
        <w:spacing w:after="0" w:line="85"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Time of grant of option to purchase stock</w:t>
      </w: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date for your stock option is the date that the Company approved a grant for you.</w:t>
      </w:r>
    </w:p>
    <w:p>
      <w:pPr>
        <w:spacing w:after="0" w:line="111"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Terms or conditions for option grant</w:t>
      </w:r>
    </w:p>
    <w:p>
      <w:pPr>
        <w:spacing w:after="0" w:line="115" w:lineRule="exact"/>
        <w:rPr>
          <w:sz w:val="20"/>
          <w:szCs w:val="20"/>
          <w:color w:val="auto"/>
        </w:rPr>
      </w:pPr>
    </w:p>
    <w:p>
      <w:pPr>
        <w:jc w:val="both"/>
        <w:ind w:left="180" w:right="280"/>
        <w:spacing w:after="0" w:line="232" w:lineRule="auto"/>
        <w:rPr>
          <w:sz w:val="20"/>
          <w:szCs w:val="20"/>
          <w:color w:val="auto"/>
        </w:rPr>
      </w:pPr>
      <w:r>
        <w:rPr>
          <w:rFonts w:ascii="Times New Roman" w:cs="Times New Roman" w:eastAsia="Times New Roman" w:hAnsi="Times New Roman"/>
          <w:sz w:val="16"/>
          <w:szCs w:val="16"/>
          <w:color w:val="auto"/>
        </w:rPr>
        <w:t>The grant of stock options will be at the sole discretion of the Company. The Company has very broad powers to determine who will receive awards and when, and to set the terms of the awards. The Company may decide, in its sole discretion, not to make any grants of stock options to you in the future. Under the terms of the Plan and the Agreement, you have no entitlement or claim to receive future option grants.</w:t>
      </w:r>
    </w:p>
    <w:p>
      <w:pPr>
        <w:spacing w:after="0" w:line="72"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3.</w:t>
      </w:r>
      <w:r>
        <w:rPr>
          <w:sz w:val="20"/>
          <w:szCs w:val="20"/>
          <w:color w:val="auto"/>
        </w:rPr>
        <w:tab/>
      </w:r>
      <w:r>
        <w:rPr>
          <w:rFonts w:ascii="Times New Roman" w:cs="Times New Roman" w:eastAsia="Times New Roman" w:hAnsi="Times New Roman"/>
          <w:sz w:val="15"/>
          <w:szCs w:val="15"/>
          <w:b w:val="1"/>
          <w:bCs w:val="1"/>
          <w:color w:val="auto"/>
        </w:rPr>
        <w:t>Vesting date or period</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Your stock option will vest in accordance with the vesting schedule set forth in Section 1 of your Agreement.</w:t>
      </w:r>
    </w:p>
    <w:p>
      <w:pPr>
        <w:spacing w:after="0" w:line="111" w:lineRule="exact"/>
        <w:rPr>
          <w:sz w:val="20"/>
          <w:szCs w:val="20"/>
          <w:color w:val="auto"/>
        </w:rPr>
      </w:pPr>
    </w:p>
    <w:p>
      <w:pPr>
        <w:ind w:left="460" w:hanging="288"/>
        <w:spacing w:after="0"/>
        <w:tabs>
          <w:tab w:leader="none" w:pos="46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02" w:lineRule="exact"/>
        <w:rPr>
          <w:sz w:val="20"/>
          <w:szCs w:val="20"/>
          <w:color w:val="auto"/>
        </w:rPr>
      </w:pPr>
    </w:p>
    <w:p>
      <w:pPr>
        <w:ind w:left="180" w:right="300"/>
        <w:spacing w:after="0" w:line="245" w:lineRule="auto"/>
        <w:rPr>
          <w:sz w:val="20"/>
          <w:szCs w:val="20"/>
          <w:color w:val="auto"/>
        </w:rPr>
      </w:pPr>
      <w:r>
        <w:rPr>
          <w:rFonts w:ascii="Times New Roman" w:cs="Times New Roman" w:eastAsia="Times New Roman" w:hAnsi="Times New Roman"/>
          <w:sz w:val="16"/>
          <w:szCs w:val="16"/>
          <w:color w:val="auto"/>
        </w:rPr>
        <w:t>During the exercise period, the stock options can be exercised to purchase stock in the Company at the exercise price stated in the notice of grant which will be no less than 100% of the fair market value of the stock at the time of grant, as determined by the Company.</w:t>
      </w:r>
    </w:p>
    <w:p>
      <w:pPr>
        <w:spacing w:after="0" w:line="81" w:lineRule="exact"/>
        <w:rPr>
          <w:sz w:val="20"/>
          <w:szCs w:val="20"/>
          <w:color w:val="auto"/>
        </w:rPr>
      </w:pPr>
    </w:p>
    <w:p>
      <w:pPr>
        <w:ind w:left="180"/>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5.</w:t>
        <w:tab/>
        <w:t>Your rights upon termination of employment</w:t>
      </w:r>
    </w:p>
    <w:p>
      <w:pPr>
        <w:spacing w:after="0" w:line="115" w:lineRule="exact"/>
        <w:rPr>
          <w:sz w:val="20"/>
          <w:szCs w:val="20"/>
          <w:color w:val="auto"/>
        </w:rPr>
      </w:pPr>
    </w:p>
    <w:p>
      <w:pPr>
        <w:ind w:left="180" w:right="30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exercise of your Options will be determined in accord with the terms of your Agreement. In addition, you will be ineligible to receive any additional Option grants after your termination.</w:t>
      </w:r>
    </w:p>
    <w:p>
      <w:pPr>
        <w:spacing w:after="0" w:line="68" w:lineRule="exact"/>
        <w:rPr>
          <w:sz w:val="20"/>
          <w:szCs w:val="20"/>
          <w:color w:val="auto"/>
        </w:rPr>
      </w:pPr>
    </w:p>
    <w:p>
      <w:pPr>
        <w:ind w:left="460" w:hanging="288"/>
        <w:spacing w:after="0"/>
        <w:tabs>
          <w:tab w:leader="none" w:pos="46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15" w:lineRule="exact"/>
        <w:rPr>
          <w:sz w:val="20"/>
          <w:szCs w:val="20"/>
          <w:color w:val="auto"/>
        </w:rPr>
      </w:pPr>
    </w:p>
    <w:p>
      <w:pPr>
        <w:ind w:left="180" w:right="300"/>
        <w:spacing w:after="0" w:line="245" w:lineRule="auto"/>
        <w:rPr>
          <w:sz w:val="20"/>
          <w:szCs w:val="20"/>
          <w:color w:val="auto"/>
        </w:rPr>
      </w:pPr>
      <w:r>
        <w:rPr>
          <w:rFonts w:ascii="Times New Roman" w:cs="Times New Roman" w:eastAsia="Times New Roman" w:hAnsi="Times New Roman"/>
          <w:sz w:val="16"/>
          <w:szCs w:val="16"/>
          <w:color w:val="auto"/>
        </w:rPr>
        <w:t>The grant of stock options has no immediate financial consequences for you. The value of the options is not taken into account when calculating holiday allowances, pension contributions or other statutory consideration calculated on the basis of salary.</w:t>
      </w:r>
    </w:p>
    <w:p>
      <w:pPr>
        <w:spacing w:after="0" w:line="83" w:lineRule="exact"/>
        <w:rPr>
          <w:sz w:val="20"/>
          <w:szCs w:val="20"/>
          <w:color w:val="auto"/>
        </w:rPr>
      </w:pPr>
    </w:p>
    <w:p>
      <w:pPr>
        <w:ind w:left="18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exercise will not only be dependent on the Company’s financial development, but also on the general development of the stock market. In addition, before or after you exercise your options, the shares of Company stock could decrease in value even below the exercise price.</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Notice Provided By:</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40"/>
          </w:cols>
          <w:pgMar w:left="480" w:top="1440" w:right="379" w:bottom="1440" w:gutter="0" w:footer="0" w:header="0"/>
        </w:sectPr>
      </w:pPr>
    </w:p>
    <w:bookmarkStart w:id="45" w:name="page46"/>
    <w:bookmarkEnd w:id="45"/>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SÆRLIG MEDDELELSE TIL DANSKE MEDARBEJDERE</w:t>
      </w: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ARBEJDSGIVERERKLÆRING</w:t>
      </w:r>
    </w:p>
    <w:p>
      <w:pPr>
        <w:spacing w:after="0" w:line="31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Såfremt § 3, stk. 1, i lov om brug af køberet eller tegningsret m.v. i ansættelsesforhold, som ændret med virkning fra 1. januar 2019 (“Aktieoptionsloven”) finder anvendelse på din tildeling af aktieoptioner, er du berettiget til i en særskilt skriftlig erklæring at modtage følgende oplysninger om Analog Devices, Inc.’s (“Selskabets”) aktieoptionsprogram.</w:t>
      </w:r>
    </w:p>
    <w:p>
      <w:pPr>
        <w:spacing w:after="0" w:line="8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Denne erklæring indeholder kun de oplysninger, der er nævnt i Aktieoptionsloven. De øvrige kriterier og betingelser for din tildeling af aktieoptioner er detaljeret beskrevet i Analog Devices, Inc. Amended and Restated 1996 Stock Incentive Plan (“Planen”) og i Global Non-Qualified Stock Option Agreement inkl. det landespecifikke tillæg (“Aftalen”), som du har fået udleveret.</w:t>
      </w:r>
    </w:p>
    <w:p>
      <w:pPr>
        <w:spacing w:after="0" w:line="72"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Tidspunktet for tildeling af retten til at købe aktier</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Tidspunktet for tildelingen af din aktieoption er den dato, hvor Selskabets godkendte din tildeling.</w:t>
      </w:r>
    </w:p>
    <w:p>
      <w:pPr>
        <w:spacing w:after="0" w:line="111" w:lineRule="exact"/>
        <w:rPr>
          <w:sz w:val="20"/>
          <w:szCs w:val="20"/>
          <w:color w:val="auto"/>
        </w:rPr>
      </w:pPr>
    </w:p>
    <w:p>
      <w:pPr>
        <w:ind w:left="460" w:hanging="288"/>
        <w:spacing w:after="0"/>
        <w:tabs>
          <w:tab w:leader="none" w:pos="460"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Kriterier og betingelser for optionstildelingen</w:t>
      </w:r>
    </w:p>
    <w:p>
      <w:pPr>
        <w:spacing w:after="0" w:line="10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Tildelingen af aktieoptioner sker efter Selskabet eget skøn. Selskabet har meget vide beføjelser til at bestemme, hvem der modtager tildelinger og hvornår, og til at fastsætte betingelserne for tildelingerne. Selskabet kan frit beslutte ikke fremover at tildele dig nogen aktieoptioner. I henhold til Planen og Aftalen har du ikke nogen ret til eller noget krav på i fremtiden at få tildelt optioner.</w:t>
      </w:r>
    </w:p>
    <w:p>
      <w:pPr>
        <w:spacing w:after="0" w:line="85" w:lineRule="exact"/>
        <w:rPr>
          <w:sz w:val="20"/>
          <w:szCs w:val="20"/>
          <w:color w:val="auto"/>
        </w:rPr>
      </w:pPr>
    </w:p>
    <w:p>
      <w:pPr>
        <w:ind w:left="460" w:hanging="288"/>
        <w:spacing w:after="0"/>
        <w:tabs>
          <w:tab w:leader="none" w:pos="460"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Modningstidspunkt eller-periode</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Din aktieoption modnes som anført i den modningsplan, der fremgår af afsnit 1 i Aftalen.</w:t>
      </w:r>
    </w:p>
    <w:p>
      <w:pPr>
        <w:spacing w:after="0" w:line="98" w:lineRule="exact"/>
        <w:rPr>
          <w:sz w:val="20"/>
          <w:szCs w:val="20"/>
          <w:color w:val="auto"/>
        </w:rPr>
      </w:pPr>
    </w:p>
    <w:p>
      <w:pPr>
        <w:ind w:left="460" w:hanging="288"/>
        <w:spacing w:after="0"/>
        <w:tabs>
          <w:tab w:leader="none" w:pos="46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15" w:lineRule="exact"/>
        <w:rPr>
          <w:sz w:val="20"/>
          <w:szCs w:val="20"/>
          <w:color w:val="auto"/>
        </w:rPr>
      </w:pPr>
    </w:p>
    <w:p>
      <w:pPr>
        <w:ind w:left="180" w:right="20"/>
        <w:spacing w:after="0" w:line="245" w:lineRule="auto"/>
        <w:rPr>
          <w:sz w:val="20"/>
          <w:szCs w:val="20"/>
          <w:color w:val="auto"/>
        </w:rPr>
      </w:pPr>
      <w:r>
        <w:rPr>
          <w:rFonts w:ascii="Times New Roman" w:cs="Times New Roman" w:eastAsia="Times New Roman" w:hAnsi="Times New Roman"/>
          <w:sz w:val="16"/>
          <w:szCs w:val="16"/>
          <w:color w:val="auto"/>
        </w:rPr>
        <w:t>I udnyttelsesperioden kan aktieoptionerne udnyttes til køb af aktier i Selskabet til den udnyttelseskurs, som er angivet i tildelingsmeddelelsen, og som ikke vil være mindre end 100% af aktiernes markedskurs på tildelingstidspunktet som fastsat af Selskabet.</w:t>
      </w:r>
    </w:p>
    <w:p>
      <w:pPr>
        <w:spacing w:after="0" w:line="68" w:lineRule="exact"/>
        <w:rPr>
          <w:sz w:val="20"/>
          <w:szCs w:val="20"/>
          <w:color w:val="auto"/>
        </w:rPr>
      </w:pPr>
    </w:p>
    <w:p>
      <w:pPr>
        <w:ind w:left="460" w:hanging="288"/>
        <w:spacing w:after="0"/>
        <w:tabs>
          <w:tab w:leader="none" w:pos="460"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15"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aktieoptioner af vilkårene i Aftalen. Derudover vil du ikke være berettiget til at få tildelt yderligere aktieoptioner efter din fratræden.</w:t>
      </w:r>
    </w:p>
    <w:p>
      <w:pPr>
        <w:spacing w:after="0" w:line="81" w:lineRule="exact"/>
        <w:rPr>
          <w:sz w:val="20"/>
          <w:szCs w:val="20"/>
          <w:color w:val="auto"/>
        </w:rPr>
      </w:pPr>
    </w:p>
    <w:p>
      <w:pPr>
        <w:ind w:left="460" w:hanging="288"/>
        <w:spacing w:after="0"/>
        <w:tabs>
          <w:tab w:leader="none" w:pos="460"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Planen</w:t>
      </w:r>
    </w:p>
    <w:p>
      <w:pPr>
        <w:spacing w:after="0" w:line="10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Tildelingen af aktieoptioner har ingen umiddelbare økonomiske konsekvenser for dig. Værdien af optionerne indgår ikke i beregningen af feriepenge, pensionsbidrag eller øvrige lovpligtige ydelser, der beregnes på grundlag af lønnen.</w:t>
      </w:r>
    </w:p>
    <w:p>
      <w:pPr>
        <w:spacing w:after="0" w:line="8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Således afhænger muligheden for at opnå en fortjeneste på udnyttelsestidspunktet ikke blot af Selskabets økonomiske udvikling, men også af den generelle udvikling på aktiemarkedet. Derudover kan Selskabets aktier både før og efter udnyttelsestidspunktet falde til en værdi, der måske endda ligger under udnyttelseskursen.</w:t>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760"/>
          </w:cols>
          <w:pgMar w:left="480" w:top="1440" w:right="659" w:bottom="1440" w:gutter="0" w:footer="0" w:header="0"/>
        </w:sectPr>
      </w:pPr>
    </w:p>
    <w:bookmarkStart w:id="46" w:name="page47"/>
    <w:bookmarkEnd w:id="46"/>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Amended and Restated 1996 Stock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0920"/>
          </w:cols>
          <w:pgMar w:left="320" w:top="1440" w:right="659" w:bottom="1440" w:gutter="0" w:footer="0" w:header="0"/>
        </w:sectPr>
      </w:pPr>
    </w:p>
    <w:bookmarkStart w:id="47" w:name="page48"/>
    <w:bookmarkEnd w:id="47"/>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Amended and Restated 1996 Stock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hanging="648"/>
        <w:spacing w:after="0" w:line="245" w:lineRule="auto"/>
        <w:tabs>
          <w:tab w:leader="none" w:pos="2600" w:val="left"/>
        </w:tabs>
        <w:numPr>
          <w:ilvl w:val="2"/>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1" w:lineRule="exact"/>
        <w:rPr>
          <w:rFonts w:ascii="Times New Roman" w:cs="Times New Roman" w:eastAsia="Times New Roman" w:hAnsi="Times New Roman"/>
          <w:sz w:val="16"/>
          <w:szCs w:val="16"/>
          <w:color w:val="auto"/>
        </w:rPr>
      </w:pPr>
    </w:p>
    <w:p>
      <w:pPr>
        <w:ind w:left="2600" w:right="20" w:hanging="648"/>
        <w:spacing w:after="0" w:line="245" w:lineRule="auto"/>
        <w:tabs>
          <w:tab w:leader="none" w:pos="2600" w:val="left"/>
        </w:tabs>
        <w:numPr>
          <w:ilvl w:val="2"/>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signing or selectronically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920"/>
          </w:cols>
          <w:pgMar w:left="320" w:top="1440" w:right="659" w:bottom="1440" w:gutter="0" w:footer="0" w:header="0"/>
          <w:type w:val="continuous"/>
        </w:sectPr>
      </w:pPr>
    </w:p>
    <w:bookmarkStart w:id="48" w:name="page49"/>
    <w:bookmarkEnd w:id="48"/>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660" w:hanging="652"/>
        <w:spacing w:after="0"/>
        <w:tabs>
          <w:tab w:leader="none" w:pos="66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 The Employee hereby authorizes the Company and/or the Employer to collect the Employer’s Liability in respect of any Relevant Employment Income from the</w:t>
      </w: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03"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440" w:right="340" w:hanging="647"/>
        <w:spacing w:after="0" w:line="245" w:lineRule="auto"/>
        <w:tabs>
          <w:tab w:leader="none" w:pos="42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460" w:right="320" w:hanging="647"/>
        <w:spacing w:after="0" w:line="232" w:lineRule="auto"/>
        <w:tabs>
          <w:tab w:leader="none" w:pos="44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93"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420" w:right="320" w:hanging="647"/>
        <w:spacing w:after="0" w:line="245" w:lineRule="auto"/>
        <w:tabs>
          <w:tab w:leader="none" w:pos="40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4.3</w:t>
        <w:tab/>
        <w:t>This Election will continue in force regardless of whether the Employee ceases to be an employee of the Employer.</w:t>
      </w:r>
    </w:p>
    <w:p>
      <w:pPr>
        <w:spacing w:after="0" w:line="221" w:lineRule="exact"/>
        <w:rPr>
          <w:sz w:val="20"/>
          <w:szCs w:val="20"/>
          <w:color w:val="auto"/>
        </w:rPr>
      </w:pPr>
    </w:p>
    <w:p>
      <w:pPr>
        <w:jc w:val="both"/>
        <w:ind w:left="420" w:right="320" w:hanging="647"/>
        <w:spacing w:after="0" w:line="232" w:lineRule="auto"/>
        <w:tabs>
          <w:tab w:leader="none" w:pos="40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jc w:val="both"/>
        <w:ind w:right="340"/>
        <w:spacing w:after="0" w:line="245"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4858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Vice President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939"/>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139"/>
          </w:cols>
          <w:pgMar w:left="320" w:top="1440" w:right="1440" w:bottom="1440" w:gutter="0" w:footer="0" w:header="0"/>
        </w:sectPr>
      </w:pPr>
    </w:p>
    <w:bookmarkStart w:id="50" w:name="page51"/>
    <w:bookmarkEnd w:id="50"/>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679"/>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 Integrated Products UK Limited</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First Floor, Templeback, 10 Temple Back, Bristol, England, BS1 6FL</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01873931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56090 07213</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577/RM581</w:t>
            </w:r>
          </w:p>
        </w:tc>
      </w:tr>
      <w:tr>
        <w:trPr>
          <w:trHeight w:val="679"/>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Calvatec</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156"/>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50 Lothian Road, Festival Square, Edinburgh, United Kingdom EH3</w:t>
            </w:r>
          </w:p>
        </w:tc>
      </w:tr>
      <w:tr>
        <w:trPr>
          <w:trHeight w:val="213"/>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9WJ</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SC342295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4889926696</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961/VA27993</w:t>
            </w:r>
          </w:p>
        </w:tc>
      </w:tr>
      <w:tr>
        <w:trPr>
          <w:trHeight w:val="665"/>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Phyworks</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First Floor, Templeback, 10 Temple Back, Bristol, England, BS1 6FL</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04075331</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1086827375</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440" w:right="1440" w:bottom="1440" w:gutter="0" w:footer="0" w:header="0"/>
        </w:sectPr>
      </w:pPr>
    </w:p>
    <w:bookmarkStart w:id="51" w:name="page52"/>
    <w:bookmarkEnd w:id="51"/>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Establishment</w:t>
      </w:r>
    </w:p>
    <w:p>
      <w:pPr>
        <w:spacing w:after="0" w:line="174"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BR014351</w:t>
            </w:r>
          </w:p>
        </w:tc>
      </w:tr>
      <w:tr>
        <w:trPr>
          <w:trHeight w:val="21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27787 13294</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C - 6</w:t>
      </w:r>
    </w:p>
    <w:p>
      <w:pPr>
        <w:sectPr>
          <w:pgSz w:w="11900" w:h="16838" w:orient="portrait"/>
          <w:cols w:equalWidth="0" w:num="1">
            <w:col w:w="10139"/>
          </w:cols>
          <w:pgMar w:left="320" w:top="1440" w:right="1440" w:bottom="1440" w:gutter="0" w:footer="0" w:header="0"/>
        </w:sectPr>
      </w:pPr>
    </w:p>
    <w:bookmarkStart w:id="52" w:name="page53"/>
    <w:bookmarkEnd w:id="52"/>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Participant Name</w:t>
      </w:r>
    </w:p>
    <w:p>
      <w:pPr>
        <w:ind w:left="160"/>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160"/>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03" w:lineRule="exact"/>
        <w:rPr>
          <w:sz w:val="20"/>
          <w:szCs w:val="20"/>
          <w:color w:val="auto"/>
        </w:rPr>
      </w:pPr>
    </w:p>
    <w:p>
      <w:pPr>
        <w:jc w:val="both"/>
        <w:ind w:left="160" w:right="320"/>
        <w:spacing w:after="0" w:line="221"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Amended and Restated 1996 Stock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17" w:lineRule="exact"/>
        <w:rPr>
          <w:sz w:val="20"/>
          <w:szCs w:val="20"/>
          <w:color w:val="auto"/>
        </w:rPr>
      </w:pPr>
    </w:p>
    <w:p>
      <w:pPr>
        <w:ind w:left="480" w:hanging="328"/>
        <w:spacing w:after="0"/>
        <w:tabs>
          <w:tab w:leader="none" w:pos="4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480" w:right="34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48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RSUs:  Number of Awards Granted</w:t>
      </w: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Dates:  Vesting Schedule</w:t>
      </w:r>
    </w:p>
    <w:p>
      <w:pPr>
        <w:spacing w:after="0" w:line="176" w:lineRule="exact"/>
        <w:rPr>
          <w:rFonts w:ascii="Times New Roman" w:cs="Times New Roman" w:eastAsia="Times New Roman" w:hAnsi="Times New Roman"/>
          <w:sz w:val="16"/>
          <w:szCs w:val="16"/>
          <w:color w:val="auto"/>
        </w:rPr>
      </w:pPr>
    </w:p>
    <w:p>
      <w:pPr>
        <w:jc w:val="both"/>
        <w:ind w:left="480"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 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w:t>
      </w:r>
    </w:p>
    <w:p>
      <w:pPr>
        <w:spacing w:after="0" w:line="167" w:lineRule="exact"/>
        <w:rPr>
          <w:rFonts w:ascii="Times New Roman" w:cs="Times New Roman" w:eastAsia="Times New Roman" w:hAnsi="Times New Roman"/>
          <w:sz w:val="16"/>
          <w:szCs w:val="16"/>
          <w:color w:val="auto"/>
        </w:rPr>
      </w:pPr>
    </w:p>
    <w:p>
      <w:pPr>
        <w:jc w:val="both"/>
        <w:ind w:left="480" w:right="32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A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8" w:lineRule="exact"/>
        <w:rPr>
          <w:rFonts w:ascii="Times New Roman" w:cs="Times New Roman" w:eastAsia="Times New Roman" w:hAnsi="Times New Roman"/>
          <w:sz w:val="16"/>
          <w:szCs w:val="16"/>
          <w:color w:val="auto"/>
        </w:rPr>
      </w:pPr>
    </w:p>
    <w:p>
      <w:pPr>
        <w:jc w:val="both"/>
        <w:ind w:left="480" w:right="34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RSU shall, if and when it vests in accordance with this Agreement,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13"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right="320" w:hanging="324"/>
        <w:spacing w:after="0" w:line="218" w:lineRule="auto"/>
        <w:tabs>
          <w:tab w:leader="none" w:pos="791"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RSUs shall vest and be settled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5" w:lineRule="exact"/>
        <w:rPr>
          <w:rFonts w:ascii="Times New Roman" w:cs="Times New Roman" w:eastAsia="Times New Roman" w:hAnsi="Times New Roman"/>
          <w:sz w:val="16"/>
          <w:szCs w:val="16"/>
          <w:color w:val="auto"/>
        </w:rPr>
      </w:pPr>
    </w:p>
    <w:p>
      <w:pPr>
        <w:jc w:val="both"/>
        <w:ind w:left="800" w:right="340" w:hanging="324"/>
        <w:spacing w:after="0" w:line="227" w:lineRule="auto"/>
        <w:tabs>
          <w:tab w:leader="none" w:pos="8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6(a))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13" w:lineRule="exact"/>
        <w:rPr>
          <w:rFonts w:ascii="Times New Roman" w:cs="Times New Roman" w:eastAsia="Times New Roman" w:hAnsi="Times New Roman"/>
          <w:sz w:val="16"/>
          <w:szCs w:val="16"/>
          <w:color w:val="auto"/>
        </w:rPr>
      </w:pPr>
    </w:p>
    <w:p>
      <w:pPr>
        <w:ind w:left="800" w:right="340" w:hanging="324"/>
        <w:spacing w:after="0" w:line="245" w:lineRule="auto"/>
        <w:tabs>
          <w:tab w:leader="none" w:pos="791"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Participant’s employment with the Company or the Employer is terminated by reason of the Participant’s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all Unvested RSUs shall vest in full as of the date of the Participant’s death.</w:t>
      </w:r>
    </w:p>
    <w:p>
      <w:pPr>
        <w:spacing w:after="0" w:line="110" w:lineRule="exact"/>
        <w:rPr>
          <w:rFonts w:ascii="Times New Roman" w:cs="Times New Roman" w:eastAsia="Times New Roman" w:hAnsi="Times New Roman"/>
          <w:sz w:val="16"/>
          <w:szCs w:val="16"/>
          <w:color w:val="auto"/>
        </w:rPr>
      </w:pPr>
    </w:p>
    <w:p>
      <w:pPr>
        <w:jc w:val="both"/>
        <w:ind w:left="800" w:right="320" w:hanging="324"/>
        <w:spacing w:after="0" w:line="232" w:lineRule="auto"/>
        <w:tabs>
          <w:tab w:leader="none" w:pos="8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the Participant terminates employment with the Company or the Employer, all Unvested RSUs shall vest in full as of the date the Participant is determined to be Disabled. “Disabled” with respect to the Participant shall have the meaning set forth in Section 409A(a)(2)(C) of the Code.</w:t>
      </w:r>
    </w:p>
    <w:p>
      <w:pPr>
        <w:sectPr>
          <w:pgSz w:w="11900" w:h="16838" w:orient="portrait"/>
          <w:cols w:equalWidth="0" w:num="1">
            <w:col w:w="11060"/>
          </w:cols>
          <w:pgMar w:left="5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60"/>
          </w:cols>
          <w:pgMar w:left="500" w:top="1440" w:right="339" w:bottom="1440" w:gutter="0" w:footer="0" w:header="0"/>
          <w:type w:val="continuous"/>
        </w:sectPr>
      </w:pPr>
    </w:p>
    <w:bookmarkStart w:id="53" w:name="page54"/>
    <w:bookmarkEnd w:id="5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800" w:hanging="324"/>
        <w:spacing w:after="0" w:line="227" w:lineRule="auto"/>
        <w:tabs>
          <w:tab w:leader="none" w:pos="79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eligible for grants of RSUs under the Plan and this Agreement, the Participant must be an Employee, Director, or Consultant. Should a Participant transfer employment to become a Director or Consultant following the Date of Grant, he or she will still be considered employed for vesting purposes until he or she ceases to provide services to the Company or any direct or indirect Parent or Subsidiary of the Company, or any successor to the Company or any such Parent or Subsidiary .</w:t>
      </w:r>
    </w:p>
    <w:p>
      <w:pPr>
        <w:spacing w:after="0" w:line="113"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RSUs granted to the Participant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13"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17" w:lineRule="auto"/>
        <w:tabs>
          <w:tab w:leader="none" w:pos="791"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if different, the Participant’s employer (the “Employer”)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4" w:lineRule="exact"/>
        <w:rPr>
          <w:rFonts w:ascii="Times New Roman" w:cs="Times New Roman" w:eastAsia="Times New Roman" w:hAnsi="Times New Roman"/>
          <w:sz w:val="16"/>
          <w:szCs w:val="16"/>
          <w:color w:val="auto"/>
        </w:rPr>
      </w:pPr>
    </w:p>
    <w:p>
      <w:pPr>
        <w:jc w:val="both"/>
        <w:ind w:left="800" w:right="20" w:hanging="324"/>
        <w:spacing w:after="0" w:line="232" w:lineRule="auto"/>
        <w:tabs>
          <w:tab w:leader="none" w:pos="80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jc w:val="both"/>
        <w:ind w:left="1120" w:hanging="320"/>
        <w:spacing w:after="0" w:line="227" w:lineRule="auto"/>
        <w:tabs>
          <w:tab w:leader="none" w:pos="1111"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Shares otherwise issuable upon the vesting of the RSUs that have an aggregate Fair Market Value equal to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1120" w:hanging="320"/>
        <w:spacing w:after="0" w:line="245" w:lineRule="auto"/>
        <w:tabs>
          <w:tab w:leader="none" w:pos="1115"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1120" w:hanging="320"/>
        <w:spacing w:after="0" w:line="245" w:lineRule="auto"/>
        <w:tabs>
          <w:tab w:leader="none" w:pos="1120"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11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1120" w:hanging="320"/>
        <w:spacing w:after="0"/>
        <w:tabs>
          <w:tab w:leader="none" w:pos="1120"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ind w:left="1120" w:right="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740"/>
          </w:cols>
          <w:pgMar w:left="500" w:top="1440" w:right="659" w:bottom="1440" w:gutter="0" w:footer="0" w:header="0"/>
        </w:sectPr>
      </w:pPr>
    </w:p>
    <w:bookmarkStart w:id="54" w:name="page55"/>
    <w:bookmarkEnd w:id="54"/>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1120"/>
        <w:spacing w:after="0" w:line="220" w:lineRule="auto"/>
        <w:rPr>
          <w:sz w:val="20"/>
          <w:szCs w:val="20"/>
          <w:color w:val="auto"/>
        </w:rPr>
      </w:pPr>
      <w:r>
        <w:rPr>
          <w:rFonts w:ascii="Times New Roman" w:cs="Times New Roman" w:eastAsia="Times New Roman" w:hAnsi="Times New Roman"/>
          <w:sz w:val="16"/>
          <w:szCs w:val="16"/>
          <w:color w:val="auto"/>
        </w:rPr>
        <w:t>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15" w:lineRule="exact"/>
        <w:rPr>
          <w:sz w:val="20"/>
          <w:szCs w:val="20"/>
          <w:color w:val="auto"/>
        </w:rPr>
      </w:pPr>
    </w:p>
    <w:p>
      <w:pPr>
        <w:jc w:val="both"/>
        <w:ind w:left="1120"/>
        <w:spacing w:after="0" w:line="221" w:lineRule="auto"/>
        <w:rPr>
          <w:sz w:val="20"/>
          <w:szCs w:val="20"/>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17" w:lineRule="exact"/>
        <w:rPr>
          <w:sz w:val="20"/>
          <w:szCs w:val="20"/>
          <w:color w:val="auto"/>
        </w:rPr>
      </w:pPr>
    </w:p>
    <w:p>
      <w:pPr>
        <w:jc w:val="both"/>
        <w:ind w:left="480" w:hanging="328"/>
        <w:spacing w:after="0" w:line="221" w:lineRule="auto"/>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A, where settlement in Shares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480" w:hanging="328"/>
        <w:spacing w:after="0" w:line="221" w:lineRule="auto"/>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7"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17" w:lineRule="exact"/>
        <w:rPr>
          <w:rFonts w:ascii="Times New Roman" w:cs="Times New Roman" w:eastAsia="Times New Roman" w:hAnsi="Times New Roman"/>
          <w:sz w:val="16"/>
          <w:szCs w:val="16"/>
          <w:color w:val="auto"/>
        </w:rPr>
      </w:pPr>
    </w:p>
    <w:p>
      <w:pPr>
        <w:jc w:val="both"/>
        <w:ind w:left="800" w:hanging="324"/>
        <w:spacing w:after="0" w:line="218" w:lineRule="auto"/>
        <w:tabs>
          <w:tab w:leader="none" w:pos="80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115"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17" w:lineRule="exact"/>
        <w:rPr>
          <w:rFonts w:ascii="Times New Roman" w:cs="Times New Roman" w:eastAsia="Times New Roman" w:hAnsi="Times New Roman"/>
          <w:sz w:val="16"/>
          <w:szCs w:val="16"/>
          <w:color w:val="auto"/>
        </w:rPr>
      </w:pPr>
    </w:p>
    <w:p>
      <w:pPr>
        <w:jc w:val="both"/>
        <w:ind w:left="800" w:hanging="324"/>
        <w:spacing w:after="0"/>
        <w:tabs>
          <w:tab w:leader="none" w:pos="80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RSUs, no claim or entitlement to compensation or damages shall arise from forfeiture of the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0"/>
          </w:cols>
          <w:pgMar w:left="500" w:top="1440" w:right="659" w:bottom="1440" w:gutter="0" w:footer="0" w:header="0"/>
        </w:sectPr>
      </w:pPr>
    </w:p>
    <w:bookmarkStart w:id="55" w:name="page56"/>
    <w:bookmarkEnd w:id="5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800" w:hanging="324"/>
        <w:spacing w:after="0" w:line="227" w:lineRule="auto"/>
        <w:tabs>
          <w:tab w:leader="none" w:pos="7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13"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800" w:hanging="324"/>
        <w:spacing w:after="0" w:line="245" w:lineRule="auto"/>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7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800" w:hanging="324"/>
        <w:spacing w:after="0" w:line="245" w:lineRule="auto"/>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800" w:hanging="324"/>
        <w:spacing w:after="0" w:line="245" w:lineRule="auto"/>
        <w:tabs>
          <w:tab w:leader="none" w:pos="7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16" w:lineRule="auto"/>
        <w:tabs>
          <w:tab w:leader="none" w:pos="7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8" w:lineRule="exact"/>
        <w:rPr>
          <w:rFonts w:ascii="Times New Roman" w:cs="Times New Roman" w:eastAsia="Times New Roman" w:hAnsi="Times New Roman"/>
          <w:sz w:val="16"/>
          <w:szCs w:val="16"/>
          <w:color w:val="auto"/>
        </w:rPr>
      </w:pPr>
    </w:p>
    <w:p>
      <w:pPr>
        <w:jc w:val="both"/>
        <w:ind w:left="800" w:hanging="324"/>
        <w:spacing w:after="0" w:line="217" w:lineRule="auto"/>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RSUs and any cash payment or Shares delivered pursuant to the RSUs are subject to forfeiture, recovery by the Company or other action pursuant to any clawback or recoupment policy which the Company may adopt from time to time, including without limitation any such policy which the Company may be required to adopt under the Dodd-Frank Act and implementing rules and regulations thereunder, or as otherwise required by law. Further, the RSUs, and any Shares issued upon vesting of the RSUs, shall be subject to deduction, clawback or forfeiture to the extent required to comply with any recoupment requirement imposed under applicable laws, rules, regulations or stock exchange listing standards. In order to satisfy any recoupment obligation arising under any clawback or recoupment policy of the Company or otherwise under applicable laws, rules, regulations or stock exchange listing standards, among other things, the Participant expressly and explicitly authorizes the Company to issue instructions, on the Participant’s behalf, to any brokerage firm or stock plan service provider engaged by the Company to hold any Shares or other amounts acquired pursuant to the RSUs to re-convey, transfer or otherwise return such Shares and/or other amounts to the Company upon the Company’s enforcement of any clawback or recoupment policy.</w:t>
      </w:r>
    </w:p>
    <w:p>
      <w:pPr>
        <w:spacing w:after="0" w:line="118"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740"/>
          </w:cols>
          <w:pgMar w:left="500" w:top="1440" w:right="659" w:bottom="1440" w:gutter="0" w:footer="0" w:header="0"/>
        </w:sectPr>
      </w:pPr>
    </w:p>
    <w:bookmarkStart w:id="56" w:name="page57"/>
    <w:bookmarkEnd w:id="5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800" w:hanging="324"/>
        <w:spacing w:after="0" w:line="232"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27"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113"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RSUs shall be subject to any additional terms and conditions for such country as may be set forth in Appendix A to this Agreement.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17" w:lineRule="exact"/>
        <w:rPr>
          <w:rFonts w:ascii="Times New Roman" w:cs="Times New Roman" w:eastAsia="Times New Roman" w:hAnsi="Times New Roman"/>
          <w:sz w:val="16"/>
          <w:szCs w:val="16"/>
          <w:color w:val="auto"/>
        </w:rPr>
      </w:pPr>
    </w:p>
    <w:p>
      <w:pPr>
        <w:jc w:val="both"/>
        <w:ind w:left="800" w:hanging="324"/>
        <w:spacing w:after="0" w:line="227" w:lineRule="auto"/>
        <w:tabs>
          <w:tab w:leader="none" w:pos="79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27"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w:t>
      </w:r>
    </w:p>
    <w:p>
      <w:pPr>
        <w:spacing w:after="0" w:line="113"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79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18"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5" w:lineRule="exact"/>
        <w:rPr>
          <w:rFonts w:ascii="Times New Roman" w:cs="Times New Roman" w:eastAsia="Times New Roman" w:hAnsi="Times New Roman"/>
          <w:sz w:val="16"/>
          <w:szCs w:val="16"/>
          <w:color w:val="auto"/>
        </w:rPr>
      </w:pPr>
    </w:p>
    <w:p>
      <w:pPr>
        <w:jc w:val="both"/>
        <w:ind w:left="800" w:hanging="324"/>
        <w:spacing w:after="0" w:line="219"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4"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79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sz w:val="20"/>
          <w:szCs w:val="20"/>
          <w:color w:val="auto"/>
        </w:rPr>
      </w:pPr>
    </w:p>
    <w:p>
      <w:pPr>
        <w:jc w:val="both"/>
        <w:ind w:left="800" w:hanging="324"/>
        <w:spacing w:after="0" w:line="227" w:lineRule="auto"/>
        <w:tabs>
          <w:tab w:leader="none" w:pos="79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740"/>
          </w:cols>
          <w:pgMar w:left="500" w:top="1440" w:right="659" w:bottom="1440" w:gutter="0" w:footer="0" w:header="0"/>
        </w:sectPr>
      </w:pPr>
    </w:p>
    <w:bookmarkStart w:id="57" w:name="page58"/>
    <w:bookmarkEnd w:id="57"/>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6"/>
          <w:szCs w:val="16"/>
          <w:color w:val="auto"/>
        </w:rPr>
        <w:t>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99"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6"/>
          <w:szCs w:val="16"/>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20320</wp:posOffset>
            </wp:positionV>
            <wp:extent cx="215138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440"/>
          </w:cols>
          <w:pgMar w:left="500" w:top="1440" w:right="959" w:bottom="1440" w:gutter="0" w:footer="0" w:header="0"/>
        </w:sectPr>
      </w:pPr>
    </w:p>
    <w:bookmarkStart w:id="58" w:name="page59"/>
    <w:bookmarkEnd w:id="58"/>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209"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October 2023.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212"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95"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33"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10"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w:t>
      </w:r>
    </w:p>
    <w:p>
      <w:pPr>
        <w:sectPr>
          <w:pgSz w:w="11900" w:h="16838" w:orient="portrait"/>
          <w:cols w:equalWidth="0" w:num="1">
            <w:col w:w="11080"/>
          </w:cols>
          <w:pgMar w:left="480" w:top="1015" w:right="339" w:bottom="1440" w:gutter="0" w:footer="0" w:header="0"/>
        </w:sect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1080"/>
          </w:cols>
          <w:pgMar w:left="480" w:top="1015" w:right="339" w:bottom="1440" w:gutter="0" w:footer="0" w:header="0"/>
          <w:type w:val="continuous"/>
        </w:sectPr>
      </w:pPr>
    </w:p>
    <w:bookmarkStart w:id="59" w:name="page60"/>
    <w:bookmarkEnd w:id="59"/>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50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0" w:lineRule="exact"/>
        <w:rPr>
          <w:sz w:val="20"/>
          <w:szCs w:val="20"/>
          <w:color w:val="auto"/>
        </w:rPr>
      </w:pPr>
    </w:p>
    <w:p>
      <w:pPr>
        <w:jc w:val="both"/>
        <w:ind w:left="180" w:right="32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23"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RSUs is being made under Division 1A Part 7.12 of the Australian Corporations Act 2001 (Cth). If the Participant offers Shares acquired under the Plan for sale to a person or entity resident in Australia, the Participant’s offer may be subject to disclosure requirements under Australian law. The Participant should obtain legal advice on any disclosure obligations prior to making any such offer.</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right="30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212"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35" w:lineRule="exact"/>
        <w:rPr>
          <w:sz w:val="20"/>
          <w:szCs w:val="20"/>
          <w:color w:val="auto"/>
        </w:rPr>
      </w:pPr>
    </w:p>
    <w:p>
      <w:pPr>
        <w:jc w:val="both"/>
        <w:ind w:left="180" w:right="30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205"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1060"/>
          </w:cols>
          <w:pgMar w:left="480" w:top="1015" w:right="359" w:bottom="1440" w:gutter="0" w:footer="0" w:header="0"/>
        </w:sectPr>
      </w:pPr>
    </w:p>
    <w:bookmarkStart w:id="60" w:name="page61"/>
    <w:bookmarkEnd w:id="60"/>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outside Canada through the facilities of a stock exchange on which the Shares are listed. The Shares are currently listed on the Nasdaq Global Select Market.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RSUs and receive Shares under the Plan, if any, will terminate as of the actual Date of Termination. For this purpose, the “Date of Termination” shall mean the earlier of (1) the date the Participant’s employment with the Employer is terminated for any reason; or (2) the date the Participant recieves written notice of termination from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 For greater certainty, the Participant will not earn or be entitled to any pro-rated vesting for that portion of time before the date on which the Participant’s right to vest termiantes, nor will Participant be entitled to any compentiosn for lost vesting.</w:t>
      </w:r>
    </w:p>
    <w:p>
      <w:pPr>
        <w:spacing w:after="0" w:line="25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RSUs. The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other Parent or Subsidiary of the Company.</w:t>
      </w:r>
    </w:p>
    <w:p>
      <w:pPr>
        <w:spacing w:after="0" w:line="212"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015" w:right="659" w:bottom="1440" w:gutter="0" w:footer="0" w:header="0"/>
        </w:sectPr>
      </w:pPr>
    </w:p>
    <w:bookmarkStart w:id="61" w:name="page62"/>
    <w:bookmarkEnd w:id="61"/>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5"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RSUs through a special exchange control account established by the Company, the Employer, or a Subsidiary in the PRC. The Participant hereby agrees that any cash proceeds from the Participant’s participation in the Plan may be transferred to such special account prior to being delivered to the Participant.</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B.</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08"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(RSUs)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4"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015" w:right="659" w:bottom="1440" w:gutter="0" w:footer="0" w:header="0"/>
          <w:type w:val="continuous"/>
        </w:sectPr>
      </w:pPr>
    </w:p>
    <w:bookmarkStart w:id="62" w:name="page63"/>
    <w:bookmarkEnd w:id="62"/>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RSUs Not Tax-Qualified</w:t>
      </w:r>
      <w:r>
        <w:rPr>
          <w:rFonts w:ascii="Times New Roman" w:cs="Times New Roman" w:eastAsia="Times New Roman" w:hAnsi="Times New Roman"/>
          <w:sz w:val="16"/>
          <w:szCs w:val="16"/>
          <w:color w:val="auto"/>
        </w:rPr>
        <w:t>. The Participant understands that the RSUs are not intended to qualify for the favorable tax and social security regime in France under Sections L. 225-197-1 to L. 225-197-5 and Sections L. 22-10-59 to L. 22-10-60 of the French Commercial Code, as amended.</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3"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35"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Participant otherwise makes or receives a payment in excess of €12,500 (including if the Participant acquires Shares under the Plan with a value in excess of this amount or sells Shares via a foreign broker, bank or service provider and receives proceeds in excess of this amount) and/or if the Company withholds of sells Shares with a value in excess of this amount to cover Tax-Related Items, the Participant must report the payment and/or the value of the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000FF"/>
        </w:rPr>
        <w:t>www.bundesbank.de</w:t>
      </w:r>
      <w:r>
        <w:rPr>
          <w:rFonts w:ascii="Times New Roman" w:cs="Times New Roman" w:eastAsia="Times New Roman" w:hAnsi="Times New Roman"/>
          <w:sz w:val="16"/>
          <w:szCs w:val="16"/>
          <w:color w:val="auto"/>
        </w:rPr>
        <w:t>), or by such other method (e.g., email or telephone) and within such other timing as permitted or required by Bundesbank. The report must be submitted monthly or within such timing as it permitted or required by the Bundesbank. It is the Participant’s responsibility to comply with this reporting obligation and the Participant should consult with his or her personal legal advisor in this regard.</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RSUs vest within six months of the Date of Grant, the Participant agrees not to sell any Shares acquired upon vesting of the RSUs prior to the six-month anniversary of the Date of Grant.</w:t>
      </w:r>
    </w:p>
    <w:p>
      <w:pPr>
        <w:spacing w:after="0" w:line="135"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 The Participant agrees to provide any information that may be required by the Company or the Employer to make any applicable filings under exchange control laws in India.</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015" w:right="659" w:bottom="1440" w:gutter="0" w:footer="0" w:header="0"/>
          <w:type w:val="continuous"/>
        </w:sectPr>
      </w:pPr>
    </w:p>
    <w:bookmarkStart w:id="63" w:name="page64"/>
    <w:bookmarkEnd w:id="63"/>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the Participant in the form of cash.</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14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RSUs, the Participant acknowledges, understands, and agrees that the benefits received under the Plan will not be taken into account for any redundancy or unfair dismissal claim.</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37"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Sale Requirement</w:t>
      </w:r>
      <w:r>
        <w:rPr>
          <w:rFonts w:ascii="Times New Roman" w:cs="Times New Roman" w:eastAsia="Times New Roman" w:hAnsi="Times New Roman"/>
          <w:sz w:val="16"/>
          <w:szCs w:val="16"/>
          <w:color w:val="auto"/>
        </w:rPr>
        <w:t>. Notwithstanding anything to the contrary in the Agreement, the Participant may be required to immediately sell all Shares issued upon vesting of the RSUs. By accepting this Award of RSUs, the Participant authorizes the Company to instruct its designated broker to assist with the mandatory sale of such Shares (on the Participant’s behalf pursuant to this authorization) and the Participant expressly authorizes the Company’s designated broker to complete the sale of such Shares. The Participant agrees to sign any forms and/or consents required by the Company’s broker to effectuate the sale of the Shares. The Participant acknowledges that the Company’s designated broker is under no obligation to arrange for the sale of the Shares at any particular price. Upon the sale of the Shares, the Company will pay to the Participant the cash proceeds from the sale of the Shares, less any brokerage fees or commissions and subject to any obligation to satisfy any Tax-Related Items. Participant acknowledges that he or she is not aware of any material, non-public information with respect to the Company or any securities of the Company as of the date of this Agreement.</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RSUs does not constitute a public offering under the Securities Law, 1968.</w:t>
      </w: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35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37"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RSUs or Shares acquired under the Plan.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9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Restriction on Sale of Shares</w:t>
      </w:r>
      <w:r>
        <w:rPr>
          <w:rFonts w:ascii="Times New Roman" w:cs="Times New Roman" w:eastAsia="Times New Roman" w:hAnsi="Times New Roman"/>
          <w:sz w:val="16"/>
          <w:szCs w:val="16"/>
          <w:color w:val="auto"/>
        </w:rPr>
        <w:t>. Korean residents are not permitted to sell foreign securities (including Shares) through non-Korean brokers (such as Fidelity) or deposit funds resulting from the sale of Shares in an account with an overseas financial institution. If the Participant wishes to sell Shares acquired under the Plan, the Participant may be required to transfer the Shares to a domestic investment broker in Korea and to effect the sale through such broker. The Participant is solely responsible for engaging the domestic broker in Korea, and non-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015" w:right="659" w:bottom="1440" w:gutter="0" w:footer="0" w:header="0"/>
        </w:sectPr>
      </w:pPr>
    </w:p>
    <w:bookmarkStart w:id="64" w:name="page65"/>
    <w:bookmarkEnd w:id="64"/>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compliance with the requirement to sell Shares through a domestic broker can result in significant penalties. The Participant should consult with his or her personal advisor(s) regarding any personal legal, regulatory or foreign exchange obligations he or she may have in connection with the Participant’s participation in the Plan.</w:t>
      </w:r>
    </w:p>
    <w:p>
      <w:pPr>
        <w:spacing w:after="0" w:line="1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03"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015" w:right="659" w:bottom="1440" w:gutter="0" w:footer="0" w:header="0"/>
        </w:sectPr>
      </w:pPr>
    </w:p>
    <w:bookmarkStart w:id="65" w:name="page66"/>
    <w:bookmarkEnd w:id="65"/>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70485</wp:posOffset>
            </wp:positionV>
            <wp:extent cx="8255" cy="1714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70485</wp:posOffset>
            </wp:positionV>
            <wp:extent cx="8255" cy="171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70485</wp:posOffset>
            </wp:positionV>
            <wp:extent cx="8255" cy="171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680" w:type="dxa"/>
            <w:vAlign w:val="bottom"/>
            <w:tcBorders>
              <w:top w:val="single" w:sz="8" w:color="auto"/>
            </w:tcBorders>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w:t>
            </w:r>
          </w:p>
        </w:tc>
        <w:tc>
          <w:tcPr>
            <w:tcW w:w="40" w:type="dxa"/>
            <w:vAlign w:val="bottom"/>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collection, use and transfer, in electronic or other form, of his or</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personal data as described in this document by and among, as</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applicable, the Employer, and the Company and its Subsidiaries for</w:t>
            </w:r>
          </w:p>
        </w:tc>
        <w:tc>
          <w:tcPr>
            <w:tcW w:w="40" w:type="dxa"/>
            <w:vAlign w:val="bottom"/>
          </w:tcPr>
          <w:p>
            <w:pPr>
              <w:spacing w:after="0"/>
              <w:rPr>
                <w:sz w:val="16"/>
                <w:szCs w:val="16"/>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exclusive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keraguan mengizinkan pengumpulan, penggunaan dan pemindahan, dalam</w:t>
            </w:r>
          </w:p>
        </w:tc>
        <w:tc>
          <w:tcPr>
            <w:tcW w:w="0" w:type="dxa"/>
            <w:vAlign w:val="bottom"/>
          </w:tcPr>
          <w:p>
            <w:pPr>
              <w:spacing w:after="0"/>
              <w:rPr>
                <w:sz w:val="1"/>
                <w:szCs w:val="1"/>
                <w:color w:val="auto"/>
              </w:rPr>
            </w:pPr>
          </w:p>
        </w:tc>
      </w:tr>
      <w:tr>
        <w:trPr>
          <w:trHeight w:val="162"/>
        </w:trPr>
        <w:tc>
          <w:tcPr>
            <w:tcW w:w="420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the Participant’s participation in the Plan.</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dokumen ini, oleh dan di antara, sebagaimana yang berkenaan, Majikan,</w:t>
            </w:r>
          </w:p>
        </w:tc>
        <w:tc>
          <w:tcPr>
            <w:tcW w:w="0" w:type="dxa"/>
            <w:vAlign w:val="bottom"/>
          </w:tcPr>
          <w:p>
            <w:pPr>
              <w:spacing w:after="0"/>
              <w:rPr>
                <w:sz w:val="1"/>
                <w:szCs w:val="1"/>
                <w:color w:val="auto"/>
              </w:rPr>
            </w:pPr>
          </w:p>
        </w:tc>
      </w:tr>
      <w:tr>
        <w:trPr>
          <w:trHeight w:val="216"/>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membantu dalam pelaksanaan, pentadbiran dan pengurusan penyertaan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dalam Pelan.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40" w:type="dxa"/>
            <w:vAlign w:val="bottom"/>
          </w:tcPr>
          <w:p>
            <w:pPr>
              <w:spacing w:after="0"/>
              <w:rPr>
                <w:sz w:val="14"/>
                <w:szCs w:val="14"/>
                <w:color w:val="auto"/>
              </w:rPr>
            </w:pP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 RSUs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any  other  entitlement  to  shares  of  stock  awarded,  canceled,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exercised, vested, unvested or outstanding in the Participant’s favor,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for the purpose of implementing, administering and managing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 (“Data”). The source of the Data is the Employer as well as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RSUs atau apa-apa hak lain untuk syer dalam saham yang dianugerahkan,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information the Participant is providing to the Company and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dibatalkan, dilaksanakan, terletak hak, tidak diletak hak ataupun yang belum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Employer  in  connection  with  the  RSUs.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dijelaskan bagi faedah Peserta, untuk tujuan eksklusif bagi melaksanakan,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may be transferred to Fidelity or any other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mentadbir dan menguruskan Pelan (“Data”). Sumber Data adalah daripada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third parties as may be selected by the Company in the future, which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Majikan dan juga daripada maklumat yang dibekalkan oleh Peserta kepada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are  assisting  in  the  implementation,  administration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Syarikat  dan  Majikan  berkenaan  dengan  RSUs.  Penerima  Anugerah  juga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management of the Plan, that these recipients may be located in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memahami bahawa Data mungkin dipindahkan kepada Fidelity atau mana-mana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Participant’s country or elsewhere and that the recipients’ country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pihak ketiga yang mungkin dipilih oleh Syarikat pada masa depan, </w:t>
            </w:r>
            <w:r>
              <w:rPr>
                <w:rFonts w:ascii="Times New Roman" w:cs="Times New Roman" w:eastAsia="Times New Roman" w:hAnsi="Times New Roman"/>
                <w:sz w:val="16"/>
                <w:szCs w:val="16"/>
                <w:b w:val="1"/>
                <w:bCs w:val="1"/>
                <w:i w:val="1"/>
                <w:iCs w:val="1"/>
                <w:color w:val="222222"/>
              </w:rPr>
              <w:t>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(e.g., the United States) may have different data privacy laws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membantu dalam pelaksanaan, pentadbiran dan pengurusan Pelan,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protections  than  the  Participant’s  country.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penerima-penerima ini mungkin berada di negara Peserta atau di tempat lain,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he or she may request a list with the names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dan  bahawa  negara  penerima  (contohnya,  Amerika  Syarikat)  mungkin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addresses of any potential recipients of the Data by contacting his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mempunyai  undang-undang  privasi  data  dan  perlindungan  yang  berbeza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local  human  resources  representative.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daripada negara Peserta. Peserta memahami bahawa dia boleh meminta senarai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authorizes the Company, Fidelity and any other possible recipients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nama dan alamat mana-mana penerima Data dengan menghubungi wakil</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which may assist the Company (presently or in the future) with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sumber manusia tempatannya. </w:t>
            </w:r>
            <w:r>
              <w:rPr>
                <w:rFonts w:ascii="Times New Roman" w:cs="Times New Roman" w:eastAsia="Times New Roman" w:hAnsi="Times New Roman"/>
                <w:sz w:val="16"/>
                <w:szCs w:val="16"/>
                <w:b w:val="1"/>
                <w:bCs w:val="1"/>
                <w:i w:val="1"/>
                <w:iCs w:val="1"/>
                <w:color w:val="000000"/>
              </w:rPr>
              <w:t>Peserta memberi kuasa kepada Syarikat, Fidelity,</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implementing, administering and managing the Plan to receive,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dan  mana-mana  penerima  lain  yang  mungkin  membantu  Syarikat  (masa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possess, use, retain and transfer the Data, in electronic or other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form, for the sole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c>
          <w:tcPr>
            <w:tcW w:w="0" w:type="dxa"/>
            <w:vAlign w:val="bottom"/>
          </w:tcPr>
          <w:p>
            <w:pPr>
              <w:spacing w:after="0"/>
              <w:rPr>
                <w:sz w:val="1"/>
                <w:szCs w:val="1"/>
                <w:color w:val="auto"/>
              </w:rPr>
            </w:pPr>
          </w:p>
        </w:tc>
      </w:tr>
      <w:tr>
        <w:trPr>
          <w:trHeight w:val="162"/>
        </w:trPr>
        <w:tc>
          <w:tcPr>
            <w:tcW w:w="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c>
          <w:tcPr>
            <w:tcW w:w="0" w:type="dxa"/>
            <w:vAlign w:val="bottom"/>
          </w:tcPr>
          <w:p>
            <w:pPr>
              <w:spacing w:after="0"/>
              <w:rPr>
                <w:sz w:val="1"/>
                <w:szCs w:val="1"/>
                <w:color w:val="auto"/>
              </w:rPr>
            </w:pPr>
          </w:p>
        </w:tc>
      </w:tr>
      <w:tr>
        <w:trPr>
          <w:trHeight w:val="214"/>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-5415915</wp:posOffset>
            </wp:positionV>
            <wp:extent cx="6574790" cy="542607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6574790" cy="542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0760"/>
          </w:cols>
          <w:pgMar w:left="480" w:top="1015" w:right="659" w:bottom="1440" w:gutter="0" w:footer="0" w:header="0"/>
        </w:sectPr>
      </w:pPr>
    </w:p>
    <w:bookmarkStart w:id="66" w:name="page67"/>
    <w:bookmarkEnd w:id="66"/>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the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4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56"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5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40"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6"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0760"/>
          </w:cols>
          <w:pgMar w:left="480" w:top="1015" w:right="659" w:bottom="1440" w:gutter="0" w:footer="0" w:header="0"/>
        </w:sectPr>
      </w:pPr>
    </w:p>
    <w:bookmarkStart w:id="67" w:name="page68"/>
    <w:bookmarkEnd w:id="67"/>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37"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23"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subject to the regulations concerning public offers and private placements under the Law on Capital Markets.</w:t>
      </w:r>
    </w:p>
    <w:p>
      <w:pPr>
        <w:spacing w:after="0" w:line="137"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12"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 the above notification requirements also may apply to the Participant.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760"/>
          </w:cols>
          <w:pgMar w:left="480" w:top="1015" w:right="659" w:bottom="1440" w:gutter="0" w:footer="0" w:header="0"/>
        </w:sectPr>
      </w:pPr>
    </w:p>
    <w:bookmarkStart w:id="68" w:name="page69"/>
    <w:bookmarkEnd w:id="68"/>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40"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197"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color w:val="auto"/>
        </w:rPr>
        <w:t>Further, and except as provided in Sections 2(c) and 2(d) of the Agreement in the event the Participant dies or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 employment.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 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0760"/>
          </w:cols>
          <w:pgMar w:left="480" w:top="1015" w:right="659" w:bottom="1440" w:gutter="0" w:footer="0" w:header="0"/>
        </w:sectPr>
      </w:pPr>
    </w:p>
    <w:bookmarkStart w:id="69" w:name="page70"/>
    <w:bookmarkEnd w:id="69"/>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intended to be a public offering in Switzerland and are therefore not subject to registration in Switzerland. Neither this document nor any materials relating to the RSUs (i) constitutes a prospectus according to articles 35 et. seq. of the Swiss Federal Act on Financial Services (“FinSA”) (ii) may be publicly distributed nor otherwise made publicly available in Switzerland to any person other than an employee of the Company or a Subsidiary , or (iii) has been or will be filed with, approved or supervised by any Swiss regulatory authority (in particular, the Swiss Financial Supervisory Authority (FINMA)).</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23"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9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1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54"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760"/>
          </w:cols>
          <w:pgMar w:left="480" w:top="1015" w:right="659" w:bottom="1440" w:gutter="0" w:footer="0" w:header="0"/>
        </w:sectPr>
      </w:pPr>
    </w:p>
    <w:bookmarkStart w:id="70" w:name="page71"/>
    <w:bookmarkEnd w:id="70"/>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19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205"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209"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C.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- 13</w:t>
      </w:r>
    </w:p>
    <w:p>
      <w:pPr>
        <w:sectPr>
          <w:pgSz w:w="11900" w:h="16838" w:orient="portrait"/>
          <w:cols w:equalWidth="0" w:num="1">
            <w:col w:w="10760"/>
          </w:cols>
          <w:pgMar w:left="480" w:top="1015" w:right="6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Amended and Restated 1996 Stock Incentive Plan (the “Plan”) in a separate written statement. This statement contains only the information mentioned in the Stock Option Act; the other terms and conditions of your grant of RSUs is described in detail in your Global Restricted Stock Unit Agreement (the “Agreement”), the appendix to your Agreement and the Plan.</w:t>
      </w:r>
    </w:p>
    <w:p>
      <w:pPr>
        <w:spacing w:after="0" w:line="115" w:lineRule="exact"/>
        <w:rPr>
          <w:sz w:val="20"/>
          <w:szCs w:val="20"/>
          <w:color w:val="auto"/>
        </w:rPr>
      </w:pPr>
    </w:p>
    <w:p>
      <w:pPr>
        <w:ind w:left="300" w:hanging="292"/>
        <w:spacing w:after="0"/>
        <w:tabs>
          <w:tab w:leader="none" w:pos="30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RSUs under the Plan on Grant Date. On this basis, the Date of Grant for your RSUs is Grant Date.</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RSU Grant</w:t>
      </w:r>
    </w:p>
    <w:p>
      <w:pPr>
        <w:spacing w:after="0" w:line="14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6"/>
          <w:szCs w:val="16"/>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RSUs</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RSUs vest, the Company will issue one share of the Company’s common stock to you in settlement of each vested RSU.</w:t>
      </w:r>
    </w:p>
    <w:p>
      <w:pPr>
        <w:spacing w:after="0" w:line="138" w:lineRule="exact"/>
        <w:rPr>
          <w:sz w:val="20"/>
          <w:szCs w:val="20"/>
          <w:color w:val="auto"/>
        </w:rPr>
      </w:pPr>
    </w:p>
    <w:p>
      <w:pPr>
        <w:ind w:left="300" w:hanging="292"/>
        <w:spacing w:after="0"/>
        <w:tabs>
          <w:tab w:leader="none" w:pos="30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660" w:right="20"/>
        <w:spacing w:after="0" w:line="245" w:lineRule="auto"/>
        <w:rPr>
          <w:sz w:val="20"/>
          <w:szCs w:val="20"/>
          <w:color w:val="auto"/>
        </w:rPr>
      </w:pPr>
      <w:r>
        <w:rPr>
          <w:rFonts w:ascii="Times New Roman" w:cs="Times New Roman" w:eastAsia="Times New Roman" w:hAnsi="Times New Roman"/>
          <w:sz w:val="16"/>
          <w:szCs w:val="16"/>
          <w:color w:val="auto"/>
        </w:rPr>
        <w:t>Because each RSU entitles you to receive one share of the Company’s common stock on the date of vesting without any cost to you or other payment required from you, there is no exercise price associated with the RSUs.</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108" w:lineRule="exact"/>
        <w:rPr>
          <w:sz w:val="20"/>
          <w:szCs w:val="20"/>
          <w:color w:val="auto"/>
        </w:rPr>
      </w:pPr>
    </w:p>
    <w:p>
      <w:pPr>
        <w:ind w:left="300" w:hanging="292"/>
        <w:spacing w:after="0"/>
        <w:tabs>
          <w:tab w:leader="none" w:pos="30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1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12" w:lineRule="exact"/>
        <w:rPr>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ind w:left="34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34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340"/>
        <w:spacing w:after="0" w:line="229" w:lineRule="auto"/>
        <w:rPr>
          <w:sz w:val="20"/>
          <w:szCs w:val="20"/>
          <w:color w:val="auto"/>
        </w:rPr>
      </w:pPr>
      <w:r>
        <w:rPr>
          <w:rFonts w:ascii="Times New Roman" w:cs="Times New Roman" w:eastAsia="Times New Roman" w:hAnsi="Times New Roman"/>
          <w:sz w:val="16"/>
          <w:szCs w:val="16"/>
          <w:color w:val="auto"/>
        </w:rPr>
        <w:t>Wilmington, MA 01887</w:t>
      </w: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240"/>
          </w:cols>
          <w:pgMar w:left="320" w:top="1015" w:right="339" w:bottom="1440" w:gutter="0" w:footer="0" w:header="0"/>
        </w:sectPr>
      </w:pPr>
    </w:p>
    <w:bookmarkStart w:id="72" w:name="page73"/>
    <w:bookmarkEnd w:id="72"/>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1996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3"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206"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08" w:lineRule="exact"/>
        <w:rPr>
          <w:sz w:val="20"/>
          <w:szCs w:val="20"/>
          <w:color w:val="auto"/>
        </w:rPr>
      </w:pPr>
    </w:p>
    <w:p>
      <w:pPr>
        <w:ind w:left="460" w:hanging="288"/>
        <w:spacing w:after="0"/>
        <w:tabs>
          <w:tab w:leader="none" w:pos="46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206" w:lineRule="exact"/>
        <w:rPr>
          <w:sz w:val="20"/>
          <w:szCs w:val="20"/>
          <w:color w:val="auto"/>
        </w:rPr>
      </w:pPr>
    </w:p>
    <w:p>
      <w:pPr>
        <w:ind w:left="460" w:hanging="288"/>
        <w:spacing w:after="0"/>
        <w:tabs>
          <w:tab w:leader="none" w:pos="46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56" w:lineRule="exact"/>
        <w:rPr>
          <w:sz w:val="20"/>
          <w:szCs w:val="20"/>
          <w:color w:val="auto"/>
        </w:rPr>
      </w:pPr>
    </w:p>
    <w:p>
      <w:pPr>
        <w:ind w:left="180"/>
        <w:spacing w:after="0" w:line="368"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8" w:lineRule="exact"/>
        <w:rPr>
          <w:sz w:val="20"/>
          <w:szCs w:val="20"/>
          <w:color w:val="auto"/>
        </w:rPr>
      </w:pPr>
    </w:p>
    <w:p>
      <w:pPr>
        <w:ind w:left="460" w:hanging="288"/>
        <w:spacing w:after="0"/>
        <w:tabs>
          <w:tab w:leader="none" w:pos="46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69"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1"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760"/>
          </w:cols>
          <w:pgMar w:left="480" w:top="1013" w:right="659" w:bottom="1440" w:gutter="0" w:footer="0" w:header="0"/>
        </w:sectPr>
      </w:pPr>
    </w:p>
    <w:bookmarkStart w:id="73" w:name="page74"/>
    <w:bookmarkEnd w:id="73"/>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hanging="288"/>
        <w:spacing w:after="0"/>
        <w:tabs>
          <w:tab w:leader="none" w:pos="46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69"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40"/>
          </w:cols>
          <w:pgMar w:left="480" w:top="1013" w:right="679" w:bottom="1440" w:gutter="0" w:footer="0" w:header="0"/>
        </w:sectPr>
      </w:pPr>
    </w:p>
    <w:bookmarkStart w:id="74" w:name="page75"/>
    <w:bookmarkEnd w:id="74"/>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Amended and Restated 1996 Stock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0920"/>
          </w:cols>
          <w:pgMar w:left="320" w:top="1015" w:right="659" w:bottom="1440" w:gutter="0" w:footer="0" w:header="0"/>
        </w:sectPr>
      </w:pPr>
    </w:p>
    <w:bookmarkStart w:id="75" w:name="page76"/>
    <w:bookmarkEnd w:id="75"/>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Amended and Restated 1996 Stock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hanging="648"/>
        <w:spacing w:after="0" w:line="245" w:lineRule="auto"/>
        <w:tabs>
          <w:tab w:leader="none" w:pos="2600" w:val="left"/>
        </w:tabs>
        <w:numPr>
          <w:ilvl w:val="2"/>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1" w:lineRule="exact"/>
        <w:rPr>
          <w:rFonts w:ascii="Times New Roman" w:cs="Times New Roman" w:eastAsia="Times New Roman" w:hAnsi="Times New Roman"/>
          <w:sz w:val="16"/>
          <w:szCs w:val="16"/>
          <w:color w:val="auto"/>
        </w:rPr>
      </w:pPr>
    </w:p>
    <w:p>
      <w:pPr>
        <w:ind w:left="2600" w:right="20" w:hanging="648"/>
        <w:spacing w:after="0" w:line="245" w:lineRule="auto"/>
        <w:tabs>
          <w:tab w:leader="none" w:pos="2600" w:val="left"/>
        </w:tabs>
        <w:numPr>
          <w:ilvl w:val="2"/>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signing or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015" w:right="65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920"/>
          </w:cols>
          <w:pgMar w:left="320" w:top="1015" w:right="659" w:bottom="1440" w:gutter="0" w:footer="0" w:header="0"/>
          <w:type w:val="continuous"/>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03"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440" w:right="340" w:hanging="647"/>
        <w:spacing w:after="0" w:line="245" w:lineRule="auto"/>
        <w:tabs>
          <w:tab w:leader="none" w:pos="42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460" w:right="320" w:hanging="647"/>
        <w:spacing w:after="0" w:line="232" w:lineRule="auto"/>
        <w:tabs>
          <w:tab w:leader="none" w:pos="44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93"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380" w:right="320" w:hanging="647"/>
        <w:spacing w:after="0" w:line="245" w:lineRule="auto"/>
        <w:tabs>
          <w:tab w:leader="none" w:pos="36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4.3</w:t>
        <w:tab/>
        <w:t>This Election will continue in force regardless of whether the Employee ceases to be an employee of the Employer.</w:t>
      </w:r>
    </w:p>
    <w:p>
      <w:pPr>
        <w:spacing w:after="0" w:line="221" w:lineRule="exact"/>
        <w:rPr>
          <w:sz w:val="20"/>
          <w:szCs w:val="20"/>
          <w:color w:val="auto"/>
        </w:rPr>
      </w:pPr>
    </w:p>
    <w:p>
      <w:pPr>
        <w:jc w:val="both"/>
        <w:ind w:left="420" w:right="320" w:hanging="647"/>
        <w:spacing w:after="0" w:line="232" w:lineRule="auto"/>
        <w:tabs>
          <w:tab w:leader="none" w:pos="40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jc w:val="both"/>
        <w:ind w:right="340"/>
        <w:spacing w:after="0" w:line="245"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ectPr>
          <w:pgSz w:w="11900" w:h="16838" w:orient="portrait"/>
          <w:cols w:equalWidth="0" w:num="1">
            <w:col w:w="11240"/>
          </w:cols>
          <w:pgMar w:left="320" w:top="10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1240"/>
          </w:cols>
          <w:pgMar w:left="320" w:top="1015" w:right="339" w:bottom="1440" w:gutter="0" w:footer="0" w:header="0"/>
          <w:type w:val="continuous"/>
        </w:sectPr>
      </w:pPr>
    </w:p>
    <w:bookmarkStart w:id="77" w:name="page78"/>
    <w:bookmarkEnd w:id="77"/>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48585"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Vice President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139"/>
          </w:cols>
          <w:pgMar w:left="320" w:top="1015" w:right="1440" w:bottom="1440" w:gutter="0" w:footer="0" w:header="0"/>
        </w:sectPr>
      </w:pPr>
    </w:p>
    <w:bookmarkStart w:id="78" w:name="page79"/>
    <w:bookmarkEnd w:id="78"/>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665"/>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 Integrated Products UK Limited</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First Floor, Templeback, 10 Temple Back, Bristol, England, BS1 6FL</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01873931</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56090 07213</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577/RM581</w:t>
            </w:r>
          </w:p>
        </w:tc>
      </w:tr>
      <w:tr>
        <w:trPr>
          <w:trHeight w:val="679"/>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Calvatec</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155"/>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50 Lothian Road, Festival Square, Edinburgh, United Kingdom EH3</w:t>
            </w:r>
          </w:p>
        </w:tc>
      </w:tr>
      <w:tr>
        <w:trPr>
          <w:trHeight w:val="213"/>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9WJ</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SC342295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4889926696</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961/VA27993</w:t>
            </w:r>
          </w:p>
        </w:tc>
      </w:tr>
      <w:tr>
        <w:trPr>
          <w:trHeight w:val="679"/>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Phyworks</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First Floor, Templeback, 10 Temple Back, Bristol, England, BS1 6FL</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04075331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1086827375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015" w:right="1440" w:bottom="1440" w:gutter="0" w:footer="0" w:header="0"/>
        </w:sectPr>
      </w:pPr>
    </w:p>
    <w:bookmarkStart w:id="79" w:name="page80"/>
    <w:bookmarkEnd w:id="79"/>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Establishment</w:t>
      </w:r>
    </w:p>
    <w:p>
      <w:pPr>
        <w:spacing w:after="0" w:line="174"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21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BR014351</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27787 13294</w:t>
            </w:r>
          </w:p>
        </w:tc>
      </w:tr>
      <w:tr>
        <w:trPr>
          <w:trHeight w:val="21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- 6</w:t>
      </w:r>
    </w:p>
    <w:p>
      <w:pPr>
        <w:sectPr>
          <w:pgSz w:w="11900" w:h="16838" w:orient="portrait"/>
          <w:cols w:equalWidth="0" w:num="1">
            <w:col w:w="10139"/>
          </w:cols>
          <w:pgMar w:left="320" w:top="1015" w:right="1440" w:bottom="1440" w:gutter="0" w:footer="0" w:header="0"/>
        </w:sectPr>
      </w:pPr>
    </w:p>
    <w:bookmarkStart w:id="80" w:name="page81"/>
    <w:bookmarkEnd w:id="80"/>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11" w:lineRule="auto"/>
        <w:rPr>
          <w:sz w:val="20"/>
          <w:szCs w:val="20"/>
          <w:color w:val="auto"/>
        </w:rPr>
      </w:pPr>
      <w:r>
        <w:rPr>
          <w:rFonts w:ascii="Times New Roman" w:cs="Times New Roman" w:eastAsia="Times New Roman" w:hAnsi="Times New Roman"/>
          <w:sz w:val="16"/>
          <w:szCs w:val="16"/>
          <w:color w:val="auto"/>
        </w:rPr>
        <w:t>Employee ID</w:t>
      </w:r>
    </w:p>
    <w:p>
      <w:pPr>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12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2020 Equity Incentive Plan (the “Plan”), and this Global Non-Qualified Stock Option Agreement, including Appendix A, which includes any applicable country-specific provisions. This Global Non-Qualified Stock Option Agreement, together with Appendix A, is referred to as the “Agreement.” The grant of this Option reflects the Company’s confidence in the Optionee’s commitment and contributions to the success and continued growth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terms not defined herein shall have the meanings assigned to such terms in the Plan.</w:t>
      </w:r>
    </w:p>
    <w:p>
      <w:pPr>
        <w:spacing w:after="0" w:line="140" w:lineRule="exact"/>
        <w:rPr>
          <w:sz w:val="20"/>
          <w:szCs w:val="20"/>
          <w:color w:val="auto"/>
        </w:rPr>
      </w:pPr>
    </w:p>
    <w:p>
      <w:pPr>
        <w:ind w:left="340" w:right="20" w:hanging="332"/>
        <w:spacing w:after="0" w:line="245" w:lineRule="auto"/>
        <w:tabs>
          <w:tab w:leader="none" w:pos="3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Option</w:t>
      </w:r>
      <w:r>
        <w:rPr>
          <w:rFonts w:ascii="Times New Roman" w:cs="Times New Roman" w:eastAsia="Times New Roman" w:hAnsi="Times New Roman"/>
          <w:sz w:val="16"/>
          <w:szCs w:val="16"/>
          <w:color w:val="auto"/>
        </w:rPr>
        <w:t>. Subject to the terms and conditions of the Plan and this Agreement, the Company has granted to the Optionee an Option to purchase that number of shares of Common Stock (the “Option Shares”) effective on the Date of Grant set forth below:</w:t>
      </w:r>
    </w:p>
    <w:p>
      <w:pPr>
        <w:spacing w:after="0" w:line="106"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6"/>
          <w:szCs w:val="16"/>
          <w:b w:val="1"/>
          <w:bCs w:val="1"/>
          <w:color w:val="0000CC"/>
        </w:rPr>
        <w:t>Date of Grant:</w:t>
        <w:tab/>
        <w:t>Grant Date</w:t>
      </w:r>
    </w:p>
    <w:p>
      <w:pPr>
        <w:ind w:left="1300"/>
        <w:spacing w:after="0" w:line="211" w:lineRule="auto"/>
        <w:tabs>
          <w:tab w:leader="none" w:pos="3900" w:val="left"/>
        </w:tabs>
        <w:rPr>
          <w:sz w:val="20"/>
          <w:szCs w:val="20"/>
          <w:color w:val="auto"/>
        </w:rPr>
      </w:pPr>
      <w:r>
        <w:rPr>
          <w:rFonts w:ascii="Times New Roman" w:cs="Times New Roman" w:eastAsia="Times New Roman" w:hAnsi="Times New Roman"/>
          <w:sz w:val="16"/>
          <w:szCs w:val="16"/>
          <w:b w:val="1"/>
          <w:bCs w:val="1"/>
          <w:color w:val="0000CC"/>
        </w:rPr>
        <w:t>Number of Option Shares Granted:</w:t>
        <w:tab/>
        <w:t>Number of Awards Granted</w:t>
      </w:r>
    </w:p>
    <w:p>
      <w:pPr>
        <w:ind w:left="130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0000CC"/>
        </w:rPr>
        <w:t>Option Exercise Price Per Share:</w:t>
        <w:tab/>
        <w:t>Grant Price</w:t>
      </w:r>
    </w:p>
    <w:p>
      <w:pPr>
        <w:spacing w:after="0" w:line="122" w:lineRule="exact"/>
        <w:rPr>
          <w:sz w:val="20"/>
          <w:szCs w:val="20"/>
          <w:color w:val="auto"/>
        </w:rPr>
      </w:pPr>
    </w:p>
    <w:p>
      <w:pPr>
        <w:ind w:left="340" w:hanging="332"/>
        <w:spacing w:after="0" w:line="245" w:lineRule="auto"/>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Exercise of Option</w:t>
      </w:r>
      <w:r>
        <w:rPr>
          <w:rFonts w:ascii="Times New Roman" w:cs="Times New Roman" w:eastAsia="Times New Roman" w:hAnsi="Times New Roman"/>
          <w:sz w:val="16"/>
          <w:szCs w:val="16"/>
          <w:color w:val="auto"/>
        </w:rPr>
        <w:t>. Subject to the Optionee’s continued employment with the Company or the Employer (as defined in 3(h) below) and other limitations set forth in this Agreement and the Plan, the Option will vest as to a set number of shares on each of the scheduled vesting dates. Vesting Schedule.</w:t>
      </w:r>
    </w:p>
    <w:p>
      <w:pPr>
        <w:spacing w:after="0" w:line="11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right of exercise is cumulative, so that an Option, once vested, may be exercised, in whole or in part, at any time up to Expiration Date, the expiration date, or such earlier date as provided in Section 3 below or in the country-specific provisions in Appendix A.</w:t>
      </w:r>
    </w:p>
    <w:p>
      <w:pPr>
        <w:spacing w:after="0" w:line="110"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of Option; Termination of Employment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of the Option is ten (10) years after the Date of Grant, subject, however, to the early termination provisions set forth herein.</w:t>
      </w:r>
    </w:p>
    <w:p>
      <w:pPr>
        <w:spacing w:after="0" w:line="140" w:lineRule="exact"/>
        <w:rPr>
          <w:rFonts w:ascii="Times New Roman" w:cs="Times New Roman" w:eastAsia="Times New Roman" w:hAnsi="Times New Roman"/>
          <w:sz w:val="16"/>
          <w:szCs w:val="16"/>
          <w:color w:val="auto"/>
        </w:rPr>
      </w:pPr>
    </w:p>
    <w:p>
      <w:pPr>
        <w:ind w:left="660" w:hanging="328"/>
        <w:spacing w:after="0" w:line="245" w:lineRule="auto"/>
        <w:tabs>
          <w:tab w:leader="none" w:pos="66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the Option shall be exercisable by the Optionee (or his or her successor in interest) following the termination of the Optionee’s employment only to the extent that the Option was vested on or prior to the date of such termination.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51"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vesting of the Option shall terminate on the date the Optionee </w:t>
      </w:r>
      <w:r>
        <w:rPr>
          <w:rFonts w:ascii="Times New Roman" w:cs="Times New Roman" w:eastAsia="Times New Roman" w:hAnsi="Times New Roman"/>
          <w:sz w:val="16"/>
          <w:szCs w:val="16"/>
          <w:u w:val="single" w:color="auto"/>
          <w:color w:val="auto"/>
        </w:rPr>
        <w:t>voluntarily terminates</w:t>
      </w:r>
      <w:r>
        <w:rPr>
          <w:rFonts w:ascii="Times New Roman" w:cs="Times New Roman" w:eastAsia="Times New Roman" w:hAnsi="Times New Roman"/>
          <w:sz w:val="16"/>
          <w:szCs w:val="16"/>
          <w:color w:val="auto"/>
        </w:rPr>
        <w:t xml:space="preserve"> employment with the Company or the Employer (as defined in Section 3(h)) or on the date his or her employment is terminated by the Company or the Employer without “Cause” (as defined in paragraph (d)), but any Option that is vested on the date of such termination shall continue to be exercisable for a period of three (3) months following such termination date.</w:t>
      </w:r>
    </w:p>
    <w:p>
      <w:pPr>
        <w:spacing w:after="0" w:line="114"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6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Option shall terminate on the date the Optionee’s employment with the Company or the Employer is terminated by the Company or one of its subsidiaries </w:t>
      </w:r>
      <w:r>
        <w:rPr>
          <w:rFonts w:ascii="Times New Roman" w:cs="Times New Roman" w:eastAsia="Times New Roman" w:hAnsi="Times New Roman"/>
          <w:sz w:val="16"/>
          <w:szCs w:val="16"/>
          <w:u w:val="single" w:color="auto"/>
          <w:color w:val="auto"/>
        </w:rPr>
        <w:t>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and all Option Shares that are then vested shall forthwith cease to be exercisable. “Cause” for this purpose means unsatisfactory job performance (as determined by the Company), willful misconduct, fraud, gross negligence, disobedience or dishonesty, or as otherwise determined under applicable law.</w:t>
      </w:r>
    </w:p>
    <w:p>
      <w:pPr>
        <w:spacing w:after="0" w:line="114" w:lineRule="exact"/>
        <w:rPr>
          <w:rFonts w:ascii="Times New Roman" w:cs="Times New Roman" w:eastAsia="Times New Roman" w:hAnsi="Times New Roman"/>
          <w:sz w:val="16"/>
          <w:szCs w:val="16"/>
          <w:color w:val="auto"/>
        </w:rPr>
      </w:pPr>
    </w:p>
    <w:p>
      <w:pPr>
        <w:ind w:left="660" w:hanging="328"/>
        <w:spacing w:after="0" w:line="245" w:lineRule="auto"/>
        <w:tabs>
          <w:tab w:leader="none" w:pos="651"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xml:space="preserve"> of the Optionee while he or 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27" w:lineRule="auto"/>
        <w:tabs>
          <w:tab w:leader="none" w:pos="66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Optionee’s employment with the Company or the Employer terminates by reason of the retirement of the Optionee after attaining age 60, the vesting of the Option shall terminate on the date of such retirement, but any Option that is vested on the date of such retirement shall continue to be exercisable over the remaining term of the Option; provided that all then-exercisable Options held by such Optionee shall immediately cease to be exercisable in the event that such Optionee becomes an employee of any competitor of the Company or the Employer (as determined in the sole discretion of the Company).</w:t>
      </w:r>
    </w:p>
    <w:p>
      <w:pPr>
        <w:spacing w:after="0" w:line="113"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6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Optionee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Optionee terminates employment with the Company or the Employer, the Option shall vest and become exercisable in full on the date the Optionee is determined to be Disabled and shall continue to be exercisable until the date that is ten (10) years after the Date of Grant, at which time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6"/>
          <w:szCs w:val="16"/>
          <w:color w:val="auto"/>
        </w:rPr>
        <w:t>shall terminate. “Disabled” with respect to the Optionee shall have the meaning set forth in Section 409(a)(2)(C) of the Code.</w:t>
      </w:r>
    </w:p>
    <w:p>
      <w:pPr>
        <w:spacing w:after="0" w:line="140" w:lineRule="exact"/>
        <w:rPr>
          <w:sz w:val="20"/>
          <w:szCs w:val="20"/>
          <w:color w:val="auto"/>
        </w:rPr>
      </w:pPr>
    </w:p>
    <w:p>
      <w:pPr>
        <w:jc w:val="both"/>
        <w:ind w:left="652" w:hanging="328"/>
        <w:spacing w:after="0" w:line="223" w:lineRule="auto"/>
        <w:tabs>
          <w:tab w:leader="none" w:pos="652"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an Optionee transfer employment to become a director, consultant or advisor to the Company or the Employer following the Date of Grant, he or she will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jc w:val="both"/>
        <w:ind w:left="652" w:right="20" w:hanging="328"/>
        <w:spacing w:after="0" w:line="232" w:lineRule="auto"/>
        <w:tabs>
          <w:tab w:leader="none" w:pos="643"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14" w:lineRule="exact"/>
        <w:rPr>
          <w:rFonts w:ascii="Times New Roman" w:cs="Times New Roman" w:eastAsia="Times New Roman" w:hAnsi="Times New Roman"/>
          <w:sz w:val="16"/>
          <w:szCs w:val="16"/>
          <w:color w:val="auto"/>
        </w:rPr>
      </w:pPr>
    </w:p>
    <w:p>
      <w:pPr>
        <w:ind w:left="652" w:hanging="328"/>
        <w:spacing w:after="0" w:line="245" w:lineRule="auto"/>
        <w:tabs>
          <w:tab w:leader="none" w:pos="643"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Options granted to the Optionee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payment methods may be used to purchase Option Shares:</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cashless exercise in a manner described in Section 5(f)(2)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or check payable to the Company.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by the Optionee of shares of Common Stock (by actual delivery or attestation) in accordance with Section 5(f)(3)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 above methods.</w:t>
      </w:r>
    </w:p>
    <w:p>
      <w:pPr>
        <w:spacing w:after="0" w:line="140"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Non-Transferability of Option</w:t>
      </w:r>
      <w:r>
        <w:rPr>
          <w:rFonts w:ascii="Times New Roman" w:cs="Times New Roman" w:eastAsia="Times New Roman" w:hAnsi="Times New Roman"/>
          <w:sz w:val="16"/>
          <w:szCs w:val="16"/>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14"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w:t>
      </w:r>
      <w:r>
        <w:rPr>
          <w:rFonts w:ascii="Times New Roman" w:cs="Times New Roman" w:eastAsia="Times New Roman" w:hAnsi="Times New Roman"/>
          <w:sz w:val="16"/>
          <w:szCs w:val="16"/>
          <w:color w:val="auto"/>
        </w:rPr>
        <w:t>. This Option is subject to adjustment (including with respect to vesting of the Option Shares) upon certain changes in the Common Stock and certain other events, including a Change in Control Event or a Reorganization Event, as provided in Section 10 of the Plan.</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17" w:lineRule="auto"/>
        <w:tabs>
          <w:tab w:leader="none" w:pos="332"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 Regardless of any action the Company or the Employer, if different,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Tax-Related Items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118" w:lineRule="exact"/>
        <w:rPr>
          <w:rFonts w:ascii="Times New Roman" w:cs="Times New Roman" w:eastAsia="Times New Roman" w:hAnsi="Times New Roman"/>
          <w:sz w:val="16"/>
          <w:szCs w:val="16"/>
          <w:color w:val="auto"/>
        </w:rPr>
      </w:pPr>
    </w:p>
    <w:p>
      <w:pPr>
        <w:jc w:val="both"/>
        <w:ind w:left="332"/>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if any, with regard to all Tax-Related Items by one or a combination of the following: (i) withholding from the Optionee’s wages or other cash compensation payable to the Optionee by the Company, the Employer and/or any other subsidiary of the Company; (ii) withholding from proceeds of the sale of Option Shares acquired at exercise of the Option either through a voluntary sale or through a mandatory sale arranged by the Company (on the Optionee’s behalf pursuant to this authorization); or (iii) any other method determined by the Company, to the extent permitted under the Plan and applicable laws. The Company may withhold or account for Tax-Related Items by considering statutory withholding amounts or other applicable withholding rates in the Optionee’s jurisdiction(s), including maximum applicable rates. If the Company and/or the Employer withhold more than the amount necessary to satisfy the liability for Tax-Related Items, the Optionee may receive a refund of any over-withheld amount in cash (with no entitlement to the equivalent in shares of Common Stock) or, if not refunded, the Optionee may be able to seek a refund from the applicable tax authorities. If the Company and/or the Employer withhold less than the amount necessary to satisfy the liability for Tax-Related Items, the Optionee may be required to pay additional Tax-Related Items directly to the applicable tax authorities or to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32"/>
          </w:cols>
          <w:pgMar w:left="328" w:top="1440" w:right="339" w:bottom="1440" w:gutter="0" w:footer="0" w:header="0"/>
        </w:sectPr>
      </w:pPr>
    </w:p>
    <w:bookmarkStart w:id="82" w:name="page83"/>
    <w:bookmarkEnd w:id="82"/>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both"/>
        <w:ind w:left="332"/>
        <w:spacing w:after="0" w:line="232" w:lineRule="auto"/>
        <w:rPr>
          <w:sz w:val="20"/>
          <w:szCs w:val="20"/>
          <w:color w:val="auto"/>
        </w:rPr>
      </w:pPr>
      <w:r>
        <w:rPr>
          <w:rFonts w:ascii="Times New Roman" w:cs="Times New Roman" w:eastAsia="Times New Roman" w:hAnsi="Times New Roman"/>
          <w:sz w:val="16"/>
          <w:szCs w:val="16"/>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114" w:lineRule="exact"/>
        <w:rPr>
          <w:sz w:val="20"/>
          <w:szCs w:val="20"/>
          <w:color w:val="auto"/>
        </w:rPr>
      </w:pPr>
    </w:p>
    <w:p>
      <w:pPr>
        <w:ind w:left="332" w:hanging="332"/>
        <w:spacing w:after="0"/>
        <w:tabs>
          <w:tab w:leader="none" w:pos="332"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In accepting the Option, the Optionee acknowledges, understands and agrees that:</w:t>
      </w:r>
    </w:p>
    <w:p>
      <w:pPr>
        <w:spacing w:after="0" w:line="140"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43"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may be amended, suspended or terminated by the Company at any time, to the extent permitted by the Plan;</w:t>
      </w:r>
    </w:p>
    <w:p>
      <w:pPr>
        <w:spacing w:after="0" w:line="11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is exceptional, voluntary and occasional and does not create any contractual or other right to receive future grants of options, or benefits in lieu of options, even if options have been granted repeatedly in the past;</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option grants, if any, will be at the sole discretion of the Company;</w:t>
      </w:r>
    </w:p>
    <w:p>
      <w:pPr>
        <w:spacing w:after="0" w:line="14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is voluntarily participating in the Plan;</w:t>
      </w:r>
    </w:p>
    <w:p>
      <w:pPr>
        <w:spacing w:after="0" w:line="140" w:lineRule="exact"/>
        <w:rPr>
          <w:rFonts w:ascii="Times New Roman" w:cs="Times New Roman" w:eastAsia="Times New Roman" w:hAnsi="Times New Roman"/>
          <w:sz w:val="16"/>
          <w:szCs w:val="16"/>
          <w:color w:val="auto"/>
        </w:rPr>
      </w:pPr>
    </w:p>
    <w:p>
      <w:pPr>
        <w:jc w:val="both"/>
        <w:ind w:left="652" w:hanging="328"/>
        <w:spacing w:after="0" w:line="227" w:lineRule="auto"/>
        <w:tabs>
          <w:tab w:leader="none" w:pos="652"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 awards, holiday pay, pension or retirement or welfare benefits or similar payments and in no event should be considered as compensation for, or relating in any way to, past services for the Company or the Employer;</w:t>
      </w:r>
    </w:p>
    <w:p>
      <w:pPr>
        <w:spacing w:after="0" w:line="113"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52"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grant and the Optionee’s participation in the Plan will not be interpreted to form or amend an employment or service contract or relationship with the Company or the Employer;</w:t>
      </w:r>
    </w:p>
    <w:p>
      <w:pPr>
        <w:spacing w:after="0" w:line="11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Option Shares underlying the Option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underlying Option Shares do not increase in value, the Option will have no value;</w:t>
      </w:r>
    </w:p>
    <w:p>
      <w:pPr>
        <w:spacing w:after="0" w:line="140" w:lineRule="exact"/>
        <w:rPr>
          <w:rFonts w:ascii="Times New Roman" w:cs="Times New Roman" w:eastAsia="Times New Roman" w:hAnsi="Times New Roman"/>
          <w:sz w:val="16"/>
          <w:szCs w:val="16"/>
          <w:color w:val="auto"/>
        </w:rPr>
      </w:pPr>
    </w:p>
    <w:p>
      <w:pPr>
        <w:ind w:left="652" w:hanging="328"/>
        <w:spacing w:after="0" w:line="242" w:lineRule="auto"/>
        <w:tabs>
          <w:tab w:leader="none" w:pos="643"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 exercises the Option and acquires Option Shares, the value of such Option Shares may increase or decrease in value, even below the Exercise Price;</w:t>
      </w:r>
    </w:p>
    <w:p>
      <w:pPr>
        <w:spacing w:after="0" w:line="30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Optionees who reside outside the U.S. and/or the Company is not the Optionee’s employer, the following additional provisions shall apply:</w:t>
      </w:r>
    </w:p>
    <w:p>
      <w:pPr>
        <w:spacing w:after="0" w:line="140" w:lineRule="exact"/>
        <w:rPr>
          <w:rFonts w:ascii="Times New Roman" w:cs="Times New Roman" w:eastAsia="Times New Roman" w:hAnsi="Times New Roman"/>
          <w:sz w:val="16"/>
          <w:szCs w:val="16"/>
          <w:color w:val="auto"/>
        </w:rPr>
      </w:pPr>
    </w:p>
    <w:p>
      <w:pPr>
        <w:ind w:left="1292" w:hanging="315"/>
        <w:spacing w:after="0" w:line="245" w:lineRule="auto"/>
        <w:tabs>
          <w:tab w:leader="none" w:pos="1283"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intended to replace any pension rights or compensation;</w:t>
      </w:r>
    </w:p>
    <w:p>
      <w:pPr>
        <w:spacing w:after="0" w:line="110" w:lineRule="exact"/>
        <w:rPr>
          <w:rFonts w:ascii="Times New Roman" w:cs="Times New Roman" w:eastAsia="Times New Roman" w:hAnsi="Times New Roman"/>
          <w:sz w:val="16"/>
          <w:szCs w:val="16"/>
          <w:color w:val="auto"/>
        </w:rPr>
      </w:pPr>
    </w:p>
    <w:p>
      <w:pPr>
        <w:ind w:left="1292" w:right="20" w:hanging="315"/>
        <w:spacing w:after="0" w:line="245" w:lineRule="auto"/>
        <w:tabs>
          <w:tab w:leader="none" w:pos="1287"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are extraordinary items that do not constitute compensation of any kind for services of any kind rendered to the Company or the Employer, and which are outside the scope of the Optionee’s employment or service contract, if any;</w:t>
      </w:r>
    </w:p>
    <w:p>
      <w:pPr>
        <w:spacing w:after="0" w:line="110" w:lineRule="exact"/>
        <w:rPr>
          <w:rFonts w:ascii="Times New Roman" w:cs="Times New Roman" w:eastAsia="Times New Roman" w:hAnsi="Times New Roman"/>
          <w:sz w:val="16"/>
          <w:szCs w:val="16"/>
          <w:color w:val="auto"/>
        </w:rPr>
      </w:pPr>
    </w:p>
    <w:p>
      <w:pPr>
        <w:jc w:val="both"/>
        <w:ind w:left="1292" w:hanging="315"/>
        <w:spacing w:after="0" w:line="232" w:lineRule="auto"/>
        <w:tabs>
          <w:tab w:leader="none" w:pos="1292"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 and</w:t>
      </w:r>
    </w:p>
    <w:p>
      <w:pPr>
        <w:spacing w:after="0" w:line="114" w:lineRule="exact"/>
        <w:rPr>
          <w:rFonts w:ascii="Times New Roman" w:cs="Times New Roman" w:eastAsia="Times New Roman" w:hAnsi="Times New Roman"/>
          <w:sz w:val="16"/>
          <w:szCs w:val="16"/>
          <w:color w:val="auto"/>
        </w:rPr>
      </w:pPr>
    </w:p>
    <w:p>
      <w:pPr>
        <w:jc w:val="both"/>
        <w:ind w:left="1292" w:hanging="315"/>
        <w:spacing w:after="0"/>
        <w:tabs>
          <w:tab w:leader="none" w:pos="1283"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shall arise from forfeiture of the Option resulting from termination of the Optionee’s employment by the Company or the Employer (regardless of the reason for such termination and whether or not later found to be invalid or in breach of applicable laws in the jurisdiction where Optionee is employed or the terms of Optionee’s employment agreement, if any) and in consideration of the grant of the Option to which the Optionee is otherwise not entitled, the Optionee irrevocably agrees never to institute any claim against the Company or the Employer and waives his or her ability, if any, to bring such a claim, and releases the Company and the Employer from any such claim;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claims.</w:t>
      </w:r>
    </w:p>
    <w:p>
      <w:pPr>
        <w:spacing w:after="0" w:line="170" w:lineRule="exact"/>
        <w:rPr>
          <w:rFonts w:ascii="Times New Roman" w:cs="Times New Roman" w:eastAsia="Times New Roman" w:hAnsi="Times New Roman"/>
          <w:sz w:val="16"/>
          <w:szCs w:val="16"/>
          <w:color w:val="auto"/>
        </w:rPr>
      </w:pPr>
    </w:p>
    <w:p>
      <w:pPr>
        <w:jc w:val="both"/>
        <w:ind w:left="332" w:right="20" w:hanging="332"/>
        <w:spacing w:after="0" w:line="232" w:lineRule="auto"/>
        <w:tabs>
          <w:tab w:leader="none" w:pos="332"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Optionee’s participation in the Plan, or the Optionee’s acquisition or sale of the underlying Option Shares. The Optionee is encouraged to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32"/>
          </w:cols>
          <w:pgMar w:left="328" w:top="1440" w:right="339" w:bottom="1440" w:gutter="0" w:footer="0" w:header="0"/>
        </w:sectPr>
      </w:pPr>
    </w:p>
    <w:bookmarkStart w:id="83" w:name="page84"/>
    <w:bookmarkEnd w:id="8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332" w:right="20" w:hanging="332"/>
        <w:spacing w:after="0" w:line="245" w:lineRule="auto"/>
        <w:tabs>
          <w:tab w:leader="none" w:pos="33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xml:space="preserve">. This Agreement shall be binding upon and inure to the benefit of the Company and the Optionee and his or her </w:t>
      </w:r>
      <w:r>
        <w:rPr>
          <w:rFonts w:ascii="Times New Roman" w:cs="Times New Roman" w:eastAsia="Times New Roman" w:hAnsi="Times New Roman"/>
          <w:sz w:val="16"/>
          <w:szCs w:val="16"/>
          <w:u w:val="single" w:color="auto"/>
          <w:color w:val="auto"/>
        </w:rPr>
        <w:t>respective</w:t>
      </w:r>
      <w:r>
        <w:rPr>
          <w:rFonts w:ascii="Times New Roman" w:cs="Times New Roman" w:eastAsia="Times New Roman" w:hAnsi="Times New Roman"/>
          <w:sz w:val="16"/>
          <w:szCs w:val="16"/>
          <w:color w:val="auto"/>
        </w:rPr>
        <w:t xml:space="preserve"> heirs, executors, administrators, legal representatives, successors and assigns, subject to the restrictions on transfer set forth in Section 5 of this Agreement.</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27" w:lineRule="auto"/>
        <w:tabs>
          <w:tab w:leader="none" w:pos="326"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Optionee shall be addressed to the Optionee at the Optionee’s last known mailing or email address, as applicable, on the records of the Company.</w:t>
      </w:r>
    </w:p>
    <w:p>
      <w:pPr>
        <w:spacing w:after="0" w:line="113"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16" w:lineRule="auto"/>
        <w:tabs>
          <w:tab w:leader="none" w:pos="33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Optionee understands that the Company is under no obligation to register or qualify the Option Shares with the SEC or any state or non-U.S. securities commission or to seek approval or clearance from any governmental authority for the issuance or sale of the Option Shares. The Optionee also understands and agrees that the Awards granted under the Plan, including the Options and the underlying Option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118" w:lineRule="exact"/>
        <w:rPr>
          <w:rFonts w:ascii="Times New Roman" w:cs="Times New Roman" w:eastAsia="Times New Roman" w:hAnsi="Times New Roman"/>
          <w:sz w:val="16"/>
          <w:szCs w:val="16"/>
          <w:color w:val="auto"/>
        </w:rPr>
      </w:pPr>
    </w:p>
    <w:p>
      <w:pPr>
        <w:jc w:val="both"/>
        <w:ind w:left="332" w:hanging="332"/>
        <w:spacing w:after="0" w:line="218" w:lineRule="auto"/>
        <w:tabs>
          <w:tab w:leader="none" w:pos="33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Option and any cash payment or Option Shares delivered pursuant to the Option are subject to forfeiture, recovery by the Company or other action pursuant to any clawback or recoupment policy which the Company may adopt from time to time, including without limitation any such policy which the Company may be required to adopt under the Dodd-Frank Act and implementing rules and regulations thereunder, or as otherwise required by law. Further, the Option and any Option Shares issued upon exercise of the Option, shall be subject to deduction, clawback or forfeiture to the extent required to comply with any recoupment requirement imposed under applicable laws, rules, regulations or stock exchange listing standards. In order to satisfy any recoupment obligation arising under any clawback or recoupment policy of the Company or otherwise under applicable laws, rules, regulations or stock exchange listing standards, among other things, the Optionee expressly and explicitly authorizes the Company to issue instructions, on the Optionee’s behalf, to any brokerage firm or stock plan service provider engaged by the Company to hold any Option Shares or other amounts acquired pursuant to the Option to re-convey, transfer or otherwise return such Option Shares and/or other amounts to the Company upon the Company’s enforcement of any clawback or recoupment policy.</w:t>
      </w:r>
    </w:p>
    <w:p>
      <w:pPr>
        <w:spacing w:after="0" w:line="115"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Optionee’s Acceptance</w:t>
      </w:r>
      <w:r>
        <w:rPr>
          <w:rFonts w:ascii="Times New Roman" w:cs="Times New Roman" w:eastAsia="Times New Roman" w:hAnsi="Times New Roman"/>
          <w:sz w:val="16"/>
          <w:szCs w:val="16"/>
          <w:color w:val="auto"/>
        </w:rPr>
        <w:t>. The Optionee is urged to read this Agreement carefully and to consult with his or her own legal counsel regarding the terms and consequences of this Agreement and the legal and binding effect of this Agreement. By virtue of his or her acceptance of this Option, the Optionee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10"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32"/>
          </w:cols>
          <w:pgMar w:left="328" w:top="1440" w:right="339" w:bottom="1440" w:gutter="0" w:footer="0" w:header="0"/>
        </w:sectPr>
      </w:pPr>
    </w:p>
    <w:bookmarkStart w:id="84" w:name="page85"/>
    <w:bookmarkEnd w:id="84"/>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both"/>
        <w:ind w:left="332" w:hanging="332"/>
        <w:spacing w:after="0" w:line="227" w:lineRule="auto"/>
        <w:tabs>
          <w:tab w:leader="none" w:pos="33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w:t>
      </w:r>
      <w:r>
        <w:rPr>
          <w:rFonts w:ascii="Times New Roman" w:cs="Times New Roman" w:eastAsia="Times New Roman" w:hAnsi="Times New Roman"/>
          <w:sz w:val="16"/>
          <w:szCs w:val="16"/>
          <w:color w:val="auto"/>
        </w:rPr>
        <w:t>. The Option shall be subject to any additional provisions set forth in the Appendix for the Optionee’s country of employment and/or residence, if any. If the Optionee relocates to one of the countries included in the Appendix during the life of the Option, the additional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113"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Option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332" w:hanging="332"/>
        <w:spacing w:after="0"/>
        <w:tabs>
          <w:tab w:leader="none" w:pos="33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Optionee may be subject to insider trading restrictions and/or market abuse laws, which may affect the Optionee’s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Options)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Optionee is considered to have “inside information” regarding the Company (as defined by the laws or regulations in the Optionee’s country). Local insider trading laws and regulations may prohibit the cancellation or amendment of orders the Optionee placed before possessing inside information. Furthermore, the Optionee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and the Optionee should speak to his or her personal advisor on this matter.</w:t>
      </w:r>
    </w:p>
    <w:p>
      <w:pPr>
        <w:spacing w:after="0" w:line="148" w:lineRule="exact"/>
        <w:rPr>
          <w:rFonts w:ascii="Times New Roman" w:cs="Times New Roman" w:eastAsia="Times New Roman" w:hAnsi="Times New Roman"/>
          <w:sz w:val="16"/>
          <w:szCs w:val="16"/>
          <w:color w:val="auto"/>
        </w:rPr>
      </w:pPr>
    </w:p>
    <w:p>
      <w:pPr>
        <w:jc w:val="both"/>
        <w:ind w:left="332" w:hanging="332"/>
        <w:spacing w:after="0" w:line="220" w:lineRule="auto"/>
        <w:tabs>
          <w:tab w:leader="none" w:pos="33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Optionee may be subject to foreign asset/account, exchange control and/or tax reporting requirements as a result of the exercise of the Option, the acquisition, holding, and/or transfer of Option Shares or cash resulting from participation in the Plan and/or the opening and maintenance of a brokerage or bank account in connection with the Plan. The Optionee may be required to report such assets, accounts, account balances and values and/or related transactions to the applicable authorities in his or her country. The Optionee also may be required to repatriate sale proceeds or other funds received as a result of participation in the Plan to the Optionee’s country through a designated broker or bank and/or within a certain time after receipt. The Optionee acknowledges that he or she is responsible for ensuring compliance with any applicable foreign asset/account, exchange control and tax reporting requirements. The Optionee further understands that he or she should consult the Optionee’s personal legal advisor on these matters.</w:t>
      </w:r>
    </w:p>
    <w:p>
      <w:pPr>
        <w:spacing w:after="0" w:line="115"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32"/>
          </w:cols>
          <w:pgMar w:left="328" w:top="1440" w:right="33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 xml:space="preserve">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Optionee is unable to access this information via the Intranet, the Company’s Stock Plan Administrator can provide the Optionee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20320</wp:posOffset>
            </wp:positionV>
            <wp:extent cx="273431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20"/>
          </w:cols>
          <w:pgMar w:left="320" w:top="1440" w:right="359" w:bottom="1440" w:gutter="0" w:footer="0" w:header="0"/>
        </w:sectPr>
      </w:pPr>
    </w:p>
    <w:bookmarkStart w:id="86" w:name="page87"/>
    <w:bookmarkEnd w:id="86"/>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t>APPENDIX A</w:t>
      </w:r>
    </w:p>
    <w:p>
      <w:pPr>
        <w:spacing w:after="0" w:line="13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Options granted to the Optionee if the Optionee resides and/or works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19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October 2023.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21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Optionee’s particular situation, and the Company is not in a position to assure the Optionee of any particular result. Therefore, the Optionee should seek appropriate professional advice as to how the relevant laws in the Optionee’s country may apply to his or her situation.</w:t>
      </w:r>
    </w:p>
    <w:p>
      <w:pPr>
        <w:spacing w:after="0" w:line="209"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Finally, the Optionee understands that if he or she is a citizen or resident of a country other than the one in which the Optionee is currently working and/or residing, transfers employment and/or residency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OPTIONEES OUTSIDE THE U.S.</w:t>
      </w:r>
    </w:p>
    <w:p>
      <w:pPr>
        <w:spacing w:after="0" w:line="219"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Options, at the Company’s sole discretion. If the Optionee would like to participate in the Plan, please review the following information about the Company’s data processing practices and declare the Optionee’s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Optionees, including, name, home address and telephone number, date of birth, social insurance number or other identification number, salary, citizenship, job title, any shares of stock or directorships held in the Company, and details of all Options, canceled, vested, or outstanding in the Optionee’s favor, which the Company receives from the Optionee or the Employer. If the Company offers the Optionee a grant of Options under the Plan, then the Company will collect the Optionee’s personal data for purposes of allocating stock and implementing, administering and managing the Plan. The Company’s legal basis for the processing of the Optionee’s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2" w:lineRule="auto"/>
        <w:tabs>
          <w:tab w:leader="none" w:pos="5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Optionee’s data with another company that serves in a similar manner. The Company’s service provider will open an account for the Optionee to receive and trade shares of Common Stock. The Optionee will be asked to agree on separate terms and data processing practices with the service provider, which is a condition to the Optionee’s ability to participate in the Plan.</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Optionee is outside the United States, the Optionee should note that his or her country has enacted data privacy laws that are different from the United States and that the United States might not provide a level of protection of personal data equivalent to the level of protection in the Optionee’s country. In order to ensure an appropriate level of protection for the transfer of the Optionee’s personal data to the Company in the United States, the Company has implemented the EU Standard Contractual Clauses. However, the onward transfer of the Optionee’s personal data by the Company to its service provider is not subject to appropriate safeguards such as the EU Standard Contractual Clauses and is based solely on the Optionee’s consent. The Optionee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Optionee’s personal data only as long as is necessary to implement, administer and manage the Optionee’s participation in the Plan or as required to comply with applicable laws, exercise or defense of legal rights, and archiving, deletion and backup purposes. This means the Optionee’s personal data may be retained beyond the termination of the Optionee’s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Optionee’s participation in the Plan and the Optionee’s grant of consent is purely voluntary. The Optionee may deny or withdraw his or her consent at any time. If the Optionee does not consent, or if the Optionee withdraws his or her consent, the Optionee cannot participate in the Plan. This would not affect the Optionee’s salary from or employment with the Employer; the Optionee would merely forfeit the opportunities associated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760"/>
          </w:cols>
          <w:pgMar w:left="480" w:top="1015" w:right="65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500" w:hanging="328"/>
        <w:spacing w:after="0" w:line="222" w:lineRule="auto"/>
        <w:tabs>
          <w:tab w:leader="none" w:pos="5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Optionee has a number of rights under data privacy laws in his or her country. Depending on where the Optionee is based, the Optionee’s rights may include the right to (a) request access or copies of personal data the Company processes, (b) rectification of incorrect data, (c) deletion of data, (d) restrictions on processing, (e) portability of data, (f) lodge complaints with competent authorities in the Optionee’s country, and/or (g) a list with the names and addresses of any potential recipients of the Optionee’s personal data. To receive clarification regarding the Optionee’s rights or to exercise the Optionee’s rights please contact the Company at Analog Devices, Inc., One Analog Way, Wilmington, Massachusetts, 01887 U.S.A., Attention: Stock Plan Administrator.</w:t>
      </w:r>
    </w:p>
    <w:p>
      <w:pPr>
        <w:spacing w:after="0" w:line="113" w:lineRule="exact"/>
        <w:rPr>
          <w:sz w:val="20"/>
          <w:szCs w:val="20"/>
          <w:color w:val="auto"/>
        </w:rPr>
      </w:pPr>
    </w:p>
    <w:p>
      <w:pPr>
        <w:jc w:val="both"/>
        <w:ind w:left="180" w:right="2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Optionee resides in a European Economic Area, European Union member state or the United Kingdom and agrees with the data processing practices described in this notice, the Optionee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Optionee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holds securities (including Option Shares acquired under the Plan) or cash (including proceeds from the sale of Option Shares) outside Austria, he or she may be subject to reporting obligations to the Austrian National Bank. If the value of the Option Shares meets or exceeds a certain threshold, the Optionee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19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If the Optionee sells Option Shares, or receives any cash dividends, the Optionee may have exchange control obligations if he or she holds the cash proceeds outside Austria. If the transaction volume of all the Optionee’s accounts abroad meets or exceeds a certain threshold, the Optionee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Taxation of Option</w:t>
      </w:r>
      <w:r>
        <w:rPr>
          <w:rFonts w:ascii="Times New Roman" w:cs="Times New Roman" w:eastAsia="Times New Roman" w:hAnsi="Times New Roman"/>
          <w:sz w:val="16"/>
          <w:szCs w:val="16"/>
          <w:color w:val="auto"/>
        </w:rPr>
        <w:t>. The Optionee will not be permitted to accept the Options until after 60 days from the offer date. If the Optionee accepts the Options within 60 days of the offer date, the Optionee will be deemed to have accepted the Option after the 60th day from the offer date. Therefore, the Options will not be subject to Belgian tax until they are exercised by the Optionee.</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report any securities (e.g., Option Shares) or bank accounts opened and maintained outside Belgium on his or her annual tax return. In a separate report, certain details regarding such foreign accounts (including the account number, bank name and country in which such account was opened) must be reported to the Central Contact Point of the National Bank of Belgium. The forms to complete this report are available on the website of the National Bank of Belgium.</w:t>
      </w:r>
    </w:p>
    <w:p>
      <w:pPr>
        <w:spacing w:after="0" w:line="195" w:lineRule="exact"/>
        <w:rPr>
          <w:sz w:val="20"/>
          <w:szCs w:val="20"/>
          <w:color w:val="auto"/>
        </w:rPr>
      </w:pPr>
    </w:p>
    <w:p>
      <w:pPr>
        <w:jc w:val="both"/>
        <w:ind w:left="180" w:right="2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Option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Optionee should consult with his or her personal tax or financial advisor for additional details.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Optionee is permitted to sell Option Shares acquired through the Plan through the designated broker appointed under the Plan, if any (or any other broker acceptable to the Company), provided the resale of Option Shares acquired under the Plan takes place outside Canada through the facilities of a stock exchange on which the Option Shares are listed. The Option Shares are currently listed on the Nasdaq Global Select Market.</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Payment of Exercise Price and Withholding Taxes</w:t>
      </w:r>
      <w:r>
        <w:rPr>
          <w:rFonts w:ascii="Times New Roman" w:cs="Times New Roman" w:eastAsia="Times New Roman" w:hAnsi="Times New Roman"/>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0760"/>
          </w:cols>
          <w:pgMar w:left="480" w:top="1440" w:right="659" w:bottom="1440" w:gutter="0" w:footer="0" w:header="0"/>
          <w:type w:val="continuous"/>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3 of the Agreement (except Section 3(g) regarding disability) as well as any other section required to give effect to the same:</w:t>
      </w:r>
    </w:p>
    <w:p>
      <w:pPr>
        <w:spacing w:after="0" w:line="205" w:lineRule="exact"/>
        <w:rPr>
          <w:sz w:val="20"/>
          <w:szCs w:val="20"/>
          <w:color w:val="auto"/>
        </w:rPr>
      </w:pPr>
    </w:p>
    <w:p>
      <w:pPr>
        <w:jc w:val="both"/>
        <w:ind w:left="180"/>
        <w:spacing w:after="0" w:line="213" w:lineRule="auto"/>
        <w:rPr>
          <w:sz w:val="20"/>
          <w:szCs w:val="20"/>
          <w:color w:val="auto"/>
        </w:rPr>
      </w:pPr>
      <w:r>
        <w:rPr>
          <w:rFonts w:ascii="Times New Roman" w:cs="Times New Roman" w:eastAsia="Times New Roman" w:hAnsi="Times New Roman"/>
          <w:sz w:val="16"/>
          <w:szCs w:val="16"/>
          <w:color w:val="auto"/>
        </w:rPr>
        <w:t>In the event of termination of the Optionee’s employment for any reason (other than by reason of the Optionee’s death), either by the Optionee or by the Employer, with or without cause, the Optionee's right to vest or continue to vest in the Option under the Plan, if any, will terminate as of the actual Date of Termination. For this purpose, “Date of Termination” shall mean the earlier of (1) the date the Optionee’s employment with the Employer is terminated for any reason; or (2) the date the Optionee receives written notice of termination from the Employer and shall not include or be extended by any period following such day during which the Optionee is in receipt of or eligible to receive any notice of termination, pay in lieu of notice of termination, severance pay or any other payments or damages, whether arising under statute, contract or at common law. For greater certainty, the Optionee will not earn or be entitled to any pro-rated vesting or extended exercisability for that portion of time before the date on which the Optionee’s right to vest in or exercise the Option terminates, nor will the Optionee be entitled to</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any compensation for lost vesting or exercisability</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Optionee’s right to vest in the Options under the Plan, if any, will terminate effective as of the last day of the Optionee’s minimum statutory notice period, but the Optionee will not earn or be entitled to pro-rated vesting if the vesting date falls after the end of the Optionee’s statutory notice period, nor will the Optionee be entitled to any compensation for lost vesting.</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Option Shares) held by Canadian residents must be reported annually on Form T1135 (Foreign Income Verification Statement) if the cost of such foreign specified property exceeds C$100,000 at any time during the year. Foreign specified property may also include the unvested portion of the Options. The Options must be reported (generally at a nil cost) if the $100,000 cost threshold is exceeded because of other foreign specified property the Optionee holds. If Option Shares are acquired, their cost generally is the adjusted cost base (“ACB”) of the Option Shares. The ACB would normally equal the fair market value of the Option Shares at exercise, but if the Optionee owns other shares, this ACB may have to be averaged with the ACB of the other shares. If due, the Form must be filed by April 30 of the following year. The Optionee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Optionee is in Quebec:</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Optionees Outside the U.S. set forth above:</w:t>
      </w:r>
    </w:p>
    <w:p>
      <w:pPr>
        <w:spacing w:after="0" w:line="20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acknowledges that his or her personal information, may be transferred or disclosed outside the Province of Quebec, including to the United States. The Optionee further authorizes the Company and the Employer to record such information and to keep such information in the Optionee’s employee file. The Optionee also acknowledges that the Company, Fidelity, and the Employer may use technology of profiling purposes and to make automated decisions that may have an impact on the Optionee or the administration of the Plan.</w:t>
      </w: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19"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Optionee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Options will not vest and no Option Shares will be issued to the Optionee unless and until all necessary exchange control or other approvals with respect to the Options under the Plan have been obtained from the SAFE or its local counterpart (“SAFE Approval”). In the event that SAFE Approval has not been obtained prior to any date(s) on which the Options are scheduled to vest in accordance with the vesting schedule set forth in the Agreement, the Options will not vest until the seventh day of the month following the month in which SAFE Approval is obtained (the “Actual Vesting Date”). If the Optionee’s status as a service provider terminates prior to the Actual Vesting Date, the Optionee shall not be entitled to vest in any portion of the Options and the Options shall be forfeited without any liability to the Company, the Employer or any subsidiary or affiliate of the Company.</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supplements Section 4 of the Agreement:</w:t>
      </w:r>
    </w:p>
    <w:p>
      <w:pPr>
        <w:spacing w:after="0" w:line="23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the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440" w:right="659" w:bottom="1440" w:gutter="0" w:footer="0" w:header="0"/>
          <w:type w:val="continuous"/>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208"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Further, notwithstanding Section 3(e) or 3(g) of the Agreement, if the Optionee terminates employment with the Company or the Employer due to death or the Optionee becomes Disabled as determined by the Company, the vesting of the Option shall accelerate on the date of such termination or determination of disability, and the Option shall continue to be exercisable for a period of three (3) months (or such other period as may be required by the SAFE) following the termination date due to death or disability. If the Optionee or the Optionee’s heirs do not exercise the Option within three (3) months (or such other period as may be required by the SAFE) of the Optionee’s death or date of termination in the event of disability, the Option will be forfeited and the Optionee or the Optionee’s heirs will not be able to exercise the Option.</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23"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Optionee acknowledges that he or she received an Employer Statement translated into Danish, which is being provided to comply with the Danish Stock Option Act, as amended effective January 1, 2019, and is attached hereto as Appendix B.</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Notice of Grant</w:t>
      </w:r>
      <w:r>
        <w:rPr>
          <w:rFonts w:ascii="Times New Roman" w:cs="Times New Roman" w:eastAsia="Times New Roman" w:hAnsi="Times New Roman"/>
          <w:sz w:val="16"/>
          <w:szCs w:val="16"/>
          <w:color w:val="auto"/>
        </w:rPr>
        <w:t>. This provision supplements Section 8 in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establishes an account holding Option Shares or cash outside Denmark, the Optionee must report the account to the Danish Tax Administration. The form which should be used in this respect can be obtained from a local bank.</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transfers funds out of or into Egypt in connection with the exercise of the Option or remits proceeds from the sale of Option Shares, the Optionee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Optionee understands that he or she would generally not be subject to taxation in Estonia when the Option is exercised and Shares are issued under the Plan, and that the Employer would generally be subject to fringe benefits tax (“FBT”) due, unless an exemption applies. Notwithstanding the foregoing, as a condition to the Optionee’s participation in the Plan, the Optionee agrees and consents that the Company and/or the Employer may in their discretion seek indemnification / reimbursement from the Optionee for any FBT the Employer is required to pay, has paid or will pay. If the Company and/or the Employer exercise such discretion and choose to seek indemnification / reimbursement from the Optionee, they will reduce the number of Shares otherwise issuable to the Optionee by an amount determined by the Company to be appropriate to offset the FBT, and may otherwise recover the FBT by any other means referred to in Section 7 of the Agreement. The Optionee further acknowledges that the discretion of the Company and/or Employer to seek indemnification for the FBT is not imbalanced or harmful to the Optionee, and the Optionee unconditionally and irrevocably waives any rights to amend or dispute its validity on the basis of any law or regulation of Estonia or any other jurisdiction.</w:t>
      </w:r>
    </w:p>
    <w:p>
      <w:pPr>
        <w:spacing w:after="0" w:line="195"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(Option)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440" w:right="65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By accepting the grant of the Option, the Optionee confirms having read and understood the documents related to the grant (the Agreement and the Plan), which were provided in the English language, and that he or she does not need the translation thereof into the Estonian language. The Optionee accepts the terms of those documents accordingly.</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French Qualified Option</w:t>
      </w:r>
      <w:r>
        <w:rPr>
          <w:rFonts w:ascii="Times New Roman" w:cs="Times New Roman" w:eastAsia="Times New Roman" w:hAnsi="Times New Roman"/>
          <w:sz w:val="16"/>
          <w:szCs w:val="16"/>
          <w:color w:val="auto"/>
        </w:rPr>
        <w:t>. This Option is intended to qualify for favorable tax and social security treatment applicable to stock options granted under Section L. 225-177 to L. 225-186-1 of the French Commercial Code, as amended and in accordance with the relevant provisions set forth by the French tax and social security laws and the French tax and social security administrations. The Company does not undertake to maintain the qualified status of this Option. The Optionee understands and agrees that he or she will be responsible for paying personal income tax and the Optionee’s portion of social security contributions resulting from the exercise of this Option in the event this Option loses its qualified status and the Optionee will not be entitled to any damages if the Option no longer qualifies as French-qualified Option.</w:t>
      </w:r>
    </w:p>
    <w:p>
      <w:pPr>
        <w:spacing w:after="0" w:line="11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Options are subject to the terms and conditions of the Plan and the Rules of the Analog Devices, Inc. 2020 Equity Incentive Plan for Grants of Options to Optionees in France (the “French Sub-plan”). To the extent that any term is defined in both the Plan and the French Sub-plan, for purposes of this grant of a French-qualified Option, the definitions in the French Sub-plan shall prevail.</w:t>
      </w:r>
    </w:p>
    <w:p>
      <w:pPr>
        <w:spacing w:after="0" w:line="114"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Option Exercise Price Per Share</w:t>
      </w:r>
      <w:r>
        <w:rPr>
          <w:rFonts w:ascii="Times New Roman" w:cs="Times New Roman" w:eastAsia="Times New Roman" w:hAnsi="Times New Roman"/>
          <w:sz w:val="16"/>
          <w:szCs w:val="16"/>
          <w:color w:val="auto"/>
        </w:rPr>
        <w:t>. With respect to Section 1 of the Agreement, the Date of Grant shall be the Effective Grant Date set forth in the French Sub-plan and the Option Exercise Price Per Share as of the Effective Grant Date shall be no less than the minimum amount required under French law as set forth in the French Sub-plan.</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Expiration</w:t>
      </w:r>
      <w:r>
        <w:rPr>
          <w:rFonts w:ascii="Times New Roman" w:cs="Times New Roman" w:eastAsia="Times New Roman" w:hAnsi="Times New Roman"/>
          <w:sz w:val="16"/>
          <w:szCs w:val="16"/>
          <w:color w:val="auto"/>
        </w:rPr>
        <w:t>. This provision replaces Section 3(a) of the Agreement:</w:t>
      </w:r>
    </w:p>
    <w:p>
      <w:pPr>
        <w:spacing w:after="0" w:line="140"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Section 3(a) of the Agreement, the Option will expire 9½ years after the Effective Grant Date ({FRENCHEXPDATE}), as defined in the French Sub-plan.</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Termination Upon Death</w:t>
      </w:r>
      <w:r>
        <w:rPr>
          <w:rFonts w:ascii="Times New Roman" w:cs="Times New Roman" w:eastAsia="Times New Roman" w:hAnsi="Times New Roman"/>
          <w:sz w:val="16"/>
          <w:szCs w:val="16"/>
          <w:color w:val="auto"/>
        </w:rPr>
        <w:t>. This provision replaces Section 3(e) of the Agreement:</w:t>
      </w:r>
    </w:p>
    <w:p>
      <w:pPr>
        <w:spacing w:after="0" w:line="140"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If the Optionee’s employment is terminated because of death, the unvested portion of the Optionee’s Option will immediately vest and become exercisable by the Optionee’s estate or heirs on the termination date for a period of six (6) months following the Optionee’s death. If the Optionee’s heirs do not exercise the Option within six (6) months of the Optionee’s death, the Option will be forfeited and the Optionee’s heirs will not be able to exercise the Option.</w:t>
      </w:r>
    </w:p>
    <w:p>
      <w:pPr>
        <w:spacing w:after="0" w:line="168"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66"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En signant et renvoyant cet Accord, ou par acceptant autrement l’Accord, le Titulaire de l’Option confirme ainsi avoir lu et compris les documents relatifs à l’Option, (c’est-à-dire, Le Plan, Le Plan pour la France et cet Accord) qui ont été fournis en langue anglaise. Le Titulaire de l’Option accepte les termes de ces documents en connaissance de cause.</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Option Shares outside France or maintaining a foreign bank account are required to report such to French tax authorities when filing his or her annual tax return. Failure to comply may trigger significant penalties.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21"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Optionee otherwise makes or receives a payment in excess of €12,500 (including if the Optionee acquires Option Shares with a value in excess of this amount or sells Option Shares via a foreign broker, bank or service provider and receives proceeds in excess of this amount) and/or if the Company withholds or sells Option Shares with a value in excess of this amount to cover Tax-Related Items, the Optionee must report the payment and/or the value of the Option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 Meldeportal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000FF"/>
        </w:rPr>
        <w:t>www.bundesbank.de</w:t>
      </w:r>
      <w:r>
        <w:rPr>
          <w:rFonts w:ascii="Times New Roman" w:cs="Times New Roman" w:eastAsia="Times New Roman" w:hAnsi="Times New Roman"/>
          <w:sz w:val="16"/>
          <w:szCs w:val="16"/>
          <w:color w:val="auto"/>
        </w:rPr>
        <w:t>), or by such other method (e.g., email or telephone) and within such other timing as permitted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required by Bundesbank. The report must be submitted monthly or within such timing as it permitted or required by the Bundesbank. It is the Optionee’s responsibility to comply with this reporting obligation and the Optionee should consult with his or her personal legal advisor in this regard.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440" w:right="65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 xml:space="preserve">Foreign Asset/Account Reporting Information. If the Optionee’s acquisition of Option Shares under the Plan leads to a “qualified participation” at any point during the calendar year, the Optionee will need to report the acquisition when the Optionee files his or her tax return for the relevant year. A qualified participation is attained if (i) the value of the Option Shares acquired exceeds a certain threshold or (ii) in the unlikely event the Optionee holds shares of Common Stock </w:t>
      </w:r>
      <w:r>
        <w:rPr>
          <w:rFonts w:ascii="Times New Roman" w:cs="Times New Roman" w:eastAsia="Times New Roman" w:hAnsi="Times New Roman"/>
          <w:sz w:val="16"/>
          <w:szCs w:val="16"/>
          <w:color w:val="auto"/>
          <w:highlight w:val="white"/>
        </w:rPr>
        <w:t xml:space="preserve">exceeding a certain threshold of the total Common Stock. </w:t>
      </w:r>
      <w:r>
        <w:rPr>
          <w:rFonts w:ascii="Times New Roman" w:cs="Times New Roman" w:eastAsia="Times New Roman" w:hAnsi="Times New Roman"/>
          <w:sz w:val="16"/>
          <w:szCs w:val="16"/>
          <w:color w:val="auto"/>
        </w:rPr>
        <w:t>However, provided the Common Stock is listed on a recognized stock exchange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the Nasdaq Stock</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Market) and the Optionee owns less than 1% of the Company, this requirement will not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-430530</wp:posOffset>
            </wp:positionV>
            <wp:extent cx="6720840" cy="22288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6720840" cy="222885"/>
                    </a:xfrm>
                    <a:prstGeom prst="rect">
                      <a:avLst/>
                    </a:prstGeom>
                    <a:noFill/>
                  </pic:spPr>
                </pic:pic>
              </a:graphicData>
            </a:graphic>
          </wp:anchor>
        </w:drawing>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the Optionee remits funds out of India to purchase Option Shares, it is the Optionee’s responsibility to comply with applicable exchange control laws. The Optionee may be subject to Tax Collection At Source ("TCS") if the Optionee’s annual remittances out of India exceed a certain amount (currently INR 700,000). The Optionee may be required to provide a declaration to the bank remitting the funds to determine if such amount has been reached.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or such other period of time as required under applicable regulations.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 The Optionee agrees to provide any information that may be required by the Company or the Employer to make any applicable filings under exchange control laws in India.</w:t>
      </w:r>
    </w:p>
    <w:p>
      <w:pPr>
        <w:spacing w:after="0" w:line="21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declare any foreign bank accounts and assets (including Option Shares acquired under the Plan) on his or her annual tax return. The Optionee should consult with his or her personal tax advisor to determine his or her reporting requirements.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Labor Law Acknowledgment</w:t>
      </w:r>
      <w:r>
        <w:rPr>
          <w:rFonts w:ascii="Times New Roman" w:cs="Times New Roman" w:eastAsia="Times New Roman" w:hAnsi="Times New Roman"/>
          <w:sz w:val="16"/>
          <w:szCs w:val="16"/>
          <w:color w:val="auto"/>
        </w:rPr>
        <w:t>. This provision supplements Section 8 of the Agreement:</w:t>
      </w:r>
    </w:p>
    <w:p>
      <w:pPr>
        <w:spacing w:after="0" w:line="140"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the benefits received under the Plan will not be taken into account for any redundancy or unfair dismissal claim.</w:t>
      </w:r>
    </w:p>
    <w:p>
      <w:pPr>
        <w:spacing w:after="0" w:line="164"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Restriction on Type of Shares Issued to Directors</w:t>
      </w:r>
      <w:r>
        <w:rPr>
          <w:rFonts w:ascii="Times New Roman" w:cs="Times New Roman" w:eastAsia="Times New Roman" w:hAnsi="Times New Roman"/>
          <w:sz w:val="16"/>
          <w:szCs w:val="16"/>
          <w:color w:val="auto"/>
        </w:rPr>
        <w:t>. If the Optionee is a director of an Irish subsidiary of the Company, the Option will be granted over newly issued shares only. In no event will treasury shares be issued pursuant to the exercise of the Option. This restriction also applies to a shadow director of an Irish subsidiary.</w:t>
      </w: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Optionee understands and agrees that the Options are offered subject to and in accordance with the terms of the Israeli Sub-Plan (the “Israeli Sub-Plan”) under the 102 Capital Gains Track (as defined in the Israeli Sub-Plan), the Trust Agreement among the trustee appointed by Analog Devices (Israel) Ltd. and Analog Development (Israel) 1996 Ltd., and the Agreement. This includes the option exercise price per share and any other requirements set out in the Israeli Sub-Plan. In the event of any inconsistencies among the Israeli Sub-Plan, the Agreement and/or the Plan, the Israeli Sub-Plan will govern the Options granted to the Optionee in Israel.</w:t>
      </w:r>
    </w:p>
    <w:p>
      <w:pPr>
        <w:spacing w:after="0" w:line="198"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This provision supplements Section 4 of the Agreement and applies only to Optionees who permanently transfer to Israel after the Date of Grant:</w:t>
      </w:r>
    </w:p>
    <w:p>
      <w:pPr>
        <w:spacing w:after="0" w:line="20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w:t>
      </w:r>
    </w:p>
    <w:p>
      <w:pPr>
        <w:jc w:val="both"/>
        <w:ind w:left="180" w:hanging="8"/>
        <w:spacing w:after="0" w:line="224" w:lineRule="auto"/>
        <w:tabs>
          <w:tab w:leader="none" w:pos="378"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Option, the Optionee acknowledges a copy of the Plan was made available to the Optionee, and that the Optionee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Optionee further acknowledges that he or she has read and specifically and expressly approves the following provision in the Agreement: Term of Option; Termination of Employment; Withholding Taxes; Nature of Grant; and Additional Requirements.</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440" w:right="659" w:bottom="1440" w:gutter="0" w:footer="0" w:header="0"/>
          <w:type w:val="continuous"/>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Option Shares (and other the financial assets) held outside Italy by individuals resident of Italy may be subject to a foreign asset tax. The taxable amount will be the fair market value of the financial assets (e.g., Option Shares) assessed at the end of the calendar year. The value of financial assets held abroad must be reported in Form RM of the annual tax return. The Optionee should consult his or her personal tax advisor for additional information on the foreign asset tax.</w:t>
      </w:r>
    </w:p>
    <w:p>
      <w:pPr>
        <w:spacing w:after="0" w:line="20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holds investments abroad or foreign financial assets (e.g., cash, Option Shares, Options) that may generate income taxable in Italy, the Optionee is required to report them on his or her annual tax returns (UNICO Form, RW Schedule) or on a special form if no tax return is due, irrespective of their value. The same reporting duties apply to the Optionee if he or she is a beneficial owner of the investments, even if the Optionee does not directly hold investments abroad or foreign assets.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Japanese resident and acquires Option Shares valued at more than ¥100,000,000 in a single transaction, the Optionee must file a Securities Acquisition Report with the Ministry of Finance through the Bank of Japan within 20 days of the acquisition of the Option Shares.</w:t>
      </w:r>
    </w:p>
    <w:p>
      <w:pPr>
        <w:spacing w:after="0" w:line="20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In addition, if the Optionee is a Japanese resident and pays more than ¥30,000,000 in a single transaction for the purchase of Option Shares when he or she exercises the option, the Optionee must file a Payment Report with the Ministry of Finance through the Bank of Japan by the 20th day following the month in which the payment was made. The precise reporting requirements vary depending on whether the relevant payment is made through a bank in Japan. The Optionee should consult with his or her legal advisor in this regard.</w:t>
      </w:r>
    </w:p>
    <w:p>
      <w:pPr>
        <w:spacing w:after="0" w:line="208"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A Payment Report is required independently of a Securities Acquisition Report. Therefore, if the total amount that the Optionee pays upon a one-time transaction for exercising this Option and purchasing Option Shares exceeds ¥100,000,000, then the Optionee must file both a Payment Report and a Securities Acquisition Report.</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will be required to report details of any assets held outside Japan as of December 31st to the extent such assets have a total net fair market value exceeding ¥50,000,000. This report is due by March 15th each year. The Optionee should consult with his or her personal tax advisor as to whether the reporting obligation applies to him or her and whether the requirement extends to any outstanding Options or Option Shares acquired under the Plan.</w:t>
      </w:r>
    </w:p>
    <w:p>
      <w:pPr>
        <w:spacing w:after="0" w:line="3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142"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Optionee should consult with his or her personal tax advisor to determine any personal reporting obligations.</w:t>
      </w:r>
    </w:p>
    <w:p>
      <w:pPr>
        <w:spacing w:after="0" w:line="141"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Restriction on Sale of Shares.</w:t>
      </w:r>
      <w:r>
        <w:rPr>
          <w:rFonts w:ascii="Times New Roman" w:cs="Times New Roman" w:eastAsia="Times New Roman" w:hAnsi="Times New Roman"/>
          <w:sz w:val="16"/>
          <w:szCs w:val="16"/>
          <w:color w:val="auto"/>
        </w:rPr>
        <w:t xml:space="preserve"> Korean residents are not permitted to sell foreign securities (e.g., Option Shares) through non-Korean brokers or deposit funds resulting from the sale of Option Shares in an account with an overseas financial institution. If a Korean resident wishes to sell Option Shares acquired under the Plan, the Korean resident may be required to transfer the Option Shares to a domestic investment broker in Korea and to effect the sale through such broker. The Korean resident is solely responsible for engaging the domestic broker. Non-compliance with the requirement to sell Option Shares through a domestic broker can result in significant penalties. Because regulations may change without notice, Korean residents should consult with a legal advisor to ensure compliance with any regulations applicable to any aspect of participation in the Plan.</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23"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of a subsidiary or other related company in Malaysia, then the Optionee is subject to certain notification requirements under the Malaysian Companies Act, 2016.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following provision replaces the Data Privacy Information and Consent provision under the Terms and Conditions for Optionees Outside the</w:t>
      </w:r>
    </w:p>
    <w:p>
      <w:pPr>
        <w:ind w:left="180"/>
        <w:spacing w:after="0"/>
        <w:rPr>
          <w:sz w:val="20"/>
          <w:szCs w:val="20"/>
          <w:color w:val="auto"/>
        </w:rPr>
      </w:pPr>
      <w:r>
        <w:rPr>
          <w:rFonts w:ascii="Times New Roman" w:cs="Times New Roman" w:eastAsia="Times New Roman" w:hAnsi="Times New Roman"/>
          <w:sz w:val="16"/>
          <w:szCs w:val="16"/>
          <w:color w:val="auto"/>
        </w:rPr>
        <w:t>U.S.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440" w:right="65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drawing>
          <wp:anchor simplePos="0" relativeHeight="251657728" behindDoc="1" locked="0" layoutInCell="0" allowOverlap="1">
            <wp:simplePos x="0" y="0"/>
            <wp:positionH relativeFrom="page">
              <wp:posOffset>422275</wp:posOffset>
            </wp:positionH>
            <wp:positionV relativeFrom="page">
              <wp:posOffset>1597660</wp:posOffset>
            </wp:positionV>
            <wp:extent cx="3120390" cy="36004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31203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60"/>
        <w:spacing w:after="0" w:line="222" w:lineRule="auto"/>
        <w:rPr>
          <w:sz w:val="20"/>
          <w:szCs w:val="20"/>
          <w:color w:val="auto"/>
        </w:rPr>
      </w:pPr>
      <w:r>
        <w:rPr>
          <w:rFonts w:ascii="Times New Roman" w:cs="Times New Roman" w:eastAsia="Times New Roman" w:hAnsi="Times New Roman"/>
          <w:sz w:val="16"/>
          <w:szCs w:val="16"/>
          <w:b w:val="1"/>
          <w:bCs w:val="1"/>
          <w:i w:val="1"/>
          <w:iCs w:val="1"/>
          <w:color w:val="auto"/>
        </w:rPr>
        <w:t>The Optionee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Optionee's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-645160</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-628015</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-610870</wp:posOffset>
            </wp:positionV>
            <wp:extent cx="8255"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-593725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-576580</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-559435</wp:posOffset>
            </wp:positionV>
            <wp:extent cx="8255"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-542290</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-525145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-508000</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-490855</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-473710</wp:posOffset>
            </wp:positionV>
            <wp:extent cx="8255"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-456565</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-439420</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-422275</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-405130</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-387985</wp:posOffset>
            </wp:positionV>
            <wp:extent cx="8255"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-370840</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-353695</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-336550</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-319405</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-302260</wp:posOffset>
            </wp:positionV>
            <wp:extent cx="8255"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-285115</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-267970</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-250825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-233680</wp:posOffset>
            </wp:positionV>
            <wp:extent cx="825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-216535</wp:posOffset>
            </wp:positionV>
            <wp:extent cx="8255"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-199390</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-182245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-165100</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-147955</wp:posOffset>
            </wp:positionV>
            <wp:extent cx="825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-130810</wp:posOffset>
            </wp:positionV>
            <wp:extent cx="8255"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-113665</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-96520</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-79375</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-62230</wp:posOffset>
            </wp:positionV>
            <wp:extent cx="825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-45085</wp:posOffset>
            </wp:positionV>
            <wp:extent cx="8255"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-27940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-10795</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5715</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22860</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40005</wp:posOffset>
            </wp:positionV>
            <wp:extent cx="8255"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57150</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74295</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91440</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108585</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-645160</wp:posOffset>
            </wp:positionV>
            <wp:extent cx="88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-628015</wp:posOffset>
            </wp:positionV>
            <wp:extent cx="889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-610870</wp:posOffset>
            </wp:positionV>
            <wp:extent cx="88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-593725</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-576580</wp:posOffset>
            </wp:positionV>
            <wp:extent cx="88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-559435</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-542290</wp:posOffset>
            </wp:positionV>
            <wp:extent cx="889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-525145</wp:posOffset>
            </wp:positionV>
            <wp:extent cx="88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-508000</wp:posOffset>
            </wp:positionV>
            <wp:extent cx="889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-490855</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-473710</wp:posOffset>
            </wp:positionV>
            <wp:extent cx="889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-456565</wp:posOffset>
            </wp:positionV>
            <wp:extent cx="889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-439420</wp:posOffset>
            </wp:positionV>
            <wp:extent cx="889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-422275</wp:posOffset>
            </wp:positionV>
            <wp:extent cx="889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-405130</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-387985</wp:posOffset>
            </wp:positionV>
            <wp:extent cx="889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-370840</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-353695</wp:posOffset>
            </wp:positionV>
            <wp:extent cx="889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-336550</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-319405</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-302260</wp:posOffset>
            </wp:positionV>
            <wp:extent cx="889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-285115</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-267970</wp:posOffset>
            </wp:positionV>
            <wp:extent cx="889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-250825</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-233680</wp:posOffset>
            </wp:positionV>
            <wp:extent cx="889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-216535</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-199390</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-182245</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-165100</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-147955</wp:posOffset>
            </wp:positionV>
            <wp:extent cx="889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-130810</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-113665</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-96520</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-79375</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-62230</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-45085</wp:posOffset>
            </wp:positionV>
            <wp:extent cx="88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-27940</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-10795</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5715</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22860</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40005</wp:posOffset>
            </wp:positionV>
            <wp:extent cx="88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57150</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74295</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91440</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108585</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74" w:lineRule="exact"/>
        <w:rPr>
          <w:sz w:val="20"/>
          <w:szCs w:val="20"/>
          <w:color w:val="auto"/>
        </w:rPr>
      </w:pPr>
    </w:p>
    <w:p>
      <w:pPr>
        <w:jc w:val="both"/>
        <w:ind w:left="260"/>
        <w:spacing w:after="0" w:line="212" w:lineRule="auto"/>
        <w:rPr>
          <w:sz w:val="20"/>
          <w:szCs w:val="20"/>
          <w:color w:val="auto"/>
        </w:rPr>
      </w:pPr>
      <w:r>
        <w:rPr>
          <w:rFonts w:ascii="Times New Roman" w:cs="Times New Roman" w:eastAsia="Times New Roman" w:hAnsi="Times New Roman"/>
          <w:sz w:val="16"/>
          <w:szCs w:val="16"/>
          <w:b w:val="1"/>
          <w:bCs w:val="1"/>
          <w:i w:val="1"/>
          <w:iCs w:val="1"/>
          <w:color w:val="auto"/>
        </w:rPr>
        <w:t>The Optionee understands that the Company and the Employer may hold certain personal information about the Optionee, including, but not limited to, his or her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purpose of implementing, administering and managing the Plan (“Data”). The source of the Data is the Employer as well as information the Optionee is providing to the Company and the Employer in connection with the Option. The Optionee understands that Data may be transferred to Fidelity or any other third parties as may be selected by the Company in the future, which are assisting in the implementation, administration and management of the Plan, that these recipients may be located in the Optionee’s country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the Company, Fidelity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including any requisite transfer of such Data as may be required to a broker or other third party with whom the Optionee may elect to deposit any Shares acquired upon exercise of this Option.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a refusal to consent or withdrawal of consent, the Optionee understands that he or she may contact his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-4124325</wp:posOffset>
            </wp:positionV>
            <wp:extent cx="8255"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-4107180</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-4090035</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-4072890</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-4055745</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-4038600</wp:posOffset>
            </wp:positionV>
            <wp:extent cx="8255"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-4021455</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-4004310</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-3987165</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-3970020</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-3952875</wp:posOffset>
            </wp:positionV>
            <wp:extent cx="8255"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-3935730</wp:posOffset>
            </wp:positionV>
            <wp:extent cx="825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-3918585</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-3901440</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-3884295</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-3867150</wp:posOffset>
            </wp:positionV>
            <wp:extent cx="8255"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-3850005</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-3832860</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-3815715</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-3798570</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-3781425</wp:posOffset>
            </wp:positionV>
            <wp:extent cx="8255"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-3764280</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-3747135</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-3729990</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-3712845</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-3695700</wp:posOffset>
            </wp:positionV>
            <wp:extent cx="8255"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-3678555</wp:posOffset>
            </wp:positionV>
            <wp:extent cx="825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-3661410</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-3644265</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-3627120</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-3609975</wp:posOffset>
            </wp:positionV>
            <wp:extent cx="8255"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-3592830</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-3575685</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-3558540</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-3541395</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-3524250</wp:posOffset>
            </wp:positionV>
            <wp:extent cx="8255"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-3507105</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-3489960</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-3472815</wp:posOffset>
            </wp:positionV>
            <wp:extent cx="8255"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-3455670</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-3438525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-3421380</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-3404235</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-3387090</wp:posOffset>
            </wp:positionV>
            <wp:extent cx="8255"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-3369945</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-3352800</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-3335655</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-3318510</wp:posOffset>
            </wp:positionV>
            <wp:extent cx="8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-3301365</wp:posOffset>
            </wp:positionV>
            <wp:extent cx="8255"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-3284220</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-3267075</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-3249930</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-3232785</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-3215640</wp:posOffset>
            </wp:positionV>
            <wp:extent cx="8255"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-3198495</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-3181350</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-3164205</wp:posOffset>
            </wp:positionV>
            <wp:extent cx="825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-3147060</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-3129915</wp:posOffset>
            </wp:positionV>
            <wp:extent cx="8255"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-3112770</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-3095625</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-3078480</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-3061335</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-3044190</wp:posOffset>
            </wp:positionV>
            <wp:extent cx="8255"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-3027045</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-3009900</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-2992755</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-2975610</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-2958465</wp:posOffset>
            </wp:positionV>
            <wp:extent cx="8255"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-2941320</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-2924175</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-2907030</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-2889885</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-2872740</wp:posOffset>
            </wp:positionV>
            <wp:extent cx="8255"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-2855595</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-2838450</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-2821305</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-2804160</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-2787015</wp:posOffset>
            </wp:positionV>
            <wp:extent cx="8255"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-2769870</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-2752725</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-2735580</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-2718435</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-2701290</wp:posOffset>
            </wp:positionV>
            <wp:extent cx="8255"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-2684145</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-2667000</wp:posOffset>
            </wp:positionV>
            <wp:extent cx="8255"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-2649855</wp:posOffset>
            </wp:positionV>
            <wp:extent cx="8255"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-2632710</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-2615565</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-2598420</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-2581275</wp:posOffset>
            </wp:positionV>
            <wp:extent cx="8255"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-2564130</wp:posOffset>
            </wp:positionV>
            <wp:extent cx="8255"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-2546985</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-2529840</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-2512695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-2495550</wp:posOffset>
            </wp:positionV>
            <wp:extent cx="8255"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-2478405</wp:posOffset>
            </wp:positionV>
            <wp:extent cx="8255"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-2461260</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-2444115</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-2426970</wp:posOffset>
            </wp:positionV>
            <wp:extent cx="8255"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-2409825</wp:posOffset>
            </wp:positionV>
            <wp:extent cx="8255"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-2392680</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-2375535</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-2358390</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-2341245</wp:posOffset>
            </wp:positionV>
            <wp:extent cx="8255"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-2324100</wp:posOffset>
            </wp:positionV>
            <wp:extent cx="8255"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-2306955</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-2289810</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-2272665</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-2255520</wp:posOffset>
            </wp:positionV>
            <wp:extent cx="8255"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-2238375</wp:posOffset>
            </wp:positionV>
            <wp:extent cx="8255"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-2221230</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-2204085</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-2186940</wp:posOffset>
            </wp:positionV>
            <wp:extent cx="825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-2169795</wp:posOffset>
            </wp:positionV>
            <wp:extent cx="8255"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-2152650</wp:posOffset>
            </wp:positionV>
            <wp:extent cx="8255"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-2135505</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-2118360</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-2101215</wp:posOffset>
            </wp:positionV>
            <wp:extent cx="825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-2084070</wp:posOffset>
            </wp:positionV>
            <wp:extent cx="8255"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-2066925</wp:posOffset>
            </wp:positionV>
            <wp:extent cx="8255"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-2049780</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-2032635</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-2015490</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-1998345</wp:posOffset>
            </wp:positionV>
            <wp:extent cx="8255"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-1981200</wp:posOffset>
            </wp:positionV>
            <wp:extent cx="8255"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-1964055</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-1946910</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-1929765</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-1912620</wp:posOffset>
            </wp:positionV>
            <wp:extent cx="8255"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-1895475</wp:posOffset>
            </wp:positionV>
            <wp:extent cx="8255"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-1878330</wp:posOffset>
            </wp:positionV>
            <wp:extent cx="825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-1861185</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-1844040</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-1826895</wp:posOffset>
            </wp:positionV>
            <wp:extent cx="8255"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-1809750</wp:posOffset>
            </wp:positionV>
            <wp:extent cx="8255"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-1792605</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-1775460</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-1758315</wp:posOffset>
            </wp:positionV>
            <wp:extent cx="8255"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-1741170</wp:posOffset>
            </wp:positionV>
            <wp:extent cx="8255"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-1724025</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-1706880</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-1689735</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-1672590</wp:posOffset>
            </wp:positionV>
            <wp:extent cx="8255"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-1655445</wp:posOffset>
            </wp:positionV>
            <wp:extent cx="8255"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-1638300</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-1621155</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-1604010</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-1586865</wp:posOffset>
            </wp:positionV>
            <wp:extent cx="8255"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-1569720</wp:posOffset>
            </wp:positionV>
            <wp:extent cx="8255"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-1552575</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-1535430</wp:posOffset>
            </wp:positionV>
            <wp:extent cx="825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-1518285</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-1501140</wp:posOffset>
            </wp:positionV>
            <wp:extent cx="8255"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-1483995</wp:posOffset>
            </wp:positionV>
            <wp:extent cx="8255"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-1466850</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-1449705</wp:posOffset>
            </wp:positionV>
            <wp:extent cx="825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-1432560</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-1415415</wp:posOffset>
            </wp:positionV>
            <wp:extent cx="8255"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-1398270</wp:posOffset>
            </wp:positionV>
            <wp:extent cx="8255"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-1381125</wp:posOffset>
            </wp:positionV>
            <wp:extent cx="825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-1363980</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-1346835</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-1329690</wp:posOffset>
            </wp:positionV>
            <wp:extent cx="8255"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-1312545</wp:posOffset>
            </wp:positionV>
            <wp:extent cx="8255"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-1295400</wp:posOffset>
            </wp:positionV>
            <wp:extent cx="825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-1278255</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-1261110</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-1243965</wp:posOffset>
            </wp:positionV>
            <wp:extent cx="8255"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-1226820</wp:posOffset>
            </wp:positionV>
            <wp:extent cx="8255"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-1209675</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-1192530</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-1175385</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-1158240</wp:posOffset>
            </wp:positionV>
            <wp:extent cx="8255"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-1141095</wp:posOffset>
            </wp:positionV>
            <wp:extent cx="8255"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-1123950</wp:posOffset>
            </wp:positionV>
            <wp:extent cx="825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-1106805</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-1089660</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-1072515</wp:posOffset>
            </wp:positionV>
            <wp:extent cx="8255"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-1055370</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-1038225</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-1021080</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-1003935</wp:posOffset>
            </wp:positionV>
            <wp:extent cx="8255"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-986790</wp:posOffset>
            </wp:positionV>
            <wp:extent cx="8255"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-969645</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-952500</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-935355</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-918210</wp:posOffset>
            </wp:positionV>
            <wp:extent cx="8255"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-901065</wp:posOffset>
            </wp:positionV>
            <wp:extent cx="8255"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-883920</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-866775</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-849630</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-832485</wp:posOffset>
            </wp:positionV>
            <wp:extent cx="8255"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-815340</wp:posOffset>
            </wp:positionV>
            <wp:extent cx="8255"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-798195</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-781050</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-763905</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-746760</wp:posOffset>
            </wp:positionV>
            <wp:extent cx="8255"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-729615</wp:posOffset>
            </wp:positionV>
            <wp:extent cx="8255"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-712470</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-695325</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-678180</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-661035</wp:posOffset>
            </wp:positionV>
            <wp:extent cx="8255"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-643890</wp:posOffset>
            </wp:positionV>
            <wp:extent cx="8255"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-626745</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-609600</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-592455</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-575310</wp:posOffset>
            </wp:positionV>
            <wp:extent cx="8255"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-558165</wp:posOffset>
            </wp:positionV>
            <wp:extent cx="8255"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-541020</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-523875</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-506730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-489585</wp:posOffset>
            </wp:positionV>
            <wp:extent cx="8255"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-472440</wp:posOffset>
            </wp:positionV>
            <wp:extent cx="8255"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-455295</wp:posOffset>
            </wp:positionV>
            <wp:extent cx="825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-438150</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-421005</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-403860</wp:posOffset>
            </wp:positionV>
            <wp:extent cx="8255"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-386715</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-369570</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-352425</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-335280</wp:posOffset>
            </wp:positionV>
            <wp:extent cx="8255"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-318135</wp:posOffset>
            </wp:positionV>
            <wp:extent cx="8255"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-300990</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-283845</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-249555</wp:posOffset>
            </wp:positionV>
            <wp:extent cx="8255"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-232410</wp:posOffset>
            </wp:positionV>
            <wp:extent cx="8255"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-215265</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-198120</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-180975</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-163830</wp:posOffset>
            </wp:positionV>
            <wp:extent cx="8255"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-146685</wp:posOffset>
            </wp:positionV>
            <wp:extent cx="8255"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-129540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-112395</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-78105</wp:posOffset>
            </wp:positionV>
            <wp:extent cx="8255"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-60960</wp:posOffset>
            </wp:positionV>
            <wp:extent cx="8255"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-43815</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-4124325</wp:posOffset>
            </wp:positionV>
            <wp:extent cx="889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-4107180</wp:posOffset>
            </wp:positionV>
            <wp:extent cx="8890"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-4090035</wp:posOffset>
            </wp:positionV>
            <wp:extent cx="889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-4072890</wp:posOffset>
            </wp:positionV>
            <wp:extent cx="889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-4055745</wp:posOffset>
            </wp:positionV>
            <wp:extent cx="889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-4038600</wp:posOffset>
            </wp:positionV>
            <wp:extent cx="889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-4021455</wp:posOffset>
            </wp:positionV>
            <wp:extent cx="8890"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-4004310</wp:posOffset>
            </wp:positionV>
            <wp:extent cx="889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-3987165</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-3970020</wp:posOffset>
            </wp:positionV>
            <wp:extent cx="889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-3952875</wp:posOffset>
            </wp:positionV>
            <wp:extent cx="889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-3935730</wp:posOffset>
            </wp:positionV>
            <wp:extent cx="889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-3918585</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-3901440</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-3884295</wp:posOffset>
            </wp:positionV>
            <wp:extent cx="889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-3867150</wp:posOffset>
            </wp:positionV>
            <wp:extent cx="889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-3850005</wp:posOffset>
            </wp:positionV>
            <wp:extent cx="889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-3832860</wp:posOffset>
            </wp:positionV>
            <wp:extent cx="889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-3815715</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-3798570</wp:posOffset>
            </wp:positionV>
            <wp:extent cx="88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-3781425</wp:posOffset>
            </wp:positionV>
            <wp:extent cx="889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-3764280</wp:posOffset>
            </wp:positionV>
            <wp:extent cx="889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-3747135</wp:posOffset>
            </wp:positionV>
            <wp:extent cx="889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-3729990</wp:posOffset>
            </wp:positionV>
            <wp:extent cx="889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-3712845</wp:posOffset>
            </wp:positionV>
            <wp:extent cx="8890"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-3695700</wp:posOffset>
            </wp:positionV>
            <wp:extent cx="889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-3678555</wp:posOffset>
            </wp:positionV>
            <wp:extent cx="889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-3661410</wp:posOffset>
            </wp:positionV>
            <wp:extent cx="889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-3644265</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-3627120</wp:posOffset>
            </wp:positionV>
            <wp:extent cx="88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-3609975</wp:posOffset>
            </wp:positionV>
            <wp:extent cx="889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-3592830</wp:posOffset>
            </wp:positionV>
            <wp:extent cx="8890"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-3575685</wp:posOffset>
            </wp:positionV>
            <wp:extent cx="889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-3558540</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-3541395</wp:posOffset>
            </wp:positionV>
            <wp:extent cx="8890"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-3524250</wp:posOffset>
            </wp:positionV>
            <wp:extent cx="889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-3507105</wp:posOffset>
            </wp:positionV>
            <wp:extent cx="8890"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-3489960</wp:posOffset>
            </wp:positionV>
            <wp:extent cx="8890"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-3472815</wp:posOffset>
            </wp:positionV>
            <wp:extent cx="889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-3455670</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-3438525</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-3421380</wp:posOffset>
            </wp:positionV>
            <wp:extent cx="889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-3404235</wp:posOffset>
            </wp:positionV>
            <wp:extent cx="8890"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-3387090</wp:posOffset>
            </wp:positionV>
            <wp:extent cx="889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-3369945</wp:posOffset>
            </wp:positionV>
            <wp:extent cx="8890"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-3352800</wp:posOffset>
            </wp:positionV>
            <wp:extent cx="8890"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-3335655</wp:posOffset>
            </wp:positionV>
            <wp:extent cx="88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-3318510</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-3301365</wp:posOffset>
            </wp:positionV>
            <wp:extent cx="889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-3284220</wp:posOffset>
            </wp:positionV>
            <wp:extent cx="8890"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-3267075</wp:posOffset>
            </wp:positionV>
            <wp:extent cx="889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-3249930</wp:posOffset>
            </wp:positionV>
            <wp:extent cx="88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-3232785</wp:posOffset>
            </wp:positionV>
            <wp:extent cx="889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-3215640</wp:posOffset>
            </wp:positionV>
            <wp:extent cx="889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-3198495</wp:posOffset>
            </wp:positionV>
            <wp:extent cx="889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-3181350</wp:posOffset>
            </wp:positionV>
            <wp:extent cx="889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-3164205</wp:posOffset>
            </wp:positionV>
            <wp:extent cx="889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-3147060</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-3129915</wp:posOffset>
            </wp:positionV>
            <wp:extent cx="889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-3112770</wp:posOffset>
            </wp:positionV>
            <wp:extent cx="889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-3095625</wp:posOffset>
            </wp:positionV>
            <wp:extent cx="8890"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-3078480</wp:posOffset>
            </wp:positionV>
            <wp:extent cx="8890"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-3061335</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-3044190</wp:posOffset>
            </wp:positionV>
            <wp:extent cx="889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-3027045</wp:posOffset>
            </wp:positionV>
            <wp:extent cx="889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-3009900</wp:posOffset>
            </wp:positionV>
            <wp:extent cx="8890"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-2992755</wp:posOffset>
            </wp:positionV>
            <wp:extent cx="8890"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-2975610</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-2958465</wp:posOffset>
            </wp:positionV>
            <wp:extent cx="889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-2941320</wp:posOffset>
            </wp:positionV>
            <wp:extent cx="889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-2924175</wp:posOffset>
            </wp:positionV>
            <wp:extent cx="889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-2907030</wp:posOffset>
            </wp:positionV>
            <wp:extent cx="8890"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-2889885</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-2872740</wp:posOffset>
            </wp:positionV>
            <wp:extent cx="889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-2855595</wp:posOffset>
            </wp:positionV>
            <wp:extent cx="8890"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-2838450</wp:posOffset>
            </wp:positionV>
            <wp:extent cx="8890"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-2821305</wp:posOffset>
            </wp:positionV>
            <wp:extent cx="889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-2804160</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-2787015</wp:posOffset>
            </wp:positionV>
            <wp:extent cx="889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-2769870</wp:posOffset>
            </wp:positionV>
            <wp:extent cx="8890"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-2752725</wp:posOffset>
            </wp:positionV>
            <wp:extent cx="88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-2735580</wp:posOffset>
            </wp:positionV>
            <wp:extent cx="88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-2718435</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-2701290</wp:posOffset>
            </wp:positionV>
            <wp:extent cx="889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-2684145</wp:posOffset>
            </wp:positionV>
            <wp:extent cx="8890"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-2667000</wp:posOffset>
            </wp:positionV>
            <wp:extent cx="889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-2649855</wp:posOffset>
            </wp:positionV>
            <wp:extent cx="889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-2632710</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-2615565</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-2598420</wp:posOffset>
            </wp:positionV>
            <wp:extent cx="8890"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-2581275</wp:posOffset>
            </wp:positionV>
            <wp:extent cx="889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-2564130</wp:posOffset>
            </wp:positionV>
            <wp:extent cx="889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-2546985</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-2529840</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-2512695</wp:posOffset>
            </wp:positionV>
            <wp:extent cx="8890"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-2495550</wp:posOffset>
            </wp:positionV>
            <wp:extent cx="889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-2478405</wp:posOffset>
            </wp:positionV>
            <wp:extent cx="889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-2461260</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-2444115</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-2426970</wp:posOffset>
            </wp:positionV>
            <wp:extent cx="889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-2409825</wp:posOffset>
            </wp:positionV>
            <wp:extent cx="889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-2392680</wp:posOffset>
            </wp:positionV>
            <wp:extent cx="88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-2375535</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-2358390</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-2341245</wp:posOffset>
            </wp:positionV>
            <wp:extent cx="889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-2324100</wp:posOffset>
            </wp:positionV>
            <wp:extent cx="889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-2306955</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-2289810</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-2272665</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-2255520</wp:posOffset>
            </wp:positionV>
            <wp:extent cx="889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-2238375</wp:posOffset>
            </wp:positionV>
            <wp:extent cx="889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-2221230</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-2204085</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-2186940</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-2169795</wp:posOffset>
            </wp:positionV>
            <wp:extent cx="889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-2152650</wp:posOffset>
            </wp:positionV>
            <wp:extent cx="889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-2135505</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-2118360</wp:posOffset>
            </wp:positionV>
            <wp:extent cx="889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-2101215</wp:posOffset>
            </wp:positionV>
            <wp:extent cx="889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-2084070</wp:posOffset>
            </wp:positionV>
            <wp:extent cx="889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-2066925</wp:posOffset>
            </wp:positionV>
            <wp:extent cx="889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-2049780</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-2032635</wp:posOffset>
            </wp:positionV>
            <wp:extent cx="889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-2015490</wp:posOffset>
            </wp:positionV>
            <wp:extent cx="8890"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-1998345</wp:posOffset>
            </wp:positionV>
            <wp:extent cx="889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-1981200</wp:posOffset>
            </wp:positionV>
            <wp:extent cx="889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-1964055</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-1946910</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-1929765</wp:posOffset>
            </wp:positionV>
            <wp:extent cx="8890"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-1912620</wp:posOffset>
            </wp:positionV>
            <wp:extent cx="889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-1895475</wp:posOffset>
            </wp:positionV>
            <wp:extent cx="889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-1878330</wp:posOffset>
            </wp:positionV>
            <wp:extent cx="889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-1861185</wp:posOffset>
            </wp:positionV>
            <wp:extent cx="889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-1844040</wp:posOffset>
            </wp:positionV>
            <wp:extent cx="8890"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-1826895</wp:posOffset>
            </wp:positionV>
            <wp:extent cx="889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-1809750</wp:posOffset>
            </wp:positionV>
            <wp:extent cx="889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-1792605</wp:posOffset>
            </wp:positionV>
            <wp:extent cx="889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-1775460</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-1758315</wp:posOffset>
            </wp:positionV>
            <wp:extent cx="889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-1741170</wp:posOffset>
            </wp:positionV>
            <wp:extent cx="889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-1724025</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-1706880</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-1689735</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-1672590</wp:posOffset>
            </wp:positionV>
            <wp:extent cx="889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-1655445</wp:posOffset>
            </wp:positionV>
            <wp:extent cx="889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-1638300</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-1621155</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-1604010</wp:posOffset>
            </wp:positionV>
            <wp:extent cx="8890"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-1586865</wp:posOffset>
            </wp:positionV>
            <wp:extent cx="889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-1569720</wp:posOffset>
            </wp:positionV>
            <wp:extent cx="889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-1552575</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-1535430</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-1518285</wp:posOffset>
            </wp:positionV>
            <wp:extent cx="889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-1501140</wp:posOffset>
            </wp:positionV>
            <wp:extent cx="889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-1483995</wp:posOffset>
            </wp:positionV>
            <wp:extent cx="889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-1466850</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-1449705</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-1432560</wp:posOffset>
            </wp:positionV>
            <wp:extent cx="8890"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-1415415</wp:posOffset>
            </wp:positionV>
            <wp:extent cx="889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-1398270</wp:posOffset>
            </wp:positionV>
            <wp:extent cx="889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-1381125</wp:posOffset>
            </wp:positionV>
            <wp:extent cx="8890"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-1363980</wp:posOffset>
            </wp:positionV>
            <wp:extent cx="889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-1346835</wp:posOffset>
            </wp:positionV>
            <wp:extent cx="8890"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-1329690</wp:posOffset>
            </wp:positionV>
            <wp:extent cx="889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-1312545</wp:posOffset>
            </wp:positionV>
            <wp:extent cx="889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-1295400</wp:posOffset>
            </wp:positionV>
            <wp:extent cx="889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-1278255</wp:posOffset>
            </wp:positionV>
            <wp:extent cx="88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-1261110</wp:posOffset>
            </wp:positionV>
            <wp:extent cx="8890"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-1243965</wp:posOffset>
            </wp:positionV>
            <wp:extent cx="889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-1226820</wp:posOffset>
            </wp:positionV>
            <wp:extent cx="889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-1209675</wp:posOffset>
            </wp:positionV>
            <wp:extent cx="8890"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-1192530</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-1175385</wp:posOffset>
            </wp:positionV>
            <wp:extent cx="8890"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-1158240</wp:posOffset>
            </wp:positionV>
            <wp:extent cx="889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-1141095</wp:posOffset>
            </wp:positionV>
            <wp:extent cx="889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-1123950</wp:posOffset>
            </wp:positionV>
            <wp:extent cx="8890"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-1106805</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-1089660</wp:posOffset>
            </wp:positionV>
            <wp:extent cx="8890"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-1072515</wp:posOffset>
            </wp:positionV>
            <wp:extent cx="889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-1055370</wp:posOffset>
            </wp:positionV>
            <wp:extent cx="889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-1038225</wp:posOffset>
            </wp:positionV>
            <wp:extent cx="8890"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-1021080</wp:posOffset>
            </wp:positionV>
            <wp:extent cx="8890"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-1003935</wp:posOffset>
            </wp:positionV>
            <wp:extent cx="889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-986790</wp:posOffset>
            </wp:positionV>
            <wp:extent cx="889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-969645</wp:posOffset>
            </wp:positionV>
            <wp:extent cx="88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-952500</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-935355</wp:posOffset>
            </wp:positionV>
            <wp:extent cx="8890"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-918210</wp:posOffset>
            </wp:positionV>
            <wp:extent cx="889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-901065</wp:posOffset>
            </wp:positionV>
            <wp:extent cx="889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-883920</wp:posOffset>
            </wp:positionV>
            <wp:extent cx="889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-866775</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-849630</wp:posOffset>
            </wp:positionV>
            <wp:extent cx="8890"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-832485</wp:posOffset>
            </wp:positionV>
            <wp:extent cx="889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-815340</wp:posOffset>
            </wp:positionV>
            <wp:extent cx="889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-798195</wp:posOffset>
            </wp:positionV>
            <wp:extent cx="8890"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-781050</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-763905</wp:posOffset>
            </wp:positionV>
            <wp:extent cx="8890"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-746760</wp:posOffset>
            </wp:positionV>
            <wp:extent cx="889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-729615</wp:posOffset>
            </wp:positionV>
            <wp:extent cx="889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-712470</wp:posOffset>
            </wp:positionV>
            <wp:extent cx="8890"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-695325</wp:posOffset>
            </wp:positionV>
            <wp:extent cx="8890"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-678180</wp:posOffset>
            </wp:positionV>
            <wp:extent cx="8890"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-661035</wp:posOffset>
            </wp:positionV>
            <wp:extent cx="889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-643890</wp:posOffset>
            </wp:positionV>
            <wp:extent cx="889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-626745</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-609600</wp:posOffset>
            </wp:positionV>
            <wp:extent cx="8890"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-592455</wp:posOffset>
            </wp:positionV>
            <wp:extent cx="8890"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-575310</wp:posOffset>
            </wp:positionV>
            <wp:extent cx="889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-558165</wp:posOffset>
            </wp:positionV>
            <wp:extent cx="889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-541020</wp:posOffset>
            </wp:positionV>
            <wp:extent cx="8890"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-523875</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-506730</wp:posOffset>
            </wp:positionV>
            <wp:extent cx="8890"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-489585</wp:posOffset>
            </wp:positionV>
            <wp:extent cx="889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-472440</wp:posOffset>
            </wp:positionV>
            <wp:extent cx="889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-455295</wp:posOffset>
            </wp:positionV>
            <wp:extent cx="889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-438150</wp:posOffset>
            </wp:positionV>
            <wp:extent cx="889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-421005</wp:posOffset>
            </wp:positionV>
            <wp:extent cx="8890"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-403860</wp:posOffset>
            </wp:positionV>
            <wp:extent cx="889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-386715</wp:posOffset>
            </wp:positionV>
            <wp:extent cx="8890"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-369570</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-352425</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-335280</wp:posOffset>
            </wp:positionV>
            <wp:extent cx="889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-318135</wp:posOffset>
            </wp:positionV>
            <wp:extent cx="889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-300990</wp:posOffset>
            </wp:positionV>
            <wp:extent cx="889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-283845</wp:posOffset>
            </wp:positionV>
            <wp:extent cx="889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-266700</wp:posOffset>
            </wp:positionV>
            <wp:extent cx="8890"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-249555</wp:posOffset>
            </wp:positionV>
            <wp:extent cx="889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-232410</wp:posOffset>
            </wp:positionV>
            <wp:extent cx="889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-215265</wp:posOffset>
            </wp:positionV>
            <wp:extent cx="889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-198120</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-180975</wp:posOffset>
            </wp:positionV>
            <wp:extent cx="88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-163830</wp:posOffset>
            </wp:positionV>
            <wp:extent cx="889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-146685</wp:posOffset>
            </wp:positionV>
            <wp:extent cx="889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-129540</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-112395</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-95250</wp:posOffset>
            </wp:positionV>
            <wp:extent cx="8890"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-78105</wp:posOffset>
            </wp:positionV>
            <wp:extent cx="889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-60960</wp:posOffset>
            </wp:positionV>
            <wp:extent cx="889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-43815</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wp:posOffset>
            </wp:positionV>
            <wp:extent cx="8890"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jc w:val="both"/>
        <w:ind w:left="260"/>
        <w:spacing w:after="0" w:line="231" w:lineRule="auto"/>
        <w:rPr>
          <w:sz w:val="20"/>
          <w:szCs w:val="20"/>
          <w:color w:val="auto"/>
        </w:rPr>
      </w:pPr>
      <w:r>
        <w:rPr>
          <w:rFonts w:ascii="Times New Roman" w:cs="Times New Roman" w:eastAsia="Times New Roman" w:hAnsi="Times New Roman"/>
          <w:sz w:val="16"/>
          <w:szCs w:val="16"/>
          <w:b w:val="1"/>
          <w:bCs w:val="1"/>
          <w:i w:val="1"/>
          <w:iCs w:val="1"/>
          <w:color w:val="auto"/>
        </w:rPr>
        <w:t>her regional stock plan administrator at 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-218440</wp:posOffset>
            </wp:positionV>
            <wp:extent cx="3120390" cy="23177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312039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580"/>
        <w:spacing w:after="0" w:line="221" w:lineRule="auto"/>
        <w:rPr>
          <w:sz w:val="20"/>
          <w:szCs w:val="20"/>
          <w:color w:val="auto"/>
        </w:rPr>
      </w:pPr>
      <w:r>
        <w:rPr>
          <w:rFonts w:ascii="Times New Roman" w:cs="Times New Roman" w:eastAsia="Times New Roman" w:hAnsi="Times New Roman"/>
          <w:sz w:val="16"/>
          <w:szCs w:val="16"/>
          <w:b w:val="1"/>
          <w:bCs w:val="1"/>
          <w:i w:val="1"/>
          <w:iCs w:val="1"/>
          <w:color w:val="auto"/>
        </w:rPr>
        <w:t>Pemegang Opsyen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Pemegang Opsyen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-732790</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-715645</wp:posOffset>
            </wp:positionV>
            <wp:extent cx="825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-698500</wp:posOffset>
            </wp:positionV>
            <wp:extent cx="8255"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-681355</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-664210</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-647065</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-629920</wp:posOffset>
            </wp:positionV>
            <wp:extent cx="8255"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-612775</wp:posOffset>
            </wp:positionV>
            <wp:extent cx="8255"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-595630</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-578485</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-561340</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-544195</wp:posOffset>
            </wp:positionV>
            <wp:extent cx="8255"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-527050</wp:posOffset>
            </wp:positionV>
            <wp:extent cx="8255"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-509905</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-492760</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-475615</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-458470</wp:posOffset>
            </wp:positionV>
            <wp:extent cx="8255"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-441325</wp:posOffset>
            </wp:positionV>
            <wp:extent cx="8255"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-424180</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-407035</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-389890</wp:posOffset>
            </wp:positionV>
            <wp:extent cx="825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-372745</wp:posOffset>
            </wp:positionV>
            <wp:extent cx="8255"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-355600</wp:posOffset>
            </wp:positionV>
            <wp:extent cx="8255"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-338455</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-321310</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-304165</wp:posOffset>
            </wp:positionV>
            <wp:extent cx="8255"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-287020</wp:posOffset>
            </wp:positionV>
            <wp:extent cx="825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-269875</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-252730</wp:posOffset>
            </wp:positionV>
            <wp:extent cx="8255"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-235585</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-218440</wp:posOffset>
            </wp:positionV>
            <wp:extent cx="8255"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-201295</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-184150</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-167005</wp:posOffset>
            </wp:positionV>
            <wp:extent cx="825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-149860</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-132715</wp:posOffset>
            </wp:positionV>
            <wp:extent cx="8255"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-115570</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-98425</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-81280</wp:posOffset>
            </wp:positionV>
            <wp:extent cx="825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-64135</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-46990</wp:posOffset>
            </wp:positionV>
            <wp:extent cx="8255"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-29845</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-12700</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3810</wp:posOffset>
            </wp:positionV>
            <wp:extent cx="8255"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20955</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38100</wp:posOffset>
            </wp:positionV>
            <wp:extent cx="8255"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55245</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72390</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89535</wp:posOffset>
            </wp:positionV>
            <wp:extent cx="8255"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-758190</wp:posOffset>
            </wp:positionV>
            <wp:extent cx="3454400" cy="1714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3454400" cy="17145"/>
                    </a:xfrm>
                    <a:prstGeom prst="rect">
                      <a:avLst/>
                    </a:prstGeom>
                    <a:noFill/>
                  </pic:spPr>
                </pic:pic>
              </a:graphicData>
            </a:graphic>
          </wp:anchor>
        </w:drawing>
      </w:r>
    </w:p>
    <w:p>
      <w:pPr>
        <w:spacing w:after="0" w:line="144" w:lineRule="exact"/>
        <w:rPr>
          <w:sz w:val="20"/>
          <w:szCs w:val="20"/>
          <w:color w:val="auto"/>
        </w:rPr>
      </w:pPr>
    </w:p>
    <w:p>
      <w:pPr>
        <w:jc w:val="both"/>
        <w:ind w:right="580"/>
        <w:spacing w:after="0" w:line="21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Pemegang Opsyen memahami bahawa Syarikat dan Majikan mungkin memegang maklumat peribadi tertentu tentang Pemegang Opsyen, termasuk, tetapi tidak terhad kepada, namanya , alamat rumah dan nombor telefon, tarikh lahir, nombor insurans sosial atau nombor pengenalan lain, gaji, kewarganegaraan, jawatan, apa-apa syer dalam saham atau jawatan pengarah yang dipegang dalam Syarikat, butir-butir semua opsyen atau apa-apa hak lain untuk syer dalam saham yang dianugerahkan, dibatalkan, dilaksanakan, terletak hak, tidak diletak hak ataupun yang belum dijelaskan bagi faedah Pemegang Opsyen, untuk tujuan eksklusif bagi melaksanakan, mentadbir dan menguruskan Pelan (“Data”). Sumber Data adalah daripada Majikan dan juga daripada maklumat yang dibekalkan oleh Pemegang Opsyen kepada Syarikat dan Majikan berkenaan dengan Opysen. Pemegang Opysen juga memahami bahawa Data mungkin dipindahkan kepada Fidelity atau mana-mana pihak ketiga yang mungkin dipilih oleh Syarikat pada masa depan, </w:t>
      </w:r>
      <w:r>
        <w:rPr>
          <w:rFonts w:ascii="Times New Roman" w:cs="Times New Roman" w:eastAsia="Times New Roman" w:hAnsi="Times New Roman"/>
          <w:sz w:val="16"/>
          <w:szCs w:val="16"/>
          <w:b w:val="1"/>
          <w:bCs w:val="1"/>
          <w:i w:val="1"/>
          <w:iCs w:val="1"/>
          <w:color w:val="222222"/>
        </w:rPr>
        <w:t>yang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222222"/>
        </w:rPr>
        <w:t xml:space="preserve">membantu dalam pelaksanaan, pentadbiran dan pengurusan Pelan, bahawa penerima-penerima ini mungkin berada di negara Pemegang Opsyen atau di tempat lain, dan bahawa negara penerima (contohnya, Amerika Syarikat) mungkin mempunyai undang-undang privasi data dan perlindungan yang berbeza daripada negara Pemegang Opsyen. Pemegang Opsyen memahami bahawa dia boleh meminta senarai nama dan alamat mana-mana penerima Data dengan menghubungi wakil sumber manusia tempatannya. </w:t>
      </w:r>
      <w:r>
        <w:rPr>
          <w:rFonts w:ascii="Times New Roman" w:cs="Times New Roman" w:eastAsia="Times New Roman" w:hAnsi="Times New Roman"/>
          <w:sz w:val="16"/>
          <w:szCs w:val="16"/>
          <w:b w:val="1"/>
          <w:bCs w:val="1"/>
          <w:i w:val="1"/>
          <w:iCs w:val="1"/>
          <w:color w:val="000000"/>
        </w:rPr>
        <w:t>Pemegang</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 xml:space="preserve">Opsyen memberi kuasa kepada Syarikat, Fidelity, dan mana-mana penerima lain yang mungkin membantu Syarikat (masa sekarang atau pada masa depan) untuk melaksanakan, mentadbir dan menguruskan penyertaan Pemegang Opsyen dalam Pelan untuk menerima, memiliki, menggunakan, mengekalkan dan memindahkan Data, dalam bentuk elektronik atau lain-lain, semata-mata dengan tujuan untuk melaksanakan, mentadbir dan menguruskan penyertaan Pemegang Opsyen dalam Pelan, termasuk apa-apa pemindahan Data yang diperlukan kepada broker atau pihak ketiga dengan siapa Pemegang Opsyen mungkin pilih untuk mendepositkan apa-apa Saham yang diperolehi di atas pelaksanaan Opsyen ini. </w:t>
      </w:r>
      <w:r>
        <w:rPr>
          <w:rFonts w:ascii="Times New Roman" w:cs="Times New Roman" w:eastAsia="Times New Roman" w:hAnsi="Times New Roman"/>
          <w:sz w:val="16"/>
          <w:szCs w:val="16"/>
          <w:b w:val="1"/>
          <w:bCs w:val="1"/>
          <w:i w:val="1"/>
          <w:iCs w:val="1"/>
          <w:color w:val="222222"/>
        </w:rPr>
        <w:t>Pemegang Opsyen memahami</w:t>
      </w:r>
      <w:r>
        <w:rPr>
          <w:rFonts w:ascii="Times New Roman" w:cs="Times New Roman" w:eastAsia="Times New Roman" w:hAnsi="Times New Roman"/>
          <w:sz w:val="16"/>
          <w:szCs w:val="16"/>
          <w:b w:val="1"/>
          <w:bCs w:val="1"/>
          <w:i w:val="1"/>
          <w:iCs w:val="1"/>
          <w:color w:val="000000"/>
        </w:rPr>
        <w:t xml:space="preserve"> </w:t>
      </w:r>
      <w:r>
        <w:rPr>
          <w:rFonts w:ascii="Times New Roman" w:cs="Times New Roman" w:eastAsia="Times New Roman" w:hAnsi="Times New Roman"/>
          <w:sz w:val="16"/>
          <w:szCs w:val="16"/>
          <w:b w:val="1"/>
          <w:bCs w:val="1"/>
          <w:i w:val="1"/>
          <w:iCs w:val="1"/>
          <w:color w:val="222222"/>
        </w:rPr>
        <w:t xml:space="preserve">bahawa Data akan dipegang hanya untuk tempoh yang diperlukan untuk melaksanakan, mentadbir dan menguruskan penyertaannya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tersebut</w:t>
      </w:r>
      <w:r>
        <w:rPr>
          <w:rFonts w:ascii="Times New Roman" w:cs="Times New Roman" w:eastAsia="Times New Roman" w:hAnsi="Times New Roman"/>
          <w:sz w:val="16"/>
          <w:szCs w:val="16"/>
          <w:b w:val="1"/>
          <w:bCs w:val="1"/>
          <w:i w:val="1"/>
          <w:iCs w:val="1"/>
          <w:color w:val="222222"/>
        </w:rPr>
        <w:t>.</w:t>
      </w:r>
      <w:r>
        <w:rPr>
          <w:rFonts w:ascii="Times New Roman" w:cs="Times New Roman" w:eastAsia="Times New Roman" w:hAnsi="Times New Roman"/>
          <w:sz w:val="16"/>
          <w:szCs w:val="16"/>
          <w:b w:val="1"/>
          <w:bCs w:val="1"/>
          <w:i w:val="1"/>
          <w:iCs w:val="1"/>
          <w:color w:val="000000"/>
        </w:rPr>
        <w:t xml:space="preserve"> Pemegang Opsyen memahami bahawa dia boleh, pada bila-bila masa, </w:t>
      </w:r>
      <w:r>
        <w:rPr>
          <w:rFonts w:ascii="Times New Roman" w:cs="Times New Roman" w:eastAsia="Times New Roman" w:hAnsi="Times New Roman"/>
          <w:sz w:val="16"/>
          <w:szCs w:val="16"/>
          <w:b w:val="1"/>
          <w:bCs w:val="1"/>
          <w:i w:val="1"/>
          <w:iCs w:val="1"/>
          <w:color w:val="222222"/>
        </w:rPr>
        <w:t xml:space="preserve">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Pemegang Opsyen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 keengganan atau penarikan balik persetujuannya boleh menjejaskan 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 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 balik keizinan, Pemegang Opsyen fahami bahawa dia boleh menghubungi pentadbir pelan saham serantau di </w:t>
      </w:r>
      <w:r>
        <w:rPr>
          <w:rFonts w:ascii="Times New Roman" w:cs="Times New Roman" w:eastAsia="Times New Roman" w:hAnsi="Times New Roman"/>
          <w:sz w:val="16"/>
          <w:szCs w:val="16"/>
          <w:b w:val="1"/>
          <w:bCs w:val="1"/>
          <w:i w:val="1"/>
          <w:iCs w:val="1"/>
          <w:color w:val="000000"/>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90805</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90805</wp:posOffset>
            </wp:positionV>
            <wp:extent cx="8255"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90805</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90805</wp:posOffset>
            </wp:positionV>
            <wp:extent cx="825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90805</wp:posOffset>
            </wp:positionV>
            <wp:extent cx="8890"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90805</wp:posOffset>
            </wp:positionV>
            <wp:extent cx="8890"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90805</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90805</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90805</wp:posOffset>
            </wp:positionV>
            <wp:extent cx="8255"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90805</wp:posOffset>
            </wp:positionV>
            <wp:extent cx="8890"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90805</wp:posOffset>
            </wp:positionV>
            <wp:extent cx="8890"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90805</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90805</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90805</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90805</wp:posOffset>
            </wp:positionV>
            <wp:extent cx="8890"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90805</wp:posOffset>
            </wp:positionV>
            <wp:extent cx="889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90805</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90805</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90805</wp:posOffset>
            </wp:positionV>
            <wp:extent cx="8890"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90805</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90805</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90805</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90805</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90805</wp:posOffset>
            </wp:positionV>
            <wp:extent cx="8890"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90805</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90805</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90805</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90805</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90805</wp:posOffset>
            </wp:positionV>
            <wp:extent cx="8890"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90805</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90805</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90805</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90805</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90805</wp:posOffset>
            </wp:positionV>
            <wp:extent cx="8890"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90805</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90805</wp:posOffset>
            </wp:positionV>
            <wp:extent cx="825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90805</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90805</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90805</wp:posOffset>
            </wp:positionV>
            <wp:extent cx="8890"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90805</wp:posOffset>
            </wp:positionV>
            <wp:extent cx="8890"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90805</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90805</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90805</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90805</wp:posOffset>
            </wp:positionV>
            <wp:extent cx="8890"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90805</wp:posOffset>
            </wp:positionV>
            <wp:extent cx="889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90805</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90805</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90805</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90805</wp:posOffset>
            </wp:positionV>
            <wp:extent cx="8890"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90805</wp:posOffset>
            </wp:positionV>
            <wp:extent cx="889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90805</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90805</wp:posOffset>
            </wp:positionV>
            <wp:extent cx="825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90805</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90805</wp:posOffset>
            </wp:positionV>
            <wp:extent cx="889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90805</wp:posOffset>
            </wp:positionV>
            <wp:extent cx="8890"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90805</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90805</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90805</wp:posOffset>
            </wp:positionV>
            <wp:extent cx="889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90805</wp:posOffset>
            </wp:positionV>
            <wp:extent cx="889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90805</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90805</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90805</wp:posOffset>
            </wp:positionV>
            <wp:extent cx="8255"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90805</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90805</wp:posOffset>
            </wp:positionV>
            <wp:extent cx="88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90805</wp:posOffset>
            </wp:positionV>
            <wp:extent cx="825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90805</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90805</wp:posOffset>
            </wp:positionV>
            <wp:extent cx="825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90805</wp:posOffset>
            </wp:positionV>
            <wp:extent cx="889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90805</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90805</wp:posOffset>
            </wp:positionV>
            <wp:extent cx="825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90805</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90805</wp:posOffset>
            </wp:positionV>
            <wp:extent cx="8255"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90805</wp:posOffset>
            </wp:positionV>
            <wp:extent cx="889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90805</wp:posOffset>
            </wp:positionV>
            <wp:extent cx="8890"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90805</wp:posOffset>
            </wp:positionV>
            <wp:extent cx="8255"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90805</wp:posOffset>
            </wp:positionV>
            <wp:extent cx="8255"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90805</wp:posOffset>
            </wp:positionV>
            <wp:extent cx="8255"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90805</wp:posOffset>
            </wp:positionV>
            <wp:extent cx="889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90805</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90805</wp:posOffset>
            </wp:positionV>
            <wp:extent cx="8255"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90805</wp:posOffset>
            </wp:positionV>
            <wp:extent cx="8255"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90805</wp:posOffset>
            </wp:positionV>
            <wp:extent cx="8255"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90805</wp:posOffset>
            </wp:positionV>
            <wp:extent cx="8890"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90805</wp:posOffset>
            </wp:positionV>
            <wp:extent cx="889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90805</wp:posOffset>
            </wp:positionV>
            <wp:extent cx="825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90805</wp:posOffset>
            </wp:positionV>
            <wp:extent cx="8255"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90805</wp:posOffset>
            </wp:positionV>
            <wp:extent cx="8255"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90805</wp:posOffset>
            </wp:positionV>
            <wp:extent cx="8890"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90805</wp:posOffset>
            </wp:positionV>
            <wp:extent cx="8890"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90805</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90805</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90805</wp:posOffset>
            </wp:positionV>
            <wp:extent cx="8255"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90805</wp:posOffset>
            </wp:positionV>
            <wp:extent cx="889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90805</wp:posOffset>
            </wp:positionV>
            <wp:extent cx="8890"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90805</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90805</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90805</wp:posOffset>
            </wp:positionV>
            <wp:extent cx="8255"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90805</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90805</wp:posOffset>
            </wp:positionV>
            <wp:extent cx="8255"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90805</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90805</wp:posOffset>
            </wp:positionV>
            <wp:extent cx="825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90805</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90805</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90805</wp:posOffset>
            </wp:positionV>
            <wp:extent cx="8255"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90805</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90805</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90805</wp:posOffset>
            </wp:positionV>
            <wp:extent cx="8890"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90805</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90805</wp:posOffset>
            </wp:positionV>
            <wp:extent cx="8255"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90805</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90805</wp:posOffset>
            </wp:positionV>
            <wp:extent cx="8255"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90805</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90805</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90805</wp:posOffset>
            </wp:positionV>
            <wp:extent cx="8255"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90805</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90805</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90805</wp:posOffset>
            </wp:positionV>
            <wp:extent cx="8890"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90805</wp:posOffset>
            </wp:positionV>
            <wp:extent cx="889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90805</wp:posOffset>
            </wp:positionV>
            <wp:extent cx="8255"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90805</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90805</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90805</wp:posOffset>
            </wp:positionV>
            <wp:extent cx="8890"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90805</wp:posOffset>
            </wp:positionV>
            <wp:extent cx="8890"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90805</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90805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90805</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90805</wp:posOffset>
            </wp:positionV>
            <wp:extent cx="8890"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90805</wp:posOffset>
            </wp:positionV>
            <wp:extent cx="889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90805</wp:posOffset>
            </wp:positionV>
            <wp:extent cx="825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90805</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90805</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90805</wp:posOffset>
            </wp:positionV>
            <wp:extent cx="889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90805</wp:posOffset>
            </wp:positionV>
            <wp:extent cx="88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90805</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90805</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90805</wp:posOffset>
            </wp:positionV>
            <wp:extent cx="8255"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90805</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90805</wp:posOffset>
            </wp:positionV>
            <wp:extent cx="8255"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90805</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90805</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90805</wp:posOffset>
            </wp:positionV>
            <wp:extent cx="88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90805</wp:posOffset>
            </wp:positionV>
            <wp:extent cx="889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90805</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90805</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90805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90805</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90805</wp:posOffset>
            </wp:positionV>
            <wp:extent cx="8890"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90805</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90805</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90805</wp:posOffset>
            </wp:positionV>
            <wp:extent cx="8255"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90805</wp:posOffset>
            </wp:positionV>
            <wp:extent cx="88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90805</wp:posOffset>
            </wp:positionV>
            <wp:extent cx="889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90805</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90805</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90805</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90805</wp:posOffset>
            </wp:positionV>
            <wp:extent cx="889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90805</wp:posOffset>
            </wp:positionV>
            <wp:extent cx="889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90805</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90805</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90805</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90805</wp:posOffset>
            </wp:positionV>
            <wp:extent cx="8890"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90805</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90805</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90805</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90805</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90805</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90805</wp:posOffset>
            </wp:positionV>
            <wp:extent cx="889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90805</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90805</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90805</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90805</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90805</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90805</wp:posOffset>
            </wp:positionV>
            <wp:extent cx="8890"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90805</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90805</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90805</wp:posOffset>
            </wp:positionV>
            <wp:extent cx="8255"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90805</wp:posOffset>
            </wp:positionV>
            <wp:extent cx="8255"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90805</wp:posOffset>
            </wp:positionV>
            <wp:extent cx="8890"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90805</wp:posOffset>
            </wp:positionV>
            <wp:extent cx="8255"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90805</wp:posOffset>
            </wp:positionV>
            <wp:extent cx="8255"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90805</wp:posOffset>
            </wp:positionV>
            <wp:extent cx="8255"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90805</wp:posOffset>
            </wp:positionV>
            <wp:extent cx="825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90805</wp:posOffset>
            </wp:positionV>
            <wp:extent cx="8890"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90805</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90805</wp:posOffset>
            </wp:positionV>
            <wp:extent cx="8255"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90805</wp:posOffset>
            </wp:positionV>
            <wp:extent cx="825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90805</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90805</wp:posOffset>
            </wp:positionV>
            <wp:extent cx="8890"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90805</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90805</wp:posOffset>
            </wp:positionV>
            <wp:extent cx="825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90805</wp:posOffset>
            </wp:positionV>
            <wp:extent cx="8255"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90805</wp:posOffset>
            </wp:positionV>
            <wp:extent cx="825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90805</wp:posOffset>
            </wp:positionV>
            <wp:extent cx="8890"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90805</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90805</wp:posOffset>
            </wp:positionV>
            <wp:extent cx="8255"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90805</wp:posOffset>
            </wp:positionV>
            <wp:extent cx="8255"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90805</wp:posOffset>
            </wp:positionV>
            <wp:extent cx="8255"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90805</wp:posOffset>
            </wp:positionV>
            <wp:extent cx="8890"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90805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90805</wp:posOffset>
            </wp:positionV>
            <wp:extent cx="8255"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90805</wp:posOffset>
            </wp:positionV>
            <wp:extent cx="8255"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-4537710</wp:posOffset>
            </wp:positionV>
            <wp:extent cx="8255"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-4520565</wp:posOffset>
            </wp:positionV>
            <wp:extent cx="8255"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-4503420</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-4486275</wp:posOffset>
            </wp:positionV>
            <wp:extent cx="8255"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-4469130</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-4451985</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-4434840</wp:posOffset>
            </wp:positionV>
            <wp:extent cx="8255"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-4417695</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-4400550</wp:posOffset>
            </wp:positionV>
            <wp:extent cx="8255"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-4383405</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-4366260</wp:posOffset>
            </wp:positionV>
            <wp:extent cx="8255"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-4349115</wp:posOffset>
            </wp:positionV>
            <wp:extent cx="8255"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-4331970</wp:posOffset>
            </wp:positionV>
            <wp:extent cx="8255"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-4314825</wp:posOffset>
            </wp:positionV>
            <wp:extent cx="8255"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-4297680</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-4280535</wp:posOffset>
            </wp:positionV>
            <wp:extent cx="8255"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-4263390</wp:posOffset>
            </wp:positionV>
            <wp:extent cx="8255"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-4246245</wp:posOffset>
            </wp:positionV>
            <wp:extent cx="8255"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-4229100</wp:posOffset>
            </wp:positionV>
            <wp:extent cx="8255"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-4211955</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-4194810</wp:posOffset>
            </wp:positionV>
            <wp:extent cx="8255"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-4177665</wp:posOffset>
            </wp:positionV>
            <wp:extent cx="8255"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-4160520</wp:posOffset>
            </wp:positionV>
            <wp:extent cx="8255"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-4143375</wp:posOffset>
            </wp:positionV>
            <wp:extent cx="8255"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-4126230</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-4109085</wp:posOffset>
            </wp:positionV>
            <wp:extent cx="8255"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-4091940</wp:posOffset>
            </wp:positionV>
            <wp:extent cx="8255"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-4074795</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-4057650</wp:posOffset>
            </wp:positionV>
            <wp:extent cx="8255"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-4040505</wp:posOffset>
            </wp:positionV>
            <wp:extent cx="8255"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-4023360</wp:posOffset>
            </wp:positionV>
            <wp:extent cx="8255"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-4006215</wp:posOffset>
            </wp:positionV>
            <wp:extent cx="8255"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-3989070</wp:posOffset>
            </wp:positionV>
            <wp:extent cx="8255"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-3971925</wp:posOffset>
            </wp:positionV>
            <wp:extent cx="8255"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-3954780</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-3937635</wp:posOffset>
            </wp:positionV>
            <wp:extent cx="8255"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-3920490</wp:posOffset>
            </wp:positionV>
            <wp:extent cx="8255"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-3903345</wp:posOffset>
            </wp:positionV>
            <wp:extent cx="8255"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-3886200</wp:posOffset>
            </wp:positionV>
            <wp:extent cx="8255"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-3869055</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-3851910</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-3834765</wp:posOffset>
            </wp:positionV>
            <wp:extent cx="8255"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-3817620</wp:posOffset>
            </wp:positionV>
            <wp:extent cx="8255"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-3800475</wp:posOffset>
            </wp:positionV>
            <wp:extent cx="825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-3783330</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-3766185</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-3749040</wp:posOffset>
            </wp:positionV>
            <wp:extent cx="8255"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-3731895</wp:posOffset>
            </wp:positionV>
            <wp:extent cx="8255"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-3714750</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-3697605</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-3680460</wp:posOffset>
            </wp:positionV>
            <wp:extent cx="8255"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-3663315</wp:posOffset>
            </wp:positionV>
            <wp:extent cx="8255"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-3646170</wp:posOffset>
            </wp:positionV>
            <wp:extent cx="8255"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-3629025</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-3611880</wp:posOffset>
            </wp:positionV>
            <wp:extent cx="8255"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-3594735</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-3577590</wp:posOffset>
            </wp:positionV>
            <wp:extent cx="8255"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-3560445</wp:posOffset>
            </wp:positionV>
            <wp:extent cx="8255"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-3543300</wp:posOffset>
            </wp:positionV>
            <wp:extent cx="8255"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-3526155</wp:posOffset>
            </wp:positionV>
            <wp:extent cx="8255"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-3509010</wp:posOffset>
            </wp:positionV>
            <wp:extent cx="825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-3491865</wp:posOffset>
            </wp:positionV>
            <wp:extent cx="8255"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-3474720</wp:posOffset>
            </wp:positionV>
            <wp:extent cx="8255"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-3457575</wp:posOffset>
            </wp:positionV>
            <wp:extent cx="8255"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-3440430</wp:posOffset>
            </wp:positionV>
            <wp:extent cx="8255"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-3423285</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-3406140</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-3388995</wp:posOffset>
            </wp:positionV>
            <wp:extent cx="8255"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-3371850</wp:posOffset>
            </wp:positionV>
            <wp:extent cx="8255"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-3354705</wp:posOffset>
            </wp:positionV>
            <wp:extent cx="8255"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-3337560</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-3320415</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-3303270</wp:posOffset>
            </wp:positionV>
            <wp:extent cx="8255"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-3286125</wp:posOffset>
            </wp:positionV>
            <wp:extent cx="8255"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-3268980</wp:posOffset>
            </wp:positionV>
            <wp:extent cx="8255"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-3251835</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-3234690</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-3217545</wp:posOffset>
            </wp:positionV>
            <wp:extent cx="8255"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-3200400</wp:posOffset>
            </wp:positionV>
            <wp:extent cx="8255"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-3183255</wp:posOffset>
            </wp:positionV>
            <wp:extent cx="8255"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-3166110</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-3148965</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-3131820</wp:posOffset>
            </wp:positionV>
            <wp:extent cx="8255"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-3114675</wp:posOffset>
            </wp:positionV>
            <wp:extent cx="8255"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-3097530</wp:posOffset>
            </wp:positionV>
            <wp:extent cx="8255"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-3080385</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-3063240</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-3046095</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-3028950</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-3011805</wp:posOffset>
            </wp:positionV>
            <wp:extent cx="8255"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-2994660</wp:posOffset>
            </wp:positionV>
            <wp:extent cx="8255"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-2977515</wp:posOffset>
            </wp:positionV>
            <wp:extent cx="8255"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-2960370</wp:posOffset>
            </wp:positionV>
            <wp:extent cx="8255"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-2943225</wp:posOffset>
            </wp:positionV>
            <wp:extent cx="8255"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-2926080</wp:posOffset>
            </wp:positionV>
            <wp:extent cx="8255"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-2908935</wp:posOffset>
            </wp:positionV>
            <wp:extent cx="8255"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-2891790</wp:posOffset>
            </wp:positionV>
            <wp:extent cx="8255"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-2874645</wp:posOffset>
            </wp:positionV>
            <wp:extent cx="8255"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-2857500</wp:posOffset>
            </wp:positionV>
            <wp:extent cx="8255"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-2840355</wp:posOffset>
            </wp:positionV>
            <wp:extent cx="8255"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-2823210</wp:posOffset>
            </wp:positionV>
            <wp:extent cx="8255"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-2806065</wp:posOffset>
            </wp:positionV>
            <wp:extent cx="8255"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-2788920</wp:posOffset>
            </wp:positionV>
            <wp:extent cx="8255"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-2771775</wp:posOffset>
            </wp:positionV>
            <wp:extent cx="8255"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-2754630</wp:posOffset>
            </wp:positionV>
            <wp:extent cx="8255"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-2737485</wp:posOffset>
            </wp:positionV>
            <wp:extent cx="825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-2720340</wp:posOffset>
            </wp:positionV>
            <wp:extent cx="8255"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-2703195</wp:posOffset>
            </wp:positionV>
            <wp:extent cx="8255"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-2686050</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-2668905</wp:posOffset>
            </wp:positionV>
            <wp:extent cx="8255"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-2651760</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-2634615</wp:posOffset>
            </wp:positionV>
            <wp:extent cx="8255"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-2617470</wp:posOffset>
            </wp:positionV>
            <wp:extent cx="8255"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-2600325</wp:posOffset>
            </wp:positionV>
            <wp:extent cx="8255"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-2583180</wp:posOffset>
            </wp:positionV>
            <wp:extent cx="8255"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-2566035</wp:posOffset>
            </wp:positionV>
            <wp:extent cx="8255"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-2548890</wp:posOffset>
            </wp:positionV>
            <wp:extent cx="8255"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-2531745</wp:posOffset>
            </wp:positionV>
            <wp:extent cx="8255"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-2514600</wp:posOffset>
            </wp:positionV>
            <wp:extent cx="825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-2497455</wp:posOffset>
            </wp:positionV>
            <wp:extent cx="8255"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-2480310</wp:posOffset>
            </wp:positionV>
            <wp:extent cx="8255"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-2463165</wp:posOffset>
            </wp:positionV>
            <wp:extent cx="8255"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-2446020</wp:posOffset>
            </wp:positionV>
            <wp:extent cx="825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-2428875</wp:posOffset>
            </wp:positionV>
            <wp:extent cx="8255"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-2411730</wp:posOffset>
            </wp:positionV>
            <wp:extent cx="8255"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-2394585</wp:posOffset>
            </wp:positionV>
            <wp:extent cx="8255"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-2377440</wp:posOffset>
            </wp:positionV>
            <wp:extent cx="8255"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-2360295</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-2343150</wp:posOffset>
            </wp:positionV>
            <wp:extent cx="825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-2326005</wp:posOffset>
            </wp:positionV>
            <wp:extent cx="8255"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-2308860</wp:posOffset>
            </wp:positionV>
            <wp:extent cx="8255"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-2291715</wp:posOffset>
            </wp:positionV>
            <wp:extent cx="8255"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-2274570</wp:posOffset>
            </wp:positionV>
            <wp:extent cx="8255"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-2257425</wp:posOffset>
            </wp:positionV>
            <wp:extent cx="8255"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-2240280</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-2223135</wp:posOffset>
            </wp:positionV>
            <wp:extent cx="8255"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-2205990</wp:posOffset>
            </wp:positionV>
            <wp:extent cx="8255"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-2188845</wp:posOffset>
            </wp:positionV>
            <wp:extent cx="8255"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-2171700</wp:posOffset>
            </wp:positionV>
            <wp:extent cx="8255"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-2154555</wp:posOffset>
            </wp:positionV>
            <wp:extent cx="8255"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-2137410</wp:posOffset>
            </wp:positionV>
            <wp:extent cx="8255"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-2120265</wp:posOffset>
            </wp:positionV>
            <wp:extent cx="8255"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-2103120</wp:posOffset>
            </wp:positionV>
            <wp:extent cx="8255"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-2085975</wp:posOffset>
            </wp:positionV>
            <wp:extent cx="825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-2068830</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-2051685</wp:posOffset>
            </wp:positionV>
            <wp:extent cx="8255"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-2034540</wp:posOffset>
            </wp:positionV>
            <wp:extent cx="8255"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-2017395</wp:posOffset>
            </wp:positionV>
            <wp:extent cx="8255"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-2000250</wp:posOffset>
            </wp:positionV>
            <wp:extent cx="8255"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-1983105</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-1965960</wp:posOffset>
            </wp:positionV>
            <wp:extent cx="8255"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-1948815</wp:posOffset>
            </wp:positionV>
            <wp:extent cx="8255"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-1931670</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-1914525</wp:posOffset>
            </wp:positionV>
            <wp:extent cx="8255"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-1897380</wp:posOffset>
            </wp:positionV>
            <wp:extent cx="8255"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-1880235</wp:posOffset>
            </wp:positionV>
            <wp:extent cx="8255"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-1863090</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-1845945</wp:posOffset>
            </wp:positionV>
            <wp:extent cx="8255"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-1828800</wp:posOffset>
            </wp:positionV>
            <wp:extent cx="8255"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-1811655</wp:posOffset>
            </wp:positionV>
            <wp:extent cx="8255"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-1794510</wp:posOffset>
            </wp:positionV>
            <wp:extent cx="8255"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-1777365</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-1760220</wp:posOffset>
            </wp:positionV>
            <wp:extent cx="825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-1743075</wp:posOffset>
            </wp:positionV>
            <wp:extent cx="8255"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-1725930</wp:posOffset>
            </wp:positionV>
            <wp:extent cx="8255"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-1708785</wp:posOffset>
            </wp:positionV>
            <wp:extent cx="8255"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-1691640</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-1674495</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-1657350</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-1640205</wp:posOffset>
            </wp:positionV>
            <wp:extent cx="8255"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-1623060</wp:posOffset>
            </wp:positionV>
            <wp:extent cx="8255"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-1605915</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-1588770</wp:posOffset>
            </wp:positionV>
            <wp:extent cx="8255"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-1571625</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-1554480</wp:posOffset>
            </wp:positionV>
            <wp:extent cx="8255"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-1537335</wp:posOffset>
            </wp:positionV>
            <wp:extent cx="8255"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-1520190</wp:posOffset>
            </wp:positionV>
            <wp:extent cx="8255"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-1503045</wp:posOffset>
            </wp:positionV>
            <wp:extent cx="8255"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-1485900</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-1468755</wp:posOffset>
            </wp:positionV>
            <wp:extent cx="8255" cy="88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-1451610</wp:posOffset>
            </wp:positionV>
            <wp:extent cx="8255"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-1434465</wp:posOffset>
            </wp:positionV>
            <wp:extent cx="8255"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-1417320</wp:posOffset>
            </wp:positionV>
            <wp:extent cx="8255"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-1400175</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-1383030</wp:posOffset>
            </wp:positionV>
            <wp:extent cx="8255"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-1365885</wp:posOffset>
            </wp:positionV>
            <wp:extent cx="8255"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-1348740</wp:posOffset>
            </wp:positionV>
            <wp:extent cx="8255"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-1331595</wp:posOffset>
            </wp:positionV>
            <wp:extent cx="8255"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-1314450</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-1297305</wp:posOffset>
            </wp:positionV>
            <wp:extent cx="8255"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-1280160</wp:posOffset>
            </wp:positionV>
            <wp:extent cx="8255"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-1263015</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-1245870</wp:posOffset>
            </wp:positionV>
            <wp:extent cx="8255"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-1228725</wp:posOffset>
            </wp:positionV>
            <wp:extent cx="8255"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-1211580</wp:posOffset>
            </wp:positionV>
            <wp:extent cx="8255"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-1194435</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-1177290</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-1160145</wp:posOffset>
            </wp:positionV>
            <wp:extent cx="8255"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-1143000</wp:posOffset>
            </wp:positionV>
            <wp:extent cx="8255"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-1125855</wp:posOffset>
            </wp:positionV>
            <wp:extent cx="8255"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-1108710</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-1091565</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-1074420</wp:posOffset>
            </wp:positionV>
            <wp:extent cx="8255"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-1057275</wp:posOffset>
            </wp:positionV>
            <wp:extent cx="8255"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-1040130</wp:posOffset>
            </wp:positionV>
            <wp:extent cx="8255"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-1022985</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-1005840</wp:posOffset>
            </wp:positionV>
            <wp:extent cx="8255"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-988695</wp:posOffset>
            </wp:positionV>
            <wp:extent cx="8255"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-971550</wp:posOffset>
            </wp:positionV>
            <wp:extent cx="8255"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-954405</wp:posOffset>
            </wp:positionV>
            <wp:extent cx="8255"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-937260</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-920115</wp:posOffset>
            </wp:positionV>
            <wp:extent cx="8255"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-902970</wp:posOffset>
            </wp:positionV>
            <wp:extent cx="8255"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-885825</wp:posOffset>
            </wp:positionV>
            <wp:extent cx="8255"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-868680</wp:posOffset>
            </wp:positionV>
            <wp:extent cx="8255"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-851535</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-834390</wp:posOffset>
            </wp:positionV>
            <wp:extent cx="8255"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-817245</wp:posOffset>
            </wp:positionV>
            <wp:extent cx="8255"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-800100</wp:posOffset>
            </wp:positionV>
            <wp:extent cx="8255"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-782955</wp:posOffset>
            </wp:positionV>
            <wp:extent cx="8255"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-765810</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-748665</wp:posOffset>
            </wp:positionV>
            <wp:extent cx="8255"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-731520</wp:posOffset>
            </wp:positionV>
            <wp:extent cx="8255"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-714375</wp:posOffset>
            </wp:positionV>
            <wp:extent cx="8255"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-697230</wp:posOffset>
            </wp:positionV>
            <wp:extent cx="8255"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-680085</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-662940</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-645795</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-628650</wp:posOffset>
            </wp:positionV>
            <wp:extent cx="8255"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-611505</wp:posOffset>
            </wp:positionV>
            <wp:extent cx="8255"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-594360</wp:posOffset>
            </wp:positionV>
            <wp:extent cx="8255"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-577215</wp:posOffset>
            </wp:positionV>
            <wp:extent cx="825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-560070</wp:posOffset>
            </wp:positionV>
            <wp:extent cx="825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-542925</wp:posOffset>
            </wp:positionV>
            <wp:extent cx="8255"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-525780</wp:posOffset>
            </wp:positionV>
            <wp:extent cx="8255"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-508635</wp:posOffset>
            </wp:positionV>
            <wp:extent cx="8255"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-491490</wp:posOffset>
            </wp:positionV>
            <wp:extent cx="8255"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-474345</wp:posOffset>
            </wp:positionV>
            <wp:extent cx="8255"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-457200</wp:posOffset>
            </wp:positionV>
            <wp:extent cx="8255"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-440055</wp:posOffset>
            </wp:positionV>
            <wp:extent cx="825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-422910</wp:posOffset>
            </wp:positionV>
            <wp:extent cx="8255"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-405765</wp:posOffset>
            </wp:positionV>
            <wp:extent cx="8255"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-388620</wp:posOffset>
            </wp:positionV>
            <wp:extent cx="8255"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-371475</wp:posOffset>
            </wp:positionV>
            <wp:extent cx="8255"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-354330</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-337185</wp:posOffset>
            </wp:positionV>
            <wp:extent cx="8255"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-320040</wp:posOffset>
            </wp:positionV>
            <wp:extent cx="8255"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-302895</wp:posOffset>
            </wp:positionV>
            <wp:extent cx="8255"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-285750</wp:posOffset>
            </wp:positionV>
            <wp:extent cx="8255"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-268605</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-251460</wp:posOffset>
            </wp:positionV>
            <wp:extent cx="8255"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-234315</wp:posOffset>
            </wp:positionV>
            <wp:extent cx="8255"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-217170</wp:posOffset>
            </wp:positionV>
            <wp:extent cx="8255"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-200025</wp:posOffset>
            </wp:positionV>
            <wp:extent cx="8255"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-182880</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-165735</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-148590</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-131445</wp:posOffset>
            </wp:positionV>
            <wp:extent cx="8255"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-114300</wp:posOffset>
            </wp:positionV>
            <wp:extent cx="8255"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-97155</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-80010</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-62865</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-45720</wp:posOffset>
            </wp:positionV>
            <wp:extent cx="8255"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wp:posOffset>
            </wp:positionV>
            <wp:extent cx="8255"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5080</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22225</wp:posOffset>
            </wp:positionV>
            <wp:extent cx="8255"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39370</wp:posOffset>
            </wp:positionV>
            <wp:extent cx="8255"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56515</wp:posOffset>
            </wp:positionV>
            <wp:extent cx="8255"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73660</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90805</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5020" w:space="140"/>
            <w:col w:w="5900"/>
          </w:cols>
          <w:pgMar w:left="480" w:top="1440" w:right="359" w:bottom="1440" w:gutter="0" w:footer="0" w:header="0"/>
        </w:sectPr>
      </w:pP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23"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the Optionee acknowledges that he or she has received a copy of the Plan, has reviewed the Plan in its entirety and fully understands and accepts all provisions of the Plan. The Optionee further acknowledges that he or she</w:t>
      </w:r>
    </w:p>
    <w:p>
      <w:pPr>
        <w:sectPr>
          <w:pgSz w:w="11900" w:h="16838" w:orient="portrait"/>
          <w:cols w:equalWidth="0" w:num="1">
            <w:col w:w="11060"/>
          </w:cols>
          <w:pgMar w:left="48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1060"/>
          </w:cols>
          <w:pgMar w:left="480" w:top="1440" w:right="359" w:bottom="1440" w:gutter="0" w:footer="0" w:header="0"/>
          <w:type w:val="continuous"/>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has read and expressly approves the terms and conditions set forth in the Nature of Grant paragraph of the Agreement, in which the following is clearly described and established: (i) the Optionee’s participation in the Plan does not constitute an acquired right; (ii) the Plan and the Optionee’s participation in the Plan are offered by the Company on a wholly discretionary basis; (iii) the Optionee’s participation in the Plan is voluntary; and (iv) the Company and its subsidiaries are not responsible for any decrease in the value of the Option granted and/or the Option Shares issued under the Plan.</w:t>
      </w:r>
    </w:p>
    <w:p>
      <w:pPr>
        <w:spacing w:after="0" w:line="114"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Optionee expressly recognizes that Analog Devices, Inc., with registered offices at One Analog Way, Wilmington, Massachusetts, 01887 U.S.A., is solely responsible for the administration of the Plan and that the Optionee’s participation in the Plan and acquisition of Option Shares does not constitute an employment relationship between the Optionee and the Company since the Optionee is participating in the Plan on a wholly commercial basis. Based on the foregoing, the Optionee expressly recognizes that the Plan and the benefits that the Optionee may derive from participation in the Plan do not establish any rights between the Optionee and the Company and do not form part of the employment conditions and/or benefits provided by the Company and any modification of the Plan or its termination shall not constitute a change or impairment of the terms and conditions of the Optionee’s employment.</w:t>
      </w:r>
    </w:p>
    <w:p>
      <w:pPr>
        <w:spacing w:after="0" w:line="11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Optionee further understands that the Optionee's participation in the Plan is as a result of a unilateral and discretionary decision of the Company; therefore, the Company reserves the absolute right to amend and/or discontinue the Optionee’s participation at any time without any liability to the Optionee.</w:t>
      </w:r>
    </w:p>
    <w:p>
      <w:pPr>
        <w:spacing w:after="0" w:line="110"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Optionee hereby declares that the Optionee does not reserve any action or right to bring any claim against the Company for any compensation or damages regarding any provision of the Plan or the benefits derived under the Plan, and the Optionee therefore grants a full and broad release to the Company, its subsidiaries, branches, representation offices, its shareholders, officers, agents or legal representatives with respect to any claim that may arise.</w:t>
      </w:r>
    </w:p>
    <w:p>
      <w:pPr>
        <w:spacing w:after="0" w:line="112"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 Opción ofrecida y/o las Acciones distribuidas bajo el Plan.</w:t>
      </w:r>
    </w:p>
    <w:p>
      <w:pPr>
        <w:spacing w:after="0" w:line="11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13"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06"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70" w:lineRule="exact"/>
        <w:rPr>
          <w:sz w:val="20"/>
          <w:szCs w:val="20"/>
          <w:color w:val="auto"/>
        </w:rPr>
      </w:pPr>
    </w:p>
    <w:p>
      <w:pPr>
        <w:jc w:val="both"/>
        <w:ind w:left="180" w:right="32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granted, and any Option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Option may not be publicly distributed in Mexico. These materials are addressed to the Optionee because of the Optionee’s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1080"/>
          </w:cols>
          <w:pgMar w:left="480" w:top="1440" w:right="33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37" w:lineRule="exact"/>
        <w:rPr>
          <w:sz w:val="20"/>
          <w:szCs w:val="20"/>
          <w:color w:val="auto"/>
        </w:rPr>
      </w:pPr>
    </w:p>
    <w:p>
      <w:pPr>
        <w:jc w:val="both"/>
        <w:ind w:left="180" w:right="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Options is being made pursuant to an exemption from registration under Section 10.2 of the SRC that has been approved by the PSEC.</w:t>
      </w:r>
    </w:p>
    <w:p>
      <w:pPr>
        <w:spacing w:after="0" w:line="235" w:lineRule="exact"/>
        <w:rPr>
          <w:sz w:val="20"/>
          <w:szCs w:val="20"/>
          <w:color w:val="auto"/>
        </w:rPr>
      </w:pPr>
    </w:p>
    <w:p>
      <w:pPr>
        <w:jc w:val="both"/>
        <w:ind w:left="180" w:right="80"/>
        <w:spacing w:after="0" w:line="221" w:lineRule="auto"/>
        <w:rPr>
          <w:sz w:val="20"/>
          <w:szCs w:val="20"/>
          <w:color w:val="auto"/>
        </w:rPr>
      </w:pPr>
      <w:r>
        <w:rPr>
          <w:rFonts w:ascii="Times New Roman" w:cs="Times New Roman" w:eastAsia="Times New Roman" w:hAnsi="Times New Roman"/>
          <w:sz w:val="16"/>
          <w:szCs w:val="16"/>
          <w:color w:val="auto"/>
        </w:rPr>
        <w:t>The Optionee should be aware of the risks of participating in the Plan, which include (without limitation) the risk of fluctuation in the price of the Option Shares on the Nasdaq Global Select Market (“Nasdaq”) and the risk of currency fluctuations between the U.S. Dollar and the Optionee’s local currency. In this regard, the Optionee should note that the value of any Option Shares he or she may acquire under the Plan may decrease, and fluctuations in foreign exchange rates between his or her local currency and the U.S. Dollar may affect the value of the Options or any amounts due to him or her pursuant to the exercise of Options or the subsequent sale of any Option Shares acquired by him or her. The Company is not making any representations, projections or assurances about the value of the Option Shares now or in the future.</w:t>
      </w:r>
    </w:p>
    <w:p>
      <w:pPr>
        <w:spacing w:after="0" w:line="212" w:lineRule="exact"/>
        <w:rPr>
          <w:sz w:val="20"/>
          <w:szCs w:val="20"/>
          <w:color w:val="auto"/>
        </w:rPr>
      </w:pPr>
    </w:p>
    <w:p>
      <w:pPr>
        <w:jc w:val="both"/>
        <w:ind w:left="180" w:right="100"/>
        <w:spacing w:after="0" w:line="23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Option Shares, the Optionee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80" w:right="80"/>
        <w:spacing w:after="0" w:line="223" w:lineRule="auto"/>
        <w:rPr>
          <w:sz w:val="20"/>
          <w:szCs w:val="20"/>
          <w:color w:val="auto"/>
        </w:rPr>
      </w:pPr>
      <w:r>
        <w:rPr>
          <w:rFonts w:ascii="Times New Roman" w:cs="Times New Roman" w:eastAsia="Times New Roman" w:hAnsi="Times New Roman"/>
          <w:sz w:val="16"/>
          <w:szCs w:val="16"/>
          <w:color w:val="auto"/>
        </w:rPr>
        <w:t xml:space="preserve">The Optionee should also note that the sale or disposal of Option Shares acquired under the Plan may be subject to certain restrictions under Philippines securities laws. Those restrictions should not apply if the offer and resale of Option Shares takes place outside the Philippines through the facilities of a stock exchange on which the Option Shares are listed. The Option Shares are currently listed on Nasdaq. The Company’s designated broker should be able to assist the Optionee in the sale of Option Shares on Nasdaq. </w:t>
      </w:r>
      <w:r>
        <w:rPr>
          <w:rFonts w:ascii="Times New Roman" w:cs="Times New Roman" w:eastAsia="Times New Roman" w:hAnsi="Times New Roman"/>
          <w:sz w:val="16"/>
          <w:szCs w:val="16"/>
          <w:i w:val="1"/>
          <w:iCs w:val="1"/>
          <w:color w:val="auto"/>
        </w:rPr>
        <w:t>If the Optionee has questions with regard to the application of Philippines securities laws to the disposal or sale of Option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Shares acquired under the Plan the Optionee should consult with his or her legal advisor.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Optionee maintains bank or brokerage accounts holding cash and foreign securities (including Option Shares) outside Poland, the Optionee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Optionee understands that he or she is required to store all documents connected with any foreign exchange transactions for a period of five years, as measured from the end of the year in which such transaction occurred. The Optionee should consult with his or her personal legal advisor to determine what he or she must do to fulfill any applicable reporting/exchange control duties.</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10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deposits the proceeds from the sale of Option Shares acquired at exercise of the Option in a bank account in Romania, the Optionee may be required to provide the Romanian bank with appropriate documentation explaining the source of the funds. The Optionee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23" w:lineRule="exact"/>
        <w:rPr>
          <w:sz w:val="20"/>
          <w:szCs w:val="20"/>
          <w:color w:val="auto"/>
        </w:rPr>
      </w:pPr>
    </w:p>
    <w:p>
      <w:pPr>
        <w:jc w:val="both"/>
        <w:ind w:left="180" w:right="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Options and the issuance of any Option Shares are not subject to the regulations concerning public offers and private placements under the Law on Capital Markets.</w:t>
      </w:r>
    </w:p>
    <w:p>
      <w:pPr>
        <w:spacing w:after="0" w:line="151" w:lineRule="exact"/>
        <w:rPr>
          <w:sz w:val="20"/>
          <w:szCs w:val="20"/>
          <w:color w:val="auto"/>
        </w:rPr>
      </w:pPr>
    </w:p>
    <w:p>
      <w:pPr>
        <w:jc w:val="both"/>
        <w:ind w:left="180" w:right="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Optionee is permitted to acquire Option Shares under the Plan, but a report may need to be made of the acquisition of such Option Shares, the value of the Option Shares at exercise, and, on a quarterly basis, any changes in the value of the Option Shares. As the exchange control regulations in Serbia may change without notice, the Optionee should consult with his or her personal advisor with respect to all applicable reporting obligations.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23" w:lineRule="exact"/>
        <w:rPr>
          <w:sz w:val="20"/>
          <w:szCs w:val="20"/>
          <w:color w:val="auto"/>
        </w:rPr>
      </w:pPr>
    </w:p>
    <w:p>
      <w:pPr>
        <w:jc w:val="both"/>
        <w:ind w:left="180" w:right="10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Options are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Options are subject to section 257 of the SFA and the Optionee will not be able to make any subsequent sale in Singapore, or any offer of such subsequent sale of the</w:t>
      </w:r>
    </w:p>
    <w:p>
      <w:pPr>
        <w:sectPr>
          <w:pgSz w:w="11900" w:h="16838" w:orient="portrait"/>
          <w:cols w:equalWidth="0" w:num="1">
            <w:col w:w="10840"/>
          </w:cols>
          <w:pgMar w:left="48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840"/>
          </w:cols>
          <w:pgMar w:left="480" w:top="1440" w:right="579" w:bottom="1440" w:gutter="0" w:footer="0" w:header="0"/>
          <w:type w:val="continuous"/>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Option Shares unless such sale or offer in Singapore is made pursuant to the exemptions under Part XIII Division (1) Subdivision (4) (other than section 280) of the SFA and in accordance with any other applicable provision of the SFA.</w:t>
      </w:r>
    </w:p>
    <w:p>
      <w:pPr>
        <w:spacing w:after="0" w:line="20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associate director or shadow director of a subsidiary or other related company in Singapore, the Optionee is subject to certain notification requirements under the Singapore Companies Act. Among these requirements is 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(i) acquiring or disposing of any interest in the Company or any related company, or (ii) any change in a previously-disclosed interest (e.g., upon exercise of the Options or when Option Shares are subsequently sold). In addition, a notification must be made of the Optionee’s interests in the Company or any related company within two (2) business days of becoming a director, associate director, or shadow director. If the Optionee is the chief executive officer (“CEO”) of a Singapore subsidiary and the above notification requirements are determined to apply to the CEO of a Singapore subsidiary, the above notification requirements also may apply to the Optionee.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No Entitlement for Claims or Compensation</w:t>
      </w:r>
      <w:r>
        <w:rPr>
          <w:rFonts w:ascii="Times New Roman" w:cs="Times New Roman" w:eastAsia="Times New Roman" w:hAnsi="Times New Roman"/>
          <w:sz w:val="16"/>
          <w:szCs w:val="16"/>
          <w:color w:val="auto"/>
        </w:rPr>
        <w:t>. By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throughout the world.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 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197"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color w:val="auto"/>
        </w:rPr>
        <w:t>Further, and except as provided in Sections 3(e) and 3(g) of the Agreement in the event Optionee dies or becomes Disabled, the vesting of the Option is expressly conditioned on the Optionee’s continued rendering of service, such that if the Optionee’s employment terminates for any reason whatsoever, the Options will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(i.e., subject to a “</w:t>
      </w:r>
      <w:r>
        <w:rPr>
          <w:rFonts w:ascii="Times New Roman" w:cs="Times New Roman" w:eastAsia="Times New Roman" w:hAnsi="Times New Roman"/>
          <w:sz w:val="16"/>
          <w:szCs w:val="16"/>
          <w:i w:val="1"/>
          <w:iCs w:val="1"/>
          <w:color w:val="auto"/>
        </w:rPr>
        <w:t>despido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improcedente</w:t>
      </w:r>
      <w:r>
        <w:rPr>
          <w:rFonts w:ascii="Times New Roman" w:cs="Times New Roman" w:eastAsia="Times New Roman" w:hAnsi="Times New Roman"/>
          <w:sz w:val="16"/>
          <w:szCs w:val="16"/>
          <w:color w:val="auto"/>
        </w:rPr>
        <w:t>”); (2) the Optionee is dismissed for disciplinary or objective reasons or due to a collective dismissal; (3) the Optionee terminates service due to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will automatically lose any rights to Options that were not vested on the date of the Optionee’s termination of employment, as described in the Plan and the Agreement. The Optionee understands that the Option grant would not be made to the Optionee but for the assumptions and conditions referred to above; thus, the Optionee acknowledges and freely accepts that should any or all of the assumptions be mistaken or should any of the conditions not be met for any reason, then any Option grant shall be null and void.</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Optionee acknowledges that he or she has read and specifically accepts the conditions referred to in Section 3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Options and the Option Shares issued upon exercise of the Option are considered a private placement outside the scope of Spanish laws on public offerings and issuances of securities. No “offer of securities to the public”, as defined under Spanish law, has taken place or will take place in the Spanish territory. This Agreement has not been 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xml:space="preserve"> and does not constitute a public offering prospectus.</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Optionee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Optionee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Optionee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196"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Optionee holds assets (e.g., cash or Option Shares held in a bank or brokerage account) outside Spain with a value in excess of €50,000 per type of asset (e.g., Option Shares, cash, and so on) as of December 31 each year, the Optionee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w:t>
      </w:r>
    </w:p>
    <w:p>
      <w:pPr>
        <w:spacing w:after="0" w:line="1" w:lineRule="exact"/>
        <w:rPr>
          <w:sz w:val="20"/>
          <w:szCs w:val="20"/>
          <w:color w:val="auto"/>
        </w:rPr>
      </w:pPr>
    </w:p>
    <w:p>
      <w:pPr>
        <w:ind w:left="180" w:hanging="8"/>
        <w:spacing w:after="0" w:line="231" w:lineRule="auto"/>
        <w:tabs>
          <w:tab w:leader="none" w:pos="423"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this reporting requirement may result in penalties to the Optionee. Accordingly, the Optionee should consult with his or her personal tax and legal advisors to ensure that he or she is properly complying with his or her reporting obligations.</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0760"/>
          </w:cols>
          <w:pgMar w:left="480" w:top="1440" w:right="659" w:bottom="1440" w:gutter="0" w:footer="0" w:header="0"/>
          <w:type w:val="continuous"/>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Automatic Cashless Exercise and Sale</w:t>
      </w:r>
      <w:r>
        <w:rPr>
          <w:rFonts w:ascii="Times New Roman" w:cs="Times New Roman" w:eastAsia="Times New Roman" w:hAnsi="Times New Roman"/>
          <w:sz w:val="16"/>
          <w:szCs w:val="16"/>
          <w:color w:val="auto"/>
        </w:rPr>
        <w:t>. The grant of the Option is conditioned on the Optionee’s agreement to the below.</w:t>
      </w:r>
    </w:p>
    <w:p>
      <w:pPr>
        <w:spacing w:after="0" w:line="221"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Optionee agrees that, if he or she has not previously exercised the Option to the maximum extent possible in accordance with its terms prior to the first day on which the closing price of the Common Stock on the Nasdaq Global Select Market (“Nasdaq”) equals or exceeds 200% of the Exercise Price, then the Optionee will be deemed to have exercised the Option to the maximum extent possible in accordance with its terms on such date by means of a cashless exercise in the manner described in the Plan and the Agreement and to have directed the immediate sale of all of the Option Shares thereby purchased. The Optionee hereby authorizes the Company (or its designated broker pursuant to this authorization) to effect such cashless exercise and sale transaction on the Optionee’s behalf as soon as administratively possible, and to cause to be remitted to the Optionee the net proceeds, after deduction of the Exercise Price and all Tax-Related Items required to be withheld by the Company or Analog Devices A.B.</w:t>
      </w:r>
    </w:p>
    <w:p>
      <w:pPr>
        <w:spacing w:after="0" w:line="16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To the extent that the Option by its terms is not exercisable on such date, the Optionee will be deemed to have exercised the Option and directed the immediate sale of all of the Option Shares thereby purchased on the first day thereafter on which it becomes exercisable on which the closing price of the Common Stock on the Nasdaq equals or exceeds 200% of the Exercise Price, and the Optionee grants the same authority to the Company as set forth in the preceding sentence. The Optionee agrees to execute and deliver any documentation which the Company’s designated broker may require in connection with this arrangement. The Company is authorized to act in this matter on behalf of Analog Devices A.B.</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7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7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Option grant is not intended to be a public offering in Switzerland and is therefore not subject to registration in Switzerland. Neither this document nor any materials relating to the Option Shares (i) constitutes a prospectus according to articles 35 et. seq. of the Swiss Federal Act on Financial Services (“FinSA”) (ii) may be publicly distributed 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Optionee acknowledges that he or she has read and understands the terms regarding collection, processing and transfer of Data contained in the Data Privacy Information and Consent provision of the Terms and Conditions for Optionees outside the U.S. and agrees that, upon the request of the Company or the Employer, the Optionee will provide any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9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Option Shares) into Taiwan up to US$5,000,000 per year without justification.</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Optionee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Thai resident and the Optionee realizes sale proceeds equal to or in excess of a specified threshold (currently US$1,000,000) in a single transaction, the Optionee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Optionee can rely on an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Optionee understands he or she must specifically report the inward</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760"/>
          </w:cols>
          <w:pgMar w:left="480" w:top="1440" w:right="659" w:bottom="1440" w:gutter="0" w:footer="0" w:header="0"/>
          <w:type w:val="continuous"/>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remittance to the Bank of Thailand on a Foreign Exchange Transaction Form. The Optionee is responsible for ensuring compliance with all exchange control laws in Thailand.</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Exercising Option</w:t>
      </w:r>
      <w:r>
        <w:rPr>
          <w:rFonts w:ascii="Times New Roman" w:cs="Times New Roman" w:eastAsia="Times New Roman" w:hAnsi="Times New Roman"/>
          <w:sz w:val="16"/>
          <w:szCs w:val="16"/>
          <w:color w:val="auto"/>
        </w:rPr>
        <w:t>. This provision supplements Section 4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Due to legal restrictions in Turkey, Optionee may be required to exercise his or her option using the cashless sell-all exercise method whereby all Option Shares subject to the exercised option will be sold immediately upon exercise and the proceeds of the sale, less the Exercise Price, any Tax-Related Items and broker's fees or commissions will be remitted to Optionee in accordance with any applicable laws and regulations. Optionee will not be permitted to acquire and hold Option Shares after exercise. The Company reserves the right to provide additional methods of exercise to Optionee depending on the development of local law.</w:t>
      </w:r>
    </w:p>
    <w:p>
      <w:pPr>
        <w:spacing w:after="0" w:line="19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Optionee is not permitted to sell any Option Shares acquired under the Plan in Turkey. The Option Shares are currently traded on the Nasdaq Global Select Market, under the ticker symbol “ADI” and the Option Shares may be sold through this exchange.</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Optionee may be required to engage a Turkish financial intermediary to assist with the sale of Option Shares acquired under the Plan. As the Optionee is solely responsible for complying with any applicable financial intermediary requirements, the Optionee should consider consulting his or her personal legal advisor prior to the exercise of the Options or any sale of Option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pacing w:after="0" w:line="1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7 of the Agreement, the Optionee agrees that the Optionee is liable for all Tax-Related Items and hereby covenants to pay all such Tax-Related Items, as and when requested by the Company or the Employer or by HM Revenue and Customs (“HMRC”) (or any other tax authority or any other relevant authority). The Optionee also agrees to indemnify and keep indemnified the Company and the Employer against any Tax–Related Items that they are required to pay or withhold or have paid or will pay to HMRC (or any other tax authority or any other relevant authority) on the Optionee’s behalf.</w:t>
      </w:r>
    </w:p>
    <w:p>
      <w:pPr>
        <w:spacing w:after="0" w:line="141"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Optionee is a director or executive officer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Optionee by any of the means referred to in Section 7 of the Agreement.</w:t>
      </w:r>
    </w:p>
    <w:p>
      <w:pPr>
        <w:spacing w:after="0" w:line="11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1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108"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- 13</w:t>
      </w:r>
    </w:p>
    <w:p>
      <w:pPr>
        <w:sectPr>
          <w:pgSz w:w="11900" w:h="16838" w:orient="portrait"/>
          <w:cols w:equalWidth="0" w:num="1">
            <w:col w:w="10760"/>
          </w:cols>
          <w:pgMar w:left="480" w:top="1440" w:right="659" w:bottom="1440" w:gutter="0" w:footer="0" w:header="0"/>
        </w:sectPr>
      </w:pPr>
    </w:p>
    <w:bookmarkStart w:id="99" w:name="page100"/>
    <w:bookmarkEnd w:id="99"/>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APPENDIX B</w:t>
      </w: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SPECIAL NOTICE FOR DANISH EMPLOYEES</w:t>
      </w: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EMPLOYER STATEMENT</w:t>
      </w:r>
    </w:p>
    <w:p>
      <w:pPr>
        <w:spacing w:after="0" w:line="203" w:lineRule="exact"/>
        <w:rPr>
          <w:sz w:val="20"/>
          <w:szCs w:val="20"/>
          <w:color w:val="auto"/>
        </w:rPr>
      </w:pPr>
    </w:p>
    <w:p>
      <w:pPr>
        <w:jc w:val="both"/>
        <w:ind w:left="340" w:right="120"/>
        <w:spacing w:after="0" w:line="245" w:lineRule="auto"/>
        <w:rPr>
          <w:sz w:val="20"/>
          <w:szCs w:val="20"/>
          <w:color w:val="auto"/>
        </w:rPr>
      </w:pPr>
      <w:r>
        <w:rPr>
          <w:rFonts w:ascii="Times New Roman" w:cs="Times New Roman" w:eastAsia="Times New Roman" w:hAnsi="Times New Roman"/>
          <w:sz w:val="16"/>
          <w:szCs w:val="16"/>
          <w:color w:val="auto"/>
        </w:rPr>
        <w:t>If Section 3(1) of the Act on Stock Options in employment relations, as amended as of January 1, 2019 (the “Act”) applies to your stock option grant, you are entitled to receive the following information regarding Analog Devices, Inc.’s (the “Company’s”) stock option program in a separate written statement.</w:t>
      </w:r>
    </w:p>
    <w:p>
      <w:pPr>
        <w:spacing w:after="0" w:line="83" w:lineRule="exact"/>
        <w:rPr>
          <w:sz w:val="20"/>
          <w:szCs w:val="20"/>
          <w:color w:val="auto"/>
        </w:rPr>
      </w:pPr>
    </w:p>
    <w:p>
      <w:pPr>
        <w:jc w:val="both"/>
        <w:ind w:left="340" w:right="120"/>
        <w:spacing w:after="0" w:line="232" w:lineRule="auto"/>
        <w:rPr>
          <w:sz w:val="20"/>
          <w:szCs w:val="20"/>
          <w:color w:val="auto"/>
        </w:rPr>
      </w:pPr>
      <w:r>
        <w:rPr>
          <w:rFonts w:ascii="Times New Roman" w:cs="Times New Roman" w:eastAsia="Times New Roman" w:hAnsi="Times New Roman"/>
          <w:sz w:val="16"/>
          <w:szCs w:val="16"/>
          <w:color w:val="auto"/>
        </w:rPr>
        <w:t>This statement contains only the information mentioned in the Act. The other terms and conditions of your stock option grant are described in detail in the Analog Devices, Inc. 2020 Equity Incentive Plan (the “Plan”), and the Global Non-Qualified Stock Option Agreement, including the country-specific appendix (the “Agreement”), which have been given to you.</w:t>
      </w:r>
    </w:p>
    <w:p>
      <w:pPr>
        <w:spacing w:after="0" w:line="85"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1.</w:t>
        <w:tab/>
        <w:t>Time of grant of option to purchase stock</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grant date for your stock option is the date that the Company approved a grant for you.</w:t>
      </w:r>
    </w:p>
    <w:p>
      <w:pPr>
        <w:spacing w:after="0" w:line="111"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2.</w:t>
        <w:tab/>
        <w:t>Terms or conditions for option grant</w:t>
      </w:r>
    </w:p>
    <w:p>
      <w:pPr>
        <w:spacing w:after="0" w:line="115" w:lineRule="exact"/>
        <w:rPr>
          <w:sz w:val="20"/>
          <w:szCs w:val="20"/>
          <w:color w:val="auto"/>
        </w:rPr>
      </w:pPr>
    </w:p>
    <w:p>
      <w:pPr>
        <w:jc w:val="both"/>
        <w:ind w:left="340" w:right="120"/>
        <w:spacing w:after="0" w:line="232" w:lineRule="auto"/>
        <w:rPr>
          <w:sz w:val="20"/>
          <w:szCs w:val="20"/>
          <w:color w:val="auto"/>
        </w:rPr>
      </w:pPr>
      <w:r>
        <w:rPr>
          <w:rFonts w:ascii="Times New Roman" w:cs="Times New Roman" w:eastAsia="Times New Roman" w:hAnsi="Times New Roman"/>
          <w:sz w:val="16"/>
          <w:szCs w:val="16"/>
          <w:color w:val="auto"/>
        </w:rPr>
        <w:t>The grant of stock options will be at the sole discretion of the Company. The Company has very broad powers to determine who will receive awards and when, and to set the terms of the awards. The Company may decide, in its sole discretion, not to make any grants of stock options to you in the future. Under the terms of the Plan and the Agreement, you have no entitlement or claim to receive future option grants.</w:t>
      </w:r>
    </w:p>
    <w:p>
      <w:pPr>
        <w:spacing w:after="0" w:line="72"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3.</w:t>
      </w:r>
      <w:r>
        <w:rPr>
          <w:sz w:val="20"/>
          <w:szCs w:val="20"/>
          <w:color w:val="auto"/>
        </w:rPr>
        <w:tab/>
      </w:r>
      <w:r>
        <w:rPr>
          <w:rFonts w:ascii="Times New Roman" w:cs="Times New Roman" w:eastAsia="Times New Roman" w:hAnsi="Times New Roman"/>
          <w:sz w:val="15"/>
          <w:szCs w:val="15"/>
          <w:b w:val="1"/>
          <w:bCs w:val="1"/>
          <w:color w:val="auto"/>
        </w:rPr>
        <w:t>Vesting date or period</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Your stock option will vest in accordance with the vesting schedule set forth in Section 1 of your Agreement.</w:t>
      </w:r>
    </w:p>
    <w:p>
      <w:pPr>
        <w:spacing w:after="0" w:line="111" w:lineRule="exact"/>
        <w:rPr>
          <w:sz w:val="20"/>
          <w:szCs w:val="20"/>
          <w:color w:val="auto"/>
        </w:rPr>
      </w:pPr>
    </w:p>
    <w:p>
      <w:pPr>
        <w:ind w:left="620" w:hanging="288"/>
        <w:spacing w:after="0"/>
        <w:tabs>
          <w:tab w:leader="none" w:pos="620"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02" w:lineRule="exact"/>
        <w:rPr>
          <w:sz w:val="20"/>
          <w:szCs w:val="20"/>
          <w:color w:val="auto"/>
        </w:rPr>
      </w:pPr>
    </w:p>
    <w:p>
      <w:pPr>
        <w:ind w:left="340" w:right="140"/>
        <w:spacing w:after="0" w:line="245" w:lineRule="auto"/>
        <w:rPr>
          <w:sz w:val="20"/>
          <w:szCs w:val="20"/>
          <w:color w:val="auto"/>
        </w:rPr>
      </w:pPr>
      <w:r>
        <w:rPr>
          <w:rFonts w:ascii="Times New Roman" w:cs="Times New Roman" w:eastAsia="Times New Roman" w:hAnsi="Times New Roman"/>
          <w:sz w:val="16"/>
          <w:szCs w:val="16"/>
          <w:color w:val="auto"/>
        </w:rPr>
        <w:t>During the exercise period, the stock options can be exercised to purchase stock in the Company at the exercise price stated in the notice of grant which will be no less than 100% of the fair market value of the stock at the time of grant, as determined by the Company.</w:t>
      </w:r>
    </w:p>
    <w:p>
      <w:pPr>
        <w:spacing w:after="0" w:line="81" w:lineRule="exact"/>
        <w:rPr>
          <w:sz w:val="20"/>
          <w:szCs w:val="20"/>
          <w:color w:val="auto"/>
        </w:rPr>
      </w:pPr>
    </w:p>
    <w:p>
      <w:pPr>
        <w:ind w:left="340"/>
        <w:spacing w:after="0"/>
        <w:tabs>
          <w:tab w:leader="none" w:pos="580" w:val="left"/>
        </w:tabs>
        <w:rPr>
          <w:sz w:val="20"/>
          <w:szCs w:val="20"/>
          <w:color w:val="auto"/>
        </w:rPr>
      </w:pPr>
      <w:r>
        <w:rPr>
          <w:rFonts w:ascii="Times New Roman" w:cs="Times New Roman" w:eastAsia="Times New Roman" w:hAnsi="Times New Roman"/>
          <w:sz w:val="16"/>
          <w:szCs w:val="16"/>
          <w:b w:val="1"/>
          <w:bCs w:val="1"/>
          <w:color w:val="auto"/>
        </w:rPr>
        <w:t>5.</w:t>
        <w:tab/>
        <w:t>Your rights upon termination of employment</w:t>
      </w:r>
    </w:p>
    <w:p>
      <w:pPr>
        <w:spacing w:after="0" w:line="115" w:lineRule="exact"/>
        <w:rPr>
          <w:sz w:val="20"/>
          <w:szCs w:val="20"/>
          <w:color w:val="auto"/>
        </w:rPr>
      </w:pPr>
    </w:p>
    <w:p>
      <w:pPr>
        <w:ind w:left="340" w:right="14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exercise of your Options will be determined in accord with the terms of your Agreement. In addition, you will be ineligible to receive any additional Option grants after your termination.</w:t>
      </w:r>
    </w:p>
    <w:p>
      <w:pPr>
        <w:spacing w:after="0" w:line="68" w:lineRule="exact"/>
        <w:rPr>
          <w:sz w:val="20"/>
          <w:szCs w:val="20"/>
          <w:color w:val="auto"/>
        </w:rPr>
      </w:pPr>
    </w:p>
    <w:p>
      <w:pPr>
        <w:ind w:left="620" w:hanging="288"/>
        <w:spacing w:after="0"/>
        <w:tabs>
          <w:tab w:leader="none" w:pos="620"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15" w:lineRule="exact"/>
        <w:rPr>
          <w:sz w:val="20"/>
          <w:szCs w:val="20"/>
          <w:color w:val="auto"/>
        </w:rPr>
      </w:pPr>
    </w:p>
    <w:p>
      <w:pPr>
        <w:ind w:left="340" w:right="140"/>
        <w:spacing w:after="0" w:line="245" w:lineRule="auto"/>
        <w:rPr>
          <w:sz w:val="20"/>
          <w:szCs w:val="20"/>
          <w:color w:val="auto"/>
        </w:rPr>
      </w:pPr>
      <w:r>
        <w:rPr>
          <w:rFonts w:ascii="Times New Roman" w:cs="Times New Roman" w:eastAsia="Times New Roman" w:hAnsi="Times New Roman"/>
          <w:sz w:val="16"/>
          <w:szCs w:val="16"/>
          <w:color w:val="auto"/>
        </w:rPr>
        <w:t>The grant of stock options has no immediate financial consequences for you. The value of the options is not taken into account when calculating holiday allowances, pension contributions or other statutory consideration calculated on the basis of salary.</w:t>
      </w:r>
    </w:p>
    <w:p>
      <w:pPr>
        <w:spacing w:after="0" w:line="8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exercise will not only be dependent on the Company’s financial development, but also on the general development of the stock market. In addition, before or after you exercise your options, the shares of Company stock could decrease in value even below the exercise price.</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ind w:left="34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34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34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40"/>
          </w:cols>
          <w:pgMar w:left="320" w:top="1440" w:right="539" w:bottom="1440" w:gutter="0" w:footer="0" w:header="0"/>
        </w:sectPr>
      </w:pPr>
    </w:p>
    <w:bookmarkStart w:id="100" w:name="page101"/>
    <w:bookmarkEnd w:id="100"/>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SÆRLIG MEDDELELSE TIL DANSKE MEDARBEJDERE</w:t>
      </w: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ARBEJDSGIVERERKLÆRING</w:t>
      </w:r>
    </w:p>
    <w:p>
      <w:pPr>
        <w:spacing w:after="0" w:line="31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Såfremt § 3, stk. 1, i lov om brug af køberet eller tegningsret m.v. i ansættelsesforhold, som ændret med virkning fra 1. januar 2019 (“Aktieoptionsloven”) finder anvendelse på din tildeling af aktieoptioner, er du berettiget til i en særskilt skriftlig erklæring at modtage følgende oplysninger om Analog Devices, Inc.’s (“Selskabets”) aktieoptionsprogram.</w:t>
      </w:r>
    </w:p>
    <w:p>
      <w:pPr>
        <w:spacing w:after="0" w:line="8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Denne erklæring indeholder kun de oplysninger, der er nævnt i Aktieoptionsloven. De øvrige kriterier og betingelser for din tildeling af aktieoptioner er detaljeret beskrevet i Analog Devices, Inc. 2020 Equity Incentive Plan (“Planen”) og i Global Non-Qualified Stock Option Agreement inkl. det landespecifikke tillæg (“Aftalen”), som du har fået udleveret.</w:t>
      </w:r>
    </w:p>
    <w:p>
      <w:pPr>
        <w:spacing w:after="0" w:line="72"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Tidspunktet for tildeling af retten til at købe aktier</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Tidspunktet for tildelingen af din aktieoption er den dato, hvor Selskabets godkendte din tildeling.</w:t>
      </w:r>
    </w:p>
    <w:p>
      <w:pPr>
        <w:spacing w:after="0" w:line="111" w:lineRule="exact"/>
        <w:rPr>
          <w:sz w:val="20"/>
          <w:szCs w:val="20"/>
          <w:color w:val="auto"/>
        </w:rPr>
      </w:pPr>
    </w:p>
    <w:p>
      <w:pPr>
        <w:ind w:left="460" w:hanging="288"/>
        <w:spacing w:after="0"/>
        <w:tabs>
          <w:tab w:leader="none" w:pos="460"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Kriterier og betingelser for optionstildelingen</w:t>
      </w:r>
    </w:p>
    <w:p>
      <w:pPr>
        <w:spacing w:after="0" w:line="10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Tildelingen af aktieoptioner sker efter Selskabet eget skøn. Selskabet har meget vide beføjelser til at bestemme, hvem der modtager tildelinger og hvornår, og til at fastsætte betingelserne for tildelingerne. Selskabet kan frit beslutte ikke fremover at tildele dig nogen aktieoptioner. I henhold til Planen og Aftalen har du ikke nogen ret til eller noget krav på i fremtiden at få tildelt optioner.</w:t>
      </w:r>
    </w:p>
    <w:p>
      <w:pPr>
        <w:spacing w:after="0" w:line="85" w:lineRule="exact"/>
        <w:rPr>
          <w:sz w:val="20"/>
          <w:szCs w:val="20"/>
          <w:color w:val="auto"/>
        </w:rPr>
      </w:pPr>
    </w:p>
    <w:p>
      <w:pPr>
        <w:ind w:left="460" w:hanging="288"/>
        <w:spacing w:after="0"/>
        <w:tabs>
          <w:tab w:leader="none" w:pos="460"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Modningstidspunkt eller-periode</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Din aktieoption modnes som anført i den modningsplan, der fremgår af afsnit 1 i Aftalen.</w:t>
      </w:r>
    </w:p>
    <w:p>
      <w:pPr>
        <w:spacing w:after="0" w:line="98" w:lineRule="exact"/>
        <w:rPr>
          <w:sz w:val="20"/>
          <w:szCs w:val="20"/>
          <w:color w:val="auto"/>
        </w:rPr>
      </w:pPr>
    </w:p>
    <w:p>
      <w:pPr>
        <w:ind w:left="460" w:hanging="288"/>
        <w:spacing w:after="0"/>
        <w:tabs>
          <w:tab w:leader="none" w:pos="46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15" w:lineRule="exact"/>
        <w:rPr>
          <w:sz w:val="20"/>
          <w:szCs w:val="20"/>
          <w:color w:val="auto"/>
        </w:rPr>
      </w:pPr>
    </w:p>
    <w:p>
      <w:pPr>
        <w:ind w:left="180" w:right="20"/>
        <w:spacing w:after="0" w:line="245" w:lineRule="auto"/>
        <w:rPr>
          <w:sz w:val="20"/>
          <w:szCs w:val="20"/>
          <w:color w:val="auto"/>
        </w:rPr>
      </w:pPr>
      <w:r>
        <w:rPr>
          <w:rFonts w:ascii="Times New Roman" w:cs="Times New Roman" w:eastAsia="Times New Roman" w:hAnsi="Times New Roman"/>
          <w:sz w:val="16"/>
          <w:szCs w:val="16"/>
          <w:color w:val="auto"/>
        </w:rPr>
        <w:t>I udnyttelsesperioden kan aktieoptionerne udnyttes til køb af aktier i Selskabet til den udnyttelseskurs, som er angivet i tildelingsmeddelelsen, og som ikke vil være mindre end 100% af aktiernes markedskurs på tildelingstidspunktet som fastsat af Selskabet.</w:t>
      </w:r>
    </w:p>
    <w:p>
      <w:pPr>
        <w:spacing w:after="0" w:line="68" w:lineRule="exact"/>
        <w:rPr>
          <w:sz w:val="20"/>
          <w:szCs w:val="20"/>
          <w:color w:val="auto"/>
        </w:rPr>
      </w:pPr>
    </w:p>
    <w:p>
      <w:pPr>
        <w:ind w:left="460" w:hanging="288"/>
        <w:spacing w:after="0"/>
        <w:tabs>
          <w:tab w:leader="none" w:pos="460"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15"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aktieoptioner af vilkårene i Aftalen. Derudover vil du ikke være berettiget til at få tildelt yderligere aktieoptioner efter din fratræden.</w:t>
      </w:r>
    </w:p>
    <w:p>
      <w:pPr>
        <w:spacing w:after="0" w:line="81" w:lineRule="exact"/>
        <w:rPr>
          <w:sz w:val="20"/>
          <w:szCs w:val="20"/>
          <w:color w:val="auto"/>
        </w:rPr>
      </w:pPr>
    </w:p>
    <w:p>
      <w:pPr>
        <w:ind w:left="460" w:hanging="288"/>
        <w:spacing w:after="0"/>
        <w:tabs>
          <w:tab w:leader="none" w:pos="460"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Planen</w:t>
      </w:r>
    </w:p>
    <w:p>
      <w:pPr>
        <w:spacing w:after="0" w:line="10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Tildelingen af aktieoptioner har ingen umiddelbare økonomiske konsekvenser for dig. Værdien af optionerne indgår ikke i beregningen af feriepenge, pensionsbidrag eller øvrige lovpligtige ydelser, der beregnes på grundlag af lønnen.</w:t>
      </w:r>
    </w:p>
    <w:p>
      <w:pPr>
        <w:spacing w:after="0" w:line="8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Således afhænger muligheden for at opnå en fortjeneste på udnyttelsestidspunktet ikke blot af Selskabets økonomiske udvikling, men også af den generelle udvikling på aktiemarkedet. Derudover kan Selskabets aktier både før og efter udnyttelsestidspunktet falde til en værdi, der måske endda ligger under udnyttelseskursen.</w:t>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760"/>
          </w:cols>
          <w:pgMar w:left="480" w:top="1440" w:right="659" w:bottom="1440" w:gutter="0" w:footer="0" w:header="0"/>
        </w:sectPr>
      </w:pPr>
    </w:p>
    <w:bookmarkStart w:id="101" w:name="page102"/>
    <w:bookmarkEnd w:id="101"/>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10/23</w:t>
        <w:tab/>
        <w:t>APPENDIX C - 1</w:t>
      </w:r>
    </w:p>
    <w:p>
      <w:pPr>
        <w:sectPr>
          <w:pgSz w:w="11900" w:h="16838" w:orient="portrait"/>
          <w:cols w:equalWidth="0" w:num="1">
            <w:col w:w="10920"/>
          </w:cols>
          <w:pgMar w:left="320" w:top="1440" w:right="659" w:bottom="1440" w:gutter="0" w:footer="0" w:header="0"/>
        </w:sectPr>
      </w:pPr>
    </w:p>
    <w:bookmarkStart w:id="102" w:name="page103"/>
    <w:bookmarkEnd w:id="102"/>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hanging="648"/>
        <w:spacing w:after="0" w:line="245" w:lineRule="auto"/>
        <w:tabs>
          <w:tab w:leader="none" w:pos="2600" w:val="left"/>
        </w:tabs>
        <w:numPr>
          <w:ilvl w:val="2"/>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1" w:lineRule="exact"/>
        <w:rPr>
          <w:rFonts w:ascii="Times New Roman" w:cs="Times New Roman" w:eastAsia="Times New Roman" w:hAnsi="Times New Roman"/>
          <w:sz w:val="16"/>
          <w:szCs w:val="16"/>
          <w:color w:val="auto"/>
        </w:rPr>
      </w:pPr>
    </w:p>
    <w:p>
      <w:pPr>
        <w:ind w:left="2600" w:right="20" w:hanging="648"/>
        <w:spacing w:after="0" w:line="245" w:lineRule="auto"/>
        <w:tabs>
          <w:tab w:leader="none" w:pos="2600" w:val="left"/>
        </w:tabs>
        <w:numPr>
          <w:ilvl w:val="2"/>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line="21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electronically accepting this Election, he or she will become personally liable for the Employer’s Liability covered by this Election. This Election is made in accordance with paragraph 3B(1) of Schedule 1 of the</w:t>
      </w:r>
    </w:p>
    <w:p>
      <w:pPr>
        <w:ind w:left="6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SSCBA.</w:t>
      </w: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920"/>
          </w:cols>
          <w:pgMar w:left="320" w:top="1440" w:right="659" w:bottom="1440" w:gutter="0" w:footer="0" w:header="0"/>
          <w:type w:val="continuous"/>
        </w:sectPr>
      </w:pPr>
    </w:p>
    <w:bookmarkStart w:id="103" w:name="page104"/>
    <w:bookmarkEnd w:id="103"/>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660" w:hanging="652"/>
        <w:spacing w:after="0"/>
        <w:tabs>
          <w:tab w:leader="none" w:pos="660"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03" w:lineRule="exact"/>
        <w:rPr>
          <w:sz w:val="20"/>
          <w:szCs w:val="20"/>
          <w:color w:val="auto"/>
        </w:rPr>
      </w:pPr>
    </w:p>
    <w:p>
      <w:pPr>
        <w:ind w:left="980" w:hanging="324"/>
        <w:spacing w:after="0"/>
        <w:tabs>
          <w:tab w:leader="none" w:pos="9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440" w:right="340" w:hanging="647"/>
        <w:spacing w:after="0" w:line="245" w:lineRule="auto"/>
        <w:tabs>
          <w:tab w:leader="none" w:pos="42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460" w:right="320" w:hanging="647"/>
        <w:spacing w:after="0" w:line="219" w:lineRule="auto"/>
        <w:tabs>
          <w:tab w:leader="none" w:pos="44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ind w:left="660" w:hanging="652"/>
        <w:spacing w:after="0"/>
        <w:tabs>
          <w:tab w:leader="none" w:pos="66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03" w:lineRule="exact"/>
        <w:rPr>
          <w:sz w:val="20"/>
          <w:szCs w:val="20"/>
          <w:color w:val="auto"/>
        </w:rPr>
      </w:pPr>
    </w:p>
    <w:p>
      <w:pPr>
        <w:ind w:left="420" w:right="320" w:hanging="647"/>
        <w:spacing w:after="0" w:line="245" w:lineRule="auto"/>
        <w:tabs>
          <w:tab w:leader="none" w:pos="40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4.3</w:t>
        <w:tab/>
        <w:t>This Election will continue in force regardless of whether the Employee ceases to be an employee of the Employer.</w:t>
      </w:r>
    </w:p>
    <w:p>
      <w:pPr>
        <w:spacing w:after="0" w:line="221" w:lineRule="exact"/>
        <w:rPr>
          <w:sz w:val="20"/>
          <w:szCs w:val="20"/>
          <w:color w:val="auto"/>
        </w:rPr>
      </w:pPr>
    </w:p>
    <w:p>
      <w:pPr>
        <w:jc w:val="both"/>
        <w:ind w:left="380" w:right="320" w:hanging="647"/>
        <w:spacing w:after="0" w:line="232" w:lineRule="auto"/>
        <w:tabs>
          <w:tab w:leader="none" w:pos="36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jc w:val="both"/>
        <w:ind w:right="340"/>
        <w:spacing w:after="0" w:line="245"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48585"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Vice President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1240"/>
          </w:cols>
          <w:pgMar w:left="320" w:top="1440" w:right="339" w:bottom="1440" w:gutter="0" w:footer="0" w:header="0"/>
          <w:type w:val="continuous"/>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841"/>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 Integrated Products UK Limited</w:t>
            </w:r>
          </w:p>
        </w:tc>
        <w:tc>
          <w:tcPr>
            <w:tcW w:w="458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156"/>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6"/>
                <w:szCs w:val="16"/>
                <w:color w:val="auto"/>
              </w:rPr>
              <w:t>First Floor, Templeback, 10 Temple Back, Bristol, England, BS1</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6FL</w:t>
            </w:r>
          </w:p>
        </w:tc>
      </w:tr>
      <w:tr>
        <w:trPr>
          <w:trHeight w:val="168"/>
        </w:trPr>
        <w:tc>
          <w:tcPr>
            <w:tcW w:w="12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14"/>
                <w:szCs w:val="14"/>
                <w:color w:val="auto"/>
              </w:rPr>
            </w:pPr>
          </w:p>
        </w:tc>
        <w:tc>
          <w:tcPr>
            <w:tcW w:w="4580" w:type="dxa"/>
            <w:vAlign w:val="bottom"/>
            <w:tcBorders>
              <w:bottom w:val="single" w:sz="8" w:color="auto"/>
              <w:right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01873931</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56090 07213</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577/RM581</w:t>
            </w:r>
          </w:p>
        </w:tc>
      </w:tr>
      <w:tr>
        <w:trPr>
          <w:trHeight w:val="841"/>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Calvatec</w:t>
            </w:r>
          </w:p>
        </w:tc>
        <w:tc>
          <w:tcPr>
            <w:tcW w:w="458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155"/>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50 Lothian Road, Festival Square, Edinburgh, United Kingdom EH3</w:t>
            </w:r>
          </w:p>
        </w:tc>
      </w:tr>
      <w:tr>
        <w:trPr>
          <w:trHeight w:val="213"/>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9WJ</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SC342295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4889926696</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961/VA27993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10/23</w:t>
        <w:tab/>
        <w:t>APPENDIX C - 4</w:t>
      </w:r>
    </w:p>
    <w:p>
      <w:pPr>
        <w:sectPr>
          <w:pgSz w:w="11900" w:h="16838" w:orient="portrait"/>
          <w:cols w:equalWidth="0" w:num="1">
            <w:col w:w="10139"/>
          </w:cols>
          <w:pgMar w:left="320" w:top="1440" w:right="1440" w:bottom="1440" w:gutter="0" w:footer="0" w:header="0"/>
        </w:sectPr>
      </w:pPr>
    </w:p>
    <w:bookmarkStart w:id="105" w:name="page106"/>
    <w:bookmarkEnd w:id="10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Phyworks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First Floor, Templeback, 10 Temple Back, Bristol, England, BS1 6FL</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04075331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1086827375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w:t>
            </w:r>
          </w:p>
        </w:tc>
      </w:tr>
      <w:tr>
        <w:trPr>
          <w:trHeight w:val="841"/>
        </w:trPr>
        <w:tc>
          <w:tcPr>
            <w:tcW w:w="9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Branch Office (MIPIS Branch Office)</w:t>
            </w:r>
          </w:p>
        </w:tc>
      </w:tr>
      <w:tr>
        <w:trPr>
          <w:trHeight w:val="222"/>
        </w:trPr>
        <w:tc>
          <w:tcPr>
            <w:tcW w:w="1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168"/>
        </w:trPr>
        <w:tc>
          <w:tcPr>
            <w:tcW w:w="12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14"/>
                <w:szCs w:val="14"/>
                <w:color w:val="auto"/>
              </w:rPr>
            </w:pPr>
          </w:p>
        </w:tc>
        <w:tc>
          <w:tcPr>
            <w:tcW w:w="4580" w:type="dxa"/>
            <w:vAlign w:val="bottom"/>
            <w:tcBorders>
              <w:bottom w:val="single" w:sz="8" w:color="auto"/>
              <w:right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BR014351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27787 13294</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440" w:right="1440" w:bottom="1440" w:gutter="0" w:footer="0" w:header="0"/>
        </w:sectPr>
      </w:pPr>
    </w:p>
    <w:bookmarkStart w:id="106" w:name="page107"/>
    <w:bookmarkEnd w:id="106"/>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Participant Name</w:t>
      </w:r>
    </w:p>
    <w:p>
      <w:pPr>
        <w:ind w:left="160"/>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160"/>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03" w:lineRule="exact"/>
        <w:rPr>
          <w:sz w:val="20"/>
          <w:szCs w:val="20"/>
          <w:color w:val="auto"/>
        </w:rPr>
      </w:pPr>
    </w:p>
    <w:p>
      <w:pPr>
        <w:jc w:val="both"/>
        <w:ind w:left="160" w:right="320"/>
        <w:spacing w:after="0"/>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2020 Equity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214" w:lineRule="exact"/>
        <w:rPr>
          <w:sz w:val="20"/>
          <w:szCs w:val="20"/>
          <w:color w:val="auto"/>
        </w:rPr>
      </w:pPr>
    </w:p>
    <w:p>
      <w:pPr>
        <w:ind w:left="480" w:hanging="328"/>
        <w:spacing w:after="0"/>
        <w:tabs>
          <w:tab w:leader="none" w:pos="48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480" w:right="34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48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RSUs:  Number of Awards Granted</w:t>
      </w: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Dates:  Vesting Schedule</w:t>
      </w:r>
    </w:p>
    <w:p>
      <w:pPr>
        <w:spacing w:after="0" w:line="176" w:lineRule="exact"/>
        <w:rPr>
          <w:rFonts w:ascii="Times New Roman" w:cs="Times New Roman" w:eastAsia="Times New Roman" w:hAnsi="Times New Roman"/>
          <w:sz w:val="16"/>
          <w:szCs w:val="16"/>
          <w:color w:val="auto"/>
        </w:rPr>
      </w:pPr>
    </w:p>
    <w:p>
      <w:pPr>
        <w:jc w:val="both"/>
        <w:ind w:left="480"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 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w:t>
      </w:r>
    </w:p>
    <w:p>
      <w:pPr>
        <w:spacing w:after="0" w:line="167" w:lineRule="exact"/>
        <w:rPr>
          <w:rFonts w:ascii="Times New Roman" w:cs="Times New Roman" w:eastAsia="Times New Roman" w:hAnsi="Times New Roman"/>
          <w:sz w:val="16"/>
          <w:szCs w:val="16"/>
          <w:color w:val="auto"/>
        </w:rPr>
      </w:pPr>
    </w:p>
    <w:p>
      <w:pPr>
        <w:jc w:val="both"/>
        <w:ind w:left="480" w:right="32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A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8" w:lineRule="exact"/>
        <w:rPr>
          <w:rFonts w:ascii="Times New Roman" w:cs="Times New Roman" w:eastAsia="Times New Roman" w:hAnsi="Times New Roman"/>
          <w:sz w:val="16"/>
          <w:szCs w:val="16"/>
          <w:color w:val="auto"/>
        </w:rPr>
      </w:pPr>
    </w:p>
    <w:p>
      <w:pPr>
        <w:jc w:val="both"/>
        <w:ind w:left="480" w:right="34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RSU shall, if and when it vests in accordance with this Agreement,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13"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right="320" w:hanging="324"/>
        <w:spacing w:after="0" w:line="218" w:lineRule="auto"/>
        <w:tabs>
          <w:tab w:leader="none" w:pos="791"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RSUs shall vest and be settled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5" w:lineRule="exact"/>
        <w:rPr>
          <w:rFonts w:ascii="Times New Roman" w:cs="Times New Roman" w:eastAsia="Times New Roman" w:hAnsi="Times New Roman"/>
          <w:sz w:val="16"/>
          <w:szCs w:val="16"/>
          <w:color w:val="auto"/>
        </w:rPr>
      </w:pPr>
    </w:p>
    <w:p>
      <w:pPr>
        <w:jc w:val="both"/>
        <w:ind w:left="800" w:right="340" w:hanging="324"/>
        <w:spacing w:after="0" w:line="227" w:lineRule="auto"/>
        <w:tabs>
          <w:tab w:leader="none" w:pos="80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13" w:lineRule="exact"/>
        <w:rPr>
          <w:rFonts w:ascii="Times New Roman" w:cs="Times New Roman" w:eastAsia="Times New Roman" w:hAnsi="Times New Roman"/>
          <w:sz w:val="16"/>
          <w:szCs w:val="16"/>
          <w:color w:val="auto"/>
        </w:rPr>
      </w:pPr>
    </w:p>
    <w:p>
      <w:pPr>
        <w:ind w:left="800" w:right="340" w:hanging="324"/>
        <w:spacing w:after="0" w:line="245" w:lineRule="auto"/>
        <w:tabs>
          <w:tab w:leader="none" w:pos="791"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Participant’s employment with the Company or the Employer is terminated by reason of the Participant’s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all Unvested RSUs shall vest in full as of the date of the Participant’s death.</w:t>
      </w:r>
    </w:p>
    <w:p>
      <w:pPr>
        <w:spacing w:after="0" w:line="110" w:lineRule="exact"/>
        <w:rPr>
          <w:rFonts w:ascii="Times New Roman" w:cs="Times New Roman" w:eastAsia="Times New Roman" w:hAnsi="Times New Roman"/>
          <w:sz w:val="16"/>
          <w:szCs w:val="16"/>
          <w:color w:val="auto"/>
        </w:rPr>
      </w:pPr>
    </w:p>
    <w:p>
      <w:pPr>
        <w:jc w:val="both"/>
        <w:ind w:left="800" w:right="320" w:hanging="324"/>
        <w:spacing w:after="0" w:line="232" w:lineRule="auto"/>
        <w:tabs>
          <w:tab w:leader="none" w:pos="80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the Participant terminates employment with the Company or the Employer, all Unvested RSUs shall vest in full as of the date the Participant is determined to be Disabled. “Disabled” with respect to the Participant shall have the meaning set forth in Section 409A(a)(2)(C) of the Code.</w:t>
      </w:r>
    </w:p>
    <w:p>
      <w:pPr>
        <w:sectPr>
          <w:pgSz w:w="11900" w:h="16838" w:orient="portrait"/>
          <w:cols w:equalWidth="0" w:num="1">
            <w:col w:w="11060"/>
          </w:cols>
          <w:pgMar w:left="5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60"/>
          </w:cols>
          <w:pgMar w:left="500" w:top="1440" w:right="339" w:bottom="1440" w:gutter="0" w:footer="0" w:header="0"/>
          <w:type w:val="continuous"/>
        </w:sectPr>
      </w:pPr>
    </w:p>
    <w:bookmarkStart w:id="107" w:name="page108"/>
    <w:bookmarkEnd w:id="107"/>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800" w:hanging="324"/>
        <w:spacing w:after="0" w:line="223" w:lineRule="auto"/>
        <w:tabs>
          <w:tab w:leader="none" w:pos="791"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RSUs granted to the Participant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13"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17" w:lineRule="auto"/>
        <w:tabs>
          <w:tab w:leader="none" w:pos="791"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8" w:lineRule="exact"/>
        <w:rPr>
          <w:rFonts w:ascii="Times New Roman" w:cs="Times New Roman" w:eastAsia="Times New Roman" w:hAnsi="Times New Roman"/>
          <w:sz w:val="16"/>
          <w:szCs w:val="16"/>
          <w:color w:val="auto"/>
        </w:rPr>
      </w:pPr>
    </w:p>
    <w:p>
      <w:pPr>
        <w:jc w:val="both"/>
        <w:ind w:left="800" w:right="20" w:hanging="324"/>
        <w:spacing w:after="0" w:line="232" w:lineRule="auto"/>
        <w:tabs>
          <w:tab w:leader="none" w:pos="80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jc w:val="both"/>
        <w:ind w:left="1120" w:hanging="320"/>
        <w:spacing w:after="0" w:line="227" w:lineRule="auto"/>
        <w:tabs>
          <w:tab w:leader="none" w:pos="1111" w:val="left"/>
        </w:tabs>
        <w:numPr>
          <w:ilvl w:val="2"/>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1120" w:hanging="320"/>
        <w:spacing w:after="0" w:line="245" w:lineRule="auto"/>
        <w:tabs>
          <w:tab w:leader="none" w:pos="1115" w:val="left"/>
        </w:tabs>
        <w:numPr>
          <w:ilvl w:val="2"/>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1120" w:hanging="320"/>
        <w:spacing w:after="0" w:line="245" w:lineRule="auto"/>
        <w:tabs>
          <w:tab w:leader="none" w:pos="1120" w:val="left"/>
        </w:tabs>
        <w:numPr>
          <w:ilvl w:val="2"/>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11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1120" w:hanging="320"/>
        <w:spacing w:after="0"/>
        <w:tabs>
          <w:tab w:leader="none" w:pos="1120" w:val="left"/>
        </w:tabs>
        <w:numPr>
          <w:ilvl w:val="2"/>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740"/>
          </w:cols>
          <w:pgMar w:left="500" w:top="1440" w:right="659" w:bottom="1440" w:gutter="0" w:footer="0" w:header="0"/>
        </w:sectPr>
      </w:pPr>
    </w:p>
    <w:bookmarkStart w:id="108" w:name="page109"/>
    <w:bookmarkEnd w:id="108"/>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1120"/>
        <w:spacing w:after="0" w:line="219" w:lineRule="auto"/>
        <w:rPr>
          <w:sz w:val="20"/>
          <w:szCs w:val="20"/>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15" w:lineRule="exact"/>
        <w:rPr>
          <w:sz w:val="20"/>
          <w:szCs w:val="20"/>
          <w:color w:val="auto"/>
        </w:rPr>
      </w:pPr>
    </w:p>
    <w:p>
      <w:pPr>
        <w:jc w:val="both"/>
        <w:ind w:left="1120"/>
        <w:spacing w:after="0" w:line="221" w:lineRule="auto"/>
        <w:rPr>
          <w:sz w:val="20"/>
          <w:szCs w:val="20"/>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17" w:lineRule="exact"/>
        <w:rPr>
          <w:sz w:val="20"/>
          <w:szCs w:val="20"/>
          <w:color w:val="auto"/>
        </w:rPr>
      </w:pPr>
    </w:p>
    <w:p>
      <w:pPr>
        <w:jc w:val="both"/>
        <w:ind w:left="480" w:hanging="328"/>
        <w:spacing w:after="0" w:line="221" w:lineRule="auto"/>
        <w:tabs>
          <w:tab w:leader="none" w:pos="4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A, where settlement in Shares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480" w:hanging="328"/>
        <w:spacing w:after="0" w:line="221" w:lineRule="auto"/>
        <w:tabs>
          <w:tab w:leader="none" w:pos="4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7"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17" w:lineRule="exact"/>
        <w:rPr>
          <w:rFonts w:ascii="Times New Roman" w:cs="Times New Roman" w:eastAsia="Times New Roman" w:hAnsi="Times New Roman"/>
          <w:sz w:val="16"/>
          <w:szCs w:val="16"/>
          <w:color w:val="auto"/>
        </w:rPr>
      </w:pPr>
    </w:p>
    <w:p>
      <w:pPr>
        <w:jc w:val="both"/>
        <w:ind w:left="800" w:hanging="324"/>
        <w:spacing w:after="0" w:line="218" w:lineRule="auto"/>
        <w:tabs>
          <w:tab w:leader="none" w:pos="800"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115"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17" w:lineRule="exact"/>
        <w:rPr>
          <w:rFonts w:ascii="Times New Roman" w:cs="Times New Roman" w:eastAsia="Times New Roman" w:hAnsi="Times New Roman"/>
          <w:sz w:val="16"/>
          <w:szCs w:val="16"/>
          <w:color w:val="auto"/>
        </w:rPr>
      </w:pPr>
    </w:p>
    <w:p>
      <w:pPr>
        <w:jc w:val="both"/>
        <w:ind w:left="800" w:right="20" w:hanging="324"/>
        <w:spacing w:after="0"/>
        <w:tabs>
          <w:tab w:leader="none" w:pos="800"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RSUs, no claim or entitlement to compensation or damages shall arise from forfeiture of the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and the Participant irrevocably releases the Company from any such claim that may arise; if, notwithstanding the foregoing, any such claim is found by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0"/>
          </w:cols>
          <w:pgMar w:left="500" w:top="1440" w:right="659" w:bottom="1440" w:gutter="0" w:footer="0" w:header="0"/>
        </w:sectPr>
      </w:pPr>
    </w:p>
    <w:bookmarkStart w:id="109" w:name="page110"/>
    <w:bookmarkEnd w:id="10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6"/>
          <w:szCs w:val="16"/>
          <w:color w:val="auto"/>
        </w:rPr>
        <w:t>competent jurisdiction to have arisen, the Participant shall be deemed irrevocably to have waived the Participant’s entitlement to pursue such claim.</w:t>
      </w:r>
    </w:p>
    <w:p>
      <w:pPr>
        <w:spacing w:after="0" w:line="140" w:lineRule="exact"/>
        <w:rPr>
          <w:sz w:val="20"/>
          <w:szCs w:val="20"/>
          <w:color w:val="auto"/>
        </w:rPr>
      </w:pPr>
    </w:p>
    <w:p>
      <w:pPr>
        <w:jc w:val="both"/>
        <w:ind w:left="800" w:hanging="324"/>
        <w:spacing w:after="0" w:line="227" w:lineRule="auto"/>
        <w:tabs>
          <w:tab w:leader="none" w:pos="79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13"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800" w:hanging="324"/>
        <w:spacing w:after="0" w:line="245" w:lineRule="auto"/>
        <w:tabs>
          <w:tab w:leader="none" w:pos="8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79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800" w:hanging="324"/>
        <w:spacing w:after="0" w:line="245" w:lineRule="auto"/>
        <w:tabs>
          <w:tab w:leader="none" w:pos="8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800" w:hanging="324"/>
        <w:spacing w:after="0" w:line="245" w:lineRule="auto"/>
        <w:tabs>
          <w:tab w:leader="none" w:pos="79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16" w:lineRule="auto"/>
        <w:tabs>
          <w:tab w:leader="none" w:pos="79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8" w:lineRule="exact"/>
        <w:rPr>
          <w:rFonts w:ascii="Times New Roman" w:cs="Times New Roman" w:eastAsia="Times New Roman" w:hAnsi="Times New Roman"/>
          <w:sz w:val="16"/>
          <w:szCs w:val="16"/>
          <w:color w:val="auto"/>
        </w:rPr>
      </w:pPr>
    </w:p>
    <w:p>
      <w:pPr>
        <w:jc w:val="both"/>
        <w:ind w:left="800" w:hanging="324"/>
        <w:spacing w:after="0" w:line="217" w:lineRule="auto"/>
        <w:tabs>
          <w:tab w:leader="none" w:pos="8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RSUs and any cash payment or Shares delivered pursuant to the RSUs are subject to forfeiture, recovery by the Company or other action pursuant to any clawback or recoupment policy which the Company may adopt from time to time, including without limitation any such policy which the Company may be required to adopt under the Dodd-Frank Act and implementing rules and regulations thereunder, or as otherwise required by law. Further, the RSUs, and any Shares issued upon vesting of the RSUs, shall be subject to deduction, clawback or forfeiture to the extent required to comply with any recoupment requirement imposed under applicable laws, rules, regulations or stock exchange listing standards. In order to satisfy any recoupment obligation arising under any clawback or recoupment policy of the Company or otherwise under applicable laws, rules, regulations or stock exchange listing standards, among other things, the Participant expressly and explicitly authorizes the Company to issue instructions, on the Participant’s behalf, to any brokerage firm or stock plan service provider engaged by the Company to hold any Shares or other amounts acquired pursuant to the RSUs to re-convey, transfer or otherwise return such Shares and/or other amounts to the Company upon the Company’s enforcement of any clawback or recoupment policy.</w:t>
      </w:r>
    </w:p>
    <w:p>
      <w:pPr>
        <w:spacing w:after="0" w:line="118"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0" w:lineRule="exact"/>
        <w:rPr>
          <w:rFonts w:ascii="Times New Roman" w:cs="Times New Roman" w:eastAsia="Times New Roman" w:hAnsi="Times New Roman"/>
          <w:sz w:val="16"/>
          <w:szCs w:val="16"/>
          <w:color w:val="auto"/>
        </w:rPr>
      </w:pPr>
    </w:p>
    <w:p>
      <w:pPr>
        <w:ind w:left="800" w:hanging="324"/>
        <w:spacing w:after="0" w:line="245" w:lineRule="auto"/>
        <w:tabs>
          <w:tab w:leader="none" w:pos="8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740"/>
          </w:cols>
          <w:pgMar w:left="500" w:top="1440" w:right="659" w:bottom="1440" w:gutter="0" w:footer="0" w:header="0"/>
        </w:sectPr>
      </w:pPr>
    </w:p>
    <w:bookmarkStart w:id="110" w:name="page111"/>
    <w:bookmarkEnd w:id="110"/>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800"/>
        <w:spacing w:after="0" w:line="245" w:lineRule="auto"/>
        <w:rPr>
          <w:sz w:val="20"/>
          <w:szCs w:val="20"/>
          <w:color w:val="auto"/>
        </w:rPr>
      </w:pPr>
      <w:r>
        <w:rPr>
          <w:rFonts w:ascii="Times New Roman" w:cs="Times New Roman" w:eastAsia="Times New Roman" w:hAnsi="Times New Roman"/>
          <w:sz w:val="16"/>
          <w:szCs w:val="16"/>
          <w:color w:val="auto"/>
        </w:rPr>
        <w:t>his or her acceptance of this Award, the Participant is deemed to have accepted and agreed to all of the terms and conditions of this Agreement and the provisions of the Plan.</w:t>
      </w:r>
    </w:p>
    <w:p>
      <w:pPr>
        <w:spacing w:after="0" w:line="110" w:lineRule="exact"/>
        <w:rPr>
          <w:sz w:val="20"/>
          <w:szCs w:val="20"/>
          <w:color w:val="auto"/>
        </w:rPr>
      </w:pPr>
    </w:p>
    <w:p>
      <w:pPr>
        <w:jc w:val="both"/>
        <w:ind w:left="800" w:hanging="324"/>
        <w:spacing w:after="0" w:line="232" w:lineRule="auto"/>
        <w:tabs>
          <w:tab w:leader="none" w:pos="8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27" w:lineRule="auto"/>
        <w:tabs>
          <w:tab w:leader="none" w:pos="8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113"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5"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RSUs shall be subject to any additional terms and conditions for such country as may be set forth in Appendix A to this Agreement.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17" w:lineRule="exact"/>
        <w:rPr>
          <w:rFonts w:ascii="Times New Roman" w:cs="Times New Roman" w:eastAsia="Times New Roman" w:hAnsi="Times New Roman"/>
          <w:sz w:val="16"/>
          <w:szCs w:val="16"/>
          <w:color w:val="auto"/>
        </w:rPr>
      </w:pPr>
    </w:p>
    <w:p>
      <w:pPr>
        <w:jc w:val="both"/>
        <w:ind w:left="800" w:hanging="324"/>
        <w:spacing w:after="0" w:line="227" w:lineRule="auto"/>
        <w:tabs>
          <w:tab w:leader="none" w:pos="79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27" w:lineRule="auto"/>
        <w:tabs>
          <w:tab w:leader="none" w:pos="8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w:t>
      </w:r>
    </w:p>
    <w:p>
      <w:pPr>
        <w:spacing w:after="0" w:line="113"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795"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18" w:lineRule="auto"/>
        <w:tabs>
          <w:tab w:leader="none" w:pos="8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5" w:lineRule="exact"/>
        <w:rPr>
          <w:rFonts w:ascii="Times New Roman" w:cs="Times New Roman" w:eastAsia="Times New Roman" w:hAnsi="Times New Roman"/>
          <w:sz w:val="16"/>
          <w:szCs w:val="16"/>
          <w:color w:val="auto"/>
        </w:rPr>
      </w:pPr>
    </w:p>
    <w:p>
      <w:pPr>
        <w:jc w:val="both"/>
        <w:ind w:left="800" w:hanging="324"/>
        <w:spacing w:after="0" w:line="219" w:lineRule="auto"/>
        <w:tabs>
          <w:tab w:leader="none" w:pos="8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4"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79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740"/>
          </w:cols>
          <w:pgMar w:left="500" w:top="1440" w:right="659" w:bottom="1440" w:gutter="0" w:footer="0" w:header="0"/>
        </w:sectPr>
      </w:pPr>
    </w:p>
    <w:bookmarkStart w:id="111" w:name="page112"/>
    <w:bookmarkEnd w:id="111"/>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800" w:hanging="324"/>
        <w:spacing w:after="0" w:line="223" w:lineRule="auto"/>
        <w:tabs>
          <w:tab w:leader="none" w:pos="795"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76"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6"/>
          <w:szCs w:val="16"/>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20320</wp:posOffset>
            </wp:positionV>
            <wp:extent cx="2151380"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740"/>
          </w:cols>
          <w:pgMar w:left="500" w:top="1440" w:right="659" w:bottom="1440" w:gutter="0" w:footer="0" w:header="0"/>
        </w:sectPr>
      </w:pPr>
    </w:p>
    <w:bookmarkStart w:id="112" w:name="page113"/>
    <w:bookmarkEnd w:id="112"/>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209"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October 2023.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212"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95"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33"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10"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w:t>
      </w:r>
    </w:p>
    <w:p>
      <w:pPr>
        <w:sectPr>
          <w:pgSz w:w="11900" w:h="16838" w:orient="portrait"/>
          <w:cols w:equalWidth="0" w:num="1">
            <w:col w:w="11080"/>
          </w:cols>
          <w:pgMar w:left="480" w:top="1015" w:right="339" w:bottom="1440" w:gutter="0" w:footer="0" w:header="0"/>
        </w:sect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1080"/>
          </w:cols>
          <w:pgMar w:left="480" w:top="1015" w:right="339" w:bottom="1440" w:gutter="0" w:footer="0" w:header="0"/>
          <w:type w:val="continuous"/>
        </w:sectPr>
      </w:pPr>
    </w:p>
    <w:bookmarkStart w:id="113" w:name="page114"/>
    <w:bookmarkEnd w:id="113"/>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50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0" w:lineRule="exact"/>
        <w:rPr>
          <w:sz w:val="20"/>
          <w:szCs w:val="20"/>
          <w:color w:val="auto"/>
        </w:rPr>
      </w:pPr>
    </w:p>
    <w:p>
      <w:pPr>
        <w:jc w:val="both"/>
        <w:ind w:left="180" w:right="32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23"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RSUs is being made under Division 1A Part 7.12 of the Australian Corporations Act 2001 (Cth). If the Participant offers Shares acquired under the Plan for sale to a person or entity resident in Australia, the Participant’s offer may be subject to disclosure requirements under Australian law. The Participant should obtain legal advice on any disclosure obligations prior to making any such offer.</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right="30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212"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35" w:lineRule="exact"/>
        <w:rPr>
          <w:sz w:val="20"/>
          <w:szCs w:val="20"/>
          <w:color w:val="auto"/>
        </w:rPr>
      </w:pPr>
    </w:p>
    <w:p>
      <w:pPr>
        <w:jc w:val="both"/>
        <w:ind w:left="180" w:right="30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205"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1060"/>
          </w:cols>
          <w:pgMar w:left="480" w:top="1015" w:right="359" w:bottom="1440" w:gutter="0" w:footer="0" w:header="0"/>
        </w:sectPr>
      </w:pPr>
    </w:p>
    <w:bookmarkStart w:id="114" w:name="page115"/>
    <w:bookmarkEnd w:id="114"/>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outside Canada through the facilities of a stock exchange on which the Shares are listed. The Shares are currently listed on the Nasdaq Global Select Market.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13"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RSUs and receive Shares under the Plan, if any, will terminate as of the actual Date of Termination. For this purpose, the “Date of Termination” shall mean the earlier of (1) the date the Participant’s employment with the Employer is terminated for any reason; or (2) the date the Participant receives written notice of termination from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 For greater certainty, the Participant will not earn or be entitled to any pro-rated vesting for that portion of time before the date on which the Participant’s right to vest terminates, nor will Participant be entitled to any compensation for lost</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vesting</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RSUs. The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subsidiary or affiliate of the Company.</w:t>
      </w:r>
    </w:p>
    <w:p>
      <w:pPr>
        <w:spacing w:after="0" w:line="198"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015" w:right="659" w:bottom="1440" w:gutter="0" w:footer="0" w:header="0"/>
        </w:sectPr>
      </w:pPr>
    </w:p>
    <w:bookmarkStart w:id="115" w:name="page116"/>
    <w:bookmarkEnd w:id="115"/>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9"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B.</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08"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(RSUs)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4"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015" w:right="659" w:bottom="1440" w:gutter="0" w:footer="0" w:header="0"/>
          <w:type w:val="continuous"/>
        </w:sectPr>
      </w:pPr>
    </w:p>
    <w:bookmarkStart w:id="116" w:name="page117"/>
    <w:bookmarkEnd w:id="116"/>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French-Qualified RSUs</w:t>
      </w:r>
      <w:r>
        <w:rPr>
          <w:rFonts w:ascii="Times New Roman" w:cs="Times New Roman" w:eastAsia="Times New Roman" w:hAnsi="Times New Roman"/>
          <w:sz w:val="16"/>
          <w:szCs w:val="16"/>
          <w:color w:val="auto"/>
        </w:rPr>
        <w:t>. The RSUs are intended to qualify for the favorable tax and social security regime in France under Sections L. 225-197-1 to L. 225-197-5 and Sections L. 22-10-59 and L. 22-10-60 of the French Commercial Code, as amended. Certain events may affect the status of the RSUs as French-qualified RSUs, and the French-qualified RSUs may be disqualified in the future. The Company does not make any undertaking or representation to maintain the qualified status of the RSUs. If the RSUs no longer qualify as French-qualified RSUs, the favorable tax and social security treatment will not apply, and the Participant will be required to pay his or her portion of social security contributions resulting from the RSUs (as well as any income tax that is due).</w:t>
      </w:r>
    </w:p>
    <w:p>
      <w:pPr>
        <w:spacing w:after="0" w:line="198"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RSUs, the definitions in the French Sub-plan shall prevail.</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RSUs under Section L. 225-197-1 of the French Commercial Code, as amended, or relevant Sections of the French Tax Code or the French Social Security Code, as amended.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RSUs as of the date of the Participant’s termination shall vest in full as of the date of the termination.</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3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RSUs prior to the second anniversary of the Grant Date, or such other period as is required to comply with the minimum mandatory holding period applicable to French-qualified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6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Further, as long as the RSUs and the Shares acquired at vesting of the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Certain adjustments may disqualify the RSUs, in which case they may no longer benefit from favorable tax and social security treatment in France.</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3"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France or maintaining a foreign bank account are required to report such to French tax authorities when filing his or her annual tax return. Failure to comply may trigger significant penalties.</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015" w:right="659" w:bottom="1440" w:gutter="0" w:footer="0" w:header="0"/>
          <w:type w:val="continuous"/>
        </w:sectPr>
      </w:pPr>
    </w:p>
    <w:bookmarkStart w:id="117" w:name="page118"/>
    <w:bookmarkEnd w:id="117"/>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35"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Participant otherwise makes or receives a payment in excess of €12,500 (including if the Participant acquires Shares under the Plan with a value in excess of this amount or sells Shares via a foreign broker, bank or service provider and receives proceeds in excess of this amount) and/or if the Company withholds of sells Shares with a value in excess of this amount to cover Tax-Related Items, the Participant must report the payment and/or the value of the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000FF"/>
        </w:rPr>
        <w:t>www.bundesbank.de</w:t>
      </w:r>
      <w:r>
        <w:rPr>
          <w:rFonts w:ascii="Times New Roman" w:cs="Times New Roman" w:eastAsia="Times New Roman" w:hAnsi="Times New Roman"/>
          <w:sz w:val="16"/>
          <w:szCs w:val="16"/>
          <w:color w:val="auto"/>
        </w:rPr>
        <w:t>), or by such other method (e.g., email or telephone) and within such other timing as permitted or required by Bundesbank. The report must be submitted monthly or within such timing as it permitted or required by the Bundesbank. It is the Participant’s responsibility to comply with this reporting obligation and the Participant should consult with his or her personal legal advisor in this regard.</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18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RSUs vest within six months of the Date of Grant, the Participant agrees not to sell any Shares acquired upon vesting of the RSUs prior to the six-month anniversary of the Date of Grant.</w:t>
      </w:r>
    </w:p>
    <w:p>
      <w:pPr>
        <w:spacing w:after="0" w:line="149"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3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 The Participant agrees to provide any information that may be required by the Company or the Employer to make any applicable filings under exchange control laws in India.</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the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14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RSUs, the Participant acknowledges, understands, and agrees that the benefits received under the Plan will not be taken into account for any redundancy or unfair dismissal claim.</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37"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Israeli Sub-Plan will govern the RSUs granted to the Participant in Israel.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015" w:right="659" w:bottom="1440" w:gutter="0" w:footer="0" w:header="0"/>
        </w:sectPr>
      </w:pPr>
    </w:p>
    <w:bookmarkStart w:id="118" w:name="page119"/>
    <w:bookmarkEnd w:id="118"/>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21"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color w:val="auto"/>
        </w:rPr>
        <w:t>The Shares issued upon vesting of the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3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RSUs or the Shares for the Participant, except as permitted under the Sub-Plan and the terms of Section 102 (as defined in the Sub-Plan), or in the case of death, the Participant’s heirs, except by will or by the laws of descent and distribution.</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35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23"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RSUs or Shares acquired under the Plan.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5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Restriction on Sale of Shares</w:t>
      </w:r>
      <w:r>
        <w:rPr>
          <w:rFonts w:ascii="Times New Roman" w:cs="Times New Roman" w:eastAsia="Times New Roman" w:hAnsi="Times New Roman"/>
          <w:sz w:val="16"/>
          <w:szCs w:val="16"/>
          <w:color w:val="auto"/>
        </w:rPr>
        <w:t>. Korean residents are not permitted to sell foreign securities (including Shares) through non-Korean brokers (such as Fidelity) or deposit funds resulting from the sale of Shares in an account with an overseas financial institution. If the Participant wishes to sell Shares acquired under the Plan, the Participant may be required to transfer the Shares to a domestic investment broker in Korea and to effect the sale through such broker. The Participant is solely responsible for engaging the domestic broker in Korea, and non-compliance with the requirement to sell Shares through a domestic broker can result in significant penalties. The Participant should consult with his or her personal advisor(s) regarding any personal legal, regulatory or foreign exchange obligations he or she may have in connection with the Participant’s participation in the Plan.</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015" w:right="659" w:bottom="1440" w:gutter="0" w:footer="0" w:header="0"/>
          <w:type w:val="continuous"/>
        </w:sectPr>
      </w:pPr>
    </w:p>
    <w:bookmarkStart w:id="119" w:name="page120"/>
    <w:bookmarkEnd w:id="119"/>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23"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0760"/>
          </w:cols>
          <w:pgMar w:left="480" w:top="1015" w:right="659" w:bottom="1440" w:gutter="0" w:footer="0" w:header="0"/>
        </w:sectPr>
      </w:pPr>
    </w:p>
    <w:bookmarkStart w:id="120" w:name="page121"/>
    <w:bookmarkEnd w:id="120"/>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70485</wp:posOffset>
            </wp:positionV>
            <wp:extent cx="8255" cy="1714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70485</wp:posOffset>
            </wp:positionV>
            <wp:extent cx="8255" cy="1714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70485</wp:posOffset>
            </wp:positionV>
            <wp:extent cx="8255" cy="1714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680" w:type="dxa"/>
            <w:vAlign w:val="bottom"/>
            <w:tcBorders>
              <w:top w:val="single" w:sz="8" w:color="auto"/>
            </w:tcBorders>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w:t>
            </w:r>
          </w:p>
        </w:tc>
        <w:tc>
          <w:tcPr>
            <w:tcW w:w="40" w:type="dxa"/>
            <w:vAlign w:val="bottom"/>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collection, use and transfer, in electronic or other form, of his or</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personal data as described in this document by and among, as</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applicable, the Employer, and the Company and its subsidiaries for</w:t>
            </w:r>
          </w:p>
        </w:tc>
        <w:tc>
          <w:tcPr>
            <w:tcW w:w="40" w:type="dxa"/>
            <w:vAlign w:val="bottom"/>
          </w:tcPr>
          <w:p>
            <w:pPr>
              <w:spacing w:after="0"/>
              <w:rPr>
                <w:sz w:val="16"/>
                <w:szCs w:val="16"/>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exclusive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keraguan mengizinkan pengumpulan, penggunaan dan pemindahan, dalam</w:t>
            </w:r>
          </w:p>
        </w:tc>
        <w:tc>
          <w:tcPr>
            <w:tcW w:w="0" w:type="dxa"/>
            <w:vAlign w:val="bottom"/>
          </w:tcPr>
          <w:p>
            <w:pPr>
              <w:spacing w:after="0"/>
              <w:rPr>
                <w:sz w:val="1"/>
                <w:szCs w:val="1"/>
                <w:color w:val="auto"/>
              </w:rPr>
            </w:pPr>
          </w:p>
        </w:tc>
      </w:tr>
      <w:tr>
        <w:trPr>
          <w:trHeight w:val="162"/>
        </w:trPr>
        <w:tc>
          <w:tcPr>
            <w:tcW w:w="420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the Participant’s participation in the Plan.</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dokumen ini, oleh dan di antara, sebagaimana yang berkenaan, Majikan,</w:t>
            </w:r>
          </w:p>
        </w:tc>
        <w:tc>
          <w:tcPr>
            <w:tcW w:w="0" w:type="dxa"/>
            <w:vAlign w:val="bottom"/>
          </w:tcPr>
          <w:p>
            <w:pPr>
              <w:spacing w:after="0"/>
              <w:rPr>
                <w:sz w:val="1"/>
                <w:szCs w:val="1"/>
                <w:color w:val="auto"/>
              </w:rPr>
            </w:pPr>
          </w:p>
        </w:tc>
      </w:tr>
      <w:tr>
        <w:trPr>
          <w:trHeight w:val="216"/>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membantu dalam pelaksanaan, pentadbiran dan pengurusan penyertaan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dalam Pelan.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40" w:type="dxa"/>
            <w:vAlign w:val="bottom"/>
          </w:tcPr>
          <w:p>
            <w:pPr>
              <w:spacing w:after="0"/>
              <w:rPr>
                <w:sz w:val="14"/>
                <w:szCs w:val="14"/>
                <w:color w:val="auto"/>
              </w:rPr>
            </w:pP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 RSUs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any  other  entitlement  to  shares  of  stock  awarded,  canceled,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exercised, vested, unvested or outstanding in the Participant’s favor,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for the purpose of implementing, administering and managing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 (“Data”). The source of the Data is the Employer as well as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RSUs atau apa-apa hak lain untuk syer dalam saham yang dianugerahkan,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information the Participant is providing to the Company and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dibatalkan, dilaksanakan, terletak hak, tidak diletak hak ataupun yang belum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Employer  in  connection  with  the  RSUs.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dijelaskan bagi faedah Peserta, untuk tujuan eksklusif bagi melaksanakan,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may be transferred to Fidelity or any other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mentadbir dan menguruskan Pelan (“Data”). Sumber Data adalah daripada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third parties as may be selected by the Company in the future, which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Majikan dan juga daripada maklumat yang dibekalkan oleh Peserta kepada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are  assisting  in  the  implementation,  administration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Syarikat  dan  Majikan  berkenaan  dengan  RSUs.  Penerima  Anugerah  juga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management of the Plan, that these recipients may be located in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memahami bahawa Data mungkin dipindahkan kepada Fidelity atau mana-mana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Participant’s country or elsewhere and that the recipients’ country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pihak ketiga yang mungkin dipilih oleh Syarikat pada masa depan, </w:t>
            </w:r>
            <w:r>
              <w:rPr>
                <w:rFonts w:ascii="Times New Roman" w:cs="Times New Roman" w:eastAsia="Times New Roman" w:hAnsi="Times New Roman"/>
                <w:sz w:val="16"/>
                <w:szCs w:val="16"/>
                <w:b w:val="1"/>
                <w:bCs w:val="1"/>
                <w:i w:val="1"/>
                <w:iCs w:val="1"/>
                <w:color w:val="222222"/>
              </w:rPr>
              <w:t>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(e.g., the United States) may have different data privacy laws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membantu dalam pelaksanaan, pentadbiran dan pengurusan Pelan,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protections  than  the  Participant’s  country.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penerima-penerima ini mungkin berada di negara Peserta atau di tempat lain,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he or she may request a list with the names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dan  bahawa  negara  penerima  (contohnya,  Amerika  Syarikat)  mungkin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addresses of any potential recipients of the Data by contacting his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mempunyai  undang-undang  privasi  data  dan  perlindungan  yang  berbeza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local  human  resources  representative.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daripada negara Peserta. Peserta memahami bahawa dia boleh meminta senarai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authorizes the Company, Fidelity and any other possible recipients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nama dan alamat mana-mana penerima Data dengan menghubungi wakil</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which may assist the Company (presently or in the future) with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sumber manusia tempatannya. </w:t>
            </w:r>
            <w:r>
              <w:rPr>
                <w:rFonts w:ascii="Times New Roman" w:cs="Times New Roman" w:eastAsia="Times New Roman" w:hAnsi="Times New Roman"/>
                <w:sz w:val="16"/>
                <w:szCs w:val="16"/>
                <w:b w:val="1"/>
                <w:bCs w:val="1"/>
                <w:i w:val="1"/>
                <w:iCs w:val="1"/>
                <w:color w:val="000000"/>
              </w:rPr>
              <w:t>Peserta memberi kuasa kepada Syarikat, Fidelity,</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implementing, administering and managing the Plan to receive,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dan  mana-mana  penerima  lain  yang  mungkin  membantu  Syarikat  (masa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possess, use, retain and transfer the Data, in electronic or other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form, for the sole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c>
          <w:tcPr>
            <w:tcW w:w="0" w:type="dxa"/>
            <w:vAlign w:val="bottom"/>
          </w:tcPr>
          <w:p>
            <w:pPr>
              <w:spacing w:after="0"/>
              <w:rPr>
                <w:sz w:val="1"/>
                <w:szCs w:val="1"/>
                <w:color w:val="auto"/>
              </w:rPr>
            </w:pPr>
          </w:p>
        </w:tc>
      </w:tr>
      <w:tr>
        <w:trPr>
          <w:trHeight w:val="162"/>
        </w:trPr>
        <w:tc>
          <w:tcPr>
            <w:tcW w:w="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c>
          <w:tcPr>
            <w:tcW w:w="0" w:type="dxa"/>
            <w:vAlign w:val="bottom"/>
          </w:tcPr>
          <w:p>
            <w:pPr>
              <w:spacing w:after="0"/>
              <w:rPr>
                <w:sz w:val="1"/>
                <w:szCs w:val="1"/>
                <w:color w:val="auto"/>
              </w:rPr>
            </w:pPr>
          </w:p>
        </w:tc>
      </w:tr>
      <w:tr>
        <w:trPr>
          <w:trHeight w:val="214"/>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-5415915</wp:posOffset>
            </wp:positionV>
            <wp:extent cx="6574790" cy="542607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6574790" cy="542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0760"/>
          </w:cols>
          <w:pgMar w:left="480" w:top="1015" w:right="659" w:bottom="1440" w:gutter="0" w:footer="0" w:header="0"/>
        </w:sectPr>
      </w:pPr>
    </w:p>
    <w:bookmarkStart w:id="121" w:name="page122"/>
    <w:bookmarkEnd w:id="121"/>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4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56"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5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40"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6"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760"/>
          </w:cols>
          <w:pgMar w:left="480" w:top="1015" w:right="659" w:bottom="1440" w:gutter="0" w:footer="0" w:header="0"/>
        </w:sectPr>
      </w:pPr>
    </w:p>
    <w:bookmarkStart w:id="122" w:name="page123"/>
    <w:bookmarkEnd w:id="122"/>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RSUs is being made pursuant to an exemption from registration under Section 10.2 of the SRC that has been approved by the PSEC.</w:t>
      </w:r>
    </w:p>
    <w:p>
      <w:pPr>
        <w:spacing w:after="0" w:line="23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RSUs or the subsequent sale of any Shares acquired by the Participant. The Company is not making any representations, projections or assurances about the value of the Shares now or in the future.</w:t>
      </w:r>
    </w:p>
    <w:p>
      <w:pPr>
        <w:spacing w:after="0" w:line="309"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subject to the regulations concerning public offers and private placements under the Law on Capital Markets.</w:t>
      </w:r>
    </w:p>
    <w:p>
      <w:pPr>
        <w:spacing w:after="0" w:line="137"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0760"/>
          </w:cols>
          <w:pgMar w:left="480" w:top="1015" w:right="659" w:bottom="1440" w:gutter="0" w:footer="0" w:header="0"/>
          <w:type w:val="continuous"/>
        </w:sectPr>
      </w:pPr>
    </w:p>
    <w:bookmarkStart w:id="123" w:name="page124"/>
    <w:bookmarkEnd w:id="123"/>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12"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40"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throughout the world.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210"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760"/>
          </w:cols>
          <w:pgMar w:left="480" w:top="1015" w:right="659" w:bottom="1440" w:gutter="0" w:footer="0" w:header="0"/>
        </w:sectPr>
      </w:pPr>
    </w:p>
    <w:bookmarkStart w:id="124" w:name="page125"/>
    <w:bookmarkEnd w:id="124"/>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23"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intended to be a public offering in Switzerland and are therefore not subject to registration in Switzerland. Neither this document nor any materials relating to the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19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37"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- 13</w:t>
      </w:r>
    </w:p>
    <w:p>
      <w:pPr>
        <w:sectPr>
          <w:pgSz w:w="11900" w:h="16838" w:orient="portrait"/>
          <w:cols w:equalWidth="0" w:num="1">
            <w:col w:w="10760"/>
          </w:cols>
          <w:pgMar w:left="480" w:top="1015" w:right="659" w:bottom="1440" w:gutter="0" w:footer="0" w:header="0"/>
          <w:type w:val="continuous"/>
        </w:sectPr>
      </w:pPr>
    </w:p>
    <w:bookmarkStart w:id="125" w:name="page126"/>
    <w:bookmarkEnd w:id="125"/>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1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5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205"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209"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196"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C.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- 14</w:t>
      </w:r>
    </w:p>
    <w:p>
      <w:pPr>
        <w:sectPr>
          <w:pgSz w:w="11900" w:h="16838" w:orient="portrait"/>
          <w:cols w:equalWidth="0" w:num="1">
            <w:col w:w="10760"/>
          </w:cols>
          <w:pgMar w:left="480" w:top="1015" w:right="65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2020 Equity Incentive Plan (the “Plan”) in a separate written statement. This statement contains only the information mentioned in the Stock Option Act; the other terms and conditions of your grant of RSUs is described in detail in your Global Restricted Stock Unit Agreement (the “Agreement”), the appendix to your Agreement and the Plan.</w:t>
      </w:r>
    </w:p>
    <w:p>
      <w:pPr>
        <w:spacing w:after="0" w:line="115" w:lineRule="exact"/>
        <w:rPr>
          <w:sz w:val="20"/>
          <w:szCs w:val="20"/>
          <w:color w:val="auto"/>
        </w:rPr>
      </w:pPr>
    </w:p>
    <w:p>
      <w:pPr>
        <w:ind w:left="300" w:hanging="292"/>
        <w:spacing w:after="0"/>
        <w:tabs>
          <w:tab w:leader="none" w:pos="300"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RSUs under the Plan on Grant Date. On this basis, the Date of Grant for your RSUs is Grant Date.</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RSU Grant</w:t>
      </w:r>
    </w:p>
    <w:p>
      <w:pPr>
        <w:spacing w:after="0" w:line="14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6"/>
          <w:szCs w:val="16"/>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RSUs</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RSUs vest, the Company will issue one share of the Company’s common stock to you in settlement of each vested RSU.</w:t>
      </w:r>
    </w:p>
    <w:p>
      <w:pPr>
        <w:spacing w:after="0" w:line="138" w:lineRule="exact"/>
        <w:rPr>
          <w:sz w:val="20"/>
          <w:szCs w:val="20"/>
          <w:color w:val="auto"/>
        </w:rPr>
      </w:pPr>
    </w:p>
    <w:p>
      <w:pPr>
        <w:ind w:left="300" w:hanging="292"/>
        <w:spacing w:after="0"/>
        <w:tabs>
          <w:tab w:leader="none" w:pos="300"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660" w:right="20"/>
        <w:spacing w:after="0" w:line="245" w:lineRule="auto"/>
        <w:rPr>
          <w:sz w:val="20"/>
          <w:szCs w:val="20"/>
          <w:color w:val="auto"/>
        </w:rPr>
      </w:pPr>
      <w:r>
        <w:rPr>
          <w:rFonts w:ascii="Times New Roman" w:cs="Times New Roman" w:eastAsia="Times New Roman" w:hAnsi="Times New Roman"/>
          <w:sz w:val="16"/>
          <w:szCs w:val="16"/>
          <w:color w:val="auto"/>
        </w:rPr>
        <w:t>Because each RSU entitles you to receive one share of the Company’s common stock on the date of vesting without any cost to you or other payment required from you, there is no exercise price associated with the RSUs.</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108" w:lineRule="exact"/>
        <w:rPr>
          <w:sz w:val="20"/>
          <w:szCs w:val="20"/>
          <w:color w:val="auto"/>
        </w:rPr>
      </w:pPr>
    </w:p>
    <w:p>
      <w:pPr>
        <w:ind w:left="300" w:hanging="292"/>
        <w:spacing w:after="0"/>
        <w:tabs>
          <w:tab w:leader="none" w:pos="300"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1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12" w:lineRule="exact"/>
        <w:rPr>
          <w:sz w:val="20"/>
          <w:szCs w:val="20"/>
          <w:color w:val="auto"/>
        </w:rPr>
      </w:pPr>
    </w:p>
    <w:p>
      <w:pPr>
        <w:ind w:left="300" w:hanging="292"/>
        <w:spacing w:after="0"/>
        <w:tabs>
          <w:tab w:leader="none" w:pos="30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ind w:left="34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34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340"/>
        <w:spacing w:after="0" w:line="229" w:lineRule="auto"/>
        <w:rPr>
          <w:sz w:val="20"/>
          <w:szCs w:val="20"/>
          <w:color w:val="auto"/>
        </w:rPr>
      </w:pPr>
      <w:r>
        <w:rPr>
          <w:rFonts w:ascii="Times New Roman" w:cs="Times New Roman" w:eastAsia="Times New Roman" w:hAnsi="Times New Roman"/>
          <w:sz w:val="16"/>
          <w:szCs w:val="16"/>
          <w:color w:val="auto"/>
        </w:rPr>
        <w:t>Wilmington, MA 01887</w:t>
      </w: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240"/>
          </w:cols>
          <w:pgMar w:left="320" w:top="1015" w:right="339" w:bottom="1440" w:gutter="0" w:footer="0" w:header="0"/>
        </w:sectPr>
      </w:pPr>
    </w:p>
    <w:bookmarkStart w:id="127" w:name="page128"/>
    <w:bookmarkEnd w:id="127"/>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3"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206"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08" w:lineRule="exact"/>
        <w:rPr>
          <w:sz w:val="20"/>
          <w:szCs w:val="20"/>
          <w:color w:val="auto"/>
        </w:rPr>
      </w:pPr>
    </w:p>
    <w:p>
      <w:pPr>
        <w:ind w:left="460" w:hanging="288"/>
        <w:spacing w:after="0"/>
        <w:tabs>
          <w:tab w:leader="none" w:pos="46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206" w:lineRule="exact"/>
        <w:rPr>
          <w:sz w:val="20"/>
          <w:szCs w:val="20"/>
          <w:color w:val="auto"/>
        </w:rPr>
      </w:pPr>
    </w:p>
    <w:p>
      <w:pPr>
        <w:ind w:left="460" w:hanging="288"/>
        <w:spacing w:after="0"/>
        <w:tabs>
          <w:tab w:leader="none" w:pos="460"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56" w:lineRule="exact"/>
        <w:rPr>
          <w:sz w:val="20"/>
          <w:szCs w:val="20"/>
          <w:color w:val="auto"/>
        </w:rPr>
      </w:pPr>
    </w:p>
    <w:p>
      <w:pPr>
        <w:ind w:left="180"/>
        <w:spacing w:after="0" w:line="368"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8" w:lineRule="exact"/>
        <w:rPr>
          <w:sz w:val="20"/>
          <w:szCs w:val="20"/>
          <w:color w:val="auto"/>
        </w:rPr>
      </w:pPr>
    </w:p>
    <w:p>
      <w:pPr>
        <w:ind w:left="460" w:hanging="288"/>
        <w:spacing w:after="0"/>
        <w:tabs>
          <w:tab w:leader="none" w:pos="46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69"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1"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760"/>
          </w:cols>
          <w:pgMar w:left="480" w:top="1013" w:right="659" w:bottom="1440" w:gutter="0" w:footer="0" w:header="0"/>
        </w:sectPr>
      </w:pPr>
    </w:p>
    <w:bookmarkStart w:id="128" w:name="page129"/>
    <w:bookmarkEnd w:id="128"/>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hanging="288"/>
        <w:spacing w:after="0"/>
        <w:tabs>
          <w:tab w:leader="none" w:pos="460"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69"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40"/>
          </w:cols>
          <w:pgMar w:left="480" w:top="1013" w:right="679" w:bottom="1440" w:gutter="0" w:footer="0" w:header="0"/>
        </w:sectPr>
      </w:pPr>
    </w:p>
    <w:bookmarkStart w:id="129" w:name="page130"/>
    <w:bookmarkEnd w:id="129"/>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0920"/>
          </w:cols>
          <w:pgMar w:left="320" w:top="1015" w:right="659" w:bottom="1440" w:gutter="0" w:footer="0" w:header="0"/>
        </w:sectPr>
      </w:pPr>
    </w:p>
    <w:bookmarkStart w:id="130" w:name="page131"/>
    <w:bookmarkEnd w:id="130"/>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hanging="648"/>
        <w:spacing w:after="0" w:line="245" w:lineRule="auto"/>
        <w:tabs>
          <w:tab w:leader="none" w:pos="2600"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1" w:lineRule="exact"/>
        <w:rPr>
          <w:rFonts w:ascii="Times New Roman" w:cs="Times New Roman" w:eastAsia="Times New Roman" w:hAnsi="Times New Roman"/>
          <w:sz w:val="16"/>
          <w:szCs w:val="16"/>
          <w:color w:val="auto"/>
        </w:rPr>
      </w:pPr>
    </w:p>
    <w:p>
      <w:pPr>
        <w:ind w:left="2600" w:right="20" w:hanging="648"/>
        <w:spacing w:after="0" w:line="245" w:lineRule="auto"/>
        <w:tabs>
          <w:tab w:leader="none" w:pos="2600"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w:t>
      </w:r>
    </w:p>
    <w:p>
      <w:pPr>
        <w:sectPr>
          <w:pgSz w:w="11900" w:h="16838" w:orient="portrait"/>
          <w:cols w:equalWidth="0" w:num="1">
            <w:col w:w="10920"/>
          </w:cols>
          <w:pgMar w:left="320" w:top="101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920"/>
          </w:cols>
          <w:pgMar w:left="320" w:top="1015" w:right="659" w:bottom="1440" w:gutter="0" w:footer="0" w:header="0"/>
          <w:type w:val="continuous"/>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right="340"/>
        <w:spacing w:after="0" w:line="245" w:lineRule="auto"/>
        <w:rPr>
          <w:sz w:val="20"/>
          <w:szCs w:val="20"/>
          <w:color w:val="auto"/>
        </w:rPr>
      </w:pPr>
      <w:r>
        <w:rPr>
          <w:rFonts w:ascii="Times New Roman" w:cs="Times New Roman" w:eastAsia="Times New Roman" w:hAnsi="Times New Roman"/>
          <w:sz w:val="16"/>
          <w:szCs w:val="16"/>
          <w:color w:val="auto"/>
        </w:rPr>
        <w:t>electronically accepting this Election, he or she will become personally liable for the Employer’s Liability covered by this Election. This Election is made in accordance with paragraph 3B(1) of Schedule 1 of the SSCBA.</w:t>
      </w:r>
    </w:p>
    <w:p>
      <w:pPr>
        <w:spacing w:after="0" w:line="108"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03" w:lineRule="exact"/>
        <w:rPr>
          <w:sz w:val="20"/>
          <w:szCs w:val="20"/>
          <w:color w:val="auto"/>
        </w:rPr>
      </w:pPr>
    </w:p>
    <w:p>
      <w:pPr>
        <w:ind w:left="980" w:hanging="324"/>
        <w:spacing w:after="0"/>
        <w:tabs>
          <w:tab w:leader="none" w:pos="9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400" w:right="340" w:hanging="647"/>
        <w:spacing w:after="0" w:line="245" w:lineRule="auto"/>
        <w:tabs>
          <w:tab w:leader="none" w:pos="38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420" w:right="320" w:hanging="647"/>
        <w:spacing w:after="0" w:line="232" w:lineRule="auto"/>
        <w:tabs>
          <w:tab w:leader="none" w:pos="40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93"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380" w:right="320" w:hanging="647"/>
        <w:spacing w:after="0" w:line="245" w:lineRule="auto"/>
        <w:tabs>
          <w:tab w:leader="none" w:pos="36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4.3</w:t>
        <w:tab/>
        <w:t>This Election will continue in force regardless of whether the Employee ceases to be an employee of the Employer.</w:t>
      </w:r>
    </w:p>
    <w:p>
      <w:pPr>
        <w:spacing w:after="0" w:line="221" w:lineRule="exact"/>
        <w:rPr>
          <w:sz w:val="20"/>
          <w:szCs w:val="20"/>
          <w:color w:val="auto"/>
        </w:rPr>
      </w:pPr>
    </w:p>
    <w:p>
      <w:pPr>
        <w:jc w:val="both"/>
        <w:ind w:left="380" w:right="320" w:hanging="647"/>
        <w:spacing w:after="0" w:line="232" w:lineRule="auto"/>
        <w:tabs>
          <w:tab w:leader="none" w:pos="36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jc w:val="both"/>
        <w:ind w:right="340"/>
        <w:spacing w:after="0" w:line="245"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ectPr>
          <w:pgSz w:w="11900" w:h="16838" w:orient="portrait"/>
          <w:cols w:equalWidth="0" w:num="1">
            <w:col w:w="11240"/>
          </w:cols>
          <w:pgMar w:left="320" w:top="10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1240"/>
          </w:cols>
          <w:pgMar w:left="320" w:top="1015" w:right="339" w:bottom="1440" w:gutter="0" w:footer="0" w:header="0"/>
          <w:type w:val="continuous"/>
        </w:sectPr>
      </w:pPr>
    </w:p>
    <w:bookmarkStart w:id="132" w:name="page133"/>
    <w:bookmarkEnd w:id="132"/>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4858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Vice President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139"/>
          </w:cols>
          <w:pgMar w:left="320" w:top="1015" w:right="1440" w:bottom="1440" w:gutter="0" w:footer="0" w:header="0"/>
        </w:sectPr>
      </w:pPr>
    </w:p>
    <w:bookmarkStart w:id="133" w:name="page134"/>
    <w:bookmarkEnd w:id="133"/>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827"/>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 Integrated Products UK Limited</w:t>
            </w:r>
          </w:p>
        </w:tc>
        <w:tc>
          <w:tcPr>
            <w:tcW w:w="458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155"/>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6"/>
                <w:szCs w:val="16"/>
                <w:color w:val="auto"/>
              </w:rPr>
              <w:t>First Floor, Templeback, 10 Temple Back, Bristol, England, BS1</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6FL</w:t>
            </w:r>
          </w:p>
        </w:tc>
      </w:tr>
      <w:tr>
        <w:trPr>
          <w:trHeight w:val="168"/>
        </w:trPr>
        <w:tc>
          <w:tcPr>
            <w:tcW w:w="12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14"/>
                <w:szCs w:val="14"/>
                <w:color w:val="auto"/>
              </w:rPr>
            </w:pPr>
          </w:p>
        </w:tc>
        <w:tc>
          <w:tcPr>
            <w:tcW w:w="4580" w:type="dxa"/>
            <w:vAlign w:val="bottom"/>
            <w:tcBorders>
              <w:bottom w:val="single" w:sz="8" w:color="auto"/>
              <w:right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01873931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56090 07213</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577/RM581</w:t>
            </w:r>
          </w:p>
        </w:tc>
      </w:tr>
      <w:tr>
        <w:trPr>
          <w:trHeight w:val="841"/>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Calvatec</w:t>
            </w:r>
          </w:p>
        </w:tc>
        <w:tc>
          <w:tcPr>
            <w:tcW w:w="458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155"/>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50 Lothian Road, Festival Square, Edinburgh, United Kingdom EH3</w:t>
            </w:r>
          </w:p>
        </w:tc>
      </w:tr>
      <w:tr>
        <w:trPr>
          <w:trHeight w:val="213"/>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9WJ (Office of Corp. Secretary, Burness Paull LLP)</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SC342295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4889926696</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961/VA27993</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Phyworks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015" w:right="144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12"/>
        </w:trPr>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580" w:type="dxa"/>
            <w:vAlign w:val="bottom"/>
            <w:gridSpan w:val="2"/>
          </w:tcPr>
          <w:p>
            <w:pPr>
              <w:jc w:val="center"/>
              <w:ind w:right="2540"/>
              <w:spacing w:after="0"/>
              <w:rPr>
                <w:sz w:val="20"/>
                <w:szCs w:val="20"/>
                <w:color w:val="auto"/>
              </w:rPr>
            </w:pPr>
            <w:r>
              <w:rPr>
                <w:rFonts w:ascii="Times New Roman" w:cs="Times New Roman" w:eastAsia="Times New Roman" w:hAnsi="Times New Roman"/>
                <w:sz w:val="16"/>
                <w:szCs w:val="16"/>
                <w:b w:val="1"/>
                <w:bCs w:val="1"/>
                <w:color w:val="auto"/>
              </w:rPr>
              <w:t>APPENDIX C</w:t>
            </w:r>
          </w:p>
        </w:tc>
      </w:tr>
      <w:tr>
        <w:trPr>
          <w:trHeight w:val="270"/>
        </w:trPr>
        <w:tc>
          <w:tcPr>
            <w:tcW w:w="1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5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ANALOG DEVICES, INC.</w:t>
            </w:r>
          </w:p>
        </w:tc>
      </w:tr>
      <w:tr>
        <w:trPr>
          <w:trHeight w:val="270"/>
        </w:trPr>
        <w:tc>
          <w:tcPr>
            <w:tcW w:w="1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tc>
      </w:tr>
      <w:tr>
        <w:trPr>
          <w:trHeight w:val="249"/>
        </w:trPr>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Election To Transfer the Employer’s National Insurance Liability to the Employee</w:t>
            </w:r>
          </w:p>
        </w:tc>
      </w:tr>
      <w:tr>
        <w:trPr>
          <w:trHeight w:val="871"/>
        </w:trPr>
        <w:tc>
          <w:tcPr>
            <w:tcW w:w="1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3860" w:type="dxa"/>
            <w:vAlign w:val="bottom"/>
            <w:tcBorders>
              <w:top w:val="single" w:sz="8" w:color="auto"/>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56"/>
        </w:trPr>
        <w:tc>
          <w:tcPr>
            <w:tcW w:w="120" w:type="dxa"/>
            <w:vAlign w:val="bottom"/>
            <w:tcBorders>
              <w:right w:val="single" w:sz="8" w:color="auto"/>
            </w:tcBorders>
          </w:tcPr>
          <w:p>
            <w:pPr>
              <w:spacing w:after="0"/>
              <w:rPr>
                <w:sz w:val="13"/>
                <w:szCs w:val="13"/>
                <w:color w:val="auto"/>
              </w:rPr>
            </w:pPr>
          </w:p>
        </w:tc>
        <w:tc>
          <w:tcPr>
            <w:tcW w:w="238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280" w:type="dxa"/>
            <w:vAlign w:val="bottom"/>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4580" w:type="dxa"/>
            <w:vAlign w:val="bottom"/>
            <w:tcBorders>
              <w:right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6"/>
                <w:szCs w:val="16"/>
                <w:color w:val="auto"/>
              </w:rPr>
              <w:t>First Floor, Templeback, 10 Temple Back, Bristol, England, BS1</w:t>
            </w:r>
          </w:p>
        </w:tc>
      </w:tr>
      <w:tr>
        <w:trPr>
          <w:trHeight w:val="210"/>
        </w:trPr>
        <w:tc>
          <w:tcPr>
            <w:tcW w:w="12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6FL</w:t>
            </w:r>
          </w:p>
        </w:tc>
      </w:tr>
      <w:tr>
        <w:trPr>
          <w:trHeight w:val="681"/>
        </w:trPr>
        <w:tc>
          <w:tcPr>
            <w:tcW w:w="120" w:type="dxa"/>
            <w:vAlign w:val="bottom"/>
            <w:tcBorders>
              <w:right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Secretary/Correspondence  address:  50  Lothian  Road,  Festival</w:t>
            </w:r>
          </w:p>
        </w:tc>
      </w:tr>
      <w:tr>
        <w:trPr>
          <w:trHeight w:val="162"/>
        </w:trPr>
        <w:tc>
          <w:tcPr>
            <w:tcW w:w="120" w:type="dxa"/>
            <w:vAlign w:val="bottom"/>
            <w:tcBorders>
              <w:right w:val="single" w:sz="8" w:color="auto"/>
            </w:tcBorders>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Square, Edinburgh, United Kingdom EH3 9WJ (Office of Corp.</w:t>
            </w:r>
          </w:p>
        </w:tc>
      </w:tr>
      <w:tr>
        <w:trPr>
          <w:trHeight w:val="210"/>
        </w:trPr>
        <w:tc>
          <w:tcPr>
            <w:tcW w:w="12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Secretary, Burness Paull LLP)</w:t>
            </w:r>
          </w:p>
        </w:tc>
      </w:tr>
      <w:tr>
        <w:trPr>
          <w:trHeight w:val="168"/>
        </w:trPr>
        <w:tc>
          <w:tcPr>
            <w:tcW w:w="120" w:type="dxa"/>
            <w:vAlign w:val="bottom"/>
            <w:tcBorders>
              <w:right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100" w:type="dxa"/>
            <w:vAlign w:val="bottom"/>
            <w:tcBorders>
              <w:bottom w:val="single" w:sz="8" w:color="auto"/>
              <w:right w:val="single" w:sz="8" w:color="auto"/>
            </w:tcBorders>
            <w:gridSpan w:val="2"/>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2100" w:type="dxa"/>
            <w:vAlign w:val="bottom"/>
            <w:tcBorders>
              <w:bottom w:val="single" w:sz="8" w:color="auto"/>
              <w:right w:val="single" w:sz="8" w:color="auto"/>
            </w:tcBorders>
            <w:gridSpan w:val="2"/>
          </w:tcPr>
          <w:p>
            <w:pPr>
              <w:spacing w:after="0"/>
              <w:rPr>
                <w:sz w:val="17"/>
                <w:szCs w:val="17"/>
                <w:color w:val="auto"/>
              </w:rPr>
            </w:pP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04075331</w:t>
            </w:r>
          </w:p>
        </w:tc>
        <w:tc>
          <w:tcPr>
            <w:tcW w:w="720" w:type="dxa"/>
            <w:vAlign w:val="bottom"/>
            <w:tcBorders>
              <w:bottom w:val="single" w:sz="8" w:color="auto"/>
              <w:right w:val="single" w:sz="8" w:color="auto"/>
            </w:tcBorders>
          </w:tcPr>
          <w:p>
            <w:pPr>
              <w:spacing w:after="0"/>
              <w:rPr>
                <w:sz w:val="17"/>
                <w:szCs w:val="17"/>
                <w:color w:val="auto"/>
              </w:rPr>
            </w:pPr>
          </w:p>
        </w:tc>
      </w:tr>
      <w:tr>
        <w:trPr>
          <w:trHeight w:val="210"/>
        </w:trPr>
        <w:tc>
          <w:tcPr>
            <w:tcW w:w="120" w:type="dxa"/>
            <w:vAlign w:val="bottom"/>
            <w:tcBorders>
              <w:right w:val="single" w:sz="8" w:color="auto"/>
            </w:tcBorders>
          </w:tcPr>
          <w:p>
            <w:pPr>
              <w:spacing w:after="0"/>
              <w:rPr>
                <w:sz w:val="18"/>
                <w:szCs w:val="18"/>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2100" w:type="dxa"/>
            <w:vAlign w:val="bottom"/>
            <w:tcBorders>
              <w:bottom w:val="single" w:sz="8" w:color="auto"/>
              <w:right w:val="single" w:sz="8" w:color="auto"/>
            </w:tcBorders>
            <w:gridSpan w:val="2"/>
          </w:tcPr>
          <w:p>
            <w:pPr>
              <w:spacing w:after="0"/>
              <w:rPr>
                <w:sz w:val="18"/>
                <w:szCs w:val="18"/>
                <w:color w:val="auto"/>
              </w:rPr>
            </w:pP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1086827375</w:t>
            </w: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120" w:type="dxa"/>
            <w:vAlign w:val="bottom"/>
            <w:tcBorders>
              <w:right w:val="single" w:sz="8" w:color="auto"/>
            </w:tcBorders>
          </w:tcPr>
          <w:p>
            <w:pPr>
              <w:spacing w:after="0"/>
              <w:rPr>
                <w:sz w:val="18"/>
                <w:szCs w:val="18"/>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N/A</w:t>
            </w:r>
          </w:p>
        </w:tc>
      </w:tr>
      <w:tr>
        <w:trPr>
          <w:trHeight w:val="827"/>
        </w:trPr>
        <w:tc>
          <w:tcPr>
            <w:tcW w:w="9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Branch Office (MIPIS Branch Office)</w:t>
            </w:r>
          </w:p>
        </w:tc>
      </w:tr>
      <w:tr>
        <w:trPr>
          <w:trHeight w:val="222"/>
        </w:trPr>
        <w:tc>
          <w:tcPr>
            <w:tcW w:w="12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2"/>
          </w:tcPr>
          <w:p>
            <w:pPr>
              <w:spacing w:after="0"/>
              <w:rPr>
                <w:sz w:val="19"/>
                <w:szCs w:val="19"/>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45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209"/>
        </w:trPr>
        <w:tc>
          <w:tcPr>
            <w:tcW w:w="120" w:type="dxa"/>
            <w:vAlign w:val="bottom"/>
            <w:tcBorders>
              <w:right w:val="single" w:sz="8" w:color="auto"/>
            </w:tcBorders>
          </w:tcPr>
          <w:p>
            <w:pPr>
              <w:spacing w:after="0"/>
              <w:rPr>
                <w:sz w:val="18"/>
                <w:szCs w:val="18"/>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BR014351</w:t>
            </w:r>
          </w:p>
        </w:tc>
      </w:tr>
      <w:tr>
        <w:trPr>
          <w:trHeight w:val="209"/>
        </w:trPr>
        <w:tc>
          <w:tcPr>
            <w:tcW w:w="120" w:type="dxa"/>
            <w:vAlign w:val="bottom"/>
            <w:tcBorders>
              <w:right w:val="single" w:sz="8" w:color="auto"/>
            </w:tcBorders>
          </w:tcPr>
          <w:p>
            <w:pPr>
              <w:spacing w:after="0"/>
              <w:rPr>
                <w:sz w:val="18"/>
                <w:szCs w:val="18"/>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2100" w:type="dxa"/>
            <w:vAlign w:val="bottom"/>
            <w:tcBorders>
              <w:bottom w:val="single" w:sz="8" w:color="auto"/>
              <w:right w:val="single" w:sz="8" w:color="auto"/>
            </w:tcBorders>
            <w:gridSpan w:val="2"/>
          </w:tcPr>
          <w:p>
            <w:pPr>
              <w:spacing w:after="0"/>
              <w:rPr>
                <w:sz w:val="18"/>
                <w:szCs w:val="18"/>
                <w:color w:val="auto"/>
              </w:rPr>
            </w:pP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27787 13294</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120" w:type="dxa"/>
            <w:vAlign w:val="bottom"/>
            <w:tcBorders>
              <w:right w:val="single" w:sz="8" w:color="auto"/>
            </w:tcBorders>
          </w:tcPr>
          <w:p>
            <w:pPr>
              <w:spacing w:after="0"/>
              <w:rPr>
                <w:sz w:val="18"/>
                <w:szCs w:val="18"/>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- 6</w:t>
      </w:r>
    </w:p>
    <w:p>
      <w:pPr>
        <w:sectPr>
          <w:pgSz w:w="11900" w:h="16838" w:orient="portrait"/>
          <w:cols w:equalWidth="0" w:num="1">
            <w:col w:w="10139"/>
          </w:cols>
          <w:pgMar w:left="320" w:top="1015" w:right="1440" w:bottom="1440" w:gutter="0" w:footer="0" w:header="0"/>
        </w:sectPr>
      </w:pPr>
    </w:p>
    <w:bookmarkStart w:id="135" w:name="page136"/>
    <w:bookmarkEnd w:id="135"/>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ind w:left="4140"/>
        <w:spacing w:after="0" w:line="211" w:lineRule="auto"/>
        <w:rPr>
          <w:sz w:val="20"/>
          <w:szCs w:val="20"/>
          <w:color w:val="auto"/>
        </w:rPr>
      </w:pPr>
      <w:r>
        <w:rPr>
          <w:rFonts w:ascii="Times New Roman" w:cs="Times New Roman" w:eastAsia="Times New Roman" w:hAnsi="Times New Roman"/>
          <w:sz w:val="20"/>
          <w:szCs w:val="20"/>
          <w:b w:val="1"/>
          <w:bCs w:val="1"/>
          <w:color w:val="auto"/>
        </w:rPr>
        <w:t>2020 EQUITY INCENTIVE PLAN</w:t>
      </w:r>
    </w:p>
    <w:p>
      <w:pPr>
        <w:ind w:left="3660"/>
        <w:spacing w:after="0" w:line="197" w:lineRule="auto"/>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Private &amp; Confidential (Addressee Only)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Name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ID: Client Grant ID</w:t>
      </w:r>
    </w:p>
    <w:p>
      <w:pPr>
        <w:spacing w:after="0" w:line="2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We are pleased to advise you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141" w:lineRule="exact"/>
        <w:rPr>
          <w:sz w:val="20"/>
          <w:szCs w:val="20"/>
          <w:color w:val="auto"/>
        </w:rPr>
      </w:pPr>
    </w:p>
    <w:p>
      <w:pPr>
        <w:ind w:right="440"/>
        <w:spacing w:after="0" w:line="311" w:lineRule="auto"/>
        <w:rPr>
          <w:sz w:val="20"/>
          <w:szCs w:val="20"/>
          <w:color w:val="auto"/>
        </w:rPr>
      </w:pPr>
      <w:r>
        <w:rPr>
          <w:rFonts w:ascii="Times New Roman" w:cs="Times New Roman" w:eastAsia="Times New Roman" w:hAnsi="Times New Roman"/>
          <w:sz w:val="20"/>
          <w:szCs w:val="20"/>
          <w:color w:val="auto"/>
        </w:rPr>
        <w:t>All terms not defined herein shall have the meanings assigned to such terms in the Analog Devices, Inc. 2020 Equity Incentive Plan (the “Plan”).</w:t>
      </w:r>
    </w:p>
    <w:p>
      <w:pPr>
        <w:spacing w:after="0" w:line="119"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340"/>
        <w:spacing w:after="0" w:line="28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Restricted Stock Unit Agreement, including any applicable country-specific provisions set forth in Appendix A (the “Agreement”) confirms that, subject to the terms and conditions of the Plan, the Company has granted to the Participant, effective on the Date of Grant set forth below, that number of RSUs set forth below:</w:t>
      </w:r>
    </w:p>
    <w:p>
      <w:pPr>
        <w:sectPr>
          <w:pgSz w:w="11900" w:h="16838" w:orient="portrait"/>
          <w:cols w:equalWidth="0" w:num="1">
            <w:col w:w="11240"/>
          </w:cols>
          <w:pgMar w:left="320" w:top="1440" w:right="339" w:bottom="1440" w:gutter="0" w:footer="0" w:header="0"/>
        </w:sectPr>
      </w:pP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of Grant:</w:t>
      </w:r>
    </w:p>
    <w:p>
      <w:pPr>
        <w:ind w:left="660"/>
        <w:spacing w:after="0"/>
        <w:rPr>
          <w:sz w:val="20"/>
          <w:szCs w:val="20"/>
          <w:color w:val="auto"/>
        </w:rPr>
      </w:pPr>
      <w:r>
        <w:rPr>
          <w:rFonts w:ascii="Times New Roman" w:cs="Times New Roman" w:eastAsia="Times New Roman" w:hAnsi="Times New Roman"/>
          <w:sz w:val="19"/>
          <w:szCs w:val="19"/>
          <w:color w:val="auto"/>
        </w:rPr>
        <w:t>Number of RSUs Granted: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Date</w:t>
      </w:r>
    </w:p>
    <w:p>
      <w:pPr>
        <w:ind w:left="780"/>
        <w:spacing w:after="0"/>
        <w:rPr>
          <w:sz w:val="20"/>
          <w:szCs w:val="20"/>
          <w:color w:val="auto"/>
        </w:rPr>
      </w:pPr>
      <w:r>
        <w:rPr>
          <w:rFonts w:ascii="Times New Roman" w:cs="Times New Roman" w:eastAsia="Times New Roman" w:hAnsi="Times New Roman"/>
          <w:sz w:val="19"/>
          <w:szCs w:val="19"/>
          <w:color w:val="auto"/>
        </w:rPr>
        <w:t>Number of Awards Granted</w:t>
      </w:r>
    </w:p>
    <w:p>
      <w:pPr>
        <w:spacing w:after="0" w:line="200" w:lineRule="exact"/>
        <w:rPr>
          <w:sz w:val="20"/>
          <w:szCs w:val="20"/>
          <w:color w:val="auto"/>
        </w:rPr>
      </w:pPr>
    </w:p>
    <w:p>
      <w:pPr>
        <w:sectPr>
          <w:pgSz w:w="11900" w:h="16838" w:orient="portrait"/>
          <w:cols w:equalWidth="0" w:num="2">
            <w:col w:w="2780" w:space="200"/>
            <w:col w:w="8260"/>
          </w:cols>
          <w:pgMar w:left="320" w:top="1440" w:right="339" w:bottom="1440" w:gutter="0" w:footer="0" w:header="0"/>
          <w:type w:val="continuous"/>
        </w:sectPr>
      </w:pPr>
    </w:p>
    <w:p>
      <w:pPr>
        <w:spacing w:after="0" w:line="5" w:lineRule="exact"/>
        <w:rPr>
          <w:sz w:val="20"/>
          <w:szCs w:val="20"/>
          <w:color w:val="auto"/>
        </w:rPr>
      </w:pPr>
    </w:p>
    <w:p>
      <w:pPr>
        <w:jc w:val="right"/>
        <w:ind w:left="660"/>
        <w:spacing w:after="0" w:line="215" w:lineRule="auto"/>
        <w:rPr>
          <w:sz w:val="20"/>
          <w:szCs w:val="20"/>
          <w:color w:val="auto"/>
        </w:rPr>
      </w:pPr>
      <w:r>
        <w:rPr>
          <w:rFonts w:ascii="Times New Roman" w:cs="Times New Roman" w:eastAsia="Times New Roman" w:hAnsi="Times New Roman"/>
          <w:sz w:val="20"/>
          <w:szCs w:val="20"/>
          <w:color w:val="auto"/>
        </w:rPr>
        <w:t>Vesting Schedule:   The RSUs shall vest on the earlier of March 13, 2025 or the date of the Company’s next annual meeting of shareholders, subject to the Participant’s continued service as a member of the Board (a “Director”), except</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as otherwise set forth in Section 2.</w:t>
      </w:r>
    </w:p>
    <w:p>
      <w:pPr>
        <w:spacing w:after="0" w:line="207" w:lineRule="exact"/>
        <w:rPr>
          <w:sz w:val="20"/>
          <w:szCs w:val="20"/>
          <w:color w:val="auto"/>
        </w:rPr>
      </w:pPr>
    </w:p>
    <w:p>
      <w:pPr>
        <w:jc w:val="both"/>
        <w:ind w:left="340"/>
        <w:spacing w:after="0" w:line="289" w:lineRule="auto"/>
        <w:rPr>
          <w:sz w:val="20"/>
          <w:szCs w:val="20"/>
          <w:color w:val="auto"/>
        </w:rPr>
      </w:pPr>
      <w:r>
        <w:rPr>
          <w:rFonts w:ascii="Times New Roman" w:cs="Times New Roman" w:eastAsia="Times New Roman" w:hAnsi="Times New Roman"/>
          <w:sz w:val="20"/>
          <w:szCs w:val="20"/>
          <w:color w:val="auto"/>
        </w:rPr>
        <w:t>Each one (1) RSU shall, if and when it vests in accordance with this Award,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141"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Conversion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78" w:lineRule="auto"/>
        <w:tabs>
          <w:tab w:leader="none" w:pos="88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the Plan and this Award, the RSUs shall vest and be settled in accordance with the schedule set forth in Section 1. 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type w:val="continuous"/>
        </w:sectPr>
      </w:pPr>
    </w:p>
    <w:bookmarkStart w:id="136" w:name="page137"/>
    <w:bookmarkEnd w:id="136"/>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652"/>
        <w:spacing w:after="0" w:line="311" w:lineRule="auto"/>
        <w:rPr>
          <w:sz w:val="20"/>
          <w:szCs w:val="20"/>
          <w:color w:val="auto"/>
        </w:rPr>
      </w:pPr>
      <w:r>
        <w:rPr>
          <w:rFonts w:ascii="Times New Roman" w:cs="Times New Roman" w:eastAsia="Times New Roman" w:hAnsi="Times New Roman"/>
          <w:sz w:val="20"/>
          <w:szCs w:val="20"/>
          <w:color w:val="auto"/>
        </w:rPr>
        <w:t>relevant provisions of law and other legal requirements including, without limitation, any applicable securities laws and the requirements of any stock exchange upon which shares of Common Stock may then be listed.</w:t>
      </w:r>
    </w:p>
    <w:p>
      <w:pPr>
        <w:spacing w:after="0" w:line="119" w:lineRule="exact"/>
        <w:rPr>
          <w:sz w:val="20"/>
          <w:szCs w:val="20"/>
          <w:color w:val="auto"/>
        </w:rPr>
      </w:pPr>
    </w:p>
    <w:p>
      <w:pPr>
        <w:jc w:val="both"/>
        <w:ind w:left="652" w:hanging="328"/>
        <w:spacing w:after="0" w:line="289" w:lineRule="auto"/>
        <w:tabs>
          <w:tab w:leader="none" w:pos="839"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41" w:lineRule="exact"/>
        <w:rPr>
          <w:rFonts w:ascii="Times New Roman" w:cs="Times New Roman" w:eastAsia="Times New Roman" w:hAnsi="Times New Roman"/>
          <w:sz w:val="20"/>
          <w:szCs w:val="20"/>
          <w:color w:val="auto"/>
        </w:rPr>
      </w:pPr>
    </w:p>
    <w:p>
      <w:pPr>
        <w:ind w:left="792" w:hanging="468"/>
        <w:spacing w:after="0"/>
        <w:tabs>
          <w:tab w:leader="none" w:pos="792"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Participant </w:t>
      </w:r>
      <w:r>
        <w:rPr>
          <w:rFonts w:ascii="Times New Roman" w:cs="Times New Roman" w:eastAsia="Times New Roman" w:hAnsi="Times New Roman"/>
          <w:sz w:val="20"/>
          <w:szCs w:val="20"/>
          <w:u w:val="single" w:color="auto"/>
          <w:color w:val="auto"/>
        </w:rPr>
        <w:t>dies</w:t>
      </w:r>
      <w:r>
        <w:rPr>
          <w:rFonts w:ascii="Times New Roman" w:cs="Times New Roman" w:eastAsia="Times New Roman" w:hAnsi="Times New Roman"/>
          <w:sz w:val="20"/>
          <w:szCs w:val="20"/>
          <w:color w:val="auto"/>
        </w:rPr>
        <w:t xml:space="preserve"> while a Director, all Unvested RSUs shall vest in full as of the date of the Participant’s death.</w:t>
      </w:r>
    </w:p>
    <w:p>
      <w:pPr>
        <w:spacing w:after="0" w:line="202" w:lineRule="exact"/>
        <w:rPr>
          <w:rFonts w:ascii="Times New Roman" w:cs="Times New Roman" w:eastAsia="Times New Roman" w:hAnsi="Times New Roman"/>
          <w:sz w:val="20"/>
          <w:szCs w:val="20"/>
          <w:color w:val="auto"/>
        </w:rPr>
      </w:pPr>
    </w:p>
    <w:p>
      <w:pPr>
        <w:jc w:val="both"/>
        <w:ind w:left="652" w:hanging="328"/>
        <w:spacing w:after="0" w:line="289" w:lineRule="auto"/>
        <w:tabs>
          <w:tab w:leader="none" w:pos="825"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Participant ceases to be a Director upon incurring a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the Unvested RSUs as of the date of the Participant ceases to be a Director shall vest in full as of such date. “Disability” with respect to the Participant shall have the meaning set forth in Section 409(a)(2)(C) of the Code.</w:t>
      </w:r>
    </w:p>
    <w:p>
      <w:pPr>
        <w:spacing w:after="0" w:line="141" w:lineRule="exact"/>
        <w:rPr>
          <w:rFonts w:ascii="Times New Roman" w:cs="Times New Roman" w:eastAsia="Times New Roman" w:hAnsi="Times New Roman"/>
          <w:sz w:val="20"/>
          <w:szCs w:val="20"/>
          <w:color w:val="auto"/>
        </w:rPr>
      </w:pPr>
    </w:p>
    <w:p>
      <w:pPr>
        <w:jc w:val="both"/>
        <w:ind w:left="652" w:hanging="328"/>
        <w:spacing w:after="0" w:line="289" w:lineRule="auto"/>
        <w:tabs>
          <w:tab w:leader="none" w:pos="808"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Participant becomes an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141" w:lineRule="exact"/>
        <w:rPr>
          <w:rFonts w:ascii="Times New Roman" w:cs="Times New Roman" w:eastAsia="Times New Roman" w:hAnsi="Times New Roman"/>
          <w:sz w:val="20"/>
          <w:szCs w:val="20"/>
          <w:color w:val="auto"/>
        </w:rPr>
      </w:pPr>
    </w:p>
    <w:p>
      <w:pPr>
        <w:ind w:left="652" w:hanging="328"/>
        <w:spacing w:after="0" w:line="311" w:lineRule="auto"/>
        <w:tabs>
          <w:tab w:leader="none" w:pos="792"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Plan or herein, all Unvested RSUs shall vest in full as of a Change in Control Event (as defined in the Plan).</w:t>
      </w:r>
    </w:p>
    <w:p>
      <w:pPr>
        <w:spacing w:after="0" w:line="105" w:lineRule="exact"/>
        <w:rPr>
          <w:rFonts w:ascii="Times New Roman" w:cs="Times New Roman" w:eastAsia="Times New Roman" w:hAnsi="Times New Roman"/>
          <w:sz w:val="20"/>
          <w:szCs w:val="20"/>
          <w:color w:val="auto"/>
        </w:rPr>
      </w:pPr>
    </w:p>
    <w:p>
      <w:pPr>
        <w:ind w:left="652" w:hanging="328"/>
        <w:spacing w:after="0" w:line="340" w:lineRule="auto"/>
        <w:tabs>
          <w:tab w:leader="none" w:pos="823"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96" w:lineRule="exact"/>
        <w:rPr>
          <w:rFonts w:ascii="Times New Roman" w:cs="Times New Roman" w:eastAsia="Times New Roman" w:hAnsi="Times New Roman"/>
          <w:sz w:val="19"/>
          <w:szCs w:val="19"/>
          <w:color w:val="auto"/>
        </w:rPr>
      </w:pPr>
    </w:p>
    <w:p>
      <w:pPr>
        <w:ind w:left="332" w:hanging="332"/>
        <w:spacing w:after="0"/>
        <w:tabs>
          <w:tab w:leader="none" w:pos="33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92" w:hanging="468"/>
        <w:spacing w:after="0"/>
        <w:tabs>
          <w:tab w:leader="none" w:pos="792"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not sell, assign, transfer, pledge or otherwise encumber any RSUs, either voluntarily or by operation of law.</w:t>
      </w:r>
    </w:p>
    <w:p>
      <w:pPr>
        <w:spacing w:after="0" w:line="202" w:lineRule="exact"/>
        <w:rPr>
          <w:rFonts w:ascii="Times New Roman" w:cs="Times New Roman" w:eastAsia="Times New Roman" w:hAnsi="Times New Roman"/>
          <w:sz w:val="20"/>
          <w:szCs w:val="20"/>
          <w:color w:val="auto"/>
        </w:rPr>
      </w:pPr>
    </w:p>
    <w:p>
      <w:pPr>
        <w:jc w:val="both"/>
        <w:ind w:left="652" w:hanging="328"/>
        <w:spacing w:after="0" w:line="289" w:lineRule="auto"/>
        <w:tabs>
          <w:tab w:leader="none" w:pos="833"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41" w:lineRule="exact"/>
        <w:rPr>
          <w:rFonts w:ascii="Times New Roman" w:cs="Times New Roman" w:eastAsia="Times New Roman" w:hAnsi="Times New Roman"/>
          <w:sz w:val="20"/>
          <w:szCs w:val="20"/>
          <w:color w:val="auto"/>
        </w:rPr>
      </w:pPr>
    </w:p>
    <w:p>
      <w:pPr>
        <w:jc w:val="both"/>
        <w:ind w:left="332" w:hanging="332"/>
        <w:spacing w:after="0" w:line="282" w:lineRule="auto"/>
        <w:tabs>
          <w:tab w:leader="none" w:pos="33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 a Shareholder</w:t>
      </w:r>
      <w:r>
        <w:rPr>
          <w:rFonts w:ascii="Times New Roman" w:cs="Times New Roman" w:eastAsia="Times New Roman" w:hAnsi="Times New Roman"/>
          <w:sz w:val="20"/>
          <w:szCs w:val="20"/>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47" w:lineRule="exact"/>
        <w:rPr>
          <w:rFonts w:ascii="Times New Roman" w:cs="Times New Roman" w:eastAsia="Times New Roman" w:hAnsi="Times New Roman"/>
          <w:sz w:val="20"/>
          <w:szCs w:val="20"/>
          <w:color w:val="auto"/>
        </w:rPr>
      </w:pPr>
    </w:p>
    <w:p>
      <w:pPr>
        <w:ind w:left="332" w:hanging="332"/>
        <w:spacing w:after="0"/>
        <w:tabs>
          <w:tab w:leader="none" w:pos="33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the Plan</w:t>
      </w:r>
      <w:r>
        <w:rPr>
          <w:rFonts w:ascii="Times New Roman" w:cs="Times New Roman" w:eastAsia="Times New Roman" w:hAnsi="Times New Roman"/>
          <w:sz w:val="20"/>
          <w:szCs w:val="20"/>
          <w:color w:val="auto"/>
        </w:rPr>
        <w:t>. The RSUs and Shares, including the grant and issuance thereof, are subject to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32"/>
          </w:cols>
          <w:pgMar w:left="328" w:top="1440" w:right="339" w:bottom="1440" w:gutter="0" w:footer="0" w:header="0"/>
        </w:sectPr>
      </w:pPr>
    </w:p>
    <w:bookmarkStart w:id="137" w:name="page138"/>
    <w:bookmarkEnd w:id="137"/>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40" w:hanging="332"/>
        <w:spacing w:after="0" w:line="289" w:lineRule="auto"/>
        <w:tabs>
          <w:tab w:leader="none" w:pos="3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Any Shares that are issued and any cash payment that is delivered, in either case upon settlement of the RSUs pursuant to this Award, will be in consideration of the Participant’s service as a member of the Board and/or the Participant’s continued employment with the Company, which consideration is deemed sufficient.</w:t>
      </w:r>
    </w:p>
    <w:p>
      <w:pPr>
        <w:spacing w:after="0" w:line="14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660" w:hanging="328"/>
        <w:spacing w:after="0" w:line="291" w:lineRule="auto"/>
        <w:tabs>
          <w:tab w:leader="none" w:pos="886"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Regardless of any action the Company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due by the Participant is and remains the Participant’s responsibility and may exceed the amount, if any, actually withheld by the Company. The Participant further acknowledges that the Company (i) makes no representations or undertakings regarding the treatment of any Tax-Related Items in connection with any aspect of the RSUs, including the grant or vesting of the RSUs, the subsequent sale of any Shares acquired pursuant to the RSUs and the receipt of any dividends; and (ii) does not commit to structure the terms of the grant or any aspect of the RSUs to reduce or eliminate the Participant’s liability for Tax-Related Items. Further, if the Participant becomes subject</w:t>
      </w:r>
    </w:p>
    <w:p>
      <w:pPr>
        <w:jc w:val="both"/>
        <w:ind w:left="660"/>
        <w:spacing w:after="0" w:line="28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Tax-Related Items in more than one jurisdiction between the Date of Grant and the date of any relevant taxable or tax withholding event, as applicable, the Participant acknowledges that the Company may be required to withhold or account for Tax-Related Items in more than one jurisdiction.</w:t>
      </w:r>
    </w:p>
    <w:p>
      <w:pPr>
        <w:spacing w:after="0" w:line="141" w:lineRule="exact"/>
        <w:rPr>
          <w:rFonts w:ascii="Times New Roman" w:cs="Times New Roman" w:eastAsia="Times New Roman" w:hAnsi="Times New Roman"/>
          <w:sz w:val="19"/>
          <w:szCs w:val="19"/>
          <w:color w:val="auto"/>
        </w:rPr>
      </w:pPr>
    </w:p>
    <w:p>
      <w:pPr>
        <w:jc w:val="both"/>
        <w:ind w:left="660" w:hanging="328"/>
        <w:spacing w:after="0" w:line="282" w:lineRule="auto"/>
        <w:tabs>
          <w:tab w:leader="none" w:pos="987"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relevant taxable or tax withholding event, as applicable, the Participant will pay or make adequate arrangements satisfactory to the Company to satisfy all Tax-Related Items. In this regard, the Participant authorizes the Company, or its agents, at their discretion, to satisfy withholding obligations, if any, with regard to all Tax-Related Items, if any, by one or a combination of methods set forth below:</w:t>
      </w:r>
    </w:p>
    <w:p>
      <w:pPr>
        <w:spacing w:after="0" w:line="147" w:lineRule="exact"/>
        <w:rPr>
          <w:rFonts w:ascii="Times New Roman" w:cs="Times New Roman" w:eastAsia="Times New Roman" w:hAnsi="Times New Roman"/>
          <w:sz w:val="20"/>
          <w:szCs w:val="20"/>
          <w:color w:val="auto"/>
        </w:rPr>
      </w:pPr>
    </w:p>
    <w:p>
      <w:pPr>
        <w:jc w:val="both"/>
        <w:ind w:left="1300" w:hanging="320"/>
        <w:spacing w:after="0" w:line="282" w:lineRule="auto"/>
        <w:tabs>
          <w:tab w:leader="none" w:pos="1296" w:val="left"/>
        </w:tabs>
        <w:numPr>
          <w:ilvl w:val="2"/>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approved in advance by the Board or the Compensation Committee of the Board, the Company may withhold a number of whole Shares otherwise issuable upon vesting of the RSUs that have an aggregate Fair Market Value sufficient to pay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w:t>
      </w:r>
    </w:p>
    <w:p>
      <w:pPr>
        <w:spacing w:after="0" w:line="147" w:lineRule="exact"/>
        <w:rPr>
          <w:rFonts w:ascii="Times New Roman" w:cs="Times New Roman" w:eastAsia="Times New Roman" w:hAnsi="Times New Roman"/>
          <w:sz w:val="20"/>
          <w:szCs w:val="20"/>
          <w:color w:val="auto"/>
        </w:rPr>
      </w:pPr>
    </w:p>
    <w:p>
      <w:pPr>
        <w:ind w:left="1300" w:hanging="320"/>
        <w:spacing w:after="0" w:line="297" w:lineRule="auto"/>
        <w:tabs>
          <w:tab w:leader="none" w:pos="1297" w:val="left"/>
        </w:tabs>
        <w:numPr>
          <w:ilvl w:val="2"/>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in its discretion, withhold any amount necessary to pay the Tax-Related Items from the Participant’s cash compensation or other amounts payable to the Participant.</w:t>
      </w:r>
    </w:p>
    <w:p>
      <w:pPr>
        <w:spacing w:after="0" w:line="132" w:lineRule="exact"/>
        <w:rPr>
          <w:rFonts w:ascii="Times New Roman" w:cs="Times New Roman" w:eastAsia="Times New Roman" w:hAnsi="Times New Roman"/>
          <w:sz w:val="20"/>
          <w:szCs w:val="20"/>
          <w:color w:val="auto"/>
        </w:rPr>
      </w:pPr>
    </w:p>
    <w:p>
      <w:pPr>
        <w:ind w:left="1300" w:hanging="320"/>
        <w:spacing w:after="0" w:line="311" w:lineRule="auto"/>
        <w:tabs>
          <w:tab w:leader="none" w:pos="1298" w:val="left"/>
        </w:tabs>
        <w:numPr>
          <w:ilvl w:val="2"/>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from proceeds of the sale of Shares either through a voluntary sale or through a mandatory sale arranged by the Company (on the Participant’s behalf pursuant to this authorization).</w:t>
      </w:r>
    </w:p>
    <w:p>
      <w:pPr>
        <w:spacing w:after="0" w:line="105"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2"/>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determined by the Company, to the extent permitted under the Plan and applicable laws.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1300"/>
        <w:spacing w:after="0" w:line="294" w:lineRule="auto"/>
        <w:rPr>
          <w:sz w:val="20"/>
          <w:szCs w:val="20"/>
          <w:color w:val="auto"/>
        </w:rPr>
      </w:pPr>
      <w:r>
        <w:rPr>
          <w:rFonts w:ascii="Times New Roman" w:cs="Times New Roman" w:eastAsia="Times New Roman" w:hAnsi="Times New Roman"/>
          <w:sz w:val="19"/>
          <w:szCs w:val="19"/>
          <w:color w:val="auto"/>
        </w:rPr>
        <w:t>The Company may withhold or account for Tax-Related Items by considering statutory withholding amounts or other applicable withholding rates, including maximum applicable rates in the Participant’s jurisdiction(s). If the Company withholds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withholds less than the amount necessary to satisfy the liability for Tax-Related Items, the Participant may be required to pay additional Tax-Related Items directly to the applicable tax authorities or to the Company.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43" w:lineRule="exact"/>
        <w:rPr>
          <w:sz w:val="20"/>
          <w:szCs w:val="20"/>
          <w:color w:val="auto"/>
        </w:rPr>
      </w:pPr>
    </w:p>
    <w:p>
      <w:pPr>
        <w:jc w:val="both"/>
        <w:ind w:left="1300"/>
        <w:spacing w:after="0" w:line="279" w:lineRule="auto"/>
        <w:rPr>
          <w:sz w:val="20"/>
          <w:szCs w:val="20"/>
          <w:color w:val="auto"/>
        </w:rPr>
      </w:pPr>
      <w:r>
        <w:rPr>
          <w:rFonts w:ascii="Times New Roman" w:cs="Times New Roman" w:eastAsia="Times New Roman" w:hAnsi="Times New Roman"/>
          <w:sz w:val="20"/>
          <w:szCs w:val="20"/>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54" w:lineRule="exact"/>
        <w:rPr>
          <w:sz w:val="20"/>
          <w:szCs w:val="20"/>
          <w:color w:val="auto"/>
        </w:rPr>
      </w:pPr>
    </w:p>
    <w:p>
      <w:pPr>
        <w:jc w:val="both"/>
        <w:ind w:left="340" w:hanging="332"/>
        <w:spacing w:after="0" w:line="279" w:lineRule="auto"/>
        <w:tabs>
          <w:tab w:leader="none" w:pos="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of Company to Deliver Cash</w:t>
      </w:r>
      <w:r>
        <w:rPr>
          <w:rFonts w:ascii="Times New Roman" w:cs="Times New Roman" w:eastAsia="Times New Roman" w:hAnsi="Times New Roman"/>
          <w:sz w:val="20"/>
          <w:szCs w:val="20"/>
          <w:color w:val="auto"/>
        </w:rPr>
        <w:t>. Notwithstanding any of the other provisions of this Award, where settlement in Shares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 Related Items withholding obligations of the Company pursuant to Section 7 herein.</w:t>
      </w:r>
    </w:p>
    <w:p>
      <w:pPr>
        <w:spacing w:after="0" w:line="153" w:lineRule="exact"/>
        <w:rPr>
          <w:rFonts w:ascii="Times New Roman" w:cs="Times New Roman" w:eastAsia="Times New Roman" w:hAnsi="Times New Roman"/>
          <w:sz w:val="20"/>
          <w:szCs w:val="20"/>
          <w:color w:val="auto"/>
        </w:rPr>
      </w:pPr>
    </w:p>
    <w:p>
      <w:pPr>
        <w:jc w:val="both"/>
        <w:ind w:left="340" w:hanging="332"/>
        <w:spacing w:after="0" w:line="282" w:lineRule="auto"/>
        <w:tabs>
          <w:tab w:leader="none" w:pos="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the underlying Shares. The Participant is encouraged to consult with his or her own personal tax, legal and financial advisors regarding his or her participation in the Plan before taking any action related to the Plan.</w:t>
      </w:r>
    </w:p>
    <w:p>
      <w:pPr>
        <w:spacing w:after="0" w:line="143" w:lineRule="exact"/>
        <w:rPr>
          <w:rFonts w:ascii="Times New Roman" w:cs="Times New Roman" w:eastAsia="Times New Roman" w:hAnsi="Times New Roman"/>
          <w:sz w:val="20"/>
          <w:szCs w:val="20"/>
          <w:color w:val="auto"/>
        </w:rPr>
      </w:pPr>
    </w:p>
    <w:p>
      <w:pPr>
        <w:jc w:val="both"/>
        <w:ind w:left="340" w:hanging="332"/>
        <w:spacing w:after="0" w:line="288" w:lineRule="auto"/>
        <w:tabs>
          <w:tab w:leader="none" w:pos="331"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 Information and Consent (applicable only if the Participant resides outside the United States)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The Company is located at One Analog Way, Wilmington, Massachusetts, 01887 U.S.A. and grants directors of the Company RSUs, at the Company’s sole discretion. If the Participant would like to participate in the Plan, please review the following information about the Company’s data processing practices and declare the Participant’s consent.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8" w:hanging="328"/>
        <w:spacing w:after="0" w:line="280" w:lineRule="auto"/>
        <w:tabs>
          <w:tab w:leader="none" w:pos="317" w:val="left"/>
        </w:tabs>
        <w:numPr>
          <w:ilvl w:val="0"/>
          <w:numId w:val="1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46"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0" w:lineRule="auto"/>
        <w:tabs>
          <w:tab w:leader="none" w:pos="317" w:val="left"/>
        </w:tabs>
        <w:numPr>
          <w:ilvl w:val="0"/>
          <w:numId w:val="1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46"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79" w:lineRule="auto"/>
        <w:tabs>
          <w:tab w:leader="none" w:pos="320" w:val="left"/>
        </w:tabs>
        <w:numPr>
          <w:ilvl w:val="0"/>
          <w:numId w:val="1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34"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3" w:lineRule="auto"/>
        <w:tabs>
          <w:tab w:leader="none" w:pos="317" w:val="left"/>
        </w:tabs>
        <w:numPr>
          <w:ilvl w:val="0"/>
          <w:numId w:val="1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Retention</w:t>
      </w:r>
      <w:r>
        <w:rPr>
          <w:rFonts w:ascii="Times New Roman" w:cs="Times New Roman" w:eastAsia="Times New Roman" w:hAnsi="Times New Roman"/>
          <w:sz w:val="20"/>
          <w:szCs w:val="20"/>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service as a director. If the Company keeps data longer, it would be to satisfy legal or regulatory obligations and the Company’s legal basis would be relevant laws or regulations.</w:t>
      </w:r>
    </w:p>
    <w:p>
      <w:pPr>
        <w:spacing w:after="0" w:line="142"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3" w:lineRule="auto"/>
        <w:tabs>
          <w:tab w:leader="none" w:pos="320" w:val="left"/>
        </w:tabs>
        <w:numPr>
          <w:ilvl w:val="0"/>
          <w:numId w:val="1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relationship with the Company; the Participant would merely forfeit the opportunities associated with the Plan.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8"/>
          </w:cols>
          <w:pgMar w:left="652" w:top="1440" w:right="339" w:bottom="1440" w:gutter="0" w:footer="0" w:header="0"/>
        </w:sectPr>
      </w:pPr>
    </w:p>
    <w:bookmarkStart w:id="140" w:name="page141"/>
    <w:bookmarkEnd w:id="140"/>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60" w:hanging="328"/>
        <w:spacing w:after="0" w:line="280" w:lineRule="auto"/>
        <w:tabs>
          <w:tab w:leader="none" w:pos="657"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Subject Rights</w:t>
      </w:r>
      <w:r>
        <w:rPr>
          <w:rFonts w:ascii="Times New Roman" w:cs="Times New Roman" w:eastAsia="Times New Roman" w:hAnsi="Times New Roman"/>
          <w:sz w:val="20"/>
          <w:szCs w:val="20"/>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50" w:lineRule="exact"/>
        <w:rPr>
          <w:rFonts w:ascii="Times New Roman" w:cs="Times New Roman" w:eastAsia="Times New Roman" w:hAnsi="Times New Roman"/>
          <w:sz w:val="20"/>
          <w:szCs w:val="20"/>
          <w:color w:val="auto"/>
        </w:rPr>
      </w:pPr>
    </w:p>
    <w:p>
      <w:pPr>
        <w:jc w:val="both"/>
        <w:ind w:left="340" w:hanging="332"/>
        <w:spacing w:after="0" w:line="279" w:lineRule="auto"/>
        <w:tabs>
          <w:tab w:leader="none" w:pos="32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Repatriation: Compliance with Laws</w:t>
      </w:r>
      <w:r>
        <w:rPr>
          <w:rFonts w:ascii="Times New Roman" w:cs="Times New Roman" w:eastAsia="Times New Roman" w:hAnsi="Times New Roman"/>
          <w:sz w:val="20"/>
          <w:szCs w:val="20"/>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5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hanging="324"/>
        <w:spacing w:after="0" w:line="27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No Rights to Board Service</w:t>
      </w:r>
      <w:r>
        <w:rPr>
          <w:rFonts w:ascii="Times New Roman" w:cs="Times New Roman" w:eastAsia="Times New Roman" w:hAnsi="Times New Roman"/>
          <w:sz w:val="20"/>
          <w:szCs w:val="20"/>
          <w:color w:val="auto"/>
        </w:rPr>
        <w:t>. The grant of the RSUs shall not confer upon the Participant any right to continue to serve on the Board or, if applicable, as an employee of the Company or its subsidiaries, nor limit in any way the terms of the Participant’s service on the Board, including for removal therefrom. Except in the event of a termination of employment due to death or Disability, the vesting of the RSUs pursuant to Section 2 hereof is earned only by satisfaction of the performance conditions, if any, and continuing service on the Board or as otherwise set forth in Section 2 (not through the act of being elected, hired or engaged or being granted the RSUs hereunder).</w:t>
      </w:r>
    </w:p>
    <w:p>
      <w:pPr>
        <w:spacing w:after="0" w:line="150" w:lineRule="exact"/>
        <w:rPr>
          <w:rFonts w:ascii="Times New Roman" w:cs="Times New Roman" w:eastAsia="Times New Roman" w:hAnsi="Times New Roman"/>
          <w:sz w:val="20"/>
          <w:szCs w:val="20"/>
          <w:color w:val="auto"/>
        </w:rPr>
      </w:pPr>
    </w:p>
    <w:p>
      <w:pPr>
        <w:ind w:left="660" w:hanging="324"/>
        <w:spacing w:after="0" w:line="27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Discretionary Nature</w:t>
      </w:r>
      <w:r>
        <w:rPr>
          <w:rFonts w:ascii="Times New Roman" w:cs="Times New Roman" w:eastAsia="Times New Roman" w:hAnsi="Times New Roman"/>
          <w:sz w:val="20"/>
          <w:szCs w:val="20"/>
          <w:color w:val="auto"/>
        </w:rPr>
        <w:t>. The Participant acknowledges and agrees that the Plan is discretionary in nature and may be amended, cancelled, or terminated by the Company at any time, to the extent permitted under the Plan.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service with the Company.</w:t>
      </w:r>
    </w:p>
    <w:p>
      <w:pPr>
        <w:spacing w:after="0" w:line="153" w:lineRule="exact"/>
        <w:rPr>
          <w:rFonts w:ascii="Times New Roman" w:cs="Times New Roman" w:eastAsia="Times New Roman" w:hAnsi="Times New Roman"/>
          <w:sz w:val="20"/>
          <w:szCs w:val="20"/>
          <w:color w:val="auto"/>
        </w:rPr>
      </w:pPr>
    </w:p>
    <w:p>
      <w:pPr>
        <w:ind w:left="660" w:hanging="324"/>
        <w:spacing w:after="0" w:line="28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Exclusion from Termination Indemnities and Other Benefits</w:t>
      </w:r>
      <w:r>
        <w:rPr>
          <w:rFonts w:ascii="Times New Roman" w:cs="Times New Roman" w:eastAsia="Times New Roman" w:hAnsi="Times New Roman"/>
          <w:sz w:val="20"/>
          <w:szCs w:val="20"/>
          <w:color w:val="auto"/>
        </w:rPr>
        <w:t>. The Participant’s participation in the Plan is voluntary. The value of the RSUs and any other awards granted under the Plan is an extraordinary item of compensation outside the scope of the Participant’s service on the Board. Any grant under the Plan, including the grant of the RSUs and the income and value of same, is not part of normal or expected compensation for purposes of calculating any severance, resignation, redundancy, end of service payments, bonuses, long-service awards, pension, or retirement benefits or similar payments.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center"/>
        <w:ind w:right="-7"/>
        <w:spacing w:after="0"/>
        <w:rPr>
          <w:sz w:val="20"/>
          <w:szCs w:val="20"/>
          <w:color w:val="auto"/>
        </w:rPr>
      </w:pPr>
      <w:r>
        <w:rPr>
          <w:rFonts w:ascii="Times New Roman" w:cs="Times New Roman" w:eastAsia="Times New Roman" w:hAnsi="Times New Roman"/>
          <w:sz w:val="20"/>
          <w:szCs w:val="20"/>
          <w:color w:val="auto"/>
        </w:rPr>
        <w:t>The grant of RSUs should in no event be considered as compensation for, or in any way related to, past services for the Company.</w:t>
      </w:r>
    </w:p>
    <w:p>
      <w:pPr>
        <w:spacing w:after="0" w:line="216" w:lineRule="exact"/>
        <w:rPr>
          <w:sz w:val="20"/>
          <w:szCs w:val="20"/>
          <w:color w:val="auto"/>
        </w:rPr>
      </w:pPr>
    </w:p>
    <w:p>
      <w:pPr>
        <w:jc w:val="both"/>
        <w:ind w:left="328" w:hanging="328"/>
        <w:spacing w:after="0" w:line="286" w:lineRule="auto"/>
        <w:tabs>
          <w:tab w:leader="none" w:pos="31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Rates</w:t>
      </w:r>
      <w:r>
        <w:rPr>
          <w:rFonts w:ascii="Times New Roman" w:cs="Times New Roman" w:eastAsia="Times New Roman" w:hAnsi="Times New Roman"/>
          <w:sz w:val="20"/>
          <w:szCs w:val="20"/>
          <w:color w:val="auto"/>
        </w:rPr>
        <w:t>. This Section 12(d) applies if the Participant resides outside the U.S.: The Participant acknowledges and agrees that the Company shall not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45" w:lineRule="exact"/>
        <w:rPr>
          <w:rFonts w:ascii="Times New Roman" w:cs="Times New Roman" w:eastAsia="Times New Roman" w:hAnsi="Times New Roman"/>
          <w:sz w:val="20"/>
          <w:szCs w:val="20"/>
          <w:color w:val="auto"/>
        </w:rPr>
      </w:pPr>
    </w:p>
    <w:p>
      <w:pPr>
        <w:jc w:val="both"/>
        <w:ind w:left="328" w:hanging="328"/>
        <w:spacing w:after="0" w:line="289" w:lineRule="auto"/>
        <w:tabs>
          <w:tab w:leader="none" w:pos="31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spacing w:after="0" w:line="127" w:lineRule="exact"/>
        <w:rPr>
          <w:rFonts w:ascii="Times New Roman" w:cs="Times New Roman" w:eastAsia="Times New Roman" w:hAnsi="Times New Roman"/>
          <w:sz w:val="20"/>
          <w:szCs w:val="20"/>
          <w:color w:val="auto"/>
        </w:rPr>
      </w:pPr>
    </w:p>
    <w:p>
      <w:pPr>
        <w:jc w:val="both"/>
        <w:ind w:left="328" w:hanging="328"/>
        <w:spacing w:after="0" w:line="289" w:lineRule="auto"/>
        <w:tabs>
          <w:tab w:leader="none" w:pos="32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Award shall be binding upon and inure to the benefit of the Company and the Participant and his or her respective heirs, executors, administrators, legal representatives, successors and assigns, subject to the restrictions on transfer set forth in Section 3 of this Award.</w:t>
      </w:r>
    </w:p>
    <w:p>
      <w:pPr>
        <w:spacing w:after="0" w:line="141" w:lineRule="exact"/>
        <w:rPr>
          <w:rFonts w:ascii="Times New Roman" w:cs="Times New Roman" w:eastAsia="Times New Roman" w:hAnsi="Times New Roman"/>
          <w:sz w:val="20"/>
          <w:szCs w:val="20"/>
          <w:color w:val="auto"/>
        </w:rPr>
      </w:pPr>
    </w:p>
    <w:p>
      <w:pPr>
        <w:jc w:val="both"/>
        <w:ind w:left="328" w:hanging="328"/>
        <w:spacing w:after="0" w:line="300" w:lineRule="auto"/>
        <w:tabs>
          <w:tab w:leader="none" w:pos="316"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33" w:lineRule="exact"/>
        <w:rPr>
          <w:rFonts w:ascii="Times New Roman" w:cs="Times New Roman" w:eastAsia="Times New Roman" w:hAnsi="Times New Roman"/>
          <w:sz w:val="19"/>
          <w:szCs w:val="19"/>
          <w:color w:val="auto"/>
        </w:rPr>
      </w:pPr>
    </w:p>
    <w:p>
      <w:pPr>
        <w:ind w:left="328" w:hanging="328"/>
        <w:spacing w:after="0" w:line="311" w:lineRule="auto"/>
        <w:tabs>
          <w:tab w:leader="none" w:pos="31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Pronouns</w:t>
      </w:r>
      <w:r>
        <w:rPr>
          <w:rFonts w:ascii="Times New Roman" w:cs="Times New Roman" w:eastAsia="Times New Roman" w:hAnsi="Times New Roman"/>
          <w:sz w:val="20"/>
          <w:szCs w:val="20"/>
          <w:color w:val="auto"/>
        </w:rPr>
        <w:t>. Whenever the context may require, any pronouns used in this Award shall include the corresponding masculine, feminine or neuter forms, and the singular form of nouns and pronouns shall include the plural, and vice versa.</w:t>
      </w:r>
    </w:p>
    <w:p>
      <w:pPr>
        <w:spacing w:after="0" w:line="105" w:lineRule="exact"/>
        <w:rPr>
          <w:rFonts w:ascii="Times New Roman" w:cs="Times New Roman" w:eastAsia="Times New Roman" w:hAnsi="Times New Roman"/>
          <w:sz w:val="20"/>
          <w:szCs w:val="20"/>
          <w:color w:val="auto"/>
        </w:rPr>
      </w:pPr>
    </w:p>
    <w:p>
      <w:pPr>
        <w:ind w:left="328" w:hanging="328"/>
        <w:spacing w:after="0" w:line="311" w:lineRule="auto"/>
        <w:tabs>
          <w:tab w:leader="none" w:pos="32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Award and the Plan constitute the entire understanding between the parties, and supersede all prior agreements and understandings, relating to the subject matter of these documents.</w:t>
      </w:r>
    </w:p>
    <w:p>
      <w:pPr>
        <w:spacing w:after="0" w:line="119" w:lineRule="exact"/>
        <w:rPr>
          <w:rFonts w:ascii="Times New Roman" w:cs="Times New Roman" w:eastAsia="Times New Roman" w:hAnsi="Times New Roman"/>
          <w:sz w:val="20"/>
          <w:szCs w:val="20"/>
          <w:color w:val="auto"/>
        </w:rPr>
      </w:pPr>
    </w:p>
    <w:p>
      <w:pPr>
        <w:ind w:left="328" w:hanging="328"/>
        <w:spacing w:after="0" w:line="297" w:lineRule="auto"/>
        <w:tabs>
          <w:tab w:leader="none" w:pos="32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Award shall be construed, interpreted and enforced in accordance with the internal laws of the Commonwealth of Massachusetts without regard to any applicable conflicts of laws.</w:t>
      </w:r>
    </w:p>
    <w:p>
      <w:pPr>
        <w:spacing w:after="0" w:line="132" w:lineRule="exact"/>
        <w:rPr>
          <w:rFonts w:ascii="Times New Roman" w:cs="Times New Roman" w:eastAsia="Times New Roman" w:hAnsi="Times New Roman"/>
          <w:sz w:val="20"/>
          <w:szCs w:val="20"/>
          <w:color w:val="auto"/>
        </w:rPr>
      </w:pPr>
    </w:p>
    <w:p>
      <w:pPr>
        <w:jc w:val="both"/>
        <w:ind w:left="328" w:hanging="328"/>
        <w:spacing w:after="0" w:line="278" w:lineRule="auto"/>
        <w:tabs>
          <w:tab w:leader="none" w:pos="31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Notwithstanding any other provision of the Plan or this Award,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8"/>
          </w:cols>
          <w:pgMar w:left="652" w:top="1440" w:right="339" w:bottom="1440" w:gutter="0" w:footer="0" w:header="0"/>
        </w:sectPr>
      </w:pPr>
    </w:p>
    <w:bookmarkStart w:id="142" w:name="page143"/>
    <w:bookmarkEnd w:id="14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8"/>
        <w:spacing w:after="0" w:line="282" w:lineRule="auto"/>
        <w:rPr>
          <w:sz w:val="20"/>
          <w:szCs w:val="20"/>
          <w:color w:val="auto"/>
        </w:rPr>
      </w:pPr>
      <w:r>
        <w:rPr>
          <w:rFonts w:ascii="Times New Roman" w:cs="Times New Roman" w:eastAsia="Times New Roman" w:hAnsi="Times New Roman"/>
          <w:sz w:val="20"/>
          <w:szCs w:val="20"/>
          <w:color w:val="auto"/>
        </w:rPr>
        <w:t>agrees that the awards granted under the Plan, including the RSUs and the underlying Shares, are subject to the listing standards of any national securities exchange or association on which the Company’s securities are listed or as is otherwise required by the U.S. Dodd-Frank Wall Street Reform and Consumer Protection Act, and any SEC regulations, as now or hereafter in effect. Further, the Participant agrees that the Company shall have unilateral authority to amend the Plan and the Award without the Participant’s consent to the extent necessary to comply with securities or other laws applicable to issuance of Shares.</w:t>
      </w:r>
    </w:p>
    <w:p>
      <w:pPr>
        <w:spacing w:after="0" w:line="147" w:lineRule="exact"/>
        <w:rPr>
          <w:sz w:val="20"/>
          <w:szCs w:val="20"/>
          <w:color w:val="auto"/>
        </w:rPr>
      </w:pPr>
    </w:p>
    <w:p>
      <w:pPr>
        <w:jc w:val="both"/>
        <w:ind w:left="328" w:hanging="328"/>
        <w:spacing w:after="0" w:line="289" w:lineRule="auto"/>
        <w:tabs>
          <w:tab w:leader="none" w:pos="32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Clawback/Recoupment</w:t>
      </w:r>
      <w:r>
        <w:rPr>
          <w:rFonts w:ascii="Times New Roman" w:cs="Times New Roman" w:eastAsia="Times New Roman" w:hAnsi="Times New Roman"/>
          <w:sz w:val="20"/>
          <w:szCs w:val="20"/>
          <w:color w:val="auto"/>
        </w:rPr>
        <w:t>. The RSUs and any cash payment or Shares delivered pursuant to the RSUs are subject to forfeiture, recovery by the Company or other action pursuant to any clawback or recoupment policy which the Company may adopt from time to time, including without limitation any such policy which the Company may be required to adopt under applicable law.</w:t>
      </w:r>
    </w:p>
    <w:p>
      <w:pPr>
        <w:spacing w:after="0" w:line="141" w:lineRule="exact"/>
        <w:rPr>
          <w:rFonts w:ascii="Times New Roman" w:cs="Times New Roman" w:eastAsia="Times New Roman" w:hAnsi="Times New Roman"/>
          <w:sz w:val="20"/>
          <w:szCs w:val="20"/>
          <w:color w:val="auto"/>
        </w:rPr>
      </w:pPr>
    </w:p>
    <w:p>
      <w:pPr>
        <w:ind w:left="328" w:hanging="328"/>
        <w:spacing w:after="0" w:line="311" w:lineRule="auto"/>
        <w:tabs>
          <w:tab w:leader="none" w:pos="31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interpretation and construction of any terms or conditions of this Award or the Plan, or other matters related to the Plan, by the Compensation Committee of the Board of the Company shall be final and conclusive.</w:t>
      </w:r>
    </w:p>
    <w:p>
      <w:pPr>
        <w:spacing w:after="0" w:line="105" w:lineRule="exact"/>
        <w:rPr>
          <w:rFonts w:ascii="Times New Roman" w:cs="Times New Roman" w:eastAsia="Times New Roman" w:hAnsi="Times New Roman"/>
          <w:sz w:val="20"/>
          <w:szCs w:val="20"/>
          <w:color w:val="auto"/>
        </w:rPr>
      </w:pPr>
    </w:p>
    <w:p>
      <w:pPr>
        <w:jc w:val="both"/>
        <w:ind w:left="328" w:hanging="328"/>
        <w:spacing w:after="0" w:line="286" w:lineRule="auto"/>
        <w:tabs>
          <w:tab w:leader="none" w:pos="31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Acceptance</w:t>
      </w:r>
      <w:r>
        <w:rPr>
          <w:rFonts w:ascii="Times New Roman" w:cs="Times New Roman" w:eastAsia="Times New Roman" w:hAnsi="Times New Roman"/>
          <w:sz w:val="20"/>
          <w:szCs w:val="20"/>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 provisions of the Plan.</w:t>
      </w:r>
    </w:p>
    <w:p>
      <w:pPr>
        <w:spacing w:after="0" w:line="145"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31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w:t>
      </w:r>
      <w:r>
        <w:rPr>
          <w:rFonts w:ascii="Times New Roman" w:cs="Times New Roman" w:eastAsia="Times New Roman" w:hAnsi="Times New Roman"/>
          <w:sz w:val="20"/>
          <w:szCs w:val="20"/>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7"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31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English Language</w:t>
      </w:r>
      <w:r>
        <w:rPr>
          <w:rFonts w:ascii="Times New Roman" w:cs="Times New Roman" w:eastAsia="Times New Roman" w:hAnsi="Times New Roman"/>
          <w:sz w:val="20"/>
          <w:szCs w:val="20"/>
          <w:color w:val="auto"/>
        </w:rPr>
        <w:t>. The Participant acknowledges and agrees that it is the Participant’s express intent that this Award, the Plan and all other documents, notices and legal proceedings entered into, given or instituted pursuant to the RSUs, be drawn up in English. The Participant also acknowledges that he or she is sufficiently proficient in English, or has consulted with an advisor who is sufficiently proficient in English, to understand the terms and conditions of the Restricted Stock Unit Agreement. If the Participant has received this Award, the Plan or any other documents related to the RSUs translated into a language other than English, and if the meaning of the translated version is different than the English version, the English version shall control.</w:t>
      </w:r>
    </w:p>
    <w:p>
      <w:pPr>
        <w:spacing w:after="0" w:line="133"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31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Notwithstanding any provisions herein to the contrary, if the Participant is located in a country other than the United States, the RSUs shall be subject to any additional terms and conditions for such country as may be set forth in Appendix A.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8"/>
          </w:cols>
          <w:pgMar w:left="652" w:top="1440" w:right="339" w:bottom="1440" w:gutter="0" w:footer="0" w:header="0"/>
        </w:sectPr>
      </w:pPr>
    </w:p>
    <w:bookmarkStart w:id="143" w:name="page144"/>
    <w:bookmarkEnd w:id="14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8" w:hanging="328"/>
        <w:spacing w:after="0" w:line="286" w:lineRule="auto"/>
        <w:tabs>
          <w:tab w:leader="none" w:pos="32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Requirements</w:t>
      </w:r>
      <w:r>
        <w:rPr>
          <w:rFonts w:ascii="Times New Roman" w:cs="Times New Roman" w:eastAsia="Times New Roman" w:hAnsi="Times New Roman"/>
          <w:sz w:val="20"/>
          <w:szCs w:val="20"/>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45"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32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Placement</w:t>
      </w:r>
      <w:r>
        <w:rPr>
          <w:rFonts w:ascii="Times New Roman" w:cs="Times New Roman" w:eastAsia="Times New Roman" w:hAnsi="Times New Roman"/>
          <w:sz w:val="20"/>
          <w:szCs w:val="20"/>
          <w:color w:val="auto"/>
        </w:rPr>
        <w:t>. The Company has submitted regulatory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47" w:lineRule="exact"/>
        <w:rPr>
          <w:rFonts w:ascii="Times New Roman" w:cs="Times New Roman" w:eastAsia="Times New Roman" w:hAnsi="Times New Roman"/>
          <w:sz w:val="20"/>
          <w:szCs w:val="20"/>
          <w:color w:val="auto"/>
        </w:rPr>
      </w:pPr>
    </w:p>
    <w:p>
      <w:pPr>
        <w:jc w:val="both"/>
        <w:ind w:left="328" w:hanging="328"/>
        <w:spacing w:after="0" w:line="286" w:lineRule="auto"/>
        <w:tabs>
          <w:tab w:leader="none" w:pos="32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w:t>
      </w:r>
    </w:p>
    <w:p>
      <w:pPr>
        <w:spacing w:after="0" w:line="132" w:lineRule="exact"/>
        <w:rPr>
          <w:rFonts w:ascii="Times New Roman" w:cs="Times New Roman" w:eastAsia="Times New Roman" w:hAnsi="Times New Roman"/>
          <w:sz w:val="20"/>
          <w:szCs w:val="20"/>
          <w:color w:val="auto"/>
        </w:rPr>
      </w:pPr>
    </w:p>
    <w:p>
      <w:pPr>
        <w:ind w:left="328" w:hanging="328"/>
        <w:spacing w:after="0" w:line="311" w:lineRule="auto"/>
        <w:tabs>
          <w:tab w:leader="none" w:pos="31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Award may be amended or modified only by a written instrument executed by both the Company and the Participant.</w:t>
      </w:r>
    </w:p>
    <w:p>
      <w:pPr>
        <w:spacing w:after="0" w:line="119" w:lineRule="exact"/>
        <w:rPr>
          <w:rFonts w:ascii="Times New Roman" w:cs="Times New Roman" w:eastAsia="Times New Roman" w:hAnsi="Times New Roman"/>
          <w:sz w:val="20"/>
          <w:szCs w:val="20"/>
          <w:color w:val="auto"/>
        </w:rPr>
      </w:pPr>
    </w:p>
    <w:p>
      <w:pPr>
        <w:jc w:val="both"/>
        <w:ind w:left="328" w:right="20" w:hanging="328"/>
        <w:spacing w:after="0" w:line="289" w:lineRule="auto"/>
        <w:tabs>
          <w:tab w:leader="none" w:pos="31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41"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31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47" w:lineRule="exact"/>
        <w:rPr>
          <w:rFonts w:ascii="Times New Roman" w:cs="Times New Roman" w:eastAsia="Times New Roman" w:hAnsi="Times New Roman"/>
          <w:sz w:val="20"/>
          <w:szCs w:val="20"/>
          <w:color w:val="auto"/>
        </w:rPr>
      </w:pPr>
    </w:p>
    <w:p>
      <w:pPr>
        <w:jc w:val="both"/>
        <w:ind w:left="328" w:hanging="328"/>
        <w:spacing w:after="0" w:line="293" w:lineRule="auto"/>
        <w:tabs>
          <w:tab w:leader="none" w:pos="316"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Insider Trading Restrictions/Market Abuse Laws</w:t>
      </w:r>
      <w:r>
        <w:rPr>
          <w:rFonts w:ascii="Times New Roman" w:cs="Times New Roman" w:eastAsia="Times New Roman" w:hAnsi="Times New Roman"/>
          <w:sz w:val="19"/>
          <w:szCs w:val="19"/>
          <w:color w:val="auto"/>
        </w:rPr>
        <w:t>.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RSUs) or rights linked to the value of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8"/>
          </w:cols>
          <w:pgMar w:left="652" w:top="1440" w:right="339" w:bottom="1440" w:gutter="0" w:footer="0" w:header="0"/>
        </w:sectPr>
      </w:pPr>
    </w:p>
    <w:bookmarkStart w:id="144" w:name="page145"/>
    <w:bookmarkEnd w:id="144"/>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580" w:hanging="328"/>
        <w:spacing w:after="0" w:line="278" w:lineRule="auto"/>
        <w:tabs>
          <w:tab w:leader="none" w:pos="56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Exchange Control, and Tax Reporting</w:t>
      </w:r>
      <w:r>
        <w:rPr>
          <w:rFonts w:ascii="Times New Roman" w:cs="Times New Roman" w:eastAsia="Times New Roman" w:hAnsi="Times New Roman"/>
          <w:sz w:val="20"/>
          <w:szCs w:val="20"/>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53" w:lineRule="exact"/>
        <w:rPr>
          <w:rFonts w:ascii="Times New Roman" w:cs="Times New Roman" w:eastAsia="Times New Roman" w:hAnsi="Times New Roman"/>
          <w:sz w:val="20"/>
          <w:szCs w:val="20"/>
          <w:color w:val="auto"/>
        </w:rPr>
      </w:pPr>
    </w:p>
    <w:p>
      <w:pPr>
        <w:jc w:val="both"/>
        <w:ind w:left="580" w:hanging="328"/>
        <w:spacing w:after="0" w:line="282" w:lineRule="auto"/>
        <w:tabs>
          <w:tab w:leader="none" w:pos="57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120"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20"/>
          <w:szCs w:val="20"/>
          <w:color w:val="auto"/>
        </w:rPr>
        <w:t xml:space="preserve">A copy of the Plan prospectus is available on the Company’s Intranet at </w:t>
      </w:r>
      <w:r>
        <w:rPr>
          <w:rFonts w:ascii="Times New Roman" w:cs="Times New Roman" w:eastAsia="Times New Roman" w:hAnsi="Times New Roman"/>
          <w:sz w:val="20"/>
          <w:szCs w:val="20"/>
          <w:u w:val="single" w:color="auto"/>
          <w:color w:val="0563C1"/>
        </w:rPr>
        <w:t>https://thecircuit.web.analog.com/Pages/CircuitHome.aspx</w:t>
      </w:r>
      <w:r>
        <w:rPr>
          <w:rFonts w:ascii="Times New Roman" w:cs="Times New Roman" w:eastAsia="Times New Roman" w:hAnsi="Times New Roman"/>
          <w:sz w:val="20"/>
          <w:szCs w:val="20"/>
          <w:color w:val="auto"/>
        </w:rPr>
        <w:t>. (From The Circuit home page, click Knowledge Centers, HR, Employee Stock Programs. The related documents can be found in the</w:t>
      </w:r>
    </w:p>
    <w:p>
      <w:pPr>
        <w:spacing w:after="0" w:line="1" w:lineRule="exact"/>
        <w:rPr>
          <w:sz w:val="20"/>
          <w:szCs w:val="20"/>
          <w:color w:val="auto"/>
        </w:rPr>
      </w:pPr>
    </w:p>
    <w:p>
      <w:pPr>
        <w:ind w:right="340"/>
        <w:spacing w:after="0" w:line="228" w:lineRule="auto"/>
        <w:rPr>
          <w:sz w:val="20"/>
          <w:szCs w:val="20"/>
          <w:color w:val="auto"/>
        </w:rPr>
      </w:pPr>
      <w:r>
        <w:rPr>
          <w:rFonts w:ascii="Times New Roman" w:cs="Times New Roman" w:eastAsia="Times New Roman" w:hAnsi="Times New Roman"/>
          <w:sz w:val="20"/>
          <w:szCs w:val="20"/>
          <w:color w:val="auto"/>
        </w:rPr>
        <w:t>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20"/>
          <w:szCs w:val="20"/>
          <w:u w:val="single" w:color="auto"/>
          <w:color w:val="0563C1"/>
        </w:rPr>
        <w:t>Stock_Plan_Admin@Analog.com</w:t>
      </w:r>
      <w:r>
        <w:rPr>
          <w:rFonts w:ascii="Times New Roman" w:cs="Times New Roman" w:eastAsia="Times New Roman" w:hAnsi="Times New Roman"/>
          <w:sz w:val="20"/>
          <w:szCs w:val="20"/>
          <w:color w:val="auto"/>
        </w:rPr>
        <w:t>).</w:t>
      </w:r>
    </w:p>
    <w:p>
      <w:pPr>
        <w:spacing w:after="0" w:line="396"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37460" cy="88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Vincent Roche</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400" w:top="1440" w:right="339" w:bottom="1440" w:gutter="0" w:footer="0" w:header="0"/>
        </w:sectPr>
      </w:pPr>
    </w:p>
    <w:bookmarkStart w:id="145" w:name="page146"/>
    <w:bookmarkEnd w:id="145"/>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Restricted Stock Unit Agreement. Capitalized terms used but not defined in this Appendix A shall have the meanings set forth in the Plan and/or the Restricted Stock Unit Agreement.</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October 2023.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RSUs are granted to the Participant pursuant to the “Qualifying Person” exemption under section 273(1)(f) of the Singapore Securities and Futures Act (Chapter 289, 2006 Ed.) (“SFA”). The Restricted Stock Unit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u w:val="single" w:color="auto"/>
          <w:color w:val="auto"/>
        </w:rPr>
        <w:t>Director Notification</w:t>
      </w:r>
      <w:r>
        <w:rPr>
          <w:rFonts w:ascii="Times New Roman" w:cs="Times New Roman" w:eastAsia="Times New Roman" w:hAnsi="Times New Roman"/>
          <w:sz w:val="20"/>
          <w:szCs w:val="20"/>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440" w:right="379" w:bottom="1440" w:gutter="0" w:footer="0" w:header="0"/>
        </w:sectPr>
      </w:pPr>
    </w:p>
    <w:bookmarkStart w:id="146" w:name="page147"/>
    <w:bookmarkEnd w:id="146"/>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spacing w:after="0" w:line="279" w:lineRule="auto"/>
        <w:rPr>
          <w:sz w:val="20"/>
          <w:szCs w:val="20"/>
          <w:color w:val="auto"/>
        </w:rPr>
      </w:pPr>
      <w:r>
        <w:rPr>
          <w:rFonts w:ascii="Times New Roman" w:cs="Times New Roman" w:eastAsia="Times New Roman" w:hAnsi="Times New Roman"/>
          <w:sz w:val="20"/>
          <w:szCs w:val="20"/>
          <w:color w:val="auto"/>
        </w:rPr>
        <w:t>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440" w:right="379" w:bottom="1440" w:gutter="0" w:footer="0" w:header="0"/>
        </w:sectPr>
      </w:pPr>
    </w:p>
    <w:bookmarkStart w:id="147" w:name="page148"/>
    <w:bookmarkEnd w:id="147"/>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10.6</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ind w:left="8"/>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17" w:lineRule="exact"/>
        <w:rPr>
          <w:sz w:val="20"/>
          <w:szCs w:val="20"/>
          <w:color w:val="auto"/>
        </w:rPr>
      </w:pPr>
    </w:p>
    <w:p>
      <w:pPr>
        <w:jc w:val="both"/>
        <w:ind w:left="8" w:right="320"/>
        <w:spacing w:after="0"/>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92" w:lineRule="exact"/>
        <w:rPr>
          <w:sz w:val="20"/>
          <w:szCs w:val="20"/>
          <w:color w:val="auto"/>
        </w:rPr>
      </w:pPr>
    </w:p>
    <w:p>
      <w:pPr>
        <w:ind w:left="328" w:hanging="328"/>
        <w:spacing w:after="0"/>
        <w:tabs>
          <w:tab w:leader="none" w:pos="328"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328" w:right="3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328"/>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Cliff Vesting Date</w:t>
      </w:r>
    </w:p>
    <w:p>
      <w:pPr>
        <w:spacing w:after="0" w:line="176" w:lineRule="exact"/>
        <w:rPr>
          <w:rFonts w:ascii="Times New Roman" w:cs="Times New Roman" w:eastAsia="Times New Roman" w:hAnsi="Times New Roman"/>
          <w:sz w:val="16"/>
          <w:szCs w:val="16"/>
          <w:color w:val="auto"/>
        </w:rPr>
      </w:pPr>
    </w:p>
    <w:p>
      <w:pPr>
        <w:jc w:val="both"/>
        <w:ind w:left="328" w:right="320"/>
        <w:spacing w:after="0" w:line="22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 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 In addition, if the Participant resides in Israel, written consent may be required by Grant Custom 3, the Participant should refer to Appendix B for details.</w:t>
      </w:r>
    </w:p>
    <w:p>
      <w:pPr>
        <w:spacing w:after="0" w:line="171"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7"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right="320" w:hanging="324"/>
        <w:spacing w:after="0" w:line="217" w:lineRule="auto"/>
        <w:tabs>
          <w:tab w:leader="none" w:pos="639"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4" w:lineRule="exact"/>
        <w:rPr>
          <w:rFonts w:ascii="Times New Roman" w:cs="Times New Roman" w:eastAsia="Times New Roman" w:hAnsi="Times New Roman"/>
          <w:sz w:val="16"/>
          <w:szCs w:val="16"/>
          <w:color w:val="auto"/>
        </w:rPr>
      </w:pPr>
    </w:p>
    <w:p>
      <w:pPr>
        <w:jc w:val="both"/>
        <w:ind w:left="648" w:right="320" w:hanging="324"/>
        <w:spacing w:after="0" w:line="227" w:lineRule="auto"/>
        <w:tabs>
          <w:tab w:leader="none" w:pos="648"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13" w:lineRule="exact"/>
        <w:rPr>
          <w:rFonts w:ascii="Times New Roman" w:cs="Times New Roman" w:eastAsia="Times New Roman" w:hAnsi="Times New Roman"/>
          <w:sz w:val="16"/>
          <w:szCs w:val="16"/>
          <w:color w:val="auto"/>
        </w:rPr>
      </w:pPr>
    </w:p>
    <w:p>
      <w:pPr>
        <w:jc w:val="both"/>
        <w:ind w:left="648" w:right="320" w:hanging="324"/>
        <w:spacing w:after="0" w:line="223" w:lineRule="auto"/>
        <w:tabs>
          <w:tab w:leader="none" w:pos="639"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death prior to the end of the Performance Period, the Unvested Performance RSUs shall vest immediately upon death based on the following attainment levels for each of the Performance Measurement Periods: (i) if the death occurs following the last day of a Performance Measurement Period, an attainment level based on the actual attainment level determined by the Compensation Committee of the Board for each of the Performance Measurement Periods ending prior to the Participant’s death; and (ii) if the termination occurs prior to the last day of a Performance Measurement Period, an</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148" w:name="page149"/>
    <w:bookmarkEnd w:id="148"/>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48"/>
        <w:spacing w:after="0" w:line="227" w:lineRule="auto"/>
        <w:rPr>
          <w:sz w:val="20"/>
          <w:szCs w:val="20"/>
          <w:color w:val="auto"/>
        </w:rPr>
      </w:pPr>
      <w:r>
        <w:rPr>
          <w:rFonts w:ascii="Times New Roman" w:cs="Times New Roman" w:eastAsia="Times New Roman" w:hAnsi="Times New Roman"/>
          <w:sz w:val="16"/>
          <w:szCs w:val="16"/>
          <w:color w:val="auto"/>
        </w:rPr>
        <w:t>attainment level equal to 100% for each of the Performance Measurement Periods that end subsequent to the Participant’s death. In the event of the Participant’s death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w:t>
      </w:r>
    </w:p>
    <w:p>
      <w:pPr>
        <w:spacing w:after="0" w:line="114" w:lineRule="exact"/>
        <w:rPr>
          <w:sz w:val="20"/>
          <w:szCs w:val="20"/>
          <w:color w:val="auto"/>
        </w:rPr>
      </w:pPr>
    </w:p>
    <w:p>
      <w:pPr>
        <w:jc w:val="both"/>
        <w:ind w:left="648" w:hanging="324"/>
        <w:spacing w:after="0" w:line="238" w:lineRule="auto"/>
        <w:tabs>
          <w:tab w:leader="none" w:pos="648"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(regardless of whether the Participant terminates employment prior to the Vesting Date) based on the following attainment levels for each of the Performance Periods: (i) if the Participant is determined to be Disabled following the last day of a Performance Measurement Period, an attainment level based on the actual attainment level determined by the Compensation Committee of the Board for each of the Performance Measurement Periods ending prior to the date that the Participant is determined to be Disabled; and (ii) if the Participant is determined to be Disabled prior to the last day of a Performance Measurement Period, an attainment level equal to 100% for each of the Performance Measurement Periods that end subsequent to the date that the Participants is determined to be Disabled. In the event the Participant is determined to be Disabled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 “Disabled” with respect to the Participant shall have the meaning set forth in Section 409(a)(2)(C) of the Code.</w:t>
      </w:r>
    </w:p>
    <w:p>
      <w:pPr>
        <w:spacing w:after="0" w:line="119"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39"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ind w:left="648" w:hanging="324"/>
        <w:spacing w:after="0" w:line="245" w:lineRule="auto"/>
        <w:tabs>
          <w:tab w:leader="none" w:pos="648"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32" w:lineRule="auto"/>
        <w:tabs>
          <w:tab w:leader="none" w:pos="648"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17" w:lineRule="auto"/>
        <w:tabs>
          <w:tab w:leader="none" w:pos="639"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149" w:name="page150"/>
    <w:bookmarkEnd w:id="14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48" w:right="20" w:hanging="324"/>
        <w:spacing w:after="0" w:line="232" w:lineRule="auto"/>
        <w:tabs>
          <w:tab w:leader="none" w:pos="648"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59" w:val="left"/>
        </w:tabs>
        <w:numPr>
          <w:ilvl w:val="2"/>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968" w:hanging="320"/>
        <w:spacing w:after="0" w:line="245" w:lineRule="auto"/>
        <w:tabs>
          <w:tab w:leader="none" w:pos="963" w:val="left"/>
        </w:tabs>
        <w:numPr>
          <w:ilvl w:val="2"/>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968" w:hanging="320"/>
        <w:spacing w:after="0" w:line="245" w:lineRule="auto"/>
        <w:tabs>
          <w:tab w:leader="none" w:pos="968" w:val="left"/>
        </w:tabs>
        <w:numPr>
          <w:ilvl w:val="2"/>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96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968" w:hanging="320"/>
        <w:spacing w:after="0"/>
        <w:tabs>
          <w:tab w:leader="none" w:pos="968" w:val="left"/>
        </w:tabs>
        <w:numPr>
          <w:ilvl w:val="2"/>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96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48" w:lineRule="exact"/>
        <w:rPr>
          <w:rFonts w:ascii="Times New Roman" w:cs="Times New Roman" w:eastAsia="Times New Roman" w:hAnsi="Times New Roman"/>
          <w:sz w:val="16"/>
          <w:szCs w:val="16"/>
          <w:color w:val="auto"/>
        </w:rPr>
      </w:pPr>
    </w:p>
    <w:p>
      <w:pPr>
        <w:jc w:val="both"/>
        <w:ind w:left="96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92" w:lineRule="exact"/>
        <w:rPr>
          <w:rFonts w:ascii="Times New Roman" w:cs="Times New Roman" w:eastAsia="Times New Roman" w:hAnsi="Times New Roman"/>
          <w:sz w:val="16"/>
          <w:szCs w:val="16"/>
          <w:color w:val="auto"/>
        </w:rPr>
      </w:pPr>
    </w:p>
    <w:p>
      <w:pPr>
        <w:jc w:val="both"/>
        <w:ind w:left="328" w:right="20" w:hanging="328"/>
        <w:spacing w:after="0" w:line="221" w:lineRule="auto"/>
        <w:tabs>
          <w:tab w:leader="none" w:pos="328"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328" w:hanging="328"/>
        <w:spacing w:after="0"/>
        <w:tabs>
          <w:tab w:leader="none" w:pos="328"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92"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27" w:lineRule="auto"/>
        <w:tabs>
          <w:tab w:leader="none" w:pos="639"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Performance RSUs pursuant to Section 2 and Appendix A, is earned only by satisfaction of the performance-based vesting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150" w:name="page151"/>
    <w:bookmarkEnd w:id="150"/>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4" w:right="20"/>
        <w:spacing w:after="0" w:line="245" w:lineRule="auto"/>
        <w:rPr>
          <w:sz w:val="20"/>
          <w:szCs w:val="20"/>
          <w:color w:val="auto"/>
        </w:rPr>
      </w:pPr>
      <w:r>
        <w:rPr>
          <w:rFonts w:ascii="Times New Roman" w:cs="Times New Roman" w:eastAsia="Times New Roman" w:hAnsi="Times New Roman"/>
          <w:sz w:val="16"/>
          <w:szCs w:val="16"/>
          <w:color w:val="auto"/>
        </w:rPr>
        <w:t>conditions and continuing service as an employee at the will of the Company or the Employer through the Vesting Date (not through the act of being hired or engaged or being granted the Performance RSUs hereunder).</w:t>
      </w:r>
    </w:p>
    <w:p>
      <w:pPr>
        <w:spacing w:after="0" w:line="110" w:lineRule="exact"/>
        <w:rPr>
          <w:sz w:val="20"/>
          <w:szCs w:val="20"/>
          <w:color w:val="auto"/>
        </w:rPr>
      </w:pPr>
    </w:p>
    <w:p>
      <w:pPr>
        <w:jc w:val="both"/>
        <w:ind w:left="324" w:hanging="324"/>
        <w:spacing w:after="0" w:line="218" w:lineRule="auto"/>
        <w:tabs>
          <w:tab w:leader="none" w:pos="32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5"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17" w:lineRule="exact"/>
        <w:rPr>
          <w:rFonts w:ascii="Times New Roman" w:cs="Times New Roman" w:eastAsia="Times New Roman" w:hAnsi="Times New Roman"/>
          <w:sz w:val="16"/>
          <w:szCs w:val="16"/>
          <w:color w:val="auto"/>
        </w:rPr>
      </w:pPr>
    </w:p>
    <w:p>
      <w:pPr>
        <w:jc w:val="both"/>
        <w:ind w:left="324" w:hanging="324"/>
        <w:spacing w:after="0" w:line="220" w:lineRule="auto"/>
        <w:tabs>
          <w:tab w:leader="none" w:pos="32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15"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13"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2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1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1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21" w:lineRule="auto"/>
        <w:tabs>
          <w:tab w:leader="none" w:pos="31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64"/>
          </w:cols>
          <w:pgMar w:left="976" w:top="1440" w:right="659" w:bottom="1440" w:gutter="0" w:footer="0" w:header="0"/>
        </w:sectPr>
      </w:pPr>
    </w:p>
    <w:bookmarkStart w:id="151" w:name="page152"/>
    <w:bookmarkEnd w:id="151"/>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4" w:right="20"/>
        <w:spacing w:after="0"/>
        <w:rPr>
          <w:sz w:val="20"/>
          <w:szCs w:val="20"/>
          <w:color w:val="auto"/>
        </w:rPr>
      </w:pPr>
      <w:r>
        <w:rPr>
          <w:rFonts w:ascii="Times New Roman" w:cs="Times New Roman" w:eastAsia="Times New Roman" w:hAnsi="Times New Roman"/>
          <w:sz w:val="16"/>
          <w:szCs w:val="16"/>
          <w:color w:val="auto"/>
        </w:rPr>
        <w:t>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92" w:lineRule="exact"/>
        <w:rPr>
          <w:sz w:val="20"/>
          <w:szCs w:val="20"/>
          <w:color w:val="auto"/>
        </w:rPr>
      </w:pPr>
    </w:p>
    <w:p>
      <w:pPr>
        <w:jc w:val="both"/>
        <w:ind w:left="324" w:hanging="324"/>
        <w:spacing w:after="0" w:line="217" w:lineRule="auto"/>
        <w:tabs>
          <w:tab w:leader="none" w:pos="32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Performance RSUs and any cash payment or Shares delivered pursuant to the Performance RSUs are subject to forfeiture, recovery by the Company or other action pursuant to any clawback or recoupment policy which the Company may adopt from time to time, including without limitation any such policy which the Company may be required to adopt under the Dodd-Frank Act and implementing rules and regulations thereunder, or as otherwise required by law. Further, the Performance RSUs, and any Shares issued upon vesting of the Performance RSUs, shall be subject to deduction, clawback or forfeiture to the extent required to comply with any recoupment requirement imposed under applicable laws, rules, regulations or stock exchange listing standards. In order to satisfy any recoupment obligation arising under any clawback or recoupment policy of the Company or otherwise under applicable laws, rules, regulations or stock exchange listing standards, among other things, the Participant expressly and explicitly authorizes the Company to issue instructions, on the Participant’s behalf, to any brokerage firm or stock plan service provider engaged by the Company to hold any Shares or other amounts acquired pursuant to the Performance RSUs to re-convey, transfer or otherwise return such Shares and/or other amounts to the Company upon the Company’s enforcement of any clawback or recoupment policy.</w:t>
      </w:r>
    </w:p>
    <w:p>
      <w:pPr>
        <w:spacing w:after="0" w:line="118"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2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00"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17" w:lineRule="exact"/>
        <w:rPr>
          <w:rFonts w:ascii="Times New Roman" w:cs="Times New Roman" w:eastAsia="Times New Roman" w:hAnsi="Times New Roman"/>
          <w:sz w:val="16"/>
          <w:szCs w:val="16"/>
          <w:color w:val="auto"/>
        </w:rPr>
      </w:pPr>
    </w:p>
    <w:p>
      <w:pPr>
        <w:jc w:val="both"/>
        <w:ind w:left="324" w:right="20" w:hanging="324"/>
        <w:spacing w:after="0" w:line="227" w:lineRule="auto"/>
        <w:tabs>
          <w:tab w:leader="none" w:pos="31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1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64"/>
          </w:cols>
          <w:pgMar w:left="976" w:top="1440" w:right="659" w:bottom="1440" w:gutter="0" w:footer="0" w:header="0"/>
        </w:sectPr>
      </w:pPr>
    </w:p>
    <w:bookmarkStart w:id="152" w:name="page153"/>
    <w:bookmarkEnd w:id="152"/>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4" w:hanging="324"/>
        <w:spacing w:after="0" w:line="217" w:lineRule="auto"/>
        <w:tabs>
          <w:tab w:leader="none" w:pos="324"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8" w:lineRule="exact"/>
        <w:rPr>
          <w:rFonts w:ascii="Times New Roman" w:cs="Times New Roman" w:eastAsia="Times New Roman" w:hAnsi="Times New Roman"/>
          <w:sz w:val="16"/>
          <w:szCs w:val="16"/>
          <w:color w:val="auto"/>
        </w:rPr>
      </w:pPr>
    </w:p>
    <w:p>
      <w:pPr>
        <w:jc w:val="both"/>
        <w:ind w:left="324" w:hanging="324"/>
        <w:spacing w:after="0" w:line="219" w:lineRule="auto"/>
        <w:tabs>
          <w:tab w:leader="none" w:pos="324"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4"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15"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sz w:val="20"/>
          <w:szCs w:val="20"/>
          <w:color w:val="auto"/>
        </w:rPr>
      </w:pPr>
    </w:p>
    <w:p>
      <w:pPr>
        <w:jc w:val="both"/>
        <w:ind w:left="324" w:hanging="324"/>
        <w:spacing w:after="0" w:line="223" w:lineRule="auto"/>
        <w:tabs>
          <w:tab w:leader="none" w:pos="319"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Performance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171" w:lineRule="exact"/>
        <w:rPr>
          <w:sz w:val="20"/>
          <w:szCs w:val="20"/>
          <w:color w:val="auto"/>
        </w:rPr>
      </w:pPr>
    </w:p>
    <w:p>
      <w:pPr>
        <w:ind w:left="24"/>
        <w:spacing w:after="0"/>
        <w:tabs>
          <w:tab w:leader="none" w:pos="464" w:val="left"/>
        </w:tabs>
        <w:rPr>
          <w:sz w:val="20"/>
          <w:szCs w:val="20"/>
          <w:color w:val="auto"/>
        </w:rPr>
      </w:pPr>
      <w:r>
        <w:rPr>
          <w:rFonts w:ascii="Times New Roman" w:cs="Times New Roman" w:eastAsia="Times New Roman" w:hAnsi="Times New Roman"/>
          <w:sz w:val="16"/>
          <w:szCs w:val="16"/>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20320</wp:posOffset>
            </wp:positionV>
            <wp:extent cx="2228850"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264"/>
          </w:cols>
          <w:pgMar w:left="976" w:top="1440" w:right="659" w:bottom="1440" w:gutter="0" w:footer="0" w:header="0"/>
        </w:sectPr>
      </w:pPr>
    </w:p>
    <w:bookmarkStart w:id="153" w:name="page154"/>
    <w:bookmarkEnd w:id="153"/>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54"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328" w:hanging="328"/>
        <w:spacing w:after="0" w:line="220" w:lineRule="auto"/>
        <w:tabs>
          <w:tab w:leader="none" w:pos="328"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three-year period beginning on the first day of the first quarter of the Company’s fiscal year 2024 and ending on the last day of the fourth quarter of the Company’s fiscal year 2026 (the “Performance Period”). The Performance Period shall consist of the following three performance measurement periods: (i) the one-year period commencing on the first day of the first quarter and ending on the last day of the fourth quarter of the Company’s fiscal year 2024 (“FY 2024 Period”); (ii) the two-year period beginning on the first day of the first quarter of the Company’s fiscal year 2024 and ending on the last day of the fourth quarter of the Company’s fiscal year 2025 (“Cumulative FY24/25 Period”) and (iii) and the three-year period beginning on the first day of the first quarter of the Company’s fiscal year 2024 and ending on the last day of the fourth quarter of the Company’s fiscal year 2026 (“Cumulative FY24/26 Period,” and collectively, the “Performance Measurement Periods”);</w:t>
      </w:r>
    </w:p>
    <w:p>
      <w:pPr>
        <w:spacing w:after="0" w:line="115"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Cliff Vesting Date.</w:t>
      </w:r>
    </w:p>
    <w:p>
      <w:pPr>
        <w:spacing w:after="0" w:line="140" w:lineRule="exact"/>
        <w:rPr>
          <w:rFonts w:ascii="Times New Roman" w:cs="Times New Roman" w:eastAsia="Times New Roman" w:hAnsi="Times New Roman"/>
          <w:sz w:val="16"/>
          <w:szCs w:val="16"/>
          <w:color w:val="auto"/>
        </w:rPr>
      </w:pPr>
    </w:p>
    <w:p>
      <w:pPr>
        <w:jc w:val="both"/>
        <w:ind w:left="328" w:right="20" w:hanging="328"/>
        <w:spacing w:after="0" w:line="232" w:lineRule="auto"/>
        <w:tabs>
          <w:tab w:leader="none" w:pos="328"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Compensation Committee of the Board determines the level of attainment of the Operating Profit Goals for each of the three corresponding Performance Measurement Periods, which date shall be as soon as practicable following the last day of the applicable Performance Measurement Period.</w:t>
      </w:r>
    </w:p>
    <w:p>
      <w:pPr>
        <w:spacing w:after="0" w:line="114" w:lineRule="exact"/>
        <w:rPr>
          <w:rFonts w:ascii="Times New Roman" w:cs="Times New Roman" w:eastAsia="Times New Roman" w:hAnsi="Times New Roman"/>
          <w:sz w:val="16"/>
          <w:szCs w:val="16"/>
          <w:color w:val="auto"/>
        </w:rPr>
      </w:pPr>
    </w:p>
    <w:p>
      <w:pPr>
        <w:jc w:val="both"/>
        <w:ind w:left="32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2(a) through 2(d) of the Performance Restricted Stock Unit Agreement, the Participant shall vest on the Vesting Date in the number of Performance RSUs, if any, that the Compensation Committee of the Board determines to be eligible to vest based on the attainment level of the Operating Profit Goals and the attainment of the Minimum Profit Margin described in Section 4 below, provided the Participant continues to provide services to the Company or the Employer, or their respective successors, through the Vesting Date.</w:t>
      </w:r>
    </w:p>
    <w:p>
      <w:pPr>
        <w:spacing w:after="0" w:line="113" w:lineRule="exact"/>
        <w:rPr>
          <w:rFonts w:ascii="Times New Roman" w:cs="Times New Roman" w:eastAsia="Times New Roman" w:hAnsi="Times New Roman"/>
          <w:sz w:val="16"/>
          <w:szCs w:val="16"/>
          <w:color w:val="auto"/>
        </w:rPr>
      </w:pPr>
    </w:p>
    <w:p>
      <w:pPr>
        <w:jc w:val="both"/>
        <w:ind w:left="328" w:hanging="328"/>
        <w:spacing w:after="0" w:line="220" w:lineRule="auto"/>
        <w:tabs>
          <w:tab w:leader="none" w:pos="328"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Parameters</w:t>
      </w:r>
      <w:r>
        <w:rPr>
          <w:rFonts w:ascii="Times New Roman" w:cs="Times New Roman" w:eastAsia="Times New Roman" w:hAnsi="Times New Roman"/>
          <w:sz w:val="16"/>
          <w:szCs w:val="16"/>
          <w:color w:val="auto"/>
        </w:rPr>
        <w:t>. The Performance Parameters are based on the attainment of the Operating Profit Goals established for each of the Performance Measurement Periods and the Minimum Profit Margin for each of the Performance Measurement Periods. The attainment level, ranging from 0% to 200%, of the Operating Profit Goal applicable to each Performance Measurement Period shall be measured separately on each corresponding Determination Date and weighted equally. For the avoidance of doubt, a 0% attainment level shall be applied to a Performance Measurement Period if the Minimum Profit Margin with respect to the corresponding Performance Measurement Period has not been attained. The number of Performance RSUs that shall vest shall be equal to a number of Performance RSUs that is between 0% and 200% of the Initial Grant Number. Attainment among the Operation Profit Goal attainment levels is subject to interpolation on a linear basis.</w:t>
      </w:r>
    </w:p>
    <w:p>
      <w:pPr>
        <w:spacing w:after="0" w:line="115" w:lineRule="exact"/>
        <w:rPr>
          <w:rFonts w:ascii="Times New Roman" w:cs="Times New Roman" w:eastAsia="Times New Roman" w:hAnsi="Times New Roman"/>
          <w:sz w:val="16"/>
          <w:szCs w:val="16"/>
          <w:color w:val="auto"/>
        </w:rPr>
      </w:pPr>
    </w:p>
    <w:p>
      <w:pPr>
        <w:ind w:left="968" w:hanging="320"/>
        <w:spacing w:after="0" w:line="245" w:lineRule="auto"/>
        <w:tabs>
          <w:tab w:leader="none" w:pos="959"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Goal” shall mean the goal related to Non-GAAP Operating Profit Before Taxes for each of the Performance Measurement Periods approved by the Compensation Committee of the Board in connection with the grant of the Award.</w:t>
      </w:r>
    </w:p>
    <w:p>
      <w:pPr>
        <w:spacing w:after="0" w:line="110"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68"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Profit Margin” means the minimum Profit Margin, as approved by the Compensation Committee of the Board in connection with the grant of the Award, that shall apply to each fiscal year and that must be attained with respect to a fiscal year as a condition to recognizing and applying the attainment level of the Operating Profit Goal for the corresponding Performance Measurement Period. “Profit Margin” means the quotient obtained by dividing Non-GAAP Operating Profit Before Taxes by Revenue for each of the Performance Measurement Periods.</w:t>
      </w:r>
    </w:p>
    <w:p>
      <w:pPr>
        <w:spacing w:after="0" w:line="113"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59"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Operating Profit Before Taxes” means Non-GAAP Operating Profit Before Taxes, as reported by the Company in its earnings press release furnished to the U.S. Securities and Exchange Commission, which shall be determined in accordance with GAAP and disclosed non-GAAP adjustments and further adjusted for the results of any acquisitions or divestitures of significant materiality to be reported in the Company’s 10-Q/10-K filings.</w:t>
      </w:r>
    </w:p>
    <w:p>
      <w:pPr>
        <w:spacing w:after="0" w:line="113" w:lineRule="exact"/>
        <w:rPr>
          <w:rFonts w:ascii="Times New Roman" w:cs="Times New Roman" w:eastAsia="Times New Roman" w:hAnsi="Times New Roman"/>
          <w:sz w:val="16"/>
          <w:szCs w:val="16"/>
          <w:color w:val="auto"/>
        </w:rPr>
      </w:pPr>
    </w:p>
    <w:p>
      <w:pPr>
        <w:ind w:left="968" w:right="20" w:hanging="320"/>
        <w:spacing w:after="0" w:line="245" w:lineRule="auto"/>
        <w:tabs>
          <w:tab w:leader="none" w:pos="968"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means non-GAAP Revenue, as reported by the Company in its earnings press release furnished to the U.S. Securities and Exchange Commission, which shall be determined in accordance with GAAP and disclosed non-GAAP adjustments.</w:t>
      </w:r>
    </w:p>
    <w:p>
      <w:pPr>
        <w:spacing w:after="0" w:line="110" w:lineRule="exact"/>
        <w:rPr>
          <w:rFonts w:ascii="Times New Roman" w:cs="Times New Roman" w:eastAsia="Times New Roman" w:hAnsi="Times New Roman"/>
          <w:sz w:val="16"/>
          <w:szCs w:val="16"/>
          <w:color w:val="auto"/>
        </w:rPr>
      </w:pPr>
    </w:p>
    <w:p>
      <w:pPr>
        <w:jc w:val="both"/>
        <w:ind w:left="968" w:hanging="320"/>
        <w:spacing w:after="0" w:line="232" w:lineRule="auto"/>
        <w:tabs>
          <w:tab w:leader="none" w:pos="959"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definition of or method of determining Non-GAAP Operating Profit Before Taxes for purposes of ascertaining the attainment level of the Operating Profit Goal may, in the discretion of the Compensation Committee of the Board, be adjusted to eliminate the impact of any one or more of the following unanticipated events:</w:t>
      </w:r>
    </w:p>
    <w:p>
      <w:pPr>
        <w:spacing w:after="0" w:line="114" w:lineRule="exact"/>
        <w:rPr>
          <w:rFonts w:ascii="Times New Roman" w:cs="Times New Roman" w:eastAsia="Times New Roman" w:hAnsi="Times New Roman"/>
          <w:sz w:val="16"/>
          <w:szCs w:val="16"/>
          <w:color w:val="auto"/>
        </w:rPr>
      </w:pPr>
    </w:p>
    <w:p>
      <w:pPr>
        <w:jc w:val="both"/>
        <w:ind w:left="1468" w:hanging="496"/>
        <w:spacing w:after="0" w:line="232" w:lineRule="auto"/>
        <w:tabs>
          <w:tab w:leader="none" w:pos="1459" w:val="left"/>
        </w:tabs>
        <w:numPr>
          <w:ilvl w:val="2"/>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related to a change in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14" w:lineRule="exact"/>
        <w:rPr>
          <w:rFonts w:ascii="Times New Roman" w:cs="Times New Roman" w:eastAsia="Times New Roman" w:hAnsi="Times New Roman"/>
          <w:sz w:val="16"/>
          <w:szCs w:val="16"/>
          <w:color w:val="auto"/>
        </w:rPr>
      </w:pPr>
    </w:p>
    <w:p>
      <w:pPr>
        <w:ind w:left="1448" w:hanging="476"/>
        <w:spacing w:after="0"/>
        <w:tabs>
          <w:tab w:leader="none" w:pos="1448" w:val="left"/>
        </w:tabs>
        <w:numPr>
          <w:ilvl w:val="2"/>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unusual or extraordinary corporate transactions, events or developments, or</w:t>
      </w:r>
    </w:p>
    <w:p>
      <w:pPr>
        <w:spacing w:after="0" w:line="140" w:lineRule="exact"/>
        <w:rPr>
          <w:rFonts w:ascii="Times New Roman" w:cs="Times New Roman" w:eastAsia="Times New Roman" w:hAnsi="Times New Roman"/>
          <w:sz w:val="16"/>
          <w:szCs w:val="16"/>
          <w:color w:val="auto"/>
        </w:rPr>
      </w:pPr>
    </w:p>
    <w:p>
      <w:pPr>
        <w:ind w:left="1448" w:hanging="476"/>
        <w:spacing w:after="0"/>
        <w:tabs>
          <w:tab w:leader="none" w:pos="1448" w:val="left"/>
        </w:tabs>
        <w:numPr>
          <w:ilvl w:val="2"/>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gains or losses for material litigation, arbitration and contractual settlements.</w:t>
      </w:r>
    </w:p>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6"/>
          <w:szCs w:val="16"/>
          <w:color w:val="auto"/>
        </w:rPr>
        <w:t>Examples illustrating the application of the Performance Parameters are set forth below, providing that the Minimum Profit Margin is met in each fiscal year: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588"/>
          </w:cols>
          <w:pgMar w:left="652" w:top="1015" w:right="65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960" w:type="dxa"/>
            <w:vAlign w:val="bottom"/>
            <w:tcBorders>
              <w:top w:val="single" w:sz="8" w:color="auto"/>
              <w:left w:val="single" w:sz="8" w:color="auto"/>
              <w:right w:val="single" w:sz="8" w:color="auto"/>
            </w:tcBorders>
            <w:shd w:val="clear" w:color="auto" w:fill="C6D9F0"/>
          </w:tcPr>
          <w:p>
            <w:pPr>
              <w:ind w:left="260"/>
              <w:spacing w:after="0" w:line="175" w:lineRule="exact"/>
              <w:rPr>
                <w:sz w:val="20"/>
                <w:szCs w:val="20"/>
                <w:color w:val="auto"/>
              </w:rPr>
            </w:pPr>
            <w:r>
              <w:rPr>
                <w:rFonts w:ascii="Times New Roman" w:cs="Times New Roman" w:eastAsia="Times New Roman" w:hAnsi="Times New Roman"/>
                <w:sz w:val="16"/>
                <w:szCs w:val="16"/>
                <w:color w:val="auto"/>
              </w:rPr>
              <w:t>Payout</w:t>
            </w:r>
          </w:p>
        </w:tc>
        <w:tc>
          <w:tcPr>
            <w:tcW w:w="2540" w:type="dxa"/>
            <w:vAlign w:val="bottom"/>
            <w:tcBorders>
              <w:top w:val="single" w:sz="8" w:color="auto"/>
              <w:right w:val="single" w:sz="8" w:color="auto"/>
            </w:tcBorders>
            <w:shd w:val="clear" w:color="auto" w:fill="C6D9F0"/>
          </w:tcPr>
          <w:p>
            <w:pPr>
              <w:jc w:val="center"/>
              <w:spacing w:after="0" w:line="175" w:lineRule="exact"/>
              <w:rPr>
                <w:sz w:val="20"/>
                <w:szCs w:val="20"/>
                <w:color w:val="auto"/>
              </w:rPr>
            </w:pPr>
            <w:r>
              <w:rPr>
                <w:rFonts w:ascii="Times New Roman" w:cs="Times New Roman" w:eastAsia="Times New Roman" w:hAnsi="Times New Roman"/>
                <w:sz w:val="16"/>
                <w:szCs w:val="16"/>
                <w:color w:val="auto"/>
              </w:rPr>
              <w:t>Number of Potential Shares</w:t>
            </w:r>
          </w:p>
        </w:tc>
        <w:tc>
          <w:tcPr>
            <w:tcW w:w="6200" w:type="dxa"/>
            <w:vAlign w:val="bottom"/>
            <w:tcBorders>
              <w:top w:val="single" w:sz="8" w:color="auto"/>
              <w:right w:val="single" w:sz="8" w:color="auto"/>
            </w:tcBorders>
            <w:vMerge w:val="restart"/>
            <w:shd w:val="clear" w:color="auto" w:fill="C6D9F0"/>
          </w:tcPr>
          <w:p>
            <w:pPr>
              <w:ind w:left="2300"/>
              <w:spacing w:after="0"/>
              <w:rPr>
                <w:sz w:val="20"/>
                <w:szCs w:val="20"/>
                <w:color w:val="auto"/>
              </w:rPr>
            </w:pPr>
            <w:r>
              <w:rPr>
                <w:rFonts w:ascii="Times New Roman" w:cs="Times New Roman" w:eastAsia="Times New Roman" w:hAnsi="Times New Roman"/>
                <w:sz w:val="16"/>
                <w:szCs w:val="16"/>
                <w:color w:val="auto"/>
              </w:rPr>
              <w:t>Performance Parameters</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shd w:val="clear" w:color="auto" w:fill="C6D9F0"/>
          </w:tcPr>
          <w:p>
            <w:pPr>
              <w:ind w:left="240"/>
              <w:spacing w:after="0"/>
              <w:rPr>
                <w:sz w:val="20"/>
                <w:szCs w:val="20"/>
                <w:color w:val="auto"/>
              </w:rPr>
            </w:pPr>
            <w:r>
              <w:rPr>
                <w:rFonts w:ascii="Times New Roman" w:cs="Times New Roman" w:eastAsia="Times New Roman" w:hAnsi="Times New Roman"/>
                <w:sz w:val="16"/>
                <w:szCs w:val="16"/>
                <w:color w:val="auto"/>
              </w:rPr>
              <w:t>Percent</w:t>
            </w:r>
          </w:p>
        </w:tc>
        <w:tc>
          <w:tcPr>
            <w:tcW w:w="2540" w:type="dxa"/>
            <w:vAlign w:val="bottom"/>
            <w:tcBorders>
              <w:right w:val="single" w:sz="8" w:color="auto"/>
            </w:tcBorders>
            <w:shd w:val="clear" w:color="auto" w:fill="C6D9F0"/>
          </w:tcPr>
          <w:p>
            <w:pPr>
              <w:jc w:val="center"/>
              <w:spacing w:after="0"/>
              <w:rPr>
                <w:sz w:val="20"/>
                <w:szCs w:val="20"/>
                <w:color w:val="auto"/>
              </w:rPr>
            </w:pPr>
            <w:r>
              <w:rPr>
                <w:rFonts w:ascii="Times New Roman" w:cs="Times New Roman" w:eastAsia="Times New Roman" w:hAnsi="Times New Roman"/>
                <w:sz w:val="16"/>
                <w:szCs w:val="16"/>
                <w:color w:val="auto"/>
              </w:rPr>
              <w:t>Attained</w:t>
            </w:r>
          </w:p>
        </w:tc>
        <w:tc>
          <w:tcPr>
            <w:tcW w:w="6200" w:type="dxa"/>
            <w:vAlign w:val="bottom"/>
            <w:tcBorders>
              <w:right w:val="single" w:sz="8" w:color="auto"/>
            </w:tcBorders>
            <w:vMerge w:val="continue"/>
            <w:shd w:val="clear" w:color="auto" w:fill="C6D9F0"/>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shd w:val="clear" w:color="auto" w:fill="C6D9F0"/>
          </w:tcPr>
          <w:p>
            <w:pPr>
              <w:spacing w:after="0"/>
              <w:rPr>
                <w:sz w:val="14"/>
                <w:szCs w:val="14"/>
                <w:color w:val="auto"/>
              </w:rPr>
            </w:pPr>
          </w:p>
        </w:tc>
        <w:tc>
          <w:tcPr>
            <w:tcW w:w="2540" w:type="dxa"/>
            <w:vAlign w:val="bottom"/>
            <w:tcBorders>
              <w:bottom w:val="single" w:sz="8" w:color="auto"/>
              <w:right w:val="single" w:sz="8" w:color="auto"/>
            </w:tcBorders>
            <w:shd w:val="clear" w:color="auto" w:fill="C6D9F0"/>
          </w:tcPr>
          <w:p>
            <w:pPr>
              <w:spacing w:after="0"/>
              <w:rPr>
                <w:sz w:val="14"/>
                <w:szCs w:val="14"/>
                <w:color w:val="auto"/>
              </w:rPr>
            </w:pPr>
          </w:p>
        </w:tc>
        <w:tc>
          <w:tcPr>
            <w:tcW w:w="6200" w:type="dxa"/>
            <w:vAlign w:val="bottom"/>
            <w:tcBorders>
              <w:bottom w:val="single" w:sz="8" w:color="auto"/>
              <w:right w:val="single" w:sz="8" w:color="auto"/>
            </w:tcBorders>
            <w:shd w:val="clear" w:color="auto" w:fill="C6D9F0"/>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200" w:type="dxa"/>
            <w:vAlign w:val="bottom"/>
            <w:tcBorders>
              <w:right w:val="single" w:sz="8" w:color="auto"/>
            </w:tcBorders>
          </w:tcPr>
          <w:p>
            <w:pPr>
              <w:ind w:left="140"/>
              <w:spacing w:after="0" w:line="155" w:lineRule="exact"/>
              <w:rPr>
                <w:sz w:val="20"/>
                <w:szCs w:val="20"/>
                <w:color w:val="auto"/>
              </w:rPr>
            </w:pPr>
            <w:r>
              <w:rPr>
                <w:rFonts w:ascii="Times New Roman" w:cs="Times New Roman" w:eastAsia="Times New Roman" w:hAnsi="Times New Roman"/>
                <w:sz w:val="16"/>
                <w:szCs w:val="16"/>
                <w:color w:val="auto"/>
              </w:rPr>
              <w:t>Company Operating Profit Goal does not meet minimum threshold approved by the</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vMerge w:val="continue"/>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Compensation Committee of the Board</w:t>
            </w: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 Awards Granted</w:t>
            </w:r>
          </w:p>
        </w:tc>
        <w:tc>
          <w:tcPr>
            <w:tcW w:w="6200" w:type="dxa"/>
            <w:vAlign w:val="bottom"/>
            <w:tcBorders>
              <w:right w:val="single" w:sz="8" w:color="auto"/>
            </w:tcBorders>
          </w:tcPr>
          <w:p>
            <w:pPr>
              <w:ind w:left="140"/>
              <w:spacing w:after="0" w:line="155" w:lineRule="exact"/>
              <w:rPr>
                <w:sz w:val="20"/>
                <w:szCs w:val="20"/>
                <w:color w:val="auto"/>
              </w:rPr>
            </w:pPr>
            <w:r>
              <w:rPr>
                <w:rFonts w:ascii="Times New Roman" w:cs="Times New Roman" w:eastAsia="Times New Roman" w:hAnsi="Times New Roman"/>
                <w:sz w:val="16"/>
                <w:szCs w:val="16"/>
                <w:color w:val="auto"/>
              </w:rPr>
              <w:t>Company Operating Profit Goal meets target approved by Compensation Committee</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vMerge w:val="continue"/>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of the Board</w:t>
            </w: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200%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Grant Custom 2</w:t>
            </w:r>
          </w:p>
        </w:tc>
        <w:tc>
          <w:tcPr>
            <w:tcW w:w="6200" w:type="dxa"/>
            <w:vAlign w:val="bottom"/>
            <w:tcBorders>
              <w:right w:val="single" w:sz="8" w:color="auto"/>
            </w:tcBorders>
          </w:tcPr>
          <w:p>
            <w:pPr>
              <w:ind w:left="140"/>
              <w:spacing w:after="0" w:line="155" w:lineRule="exact"/>
              <w:rPr>
                <w:sz w:val="20"/>
                <w:szCs w:val="20"/>
                <w:color w:val="auto"/>
              </w:rPr>
            </w:pPr>
            <w:r>
              <w:rPr>
                <w:rFonts w:ascii="Times New Roman" w:cs="Times New Roman" w:eastAsia="Times New Roman" w:hAnsi="Times New Roman"/>
                <w:sz w:val="16"/>
                <w:szCs w:val="16"/>
                <w:color w:val="auto"/>
              </w:rPr>
              <w:t>Company Operating Profit Goal meets or exceeds the maximum target approved by the</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vMerge w:val="continue"/>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Compensation Committee of the Board</w:t>
            </w: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9700"/>
          </w:cols>
          <w:pgMar w:left="1080" w:top="1440" w:right="1119" w:bottom="1440" w:gutter="0" w:footer="0" w:header="0"/>
        </w:sectPr>
      </w:pPr>
    </w:p>
    <w:bookmarkStart w:id="155" w:name="page156"/>
    <w:bookmarkEnd w:id="155"/>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95"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2023.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12"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19"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80"/>
          </w:cols>
          <w:pgMar w:left="480" w:top="1015" w:right="339" w:bottom="1440" w:gutter="0" w:footer="0" w:header="0"/>
        </w:sectPr>
      </w:pPr>
    </w:p>
    <w:bookmarkStart w:id="156" w:name="page157"/>
    <w:bookmarkEnd w:id="156"/>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500" w:hanging="328"/>
        <w:spacing w:after="0" w:line="222" w:lineRule="auto"/>
        <w:tabs>
          <w:tab w:leader="none" w:pos="50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3" w:lineRule="exact"/>
        <w:rPr>
          <w:sz w:val="20"/>
          <w:szCs w:val="20"/>
          <w:color w:val="auto"/>
        </w:rPr>
      </w:pPr>
    </w:p>
    <w:p>
      <w:pPr>
        <w:jc w:val="both"/>
        <w:ind w:left="180" w:right="34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34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23"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Performance RSUs is being made under Division 1A Part 7.12 of the Australian Corporations Act 2001 (Cth). If the Participant offers Shares acquired under the Plan for sale to a person or entity resident in Australia, the Participant’s offer may be subject to disclosure requirements under Australian law. The Participant should obtain legal advice on any disclosure obligations prior to making any such offer.</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right="32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212"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34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35" w:lineRule="exact"/>
        <w:rPr>
          <w:sz w:val="20"/>
          <w:szCs w:val="20"/>
          <w:color w:val="auto"/>
        </w:rPr>
      </w:pPr>
    </w:p>
    <w:p>
      <w:pPr>
        <w:jc w:val="both"/>
        <w:ind w:left="180" w:right="34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1080"/>
          </w:cols>
          <w:pgMar w:left="480" w:top="1015" w:right="339" w:bottom="1440" w:gutter="0" w:footer="0" w:header="0"/>
        </w:sectPr>
      </w:pPr>
    </w:p>
    <w:bookmarkStart w:id="157" w:name="page158"/>
    <w:bookmarkEnd w:id="157"/>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19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earlier of (1) the date the Participant’s employment with the Employer is terminated for any reason; or (2) the date the Participant receives written notice of termination from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 For greater certainty, the Participant will not earn or be entitled to any pro-rated vesting for that portion of time before the date on which the Participant’s right to vest terminates, nor will Participant be entitled to any compensation for lost vesting.</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8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Performance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10"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15" w:right="659" w:bottom="1440" w:gutter="0" w:footer="0" w:header="0"/>
        </w:sectPr>
      </w:pPr>
    </w:p>
    <w:bookmarkStart w:id="158" w:name="page159"/>
    <w:bookmarkEnd w:id="158"/>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12"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Performance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08" w:lineRule="exact"/>
        <w:rPr>
          <w:sz w:val="20"/>
          <w:szCs w:val="20"/>
          <w:color w:val="auto"/>
        </w:rPr>
      </w:pPr>
    </w:p>
    <w:p>
      <w:pPr>
        <w:jc w:val="both"/>
        <w:ind w:left="180" w:right="20"/>
        <w:spacing w:after="0" w:line="233"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(Performance RSUs) pakkumise, kinnitab Osaleja, et ta on ingliskeelsena esitatud pakkumisega seotud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dokumendid (Optsioonilepingu ja Plaani) läbi lugenud ja nendest aru saanud ning et ta ei vaja nende tõlkimist eesti keelde. Sellest tulenevalt Osaleja nõustub viidatud dokumentide tingimustega.</w:t>
      </w:r>
    </w:p>
    <w:p>
      <w:pPr>
        <w:spacing w:after="0" w:line="114"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By accepting the grant of the Performance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760"/>
          </w:cols>
          <w:pgMar w:left="480" w:top="1015" w:right="659" w:bottom="1440" w:gutter="0" w:footer="0" w:header="0"/>
        </w:sectPr>
      </w:pPr>
    </w:p>
    <w:bookmarkStart w:id="159" w:name="page160"/>
    <w:bookmarkEnd w:id="159"/>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French-Qualified Performance RSUs</w:t>
      </w:r>
      <w:r>
        <w:rPr>
          <w:rFonts w:ascii="Times New Roman" w:cs="Times New Roman" w:eastAsia="Times New Roman" w:hAnsi="Times New Roman"/>
          <w:sz w:val="16"/>
          <w:szCs w:val="16"/>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198"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21"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Performance RSUs prior to the second anniversary of the Grant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Certain adjustments may disqualify the Performance RSUs, in which case they may no longer benefit from favorable tax and social security treatment in France.</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3"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- 5</w:t>
      </w:r>
    </w:p>
    <w:p>
      <w:pPr>
        <w:sectPr>
          <w:pgSz w:w="11900" w:h="16838" w:orient="portrait"/>
          <w:cols w:equalWidth="0" w:num="1">
            <w:col w:w="10760"/>
          </w:cols>
          <w:pgMar w:left="480" w:top="1015" w:right="659" w:bottom="1440" w:gutter="0" w:footer="0" w:header="0"/>
          <w:type w:val="continuous"/>
        </w:sectPr>
      </w:pPr>
    </w:p>
    <w:bookmarkStart w:id="160" w:name="page161"/>
    <w:bookmarkEnd w:id="160"/>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35"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Participant otherwise makes or receives a payment in excess of €12,500 (including if the Participant acquires Shares under the Plan with a value in excess of this amount or sells Shares via a foreign broker, bank or service provider and receives proceeds in excess of this amount) and/or if the Company withholds of sells Shares with a value in excess of this amount to cover Tax-Related Items, the Participant must report the payment and/or the value of the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000FF"/>
        </w:rPr>
        <w:t>www.bundesbank.de</w:t>
      </w:r>
      <w:r>
        <w:rPr>
          <w:rFonts w:ascii="Times New Roman" w:cs="Times New Roman" w:eastAsia="Times New Roman" w:hAnsi="Times New Roman"/>
          <w:sz w:val="16"/>
          <w:szCs w:val="16"/>
          <w:color w:val="auto"/>
        </w:rPr>
        <w:t>), or by such other method (e.g., email or telephone) and within such other timing as permitted or required by Bundesbank. The report must be submitted monthly or within such timing as it permitted or required by the Bundesbank. It is the Participant’s responsibility to comply with this reporting obligation and the Participant should consult with his or her personal legal advisor in this regard.</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49"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 The Participant agrees to provide any information that may be required by the Company or the Employer to make any applicable filings under exchange control laws in India.</w:t>
      </w:r>
    </w:p>
    <w:p>
      <w:pPr>
        <w:spacing w:after="0" w:line="19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the Participant in the form of cash.</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14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- 6</w:t>
      </w:r>
    </w:p>
    <w:p>
      <w:pPr>
        <w:sectPr>
          <w:pgSz w:w="11900" w:h="16838" w:orient="portrait"/>
          <w:cols w:equalWidth="0" w:num="1">
            <w:col w:w="10760"/>
          </w:cols>
          <w:pgMar w:left="480" w:top="1015" w:right="659" w:bottom="1440" w:gutter="0" w:footer="0" w:header="0"/>
          <w:type w:val="continuous"/>
        </w:sectPr>
      </w:pPr>
    </w:p>
    <w:bookmarkStart w:id="161" w:name="page162"/>
    <w:bookmarkEnd w:id="161"/>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3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33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37"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23"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209"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Restriction on Sale of Shares</w:t>
      </w:r>
      <w:r>
        <w:rPr>
          <w:rFonts w:ascii="Times New Roman" w:cs="Times New Roman" w:eastAsia="Times New Roman" w:hAnsi="Times New Roman"/>
          <w:sz w:val="16"/>
          <w:szCs w:val="16"/>
          <w:color w:val="auto"/>
        </w:rPr>
        <w:t>. Korean residents are not permitted to sell foreign securities (including Shares) through non-Korean brokers (such as Fidelity) or deposit funds resulting from the sale of Shares in an account with an overseas financial institution. If the Participant wishes to sell Shares acquired under the Plan, the Participant may be required to transfer the Shares to a domestic investment broker in Korea and to effect the sale through such broker. The Participant is solely responsible for engaging the domestic broker in Korea, and non-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- 7</w:t>
      </w:r>
    </w:p>
    <w:p>
      <w:pPr>
        <w:sectPr>
          <w:pgSz w:w="11900" w:h="16838" w:orient="portrait"/>
          <w:cols w:equalWidth="0" w:num="1">
            <w:col w:w="10760"/>
          </w:cols>
          <w:pgMar w:left="480" w:top="1015" w:right="659" w:bottom="1440" w:gutter="0" w:footer="0" w:header="0"/>
        </w:sectPr>
      </w:pPr>
    </w:p>
    <w:bookmarkStart w:id="162" w:name="page163"/>
    <w:bookmarkEnd w:id="162"/>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compliance with the requirement to sell Shares through a domestic broker can result in significant penalties. The Participant should consult with his or her personal advisor(s) regarding any personal legal, regulatory or foreign exchange obligations he or she may have in connection with the Participant’s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- 8</w:t>
      </w:r>
    </w:p>
    <w:p>
      <w:pPr>
        <w:sectPr>
          <w:pgSz w:w="11900" w:h="16838" w:orient="portrait"/>
          <w:cols w:equalWidth="0" w:num="1">
            <w:col w:w="10760"/>
          </w:cols>
          <w:pgMar w:left="480" w:top="1015" w:right="659" w:bottom="1440" w:gutter="0" w:footer="0" w:header="0"/>
        </w:sectPr>
      </w:pPr>
    </w:p>
    <w:bookmarkStart w:id="163" w:name="page164"/>
    <w:bookmarkEnd w:id="163"/>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70485</wp:posOffset>
            </wp:positionV>
            <wp:extent cx="8255" cy="1714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70485</wp:posOffset>
            </wp:positionV>
            <wp:extent cx="8255" cy="1714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70485</wp:posOffset>
            </wp:positionV>
            <wp:extent cx="8255" cy="1714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4680" w:type="dxa"/>
            <w:vAlign w:val="bottom"/>
            <w:tcBorders>
              <w:top w:val="single" w:sz="8" w:color="auto"/>
            </w:tcBorders>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w:t>
            </w:r>
          </w:p>
        </w:tc>
        <w:tc>
          <w:tcPr>
            <w:tcW w:w="40" w:type="dxa"/>
            <w:vAlign w:val="bottom"/>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collection, use and transfer, in electronic or other form, of his or</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personal data as described in this document by and among, as</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applicable, the Employer, and the Company and its subsidiaries for</w:t>
            </w:r>
          </w:p>
        </w:tc>
        <w:tc>
          <w:tcPr>
            <w:tcW w:w="40" w:type="dxa"/>
            <w:vAlign w:val="bottom"/>
          </w:tcPr>
          <w:p>
            <w:pPr>
              <w:spacing w:after="0"/>
              <w:rPr>
                <w:sz w:val="16"/>
                <w:szCs w:val="16"/>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exclusive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keraguan mengizinkan pengumpulan, penggunaan dan pemindahan, dalam</w:t>
            </w:r>
          </w:p>
        </w:tc>
        <w:tc>
          <w:tcPr>
            <w:tcW w:w="0" w:type="dxa"/>
            <w:vAlign w:val="bottom"/>
          </w:tcPr>
          <w:p>
            <w:pPr>
              <w:spacing w:after="0"/>
              <w:rPr>
                <w:sz w:val="1"/>
                <w:szCs w:val="1"/>
                <w:color w:val="auto"/>
              </w:rPr>
            </w:pPr>
          </w:p>
        </w:tc>
      </w:tr>
      <w:tr>
        <w:trPr>
          <w:trHeight w:val="162"/>
        </w:trPr>
        <w:tc>
          <w:tcPr>
            <w:tcW w:w="420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the Participant’s participation in the Plan.</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dokumen ini, oleh dan di antara, sebagaimana yang berkenaan, Majikan,</w:t>
            </w:r>
          </w:p>
        </w:tc>
        <w:tc>
          <w:tcPr>
            <w:tcW w:w="0" w:type="dxa"/>
            <w:vAlign w:val="bottom"/>
          </w:tcPr>
          <w:p>
            <w:pPr>
              <w:spacing w:after="0"/>
              <w:rPr>
                <w:sz w:val="1"/>
                <w:szCs w:val="1"/>
                <w:color w:val="auto"/>
              </w:rPr>
            </w:pPr>
          </w:p>
        </w:tc>
      </w:tr>
      <w:tr>
        <w:trPr>
          <w:trHeight w:val="216"/>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membantu dalam pelaksanaan, pentadbiran dan pengurusan penyertaan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dalam Pelan.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40" w:type="dxa"/>
            <w:vAlign w:val="bottom"/>
          </w:tcPr>
          <w:p>
            <w:pPr>
              <w:spacing w:after="0"/>
              <w:rPr>
                <w:sz w:val="14"/>
                <w:szCs w:val="14"/>
                <w:color w:val="auto"/>
              </w:rPr>
            </w:pP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or any other entitlement to shares of stock</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awarded, canceled, exercised, vested, unvested or outstanding in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Participant’s favor, for the purpose of implementing, administering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managing the Plan (“Data”). The source of the Data is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atau apa-apa hak lain untuk syer dalam saham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Employer as well as information the Participant is providing to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dianugerahkan, dibatalkan, dilaksanakan, terletak hak, tidak diletak hak ataupun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and the Employer in connection with the Performance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yang  belum  dijelaskan  bagi  faedah  Peserta,  untuk  tujuan  eksklusif  bagi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RSUs. The Participant understands that Data may be transferred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Pelan (“Data”). Sumber Data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or any other third parties as may be selected by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adalah daripada Majikan dan juga daripada maklumat yang dibekalkan oleh</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in the future, which are assisting in the implementation,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Peserta kepada Syarikat dan Majikan berkenaan dengan Performance RSUs.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that these recipients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Penerima Anugerah juga memahami bahawa Data mungkin dipindahkan kepada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be located in the Participant’s country or elsewhere and that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atau mana-mana pihak ketiga yang mungkin dipilih oleh Syarikat 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recipients’ country (e.g., the United States) may have different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masa depan, </w:t>
            </w:r>
            <w:r>
              <w:rPr>
                <w:rFonts w:ascii="Times New Roman" w:cs="Times New Roman" w:eastAsia="Times New Roman" w:hAnsi="Times New Roman"/>
                <w:sz w:val="16"/>
                <w:szCs w:val="16"/>
                <w:b w:val="1"/>
                <w:bCs w:val="1"/>
                <w:i w:val="1"/>
                <w:iCs w:val="1"/>
                <w:color w:val="222222"/>
              </w:rPr>
              <w:t>yang membantu dalam pelaksanaan, pentadbiran dan pengurusan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privacy laws and protections than the Participant’s country.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Pelan, bahawa penerima-penerima ini mungkin berada di negara Peserta atau di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he or she may request a list with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tempat  lain,  dan  bahawa  negara  penerima  (contohnya,  Amerika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names and addresses of any potential recipients of the Data by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mungkin  mempunyai  undang-undang  privasi  data  dan  perlindungan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contacting his or her local human resources representative.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berbeza daripada negara Peserta. Peserta memahami bahawa dia boleh meminta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authorizes the Company, Fidelity and any other possible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senarai nama dan alamat mana-mana penerima Data dengan menghubungi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recipients which may assist the Company (presently or in the future)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wakil sumber manusia tempatannya. </w:t>
            </w:r>
            <w:r>
              <w:rPr>
                <w:rFonts w:ascii="Times New Roman" w:cs="Times New Roman" w:eastAsia="Times New Roman" w:hAnsi="Times New Roman"/>
                <w:sz w:val="16"/>
                <w:szCs w:val="16"/>
                <w:b w:val="1"/>
                <w:bCs w:val="1"/>
                <w:i w:val="1"/>
                <w:iCs w:val="1"/>
                <w:color w:val="000000"/>
              </w:rPr>
              <w:t>Peserta memberi kuasa kepada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with  implementing,  administering  and  managing  the  Plan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dan mana-mana penerima lain yang mungkin membantu Syarikat (masa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receive, possess, use, retain and transfer the Data, in electronic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form, for the sole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c>
          <w:tcPr>
            <w:tcW w:w="0" w:type="dxa"/>
            <w:vAlign w:val="bottom"/>
          </w:tcPr>
          <w:p>
            <w:pPr>
              <w:spacing w:after="0"/>
              <w:rPr>
                <w:sz w:val="1"/>
                <w:szCs w:val="1"/>
                <w:color w:val="auto"/>
              </w:rPr>
            </w:pPr>
          </w:p>
        </w:tc>
      </w:tr>
      <w:tr>
        <w:trPr>
          <w:trHeight w:val="162"/>
        </w:trPr>
        <w:tc>
          <w:tcPr>
            <w:tcW w:w="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c>
          <w:tcPr>
            <w:tcW w:w="0" w:type="dxa"/>
            <w:vAlign w:val="bottom"/>
          </w:tcPr>
          <w:p>
            <w:pPr>
              <w:spacing w:after="0"/>
              <w:rPr>
                <w:sz w:val="1"/>
                <w:szCs w:val="1"/>
                <w:color w:val="auto"/>
              </w:rPr>
            </w:pPr>
          </w:p>
        </w:tc>
      </w:tr>
      <w:tr>
        <w:trPr>
          <w:trHeight w:val="214"/>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-5415915</wp:posOffset>
            </wp:positionV>
            <wp:extent cx="6574790" cy="542607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6574790" cy="542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- 9</w:t>
      </w:r>
    </w:p>
    <w:p>
      <w:pPr>
        <w:sectPr>
          <w:pgSz w:w="11900" w:h="16838" w:orient="portrait"/>
          <w:cols w:equalWidth="0" w:num="1">
            <w:col w:w="10760"/>
          </w:cols>
          <w:pgMar w:left="480" w:top="1015" w:right="659" w:bottom="1440" w:gutter="0" w:footer="0" w:header="0"/>
        </w:sectPr>
      </w:pPr>
    </w:p>
    <w:bookmarkStart w:id="164" w:name="page165"/>
    <w:bookmarkEnd w:id="164"/>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44"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58"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3"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54"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40"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6"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80" w:right="320"/>
        <w:spacing w:after="0" w:line="22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Performance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- 10</w:t>
      </w:r>
    </w:p>
    <w:p>
      <w:pPr>
        <w:sectPr>
          <w:pgSz w:w="11900" w:h="16838" w:orient="portrait"/>
          <w:cols w:equalWidth="0" w:num="1">
            <w:col w:w="11080"/>
          </w:cols>
          <w:pgMar w:left="480" w:top="1015" w:right="339" w:bottom="1440" w:gutter="0" w:footer="0" w:header="0"/>
        </w:sectPr>
      </w:pPr>
    </w:p>
    <w:bookmarkStart w:id="165" w:name="page166"/>
    <w:bookmarkEnd w:id="165"/>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37"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Performance RSUs is being made pursuant to an exemption from registration under Section 10.2 of the SRC that has been approved by the PSEC.</w:t>
      </w:r>
    </w:p>
    <w:p>
      <w:pPr>
        <w:spacing w:after="0" w:line="235" w:lineRule="exact"/>
        <w:rPr>
          <w:sz w:val="20"/>
          <w:szCs w:val="20"/>
          <w:color w:val="auto"/>
        </w:rPr>
      </w:pPr>
    </w:p>
    <w:p>
      <w:pPr>
        <w:jc w:val="both"/>
        <w:ind w:left="180" w:right="320"/>
        <w:spacing w:after="0" w:line="221"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198"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23"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subject to the regulations concerning public offers and private placements under the Law on Capital Markets.</w:t>
      </w:r>
    </w:p>
    <w:p>
      <w:pPr>
        <w:spacing w:after="0" w:line="151" w:lineRule="exact"/>
        <w:rPr>
          <w:sz w:val="20"/>
          <w:szCs w:val="20"/>
          <w:color w:val="auto"/>
        </w:rPr>
      </w:pPr>
    </w:p>
    <w:p>
      <w:pPr>
        <w:ind w:left="180" w:right="34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- 11</w:t>
      </w:r>
    </w:p>
    <w:p>
      <w:pPr>
        <w:sectPr>
          <w:pgSz w:w="11900" w:h="16838" w:orient="portrait"/>
          <w:cols w:equalWidth="0" w:num="1">
            <w:col w:w="11080"/>
          </w:cols>
          <w:pgMar w:left="480" w:top="1015" w:right="339" w:bottom="1440" w:gutter="0" w:footer="0" w:header="0"/>
        </w:sectPr>
      </w:pPr>
    </w:p>
    <w:bookmarkStart w:id="166" w:name="page167"/>
    <w:bookmarkEnd w:id="166"/>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basis, any changes in the value of the Shares. As the exchange control regulations in Serbia may change without notice, the Participant should consult with his or her personal advisor with respect to all applicable reporting obligations.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9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40"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207" w:lineRule="exact"/>
        <w:rPr>
          <w:sz w:val="20"/>
          <w:szCs w:val="20"/>
          <w:color w:val="auto"/>
        </w:rPr>
      </w:pPr>
    </w:p>
    <w:p>
      <w:pPr>
        <w:jc w:val="both"/>
        <w:ind w:left="180"/>
        <w:spacing w:after="0" w:line="216"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w:t>
      </w:r>
    </w:p>
    <w:p>
      <w:pPr>
        <w:jc w:val="both"/>
        <w:ind w:left="180" w:right="20" w:hanging="8"/>
        <w:spacing w:after="0" w:line="217" w:lineRule="auto"/>
        <w:tabs>
          <w:tab w:leader="none" w:pos="423"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0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- 12</w:t>
      </w:r>
    </w:p>
    <w:p>
      <w:pPr>
        <w:sectPr>
          <w:pgSz w:w="11900" w:h="16838" w:orient="portrait"/>
          <w:cols w:equalWidth="0" w:num="1">
            <w:col w:w="10760"/>
          </w:cols>
          <w:pgMar w:left="480" w:top="1015" w:right="659" w:bottom="1440" w:gutter="0" w:footer="0" w:header="0"/>
        </w:sectPr>
      </w:pPr>
    </w:p>
    <w:bookmarkStart w:id="167" w:name="page168"/>
    <w:bookmarkEnd w:id="167"/>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 xml:space="preserve">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 advisor for further information regarding these exchange control reporting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obligations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37"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- 13</w:t>
      </w:r>
    </w:p>
    <w:p>
      <w:pPr>
        <w:sectPr>
          <w:pgSz w:w="11900" w:h="16838" w:orient="portrait"/>
          <w:cols w:equalWidth="0" w:num="1">
            <w:col w:w="10760"/>
          </w:cols>
          <w:pgMar w:left="480" w:top="1015" w:right="659" w:bottom="1440" w:gutter="0" w:footer="0" w:header="0"/>
          <w:type w:val="continuous"/>
        </w:sectPr>
      </w:pPr>
    </w:p>
    <w:bookmarkStart w:id="168" w:name="page169"/>
    <w:bookmarkEnd w:id="168"/>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1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41"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19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Performance RSU grant.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- 14</w:t>
      </w:r>
    </w:p>
    <w:p>
      <w:pPr>
        <w:sectPr>
          <w:pgSz w:w="11900" w:h="16838" w:orient="portrait"/>
          <w:cols w:equalWidth="0" w:num="1">
            <w:col w:w="10760"/>
          </w:cols>
          <w:pgMar w:left="480" w:top="1015" w:right="65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15" w:lineRule="exact"/>
        <w:rPr>
          <w:sz w:val="20"/>
          <w:szCs w:val="20"/>
          <w:color w:val="auto"/>
        </w:rPr>
      </w:pPr>
    </w:p>
    <w:p>
      <w:pPr>
        <w:ind w:left="300" w:hanging="292"/>
        <w:spacing w:after="0"/>
        <w:tabs>
          <w:tab w:leader="none" w:pos="300" w:val="left"/>
        </w:tabs>
        <w:numPr>
          <w:ilvl w:val="0"/>
          <w:numId w:val="1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Performance RSUs under the Plan on Grant Date. On this basis, the Date of Grant for your Performance RSUs is Grant Date.</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Performance RSU Grant</w:t>
      </w:r>
    </w:p>
    <w:p>
      <w:pPr>
        <w:spacing w:after="0" w:line="14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6"/>
          <w:szCs w:val="16"/>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Performance RSUs</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Performance RSUs vest, the Company will issue one share of the Company’s common stock to you in settlement of each vested Performance RSU.</w:t>
      </w:r>
    </w:p>
    <w:p>
      <w:pPr>
        <w:spacing w:after="0" w:line="138" w:lineRule="exact"/>
        <w:rPr>
          <w:sz w:val="20"/>
          <w:szCs w:val="20"/>
          <w:color w:val="auto"/>
        </w:rPr>
      </w:pPr>
    </w:p>
    <w:p>
      <w:pPr>
        <w:ind w:left="300" w:hanging="292"/>
        <w:spacing w:after="0"/>
        <w:tabs>
          <w:tab w:leader="none" w:pos="300" w:val="left"/>
        </w:tabs>
        <w:numPr>
          <w:ilvl w:val="0"/>
          <w:numId w:val="1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108" w:lineRule="exact"/>
        <w:rPr>
          <w:sz w:val="20"/>
          <w:szCs w:val="20"/>
          <w:color w:val="auto"/>
        </w:rPr>
      </w:pPr>
    </w:p>
    <w:p>
      <w:pPr>
        <w:ind w:left="300" w:hanging="292"/>
        <w:spacing w:after="0"/>
        <w:tabs>
          <w:tab w:leader="none" w:pos="300" w:val="left"/>
        </w:tabs>
        <w:numPr>
          <w:ilvl w:val="0"/>
          <w:numId w:val="1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1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112" w:lineRule="exact"/>
        <w:rPr>
          <w:sz w:val="20"/>
          <w:szCs w:val="20"/>
          <w:color w:val="auto"/>
        </w:rPr>
      </w:pPr>
    </w:p>
    <w:p>
      <w:pPr>
        <w:ind w:left="300" w:hanging="292"/>
        <w:spacing w:after="0"/>
        <w:tabs>
          <w:tab w:leader="none" w:pos="300" w:val="left"/>
        </w:tabs>
        <w:numPr>
          <w:ilvl w:val="0"/>
          <w:numId w:val="1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ind w:left="34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34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340"/>
        <w:spacing w:after="0" w:line="229" w:lineRule="auto"/>
        <w:rPr>
          <w:sz w:val="20"/>
          <w:szCs w:val="20"/>
          <w:color w:val="auto"/>
        </w:rPr>
      </w:pPr>
      <w:r>
        <w:rPr>
          <w:rFonts w:ascii="Times New Roman" w:cs="Times New Roman" w:eastAsia="Times New Roman" w:hAnsi="Times New Roman"/>
          <w:sz w:val="16"/>
          <w:szCs w:val="16"/>
          <w:color w:val="auto"/>
        </w:rPr>
        <w:t>Wilmington, MA 01887</w:t>
      </w: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1240"/>
          </w:cols>
          <w:pgMar w:left="320" w:top="1015" w:right="339" w:bottom="1440" w:gutter="0" w:footer="0" w:header="0"/>
        </w:sectPr>
      </w:pPr>
    </w:p>
    <w:bookmarkStart w:id="170" w:name="page171"/>
    <w:bookmarkEnd w:id="170"/>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Performance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3"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206"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08" w:lineRule="exact"/>
        <w:rPr>
          <w:sz w:val="20"/>
          <w:szCs w:val="20"/>
          <w:color w:val="auto"/>
        </w:rPr>
      </w:pPr>
    </w:p>
    <w:p>
      <w:pPr>
        <w:ind w:left="460" w:hanging="288"/>
        <w:spacing w:after="0"/>
        <w:tabs>
          <w:tab w:leader="none" w:pos="460" w:val="left"/>
        </w:tabs>
        <w:numPr>
          <w:ilvl w:val="0"/>
          <w:numId w:val="1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206" w:lineRule="exact"/>
        <w:rPr>
          <w:sz w:val="20"/>
          <w:szCs w:val="20"/>
          <w:color w:val="auto"/>
        </w:rPr>
      </w:pPr>
    </w:p>
    <w:p>
      <w:pPr>
        <w:ind w:left="460" w:hanging="288"/>
        <w:spacing w:after="0"/>
        <w:tabs>
          <w:tab w:leader="none" w:pos="460" w:val="left"/>
        </w:tabs>
        <w:numPr>
          <w:ilvl w:val="0"/>
          <w:numId w:val="1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56" w:lineRule="exact"/>
        <w:rPr>
          <w:sz w:val="20"/>
          <w:szCs w:val="20"/>
          <w:color w:val="auto"/>
        </w:rPr>
      </w:pPr>
    </w:p>
    <w:p>
      <w:pPr>
        <w:ind w:left="180"/>
        <w:spacing w:after="0" w:line="368"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8" w:lineRule="exact"/>
        <w:rPr>
          <w:sz w:val="20"/>
          <w:szCs w:val="20"/>
          <w:color w:val="auto"/>
        </w:rPr>
      </w:pPr>
    </w:p>
    <w:p>
      <w:pPr>
        <w:ind w:left="460" w:hanging="288"/>
        <w:spacing w:after="0"/>
        <w:tabs>
          <w:tab w:leader="none" w:pos="460" w:val="left"/>
        </w:tabs>
        <w:numPr>
          <w:ilvl w:val="0"/>
          <w:numId w:val="1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1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69"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1"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760"/>
          </w:cols>
          <w:pgMar w:left="480" w:top="1013" w:right="659" w:bottom="1440" w:gutter="0" w:footer="0" w:header="0"/>
        </w:sectPr>
      </w:pPr>
    </w:p>
    <w:bookmarkStart w:id="171" w:name="page172"/>
    <w:bookmarkEnd w:id="171"/>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hanging="288"/>
        <w:spacing w:after="0"/>
        <w:tabs>
          <w:tab w:leader="none" w:pos="460" w:val="left"/>
        </w:tabs>
        <w:numPr>
          <w:ilvl w:val="0"/>
          <w:numId w:val="1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69"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740"/>
          </w:cols>
          <w:pgMar w:left="480" w:top="1013" w:right="679" w:bottom="1440" w:gutter="0" w:footer="0" w:header="0"/>
        </w:sectPr>
      </w:pPr>
    </w:p>
    <w:bookmarkStart w:id="172" w:name="page173"/>
    <w:bookmarkEnd w:id="172"/>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- 1</w:t>
      </w:r>
    </w:p>
    <w:p>
      <w:pPr>
        <w:sectPr>
          <w:pgSz w:w="11900" w:h="16838" w:orient="portrait"/>
          <w:cols w:equalWidth="0" w:num="1">
            <w:col w:w="10920"/>
          </w:cols>
          <w:pgMar w:left="320" w:top="1015" w:right="659" w:bottom="1440" w:gutter="0" w:footer="0" w:header="0"/>
        </w:sectPr>
      </w:pPr>
    </w:p>
    <w:bookmarkStart w:id="173" w:name="page174"/>
    <w:bookmarkEnd w:id="173"/>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right="20" w:hanging="648"/>
        <w:spacing w:after="0" w:line="241" w:lineRule="auto"/>
        <w:tabs>
          <w:tab w:leader="none" w:pos="2608" w:val="left"/>
        </w:tabs>
        <w:numPr>
          <w:ilvl w:val="2"/>
          <w:numId w:val="161"/>
        </w:numPr>
        <w:rPr>
          <w:rFonts w:ascii="Cambria" w:cs="Cambria" w:eastAsia="Cambria" w:hAnsi="Cambria"/>
          <w:sz w:val="16"/>
          <w:szCs w:val="16"/>
          <w:b w:val="1"/>
          <w:bCs w:val="1"/>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3" w:lineRule="exact"/>
        <w:rPr>
          <w:rFonts w:ascii="Cambria" w:cs="Cambria" w:eastAsia="Cambria" w:hAnsi="Cambria"/>
          <w:sz w:val="16"/>
          <w:szCs w:val="16"/>
          <w:b w:val="1"/>
          <w:bCs w:val="1"/>
          <w:color w:val="auto"/>
        </w:rPr>
      </w:pPr>
    </w:p>
    <w:p>
      <w:pPr>
        <w:ind w:left="2600" w:right="20" w:hanging="648"/>
        <w:spacing w:after="0" w:line="245" w:lineRule="auto"/>
        <w:tabs>
          <w:tab w:leader="none" w:pos="2600" w:val="left"/>
        </w:tabs>
        <w:numPr>
          <w:ilvl w:val="2"/>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18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01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- 2</w:t>
      </w:r>
    </w:p>
    <w:p>
      <w:pPr>
        <w:sectPr>
          <w:pgSz w:w="11900" w:h="16838" w:orient="portrait"/>
          <w:cols w:equalWidth="0" w:num="1">
            <w:col w:w="10920"/>
          </w:cols>
          <w:pgMar w:left="320" w:top="1015" w:right="659" w:bottom="1440" w:gutter="0" w:footer="0" w:header="0"/>
          <w:type w:val="continuous"/>
        </w:sectPr>
      </w:pPr>
    </w:p>
    <w:bookmarkStart w:id="174" w:name="page175"/>
    <w:bookmarkEnd w:id="174"/>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122" w:lineRule="exact"/>
        <w:rPr>
          <w:sz w:val="20"/>
          <w:szCs w:val="20"/>
          <w:color w:val="auto"/>
        </w:rPr>
      </w:pPr>
    </w:p>
    <w:p>
      <w:pPr>
        <w:ind w:left="980" w:hanging="324"/>
        <w:spacing w:after="0"/>
        <w:tabs>
          <w:tab w:leader="none" w:pos="9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400" w:right="340" w:hanging="647"/>
        <w:spacing w:after="0" w:line="245" w:lineRule="auto"/>
        <w:tabs>
          <w:tab w:leader="none" w:pos="38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10" w:lineRule="exact"/>
        <w:rPr>
          <w:sz w:val="20"/>
          <w:szCs w:val="20"/>
          <w:color w:val="auto"/>
        </w:rPr>
      </w:pPr>
    </w:p>
    <w:p>
      <w:pPr>
        <w:jc w:val="both"/>
        <w:ind w:left="420" w:right="320" w:hanging="647"/>
        <w:spacing w:after="0" w:line="232" w:lineRule="auto"/>
        <w:tabs>
          <w:tab w:leader="none" w:pos="40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93" w:lineRule="exact"/>
        <w:rPr>
          <w:sz w:val="20"/>
          <w:szCs w:val="20"/>
          <w:color w:val="auto"/>
        </w:rPr>
      </w:pPr>
    </w:p>
    <w:p>
      <w:pPr>
        <w:ind w:left="660" w:hanging="652"/>
        <w:spacing w:after="0"/>
        <w:tabs>
          <w:tab w:leader="none" w:pos="660" w:val="left"/>
        </w:tabs>
        <w:numPr>
          <w:ilvl w:val="0"/>
          <w:numId w:val="1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380" w:right="320" w:hanging="647"/>
        <w:spacing w:after="0" w:line="245" w:lineRule="auto"/>
        <w:tabs>
          <w:tab w:leader="none" w:pos="36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1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140" w:lineRule="exact"/>
        <w:rPr>
          <w:sz w:val="20"/>
          <w:szCs w:val="20"/>
          <w:color w:val="auto"/>
        </w:rPr>
      </w:pPr>
    </w:p>
    <w:p>
      <w:pPr>
        <w:ind w:left="980" w:hanging="324"/>
        <w:spacing w:after="0"/>
        <w:tabs>
          <w:tab w:leader="none" w:pos="98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4.3</w:t>
        <w:tab/>
        <w:t>This Election will continue in force regardless of whether the Employee ceases to be an employee of the Employer.</w:t>
      </w:r>
    </w:p>
    <w:p>
      <w:pPr>
        <w:spacing w:after="0" w:line="140" w:lineRule="exact"/>
        <w:rPr>
          <w:sz w:val="20"/>
          <w:szCs w:val="20"/>
          <w:color w:val="auto"/>
        </w:rPr>
      </w:pPr>
    </w:p>
    <w:p>
      <w:pPr>
        <w:jc w:val="both"/>
        <w:ind w:left="380" w:right="320" w:hanging="647"/>
        <w:spacing w:after="0" w:line="232" w:lineRule="auto"/>
        <w:tabs>
          <w:tab w:leader="none" w:pos="36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D - 3</w:t>
      </w:r>
    </w:p>
    <w:p>
      <w:pPr>
        <w:sectPr>
          <w:pgSz w:w="11900" w:h="16838" w:orient="portrait"/>
          <w:cols w:equalWidth="0" w:num="1">
            <w:col w:w="11240"/>
          </w:cols>
          <w:pgMar w:left="320" w:top="1015" w:right="339" w:bottom="1440" w:gutter="0" w:footer="0" w:header="0"/>
        </w:sectPr>
      </w:pPr>
    </w:p>
    <w:bookmarkStart w:id="175" w:name="page176"/>
    <w:bookmarkEnd w:id="175"/>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871470"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Vice President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- 4</w:t>
      </w:r>
    </w:p>
    <w:p>
      <w:pPr>
        <w:sectPr>
          <w:pgSz w:w="11900" w:h="16838" w:orient="portrait"/>
          <w:cols w:equalWidth="0" w:num="1">
            <w:col w:w="10139"/>
          </w:cols>
          <w:pgMar w:left="320" w:top="1015" w:right="1440" w:bottom="1440" w:gutter="0" w:footer="0" w:header="0"/>
        </w:sectPr>
      </w:pPr>
    </w:p>
    <w:bookmarkStart w:id="176" w:name="page177"/>
    <w:bookmarkEnd w:id="176"/>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4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49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4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10"/>
        </w:trPr>
        <w:tc>
          <w:tcPr>
            <w:tcW w:w="4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4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- 5</w:t>
      </w:r>
    </w:p>
    <w:p>
      <w:pPr>
        <w:sectPr>
          <w:pgSz w:w="11900" w:h="16838" w:orient="portrait"/>
          <w:cols w:equalWidth="0" w:num="1">
            <w:col w:w="10139"/>
          </w:cols>
          <w:pgMar w:left="320" w:top="1015" w:right="1440"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ind w:left="8"/>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17" w:lineRule="exact"/>
        <w:rPr>
          <w:sz w:val="20"/>
          <w:szCs w:val="20"/>
          <w:color w:val="auto"/>
        </w:rPr>
      </w:pPr>
    </w:p>
    <w:p>
      <w:pPr>
        <w:jc w:val="both"/>
        <w:ind w:left="8" w:right="320"/>
        <w:spacing w:after="0"/>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92" w:lineRule="exact"/>
        <w:rPr>
          <w:sz w:val="20"/>
          <w:szCs w:val="20"/>
          <w:color w:val="auto"/>
        </w:rPr>
      </w:pPr>
    </w:p>
    <w:p>
      <w:pPr>
        <w:ind w:left="328" w:hanging="328"/>
        <w:spacing w:after="0"/>
        <w:tabs>
          <w:tab w:leader="none" w:pos="328"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328" w:right="3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328"/>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Cliff Vesting Date</w:t>
      </w:r>
    </w:p>
    <w:p>
      <w:pPr>
        <w:spacing w:after="0" w:line="176"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 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w:t>
      </w:r>
    </w:p>
    <w:p>
      <w:pPr>
        <w:spacing w:after="0" w:line="167"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7"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right="320" w:hanging="324"/>
        <w:spacing w:after="0" w:line="216" w:lineRule="auto"/>
        <w:tabs>
          <w:tab w:leader="none" w:pos="639"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8" w:lineRule="exact"/>
        <w:rPr>
          <w:rFonts w:ascii="Times New Roman" w:cs="Times New Roman" w:eastAsia="Times New Roman" w:hAnsi="Times New Roman"/>
          <w:sz w:val="16"/>
          <w:szCs w:val="16"/>
          <w:color w:val="auto"/>
        </w:rPr>
      </w:pPr>
    </w:p>
    <w:p>
      <w:pPr>
        <w:jc w:val="both"/>
        <w:ind w:left="648" w:right="320" w:hanging="324"/>
        <w:spacing w:after="0" w:line="227" w:lineRule="auto"/>
        <w:tabs>
          <w:tab w:leader="none" w:pos="648"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13" w:lineRule="exact"/>
        <w:rPr>
          <w:rFonts w:ascii="Times New Roman" w:cs="Times New Roman" w:eastAsia="Times New Roman" w:hAnsi="Times New Roman"/>
          <w:sz w:val="16"/>
          <w:szCs w:val="16"/>
          <w:color w:val="auto"/>
        </w:rPr>
      </w:pPr>
    </w:p>
    <w:p>
      <w:pPr>
        <w:jc w:val="both"/>
        <w:ind w:left="648" w:right="320" w:hanging="324"/>
        <w:spacing w:after="0" w:line="232" w:lineRule="auto"/>
        <w:tabs>
          <w:tab w:leader="none" w:pos="639"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 the event of the Participant’s death after the end of the</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48" w:right="20"/>
        <w:spacing w:after="0" w:line="245" w:lineRule="auto"/>
        <w:rPr>
          <w:sz w:val="20"/>
          <w:szCs w:val="20"/>
          <w:color w:val="auto"/>
        </w:rPr>
      </w:pPr>
      <w:r>
        <w:rPr>
          <w:rFonts w:ascii="Times New Roman" w:cs="Times New Roman" w:eastAsia="Times New Roman" w:hAnsi="Times New Roman"/>
          <w:sz w:val="16"/>
          <w:szCs w:val="16"/>
          <w:color w:val="auto"/>
        </w:rPr>
        <w:t>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110" w:lineRule="exact"/>
        <w:rPr>
          <w:sz w:val="20"/>
          <w:szCs w:val="20"/>
          <w:color w:val="auto"/>
        </w:rPr>
      </w:pPr>
    </w:p>
    <w:p>
      <w:pPr>
        <w:jc w:val="both"/>
        <w:ind w:left="648" w:hanging="324"/>
        <w:spacing w:after="0" w:line="221" w:lineRule="auto"/>
        <w:tabs>
          <w:tab w:leader="none" w:pos="648"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 “Disabled” with respect to the Participant shall have the meaning set forth in Section 409(a)(2)(C) of the Code.</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39"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ind w:left="648" w:hanging="324"/>
        <w:spacing w:after="0" w:line="245" w:lineRule="auto"/>
        <w:tabs>
          <w:tab w:leader="none" w:pos="648"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32" w:lineRule="auto"/>
        <w:tabs>
          <w:tab w:leader="none" w:pos="648"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563C1"/>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563C1"/>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17" w:lineRule="auto"/>
        <w:tabs>
          <w:tab w:leader="none" w:pos="639"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4" w:lineRule="exact"/>
        <w:rPr>
          <w:rFonts w:ascii="Times New Roman" w:cs="Times New Roman" w:eastAsia="Times New Roman" w:hAnsi="Times New Roman"/>
          <w:sz w:val="16"/>
          <w:szCs w:val="16"/>
          <w:color w:val="auto"/>
        </w:rPr>
      </w:pPr>
    </w:p>
    <w:p>
      <w:pPr>
        <w:jc w:val="both"/>
        <w:ind w:left="648" w:right="20" w:hanging="324"/>
        <w:spacing w:after="0" w:line="232" w:lineRule="auto"/>
        <w:tabs>
          <w:tab w:leader="none" w:pos="648"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ind w:left="968" w:hanging="320"/>
        <w:spacing w:after="0" w:line="245" w:lineRule="auto"/>
        <w:tabs>
          <w:tab w:leader="none" w:pos="959" w:val="left"/>
        </w:tabs>
        <w:numPr>
          <w:ilvl w:val="2"/>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Shares otherwise issuable upon the vesting of the Performance RSUs that have an aggregate Fair Market Value (as defined under the Plan) sufficient to pay the minimum Tax-Related Items required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968"/>
        <w:spacing w:after="0"/>
        <w:rPr>
          <w:sz w:val="20"/>
          <w:szCs w:val="20"/>
          <w:color w:val="auto"/>
        </w:rPr>
      </w:pPr>
      <w:r>
        <w:rPr>
          <w:rFonts w:ascii="Times New Roman" w:cs="Times New Roman" w:eastAsia="Times New Roman" w:hAnsi="Times New Roman"/>
          <w:sz w:val="16"/>
          <w:szCs w:val="16"/>
          <w:color w:val="auto"/>
        </w:rPr>
        <w:t>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280" w:lineRule="exact"/>
        <w:rPr>
          <w:sz w:val="20"/>
          <w:szCs w:val="20"/>
          <w:color w:val="auto"/>
        </w:rPr>
      </w:pPr>
    </w:p>
    <w:p>
      <w:pPr>
        <w:ind w:left="968" w:hanging="320"/>
        <w:spacing w:after="0" w:line="245" w:lineRule="auto"/>
        <w:tabs>
          <w:tab w:leader="none" w:pos="963" w:val="left"/>
        </w:tabs>
        <w:numPr>
          <w:ilvl w:val="2"/>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968" w:hanging="320"/>
        <w:spacing w:after="0" w:line="245" w:lineRule="auto"/>
        <w:tabs>
          <w:tab w:leader="none" w:pos="968" w:val="left"/>
        </w:tabs>
        <w:numPr>
          <w:ilvl w:val="2"/>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96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968" w:hanging="320"/>
        <w:spacing w:after="0"/>
        <w:tabs>
          <w:tab w:leader="none" w:pos="968" w:val="left"/>
        </w:tabs>
        <w:numPr>
          <w:ilvl w:val="2"/>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96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48" w:lineRule="exact"/>
        <w:rPr>
          <w:rFonts w:ascii="Times New Roman" w:cs="Times New Roman" w:eastAsia="Times New Roman" w:hAnsi="Times New Roman"/>
          <w:sz w:val="16"/>
          <w:szCs w:val="16"/>
          <w:color w:val="auto"/>
        </w:rPr>
      </w:pPr>
    </w:p>
    <w:p>
      <w:pPr>
        <w:jc w:val="both"/>
        <w:ind w:left="96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92" w:lineRule="exact"/>
        <w:rPr>
          <w:rFonts w:ascii="Times New Roman" w:cs="Times New Roman" w:eastAsia="Times New Roman" w:hAnsi="Times New Roman"/>
          <w:sz w:val="16"/>
          <w:szCs w:val="16"/>
          <w:color w:val="auto"/>
        </w:rPr>
      </w:pPr>
    </w:p>
    <w:p>
      <w:pPr>
        <w:jc w:val="both"/>
        <w:ind w:left="328" w:right="20" w:hanging="328"/>
        <w:spacing w:after="0" w:line="221" w:lineRule="auto"/>
        <w:tabs>
          <w:tab w:leader="none" w:pos="32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328" w:hanging="328"/>
        <w:spacing w:after="0"/>
        <w:tabs>
          <w:tab w:leader="none" w:pos="32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92"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39"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27" w:lineRule="auto"/>
        <w:tabs>
          <w:tab w:leader="none" w:pos="648"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324"/>
        <w:spacing w:after="0" w:line="221" w:lineRule="auto"/>
        <w:rPr>
          <w:sz w:val="20"/>
          <w:szCs w:val="20"/>
          <w:color w:val="auto"/>
        </w:rPr>
      </w:pPr>
      <w:r>
        <w:rPr>
          <w:rFonts w:ascii="Times New Roman" w:cs="Times New Roman" w:eastAsia="Times New Roman" w:hAnsi="Times New Roman"/>
          <w:sz w:val="16"/>
          <w:szCs w:val="16"/>
          <w:color w:val="auto"/>
        </w:rPr>
        <w:t>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7" w:lineRule="exact"/>
        <w:rPr>
          <w:sz w:val="20"/>
          <w:szCs w:val="20"/>
          <w:color w:val="auto"/>
        </w:rPr>
      </w:pPr>
    </w:p>
    <w:p>
      <w:pPr>
        <w:jc w:val="both"/>
        <w:ind w:left="324" w:hanging="324"/>
        <w:spacing w:after="0" w:line="223" w:lineRule="auto"/>
        <w:tabs>
          <w:tab w:leader="none" w:pos="31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17" w:lineRule="exact"/>
        <w:rPr>
          <w:rFonts w:ascii="Times New Roman" w:cs="Times New Roman" w:eastAsia="Times New Roman" w:hAnsi="Times New Roman"/>
          <w:sz w:val="16"/>
          <w:szCs w:val="16"/>
          <w:color w:val="auto"/>
        </w:rPr>
      </w:pPr>
    </w:p>
    <w:p>
      <w:pPr>
        <w:jc w:val="both"/>
        <w:ind w:left="324" w:hanging="324"/>
        <w:spacing w:after="0" w:line="220" w:lineRule="auto"/>
        <w:tabs>
          <w:tab w:leader="none" w:pos="324"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15"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13"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24"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1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1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17" w:lineRule="auto"/>
        <w:tabs>
          <w:tab w:leader="none" w:pos="31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U.S. Dodd-Frank Wall Street Reform and Consumer Protection Act (“Dodd-Frank Act”), and any SEC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64"/>
          </w:cols>
          <w:pgMar w:left="976" w:top="1440" w:right="65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24"/>
        <w:spacing w:after="0" w:line="245" w:lineRule="auto"/>
        <w:rPr>
          <w:sz w:val="20"/>
          <w:szCs w:val="20"/>
          <w:color w:val="auto"/>
        </w:rPr>
      </w:pPr>
      <w:r>
        <w:rPr>
          <w:rFonts w:ascii="Times New Roman" w:cs="Times New Roman" w:eastAsia="Times New Roman" w:hAnsi="Times New Roman"/>
          <w:sz w:val="16"/>
          <w:szCs w:val="16"/>
          <w:color w:val="auto"/>
        </w:rPr>
        <w:t>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0" w:lineRule="exact"/>
        <w:rPr>
          <w:sz w:val="20"/>
          <w:szCs w:val="20"/>
          <w:color w:val="auto"/>
        </w:rPr>
      </w:pPr>
    </w:p>
    <w:p>
      <w:pPr>
        <w:jc w:val="both"/>
        <w:ind w:left="324" w:hanging="324"/>
        <w:spacing w:after="0" w:line="217" w:lineRule="auto"/>
        <w:tabs>
          <w:tab w:leader="none" w:pos="32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Performance RSUs and any cash payment or Shares delivered pursuant to the Performance RSUs are subject to forfeiture, recovery by the Company or other action pursuant to any clawback or recoupment policy which the Company may adopt from time to time, including without limitation any such policy which the Company may be required to adopt under the Dodd-Frank Act and implementing rules and regulations thereunder, or as otherwise required by law. Further, the Performance RSUs, and any Shares issued upon vesting of the Performance RSUs, shall be subject to deduction, clawback or forfeiture to the extent required to comply with any recoupment requirement imposed under applicable laws, rules, regulations or stock exchange listing standards. In order to satisfy any recoupment obligation arising under any clawback or recoupment policy of the Company or otherwise under applicable laws, rules, regulations or stock exchange listing standards, among other things, the Participant expressly and explicitly authorizes the Company to issue instructions, on the Participant’s behalf, to any brokerage firm or stock plan service provider engaged by the Company to hold any Shares or other amounts acquired pursuant to the Performance RSUs to re-convey, transfer or otherwise return such Shares and/or other amounts to the Company upon the Company’s enforcement of any clawback or recoupment policy.</w:t>
      </w:r>
    </w:p>
    <w:p>
      <w:pPr>
        <w:spacing w:after="0" w:line="118"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2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9"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17" w:lineRule="exact"/>
        <w:rPr>
          <w:rFonts w:ascii="Times New Roman" w:cs="Times New Roman" w:eastAsia="Times New Roman" w:hAnsi="Times New Roman"/>
          <w:sz w:val="16"/>
          <w:szCs w:val="16"/>
          <w:color w:val="auto"/>
        </w:rPr>
      </w:pPr>
    </w:p>
    <w:p>
      <w:pPr>
        <w:jc w:val="both"/>
        <w:ind w:left="324" w:right="20" w:hanging="324"/>
        <w:spacing w:after="0" w:line="227" w:lineRule="auto"/>
        <w:tabs>
          <w:tab w:leader="none" w:pos="315"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19"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64"/>
          </w:cols>
          <w:pgMar w:left="976" w:top="1440" w:right="659"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324"/>
        <w:spacing w:after="0" w:line="221" w:lineRule="auto"/>
        <w:rPr>
          <w:sz w:val="20"/>
          <w:szCs w:val="20"/>
          <w:color w:val="auto"/>
        </w:rPr>
      </w:pPr>
      <w:r>
        <w:rPr>
          <w:rFonts w:ascii="Times New Roman" w:cs="Times New Roman" w:eastAsia="Times New Roman" w:hAnsi="Times New Roman"/>
          <w:sz w:val="16"/>
          <w:szCs w:val="16"/>
          <w:color w:val="auto"/>
        </w:rPr>
        <w:t>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7" w:lineRule="exact"/>
        <w:rPr>
          <w:sz w:val="20"/>
          <w:szCs w:val="20"/>
          <w:color w:val="auto"/>
        </w:rPr>
      </w:pPr>
    </w:p>
    <w:p>
      <w:pPr>
        <w:jc w:val="both"/>
        <w:ind w:left="324" w:hanging="324"/>
        <w:spacing w:after="0" w:line="219" w:lineRule="auto"/>
        <w:tabs>
          <w:tab w:leader="none" w:pos="32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4"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15"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sz w:val="20"/>
          <w:szCs w:val="20"/>
          <w:color w:val="auto"/>
        </w:rPr>
      </w:pPr>
    </w:p>
    <w:p>
      <w:pPr>
        <w:jc w:val="both"/>
        <w:ind w:left="324" w:hanging="324"/>
        <w:spacing w:after="0" w:line="223" w:lineRule="auto"/>
        <w:tabs>
          <w:tab w:leader="none" w:pos="319"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Performance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171" w:lineRule="exact"/>
        <w:rPr>
          <w:sz w:val="20"/>
          <w:szCs w:val="20"/>
          <w:color w:val="auto"/>
        </w:rPr>
      </w:pPr>
    </w:p>
    <w:p>
      <w:pPr>
        <w:ind w:left="24"/>
        <w:spacing w:after="0"/>
        <w:tabs>
          <w:tab w:leader="none" w:pos="464" w:val="left"/>
        </w:tabs>
        <w:rPr>
          <w:sz w:val="20"/>
          <w:szCs w:val="20"/>
          <w:color w:val="auto"/>
        </w:rPr>
      </w:pPr>
      <w:r>
        <w:rPr>
          <w:rFonts w:ascii="Times New Roman" w:cs="Times New Roman" w:eastAsia="Times New Roman" w:hAnsi="Times New Roman"/>
          <w:sz w:val="16"/>
          <w:szCs w:val="16"/>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20320</wp:posOffset>
            </wp:positionV>
            <wp:extent cx="222885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264"/>
          </w:cols>
          <w:pgMar w:left="976" w:top="1440" w:right="659" w:bottom="1440" w:gutter="0" w:footer="0" w:header="0"/>
        </w:sectPr>
      </w:pPr>
    </w:p>
    <w:bookmarkStart w:id="183" w:name="page184"/>
    <w:bookmarkEnd w:id="183"/>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54"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8" w:hanging="328"/>
        <w:spacing w:after="0"/>
        <w:tabs>
          <w:tab w:leader="none" w:pos="328"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three-year period beginning on Grant Date and ending on Grant Custom 1 (the “Performance Period”).</w:t>
      </w:r>
    </w:p>
    <w:p>
      <w:pPr>
        <w:spacing w:after="0" w:line="14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Cliff Vesting Date.</w:t>
      </w:r>
    </w:p>
    <w:p>
      <w:pPr>
        <w:spacing w:after="0" w:line="140" w:lineRule="exact"/>
        <w:rPr>
          <w:rFonts w:ascii="Times New Roman" w:cs="Times New Roman" w:eastAsia="Times New Roman" w:hAnsi="Times New Roman"/>
          <w:sz w:val="16"/>
          <w:szCs w:val="16"/>
          <w:color w:val="auto"/>
        </w:rPr>
      </w:pPr>
    </w:p>
    <w:p>
      <w:pPr>
        <w:ind w:left="328" w:right="20" w:hanging="328"/>
        <w:spacing w:after="0" w:line="245" w:lineRule="auto"/>
        <w:tabs>
          <w:tab w:leader="none" w:pos="328"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Compensation Committee of the Board determines the level of attainment of the Performance Parameters. The Determination Date shall be a date as soon as possible following the end of the Performance Period but prior to the Vesting Date.</w:t>
      </w:r>
    </w:p>
    <w:p>
      <w:pPr>
        <w:spacing w:after="0" w:line="110"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Performance-Based Vesting Terms</w:t>
      </w:r>
      <w:r>
        <w:rPr>
          <w:rFonts w:ascii="Times New Roman" w:cs="Times New Roman" w:eastAsia="Times New Roman" w:hAnsi="Times New Roman"/>
          <w:sz w:val="16"/>
          <w:szCs w:val="16"/>
          <w:color w:val="auto"/>
        </w:rPr>
        <w:t>. Subject to Section 2(a) through 2(d) of the Performance Restricted Stock Unit Agreement, the Participant shall vest on the Vesting Date in the number of Performance RSUs, if any, that the Compensation Committee of the Board shall determine to be vested based on the determination of the level of attainment of the Performance Parameters, provided the Participant continues to provide services to the Company or Employer or respective successor through the Vesting Date.</w:t>
      </w:r>
    </w:p>
    <w:p>
      <w:pPr>
        <w:spacing w:after="0" w:line="113"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Parameters</w:t>
      </w:r>
      <w:r>
        <w:rPr>
          <w:rFonts w:ascii="Times New Roman" w:cs="Times New Roman" w:eastAsia="Times New Roman" w:hAnsi="Times New Roman"/>
          <w:sz w:val="16"/>
          <w:szCs w:val="16"/>
          <w:color w:val="auto"/>
        </w:rPr>
        <w:t>. The Performance Parameters are based on the percentile attainment of the Company’s TSR (as defined below) relative to the TSR of the Peer Group (as defined below) during the Performance Period. The number of Performance RSUs that shall vest shall be equal to a number of Performance RSUs that is between 0% and 200% of the Initial Grant Number, corresponding to the percentile attainment of the TSR of the Company as set forth in the table below, but up to a maximum of 100% of the Initial Grant Number if the Company’s TSR is negative. Attainment among percentiles of TSR attainment is subject to interpolation on a linear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366395</wp:posOffset>
            </wp:positionV>
            <wp:extent cx="2245995" cy="15430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2245995" cy="1543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2328" w:type="dxa"/>
        <w:tblCellMar>
          <w:top w:w="0" w:type="dxa"/>
          <w:left w:w="0" w:type="dxa"/>
          <w:bottom w:w="0" w:type="dxa"/>
          <w:right w:w="0" w:type="dxa"/>
        </w:tblCellMar>
      </w:tblPr>
      <w:tr>
        <w:trPr>
          <w:trHeight w:val="20"/>
        </w:trPr>
        <w:tc>
          <w:tcPr>
            <w:tcW w:w="200" w:type="dxa"/>
            <w:vAlign w:val="bottom"/>
            <w:tcBorders>
              <w:right w:val="single" w:sz="8" w:color="4F81BD"/>
            </w:tcBorders>
          </w:tcPr>
          <w:p>
            <w:pPr>
              <w:spacing w:after="0" w:line="20" w:lineRule="exact"/>
              <w:rPr>
                <w:sz w:val="1"/>
                <w:szCs w:val="1"/>
                <w:color w:val="auto"/>
              </w:rPr>
            </w:pPr>
          </w:p>
        </w:tc>
        <w:tc>
          <w:tcPr>
            <w:tcW w:w="1520" w:type="dxa"/>
            <w:vAlign w:val="bottom"/>
            <w:shd w:val="clear" w:color="auto" w:fill="4F81BD"/>
          </w:tcPr>
          <w:p>
            <w:pPr>
              <w:spacing w:after="0" w:line="20" w:lineRule="exact"/>
              <w:rPr>
                <w:sz w:val="1"/>
                <w:szCs w:val="1"/>
                <w:color w:val="auto"/>
              </w:rPr>
            </w:pPr>
          </w:p>
        </w:tc>
        <w:tc>
          <w:tcPr>
            <w:tcW w:w="260" w:type="dxa"/>
            <w:vAlign w:val="bottom"/>
            <w:tcBorders>
              <w:right w:val="single" w:sz="8" w:color="4F81BD"/>
            </w:tcBorders>
            <w:shd w:val="clear" w:color="auto" w:fill="4F81BD"/>
          </w:tcPr>
          <w:p>
            <w:pPr>
              <w:spacing w:after="0" w:line="20" w:lineRule="exact"/>
              <w:rPr>
                <w:sz w:val="1"/>
                <w:szCs w:val="1"/>
                <w:color w:val="auto"/>
              </w:rPr>
            </w:pPr>
          </w:p>
        </w:tc>
        <w:tc>
          <w:tcPr>
            <w:tcW w:w="1760" w:type="dxa"/>
            <w:vAlign w:val="bottom"/>
            <w:tcBorders>
              <w:right w:val="single" w:sz="8" w:color="4F81BD"/>
            </w:tcBorders>
            <w:shd w:val="clear" w:color="auto" w:fill="4F81BD"/>
          </w:tcPr>
          <w:p>
            <w:pPr>
              <w:spacing w:after="0" w:line="20" w:lineRule="exact"/>
              <w:rPr>
                <w:sz w:val="1"/>
                <w:szCs w:val="1"/>
                <w:color w:val="auto"/>
              </w:rPr>
            </w:pPr>
          </w:p>
        </w:tc>
      </w:tr>
      <w:tr>
        <w:trPr>
          <w:trHeight w:val="208"/>
        </w:trPr>
        <w:tc>
          <w:tcPr>
            <w:tcW w:w="172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FFFFFF"/>
              </w:rPr>
              <w:t>Percentile Attainment</w:t>
            </w:r>
          </w:p>
        </w:tc>
        <w:tc>
          <w:tcPr>
            <w:tcW w:w="2020" w:type="dxa"/>
            <w:vAlign w:val="bottom"/>
            <w:tcBorders>
              <w:right w:val="single" w:sz="8" w:color="4F81BD"/>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FFFFFF"/>
              </w:rPr>
              <w:t>PRSU Payout %</w:t>
            </w:r>
          </w:p>
        </w:tc>
      </w:tr>
      <w:tr>
        <w:trPr>
          <w:trHeight w:val="211"/>
        </w:trPr>
        <w:tc>
          <w:tcPr>
            <w:tcW w:w="200" w:type="dxa"/>
            <w:vAlign w:val="bottom"/>
            <w:tcBorders>
              <w:right w:val="single" w:sz="8" w:color="95B3D7"/>
            </w:tcBorders>
          </w:tcPr>
          <w:p>
            <w:pPr>
              <w:spacing w:after="0"/>
              <w:rPr>
                <w:sz w:val="18"/>
                <w:szCs w:val="18"/>
                <w:color w:val="auto"/>
              </w:rPr>
            </w:pPr>
          </w:p>
        </w:tc>
        <w:tc>
          <w:tcPr>
            <w:tcW w:w="1520" w:type="dxa"/>
            <w:vAlign w:val="bottom"/>
            <w:tcBorders>
              <w:top w:val="single" w:sz="8" w:color="95B3D7"/>
              <w:bottom w:val="single" w:sz="8" w:color="95B3D7"/>
            </w:tcBorders>
            <w:shd w:val="clear" w:color="auto" w:fill="DBE5F1"/>
          </w:tcPr>
          <w:p>
            <w:pPr>
              <w:jc w:val="center"/>
              <w:ind w:right="339"/>
              <w:spacing w:after="0" w:line="212" w:lineRule="exact"/>
              <w:rPr>
                <w:sz w:val="20"/>
                <w:szCs w:val="20"/>
                <w:color w:val="auto"/>
              </w:rPr>
            </w:pPr>
            <w:r>
              <w:rPr>
                <w:rFonts w:ascii="Times New Roman" w:cs="Times New Roman" w:eastAsia="Times New Roman" w:hAnsi="Times New Roman"/>
                <w:sz w:val="16"/>
                <w:szCs w:val="16"/>
                <w:b w:val="1"/>
                <w:bCs w:val="1"/>
                <w:color w:val="auto"/>
                <w:w w:val="97"/>
              </w:rPr>
              <w:t>&lt; 25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top w:val="single" w:sz="8" w:color="95B3D7"/>
              <w:bottom w:val="single" w:sz="8" w:color="95B3D7"/>
              <w:right w:val="single" w:sz="8" w:color="95B3D7"/>
            </w:tcBorders>
            <w:shd w:val="clear" w:color="auto" w:fill="DBE5F1"/>
          </w:tcPr>
          <w:p>
            <w:pPr>
              <w:spacing w:after="0"/>
              <w:rPr>
                <w:sz w:val="18"/>
                <w:szCs w:val="18"/>
                <w:color w:val="auto"/>
              </w:rPr>
            </w:pPr>
          </w:p>
        </w:tc>
        <w:tc>
          <w:tcPr>
            <w:tcW w:w="1760" w:type="dxa"/>
            <w:vAlign w:val="bottom"/>
            <w:tcBorders>
              <w:top w:val="single" w:sz="8" w:color="95B3D7"/>
              <w:bottom w:val="single" w:sz="8" w:color="95B3D7"/>
              <w:right w:val="single" w:sz="8" w:color="95B3D7"/>
            </w:tcBorders>
            <w:shd w:val="clear" w:color="auto" w:fill="DBE5F1"/>
          </w:tcPr>
          <w:p>
            <w:pPr>
              <w:jc w:val="center"/>
              <w:ind w:right="579"/>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200" w:type="dxa"/>
            <w:vAlign w:val="bottom"/>
            <w:tcBorders>
              <w:right w:val="single" w:sz="8" w:color="95B3D7"/>
            </w:tcBorders>
          </w:tcPr>
          <w:p>
            <w:pPr>
              <w:spacing w:after="0"/>
              <w:rPr>
                <w:sz w:val="18"/>
                <w:szCs w:val="18"/>
                <w:color w:val="auto"/>
              </w:rPr>
            </w:pPr>
          </w:p>
        </w:tc>
        <w:tc>
          <w:tcPr>
            <w:tcW w:w="1520" w:type="dxa"/>
            <w:vAlign w:val="bottom"/>
            <w:tcBorders>
              <w:bottom w:val="single" w:sz="8" w:color="95B3D7"/>
            </w:tcBorders>
          </w:tcPr>
          <w:p>
            <w:pPr>
              <w:jc w:val="center"/>
              <w:ind w:right="339"/>
              <w:spacing w:after="0" w:line="210" w:lineRule="exact"/>
              <w:rPr>
                <w:sz w:val="20"/>
                <w:szCs w:val="20"/>
                <w:color w:val="auto"/>
              </w:rPr>
            </w:pPr>
            <w:r>
              <w:rPr>
                <w:rFonts w:ascii="Times New Roman" w:cs="Times New Roman" w:eastAsia="Times New Roman" w:hAnsi="Times New Roman"/>
                <w:sz w:val="16"/>
                <w:szCs w:val="16"/>
                <w:b w:val="1"/>
                <w:bCs w:val="1"/>
                <w:color w:val="auto"/>
                <w:w w:val="97"/>
              </w:rPr>
              <w:t>25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bottom w:val="single" w:sz="8" w:color="95B3D7"/>
              <w:right w:val="single" w:sz="8" w:color="95B3D7"/>
            </w:tcBorders>
          </w:tcPr>
          <w:p>
            <w:pPr>
              <w:spacing w:after="0"/>
              <w:rPr>
                <w:sz w:val="18"/>
                <w:szCs w:val="18"/>
                <w:color w:val="auto"/>
              </w:rPr>
            </w:pPr>
          </w:p>
        </w:tc>
        <w:tc>
          <w:tcPr>
            <w:tcW w:w="1760" w:type="dxa"/>
            <w:vAlign w:val="bottom"/>
            <w:tcBorders>
              <w:bottom w:val="single" w:sz="8" w:color="95B3D7"/>
              <w:right w:val="single" w:sz="8" w:color="95B3D7"/>
            </w:tcBorders>
          </w:tcPr>
          <w:p>
            <w:pPr>
              <w:jc w:val="center"/>
              <w:ind w:right="579"/>
              <w:spacing w:after="0"/>
              <w:rPr>
                <w:sz w:val="20"/>
                <w:szCs w:val="20"/>
                <w:color w:val="auto"/>
              </w:rPr>
            </w:pPr>
            <w:r>
              <w:rPr>
                <w:rFonts w:ascii="Times New Roman" w:cs="Times New Roman" w:eastAsia="Times New Roman" w:hAnsi="Times New Roman"/>
                <w:sz w:val="16"/>
                <w:szCs w:val="16"/>
                <w:color w:val="auto"/>
              </w:rPr>
              <w:t>50%</w:t>
            </w:r>
          </w:p>
        </w:tc>
      </w:tr>
      <w:tr>
        <w:trPr>
          <w:trHeight w:val="209"/>
        </w:trPr>
        <w:tc>
          <w:tcPr>
            <w:tcW w:w="200" w:type="dxa"/>
            <w:vAlign w:val="bottom"/>
            <w:tcBorders>
              <w:right w:val="single" w:sz="8" w:color="95B3D7"/>
            </w:tcBorders>
          </w:tcPr>
          <w:p>
            <w:pPr>
              <w:spacing w:after="0"/>
              <w:rPr>
                <w:sz w:val="18"/>
                <w:szCs w:val="18"/>
                <w:color w:val="auto"/>
              </w:rPr>
            </w:pPr>
          </w:p>
        </w:tc>
        <w:tc>
          <w:tcPr>
            <w:tcW w:w="1520" w:type="dxa"/>
            <w:vAlign w:val="bottom"/>
            <w:tcBorders>
              <w:bottom w:val="single" w:sz="8" w:color="95B3D7"/>
            </w:tcBorders>
            <w:shd w:val="clear" w:color="auto" w:fill="DBE5F1"/>
          </w:tcPr>
          <w:p>
            <w:pPr>
              <w:jc w:val="center"/>
              <w:ind w:right="339"/>
              <w:spacing w:after="0" w:line="210" w:lineRule="exact"/>
              <w:rPr>
                <w:sz w:val="20"/>
                <w:szCs w:val="20"/>
                <w:color w:val="auto"/>
              </w:rPr>
            </w:pPr>
            <w:r>
              <w:rPr>
                <w:rFonts w:ascii="Times New Roman" w:cs="Times New Roman" w:eastAsia="Times New Roman" w:hAnsi="Times New Roman"/>
                <w:sz w:val="16"/>
                <w:szCs w:val="16"/>
                <w:b w:val="1"/>
                <w:bCs w:val="1"/>
                <w:color w:val="auto"/>
                <w:w w:val="97"/>
              </w:rPr>
              <w:t>55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bottom w:val="single" w:sz="8" w:color="95B3D7"/>
              <w:right w:val="single" w:sz="8" w:color="95B3D7"/>
            </w:tcBorders>
            <w:shd w:val="clear" w:color="auto" w:fill="DBE5F1"/>
          </w:tcPr>
          <w:p>
            <w:pPr>
              <w:spacing w:after="0"/>
              <w:rPr>
                <w:sz w:val="18"/>
                <w:szCs w:val="18"/>
                <w:color w:val="auto"/>
              </w:rPr>
            </w:pPr>
          </w:p>
        </w:tc>
        <w:tc>
          <w:tcPr>
            <w:tcW w:w="1760" w:type="dxa"/>
            <w:vAlign w:val="bottom"/>
            <w:tcBorders>
              <w:bottom w:val="single" w:sz="8" w:color="95B3D7"/>
              <w:right w:val="single" w:sz="8" w:color="95B3D7"/>
            </w:tcBorders>
            <w:shd w:val="clear" w:color="auto" w:fill="DBE5F1"/>
          </w:tcPr>
          <w:p>
            <w:pPr>
              <w:jc w:val="center"/>
              <w:ind w:right="579"/>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200" w:type="dxa"/>
            <w:vAlign w:val="bottom"/>
            <w:tcBorders>
              <w:right w:val="single" w:sz="8" w:color="95B3D7"/>
            </w:tcBorders>
          </w:tcPr>
          <w:p>
            <w:pPr>
              <w:spacing w:after="0"/>
              <w:rPr>
                <w:sz w:val="18"/>
                <w:szCs w:val="18"/>
                <w:color w:val="auto"/>
              </w:rPr>
            </w:pPr>
          </w:p>
        </w:tc>
        <w:tc>
          <w:tcPr>
            <w:tcW w:w="1520" w:type="dxa"/>
            <w:vAlign w:val="bottom"/>
            <w:tcBorders>
              <w:bottom w:val="single" w:sz="8" w:color="95B3D7"/>
            </w:tcBorders>
          </w:tcPr>
          <w:p>
            <w:pPr>
              <w:jc w:val="center"/>
              <w:ind w:right="339"/>
              <w:spacing w:after="0" w:line="210" w:lineRule="exact"/>
              <w:rPr>
                <w:sz w:val="20"/>
                <w:szCs w:val="20"/>
                <w:color w:val="auto"/>
              </w:rPr>
            </w:pPr>
            <w:r>
              <w:rPr>
                <w:rFonts w:ascii="Times New Roman" w:cs="Times New Roman" w:eastAsia="Times New Roman" w:hAnsi="Times New Roman"/>
                <w:sz w:val="16"/>
                <w:szCs w:val="16"/>
                <w:b w:val="1"/>
                <w:bCs w:val="1"/>
                <w:color w:val="auto"/>
                <w:w w:val="97"/>
              </w:rPr>
              <w:t>75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bottom w:val="single" w:sz="8" w:color="95B3D7"/>
              <w:right w:val="single" w:sz="8" w:color="95B3D7"/>
            </w:tcBorders>
          </w:tcPr>
          <w:p>
            <w:pPr>
              <w:spacing w:after="0"/>
              <w:rPr>
                <w:sz w:val="18"/>
                <w:szCs w:val="18"/>
                <w:color w:val="auto"/>
              </w:rPr>
            </w:pPr>
          </w:p>
        </w:tc>
        <w:tc>
          <w:tcPr>
            <w:tcW w:w="1760" w:type="dxa"/>
            <w:vAlign w:val="bottom"/>
            <w:tcBorders>
              <w:bottom w:val="single" w:sz="8" w:color="95B3D7"/>
              <w:right w:val="single" w:sz="8" w:color="95B3D7"/>
            </w:tcBorders>
          </w:tcPr>
          <w:p>
            <w:pPr>
              <w:jc w:val="center"/>
              <w:ind w:right="579"/>
              <w:spacing w:after="0"/>
              <w:rPr>
                <w:sz w:val="20"/>
                <w:szCs w:val="20"/>
                <w:color w:val="auto"/>
              </w:rPr>
            </w:pPr>
            <w:r>
              <w:rPr>
                <w:rFonts w:ascii="Times New Roman" w:cs="Times New Roman" w:eastAsia="Times New Roman" w:hAnsi="Times New Roman"/>
                <w:sz w:val="16"/>
                <w:szCs w:val="16"/>
                <w:color w:val="auto"/>
              </w:rPr>
              <w:t>200%</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8" w:right="20"/>
        <w:spacing w:after="0" w:line="316" w:lineRule="auto"/>
        <w:rPr>
          <w:sz w:val="20"/>
          <w:szCs w:val="20"/>
          <w:color w:val="auto"/>
        </w:rPr>
      </w:pPr>
      <w:r>
        <w:rPr>
          <w:rFonts w:ascii="Times New Roman" w:cs="Times New Roman" w:eastAsia="Times New Roman" w:hAnsi="Times New Roman"/>
          <w:sz w:val="16"/>
          <w:szCs w:val="16"/>
          <w:color w:val="auto"/>
        </w:rPr>
        <w:t>“Beginning Stock Price” shall mean the average of the closing prices of the applicable stock for the 90 calendar days starting and including the first day of the Performance Period.</w:t>
      </w:r>
    </w:p>
    <w:p>
      <w:pPr>
        <w:spacing w:after="0" w:line="13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6"/>
          <w:szCs w:val="16"/>
          <w:color w:val="auto"/>
        </w:rPr>
        <w:t>“Cumulative Cash Dividend Payments” shall mean the sum of all cash dividends declared during the Performance Period, based on their ex-dividend date.</w:t>
      </w:r>
    </w:p>
    <w:p>
      <w:pPr>
        <w:spacing w:after="0" w:line="208" w:lineRule="exact"/>
        <w:rPr>
          <w:sz w:val="20"/>
          <w:szCs w:val="20"/>
          <w:color w:val="auto"/>
        </w:rPr>
      </w:pPr>
    </w:p>
    <w:p>
      <w:pPr>
        <w:ind w:left="328" w:right="20"/>
        <w:spacing w:after="0" w:line="316" w:lineRule="auto"/>
        <w:rPr>
          <w:sz w:val="20"/>
          <w:szCs w:val="20"/>
          <w:color w:val="auto"/>
        </w:rPr>
      </w:pPr>
      <w:r>
        <w:rPr>
          <w:rFonts w:ascii="Times New Roman" w:cs="Times New Roman" w:eastAsia="Times New Roman" w:hAnsi="Times New Roman"/>
          <w:sz w:val="16"/>
          <w:szCs w:val="16"/>
          <w:color w:val="auto"/>
        </w:rPr>
        <w:t>“Ending Stock Price” shall mean the average of the closing price of the applicable stock for the 90 calendar days up to and including the last day of the Performance Period.</w:t>
      </w:r>
    </w:p>
    <w:p>
      <w:pPr>
        <w:spacing w:after="0" w:line="110"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“Peer Group” shall mean a peer group of companies established by the Compensation Committee of the Board at the time the Performance RSUs are granted to the Participant and the stock of which continues to be traded on a publicly traded stock exchange as of the last day of the Performance Period.</w:t>
      </w:r>
    </w:p>
    <w:p>
      <w:pPr>
        <w:spacing w:after="0" w:line="11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6"/>
          <w:szCs w:val="16"/>
          <w:color w:val="auto"/>
        </w:rPr>
        <w:t>Total Shareholder Return (“TSR”) shall be computed according to the following formula:</w:t>
      </w:r>
    </w:p>
    <w:p>
      <w:pPr>
        <w:spacing w:after="0" w:line="1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 xml:space="preserve">TSR = </w:t>
      </w:r>
      <w:r>
        <w:rPr>
          <w:rFonts w:ascii="Times New Roman" w:cs="Times New Roman" w:eastAsia="Times New Roman" w:hAnsi="Times New Roman"/>
          <w:sz w:val="16"/>
          <w:szCs w:val="16"/>
          <w:u w:val="single" w:color="auto"/>
          <w:color w:val="auto"/>
        </w:rPr>
        <w:t>(Ending Stock Price – Beginning Stock Price + Cumulative Cash Dividend Payments)</w:t>
      </w:r>
    </w:p>
    <w:p>
      <w:pPr>
        <w:jc w:val="center"/>
        <w:ind w:right="-7"/>
        <w:spacing w:after="0"/>
        <w:rPr>
          <w:sz w:val="20"/>
          <w:szCs w:val="20"/>
          <w:color w:val="auto"/>
        </w:rPr>
      </w:pPr>
      <w:r>
        <w:rPr>
          <w:rFonts w:ascii="Times New Roman" w:cs="Times New Roman" w:eastAsia="Times New Roman" w:hAnsi="Times New Roman"/>
          <w:sz w:val="16"/>
          <w:szCs w:val="16"/>
          <w:color w:val="auto"/>
        </w:rPr>
        <w:t>(Beginning Stock Price)</w:t>
      </w:r>
    </w:p>
    <w:p>
      <w:pPr>
        <w:spacing w:after="0" w:line="379"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The stock prices and cash dividend payments reflected in the calculation of TSR shall be adjusted to reflect stock splits during the Performance Period, and dividends shall not be reinvested in the calculation of TSR.</w:t>
      </w:r>
    </w:p>
    <w:p>
      <w:pPr>
        <w:spacing w:after="0" w:line="110"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The Performance Parameters shall be subject to the adjustments approved by the Compensation Committee of the Board and set forth in writing at the time the Performance Parameters are approved.</w:t>
      </w:r>
    </w:p>
    <w:p>
      <w:pPr>
        <w:sectPr>
          <w:pgSz w:w="11900" w:h="16838" w:orient="portrait"/>
          <w:cols w:equalWidth="0" w:num="1">
            <w:col w:w="10588"/>
          </w:cols>
          <w:pgMar w:left="652" w:top="101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588"/>
          </w:cols>
          <w:pgMar w:left="652" w:top="1015" w:right="659" w:bottom="1440" w:gutter="0" w:footer="0" w:header="0"/>
          <w:type w:val="continuous"/>
        </w:sectPr>
      </w:pPr>
    </w:p>
    <w:bookmarkStart w:id="184" w:name="page185"/>
    <w:bookmarkEnd w:id="184"/>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95"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2023.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12"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33"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 When the Company no longer needs the Participant’s personal data, which will generally be seven years after the Participant is granted Performance RSUs under the Plan, the Company will remove it from it from its systems.</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ectPr>
          <w:pgSz w:w="11900" w:h="16838" w:orient="portrait"/>
          <w:cols w:equalWidth="0" w:num="1">
            <w:col w:w="11080"/>
          </w:cols>
          <w:pgMar w:left="480" w:top="1015" w:right="339" w:bottom="144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80"/>
          </w:cols>
          <w:pgMar w:left="480" w:top="1015" w:right="339" w:bottom="1440" w:gutter="0" w:footer="0" w:header="0"/>
          <w:type w:val="continuous"/>
        </w:sectPr>
      </w:pPr>
    </w:p>
    <w:bookmarkStart w:id="185" w:name="page186"/>
    <w:bookmarkEnd w:id="185"/>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500" w:hanging="328"/>
        <w:spacing w:after="0" w:line="222" w:lineRule="auto"/>
        <w:tabs>
          <w:tab w:leader="none" w:pos="50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to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3" w:lineRule="exact"/>
        <w:rPr>
          <w:sz w:val="20"/>
          <w:szCs w:val="20"/>
          <w:color w:val="auto"/>
        </w:rPr>
      </w:pPr>
    </w:p>
    <w:p>
      <w:pPr>
        <w:jc w:val="both"/>
        <w:ind w:left="180" w:right="34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34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Performance RSUs is being made under Division 1A Part 7.12 of the Australian Corporations Act 2001 (Cth). If the Participant offers Shares acquired under the Plan for sale to a person or entity resident in Australia, the Participant’s offer may be subject to disclosure requirements under Australian law. The Participant should obtain legal advice on any disclosure obligations prior to making any such offer.</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right="32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212"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34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35" w:lineRule="exact"/>
        <w:rPr>
          <w:sz w:val="20"/>
          <w:szCs w:val="20"/>
          <w:color w:val="auto"/>
        </w:rPr>
      </w:pPr>
    </w:p>
    <w:p>
      <w:pPr>
        <w:jc w:val="both"/>
        <w:ind w:left="180" w:right="34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ectPr>
          <w:pgSz w:w="11900" w:h="16838" w:orient="portrait"/>
          <w:cols w:equalWidth="0" w:num="1">
            <w:col w:w="11080"/>
          </w:cols>
          <w:pgMar w:left="480" w:top="1015"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1080"/>
          </w:cols>
          <w:pgMar w:left="480" w:top="1015" w:right="339" w:bottom="1440" w:gutter="0" w:footer="0" w:header="0"/>
          <w:type w:val="continuous"/>
        </w:sectPr>
      </w:pPr>
    </w:p>
    <w:bookmarkStart w:id="186" w:name="page187"/>
    <w:bookmarkEnd w:id="186"/>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209"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earlier of (1) the date the Participant’s employment with the Employer is terminated for any reason; or (2) the date Participant receives written notice of termination from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 For greater certainty, the Participant will not earn or be entitled to any pro-rated vesting for that portion of time before the date on which the Participant’s right to vest terminates, nor will Participant be entitled to any compensation for lost vesting.</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19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Performance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10"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15" w:right="659" w:bottom="1440" w:gutter="0" w:footer="0" w:header="0"/>
        </w:sectPr>
      </w:pPr>
    </w:p>
    <w:bookmarkStart w:id="187" w:name="page188"/>
    <w:bookmarkEnd w:id="187"/>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hanging="8"/>
        <w:spacing w:after="0" w:line="223" w:lineRule="auto"/>
        <w:tabs>
          <w:tab w:leader="none" w:pos="435"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12"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23"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Performance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195" w:lineRule="exact"/>
        <w:rPr>
          <w:sz w:val="20"/>
          <w:szCs w:val="20"/>
          <w:color w:val="auto"/>
        </w:rPr>
      </w:pPr>
    </w:p>
    <w:p>
      <w:pPr>
        <w:jc w:val="both"/>
        <w:ind w:left="180" w:right="20"/>
        <w:spacing w:after="0" w:line="233"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(Performance RSUs) pakkumise, kinnitab Osaleja, et ta on ingliskeelsena esitatud pakkumisega seotud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dokumendid (Optsioonilepingu ja Plaani) läbi lugenud ja nendest aru saanud ning et ta ei vaja nende tõlkimist eesti keelde. Sellest tulenevalt Osaleja nõustub viidatud dokumentide tingimustega.</w:t>
      </w:r>
    </w:p>
    <w:p>
      <w:pPr>
        <w:spacing w:after="0" w:line="114"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By accepting the grant of the Performance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760"/>
          </w:cols>
          <w:pgMar w:left="480" w:top="1015" w:right="659" w:bottom="1440" w:gutter="0" w:footer="0" w:header="0"/>
        </w:sectPr>
      </w:pPr>
    </w:p>
    <w:bookmarkStart w:id="188" w:name="page189"/>
    <w:bookmarkEnd w:id="188"/>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French-Qualified Performance RSUs</w:t>
      </w:r>
      <w:r>
        <w:rPr>
          <w:rFonts w:ascii="Times New Roman" w:cs="Times New Roman" w:eastAsia="Times New Roman" w:hAnsi="Times New Roman"/>
          <w:sz w:val="16"/>
          <w:szCs w:val="16"/>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21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35"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Performance RSUs prior to the second anniversary of the Grant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Certain adjustments may disqualify the Performance RSUs, in which case they may no longer benefit from favorable tax and social security treatment in France.</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189"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France or maintaining a foreign bank account are required to report such to French tax authorities when filing his or her annual tax return. Failure to comply may trigger significant penalties.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- 5</w:t>
      </w:r>
    </w:p>
    <w:p>
      <w:pPr>
        <w:sectPr>
          <w:pgSz w:w="11900" w:h="16838" w:orient="portrait"/>
          <w:cols w:equalWidth="0" w:num="1">
            <w:col w:w="10760"/>
          </w:cols>
          <w:pgMar w:left="480" w:top="1015" w:right="659" w:bottom="1440" w:gutter="0" w:footer="0" w:header="0"/>
        </w:sectPr>
      </w:pPr>
    </w:p>
    <w:bookmarkStart w:id="189" w:name="page190"/>
    <w:bookmarkEnd w:id="189"/>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21"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Participant otherwise makes or receives a payment in excess of €12,500 (including if the Participant acquires Shares under the Plan with a value in excess of this amount or sells Shares via a foreign broker, bank or service provider and receives proceeds in excess of this amount) and/or if the Company withholds of sells Shares with a value in excess of this amount to cover Tax-Related Items, the Participant must report the payment and/or the value of the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000FF"/>
        </w:rPr>
        <w:t>www.bundesbank.de</w:t>
      </w:r>
      <w:r>
        <w:rPr>
          <w:rFonts w:ascii="Times New Roman" w:cs="Times New Roman" w:eastAsia="Times New Roman" w:hAnsi="Times New Roman"/>
          <w:sz w:val="16"/>
          <w:szCs w:val="16"/>
          <w:color w:val="auto"/>
        </w:rPr>
        <w:t>), or by such other method (e.g., email or telephone) and within such other timing as permitted or required by Bundesbank. The report must be submitted monthly or within such timing as it permitted or required by the Bundesbank. It is the Participant’s responsibility to comply with this reporting obligation and the Participant should consult with his or her personal legal advisor in this regard.</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3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 The Participant agrees to provide any information that may be required by the Company or the Employer to make any applicable filings under exchange control laws in India.</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9(b) of the Agreement:</w:t>
      </w:r>
    </w:p>
    <w:p>
      <w:pPr>
        <w:spacing w:after="0" w:line="14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37"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- 6</w:t>
      </w:r>
    </w:p>
    <w:p>
      <w:pPr>
        <w:sectPr>
          <w:pgSz w:w="11900" w:h="16838" w:orient="portrait"/>
          <w:cols w:equalWidth="0" w:num="1">
            <w:col w:w="10760"/>
          </w:cols>
          <w:pgMar w:left="480" w:top="1015" w:right="659" w:bottom="1440" w:gutter="0" w:footer="0" w:header="0"/>
          <w:type w:val="continuous"/>
        </w:sectPr>
      </w:pPr>
    </w:p>
    <w:bookmarkStart w:id="190" w:name="page191"/>
    <w:bookmarkEnd w:id="190"/>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3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2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35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2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209"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Restriction on Sale of Shares</w:t>
      </w:r>
      <w:r>
        <w:rPr>
          <w:rFonts w:ascii="Times New Roman" w:cs="Times New Roman" w:eastAsia="Times New Roman" w:hAnsi="Times New Roman"/>
          <w:sz w:val="16"/>
          <w:szCs w:val="16"/>
          <w:color w:val="auto"/>
        </w:rPr>
        <w:t>. Korean residents are not permitted to sell foreign securities (including Shares) through non-Korean brokers (such as Fidelity) or deposit funds resulting from the sale of Shares in an account with an overseas financial institution. If the Participant wishes to sell Shares acquired under the Plan, the Participant may be required to transfer the Shares to a domestic investment broker in Korea and to effect the sale through such broker. The Participant is solely responsible for engaging the domestic broker in Korea, and non-compliance with the requirement to sell Shares through a domestic broker can result in significant penalties. The Participant should consult with his or her personal advisor(s) regarding any personal legal, regulatory or foreign exchange obligations he or she may have in connection with the Participant’s participation in the Plan.</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- 7</w:t>
      </w:r>
    </w:p>
    <w:p>
      <w:pPr>
        <w:sectPr>
          <w:pgSz w:w="11900" w:h="16838" w:orient="portrait"/>
          <w:cols w:equalWidth="0" w:num="1">
            <w:col w:w="10760"/>
          </w:cols>
          <w:pgMar w:left="480" w:top="1015" w:right="659" w:bottom="1440" w:gutter="0" w:footer="0" w:header="0"/>
          <w:type w:val="continuous"/>
        </w:sectPr>
      </w:pPr>
    </w:p>
    <w:bookmarkStart w:id="191" w:name="page192"/>
    <w:bookmarkEnd w:id="191"/>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- 8</w:t>
      </w:r>
    </w:p>
    <w:p>
      <w:pPr>
        <w:sectPr>
          <w:pgSz w:w="11900" w:h="16838" w:orient="portrait"/>
          <w:cols w:equalWidth="0" w:num="1">
            <w:col w:w="10760"/>
          </w:cols>
          <w:pgMar w:left="480" w:top="1015" w:right="659" w:bottom="1440" w:gutter="0" w:footer="0" w:header="0"/>
        </w:sectPr>
      </w:pPr>
    </w:p>
    <w:bookmarkStart w:id="192" w:name="page193"/>
    <w:bookmarkEnd w:id="192"/>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70485</wp:posOffset>
            </wp:positionV>
            <wp:extent cx="8255" cy="1714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70485</wp:posOffset>
            </wp:positionV>
            <wp:extent cx="8255" cy="1714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70485</wp:posOffset>
            </wp:positionV>
            <wp:extent cx="8255" cy="1714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4680" w:type="dxa"/>
            <w:vAlign w:val="bottom"/>
            <w:tcBorders>
              <w:top w:val="single" w:sz="8" w:color="auto"/>
            </w:tcBorders>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w:t>
            </w:r>
          </w:p>
        </w:tc>
        <w:tc>
          <w:tcPr>
            <w:tcW w:w="40" w:type="dxa"/>
            <w:vAlign w:val="bottom"/>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collection, use and transfer, in electronic or other form, of his or</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personal data as described in this document by and among, as</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applicable, the Employer, and the Company and its subsidiaries for</w:t>
            </w:r>
          </w:p>
        </w:tc>
        <w:tc>
          <w:tcPr>
            <w:tcW w:w="40" w:type="dxa"/>
            <w:vAlign w:val="bottom"/>
          </w:tcPr>
          <w:p>
            <w:pPr>
              <w:spacing w:after="0"/>
              <w:rPr>
                <w:sz w:val="16"/>
                <w:szCs w:val="16"/>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exclusive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keraguan mengizinkan pengumpulan, penggunaan dan pemindahan, dalam</w:t>
            </w:r>
          </w:p>
        </w:tc>
        <w:tc>
          <w:tcPr>
            <w:tcW w:w="0" w:type="dxa"/>
            <w:vAlign w:val="bottom"/>
          </w:tcPr>
          <w:p>
            <w:pPr>
              <w:spacing w:after="0"/>
              <w:rPr>
                <w:sz w:val="1"/>
                <w:szCs w:val="1"/>
                <w:color w:val="auto"/>
              </w:rPr>
            </w:pPr>
          </w:p>
        </w:tc>
      </w:tr>
      <w:tr>
        <w:trPr>
          <w:trHeight w:val="162"/>
        </w:trPr>
        <w:tc>
          <w:tcPr>
            <w:tcW w:w="420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the Participant’s participation in the Plan.</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dokumen ini, oleh dan di antara, sebagaimana yang berkenaan, Majikan,</w:t>
            </w:r>
          </w:p>
        </w:tc>
        <w:tc>
          <w:tcPr>
            <w:tcW w:w="0" w:type="dxa"/>
            <w:vAlign w:val="bottom"/>
          </w:tcPr>
          <w:p>
            <w:pPr>
              <w:spacing w:after="0"/>
              <w:rPr>
                <w:sz w:val="1"/>
                <w:szCs w:val="1"/>
                <w:color w:val="auto"/>
              </w:rPr>
            </w:pPr>
          </w:p>
        </w:tc>
      </w:tr>
      <w:tr>
        <w:trPr>
          <w:trHeight w:val="216"/>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membantu dalam pelaksanaan, pentadbiran dan pengurusan penyertaan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dalam Pelan.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40" w:type="dxa"/>
            <w:vAlign w:val="bottom"/>
          </w:tcPr>
          <w:p>
            <w:pPr>
              <w:spacing w:after="0"/>
              <w:rPr>
                <w:sz w:val="14"/>
                <w:szCs w:val="14"/>
                <w:color w:val="auto"/>
              </w:rPr>
            </w:pP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or any other entitlement to shares of stock</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awarded, canceled, exercised, vested, unvested or outstanding in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Participant’s favor, for the purpose of implementing, administering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managing the Plan (“Data”). The source of the Data is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atau apa-apa hak lain untuk syer dalam saham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Employer as well as information the Participant is providing to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dianugerahkan, dibatalkan, dilaksanakan, terletak hak, tidak diletak hak ataupun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and the Employer in connection with the Performance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yang  belum  dijelaskan  bagi  faedah  Peserta,  untuk  tujuan  eksklusif  bagi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RSUs. The Participant understands that Data may be transferred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Pelan (“Data”). Sumber Data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or any other third parties as may be selected by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adalah daripada Majikan dan juga daripada maklumat yang dibekalkan oleh</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in the future, which are assisting in the implementation,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Peserta kepada Syarikat dan Majikan berkenaan dengan Performance RSUs.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that these recipients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Penerima Anugerah juga memahami bahawa Data mungkin dipindahkan kepada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be located in the Participant’s country or elsewhere and that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atau mana-mana pihak ketiga yang mungkin dipilih oleh Syarikat 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recipients’ country (e.g., the United States) may have different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masa depan, </w:t>
            </w:r>
            <w:r>
              <w:rPr>
                <w:rFonts w:ascii="Times New Roman" w:cs="Times New Roman" w:eastAsia="Times New Roman" w:hAnsi="Times New Roman"/>
                <w:sz w:val="16"/>
                <w:szCs w:val="16"/>
                <w:b w:val="1"/>
                <w:bCs w:val="1"/>
                <w:i w:val="1"/>
                <w:iCs w:val="1"/>
                <w:color w:val="222222"/>
              </w:rPr>
              <w:t>yang membantu dalam pelaksanaan, pentadbiran dan pengurusan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privacy laws and protections than the Participant’s country.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Pelan, bahawa penerima-penerima ini mungkin berada di negara Peserta atau di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he or she may request a list with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tempat  lain,  dan  bahawa  negara  penerima  (contohnya,  Amerika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names and addresses of any potential recipients of the Data by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mungkin  mempunyai  undang-undang  privasi  data  dan  perlindungan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contacting his or her local human resources representative.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berbeza daripada negara Peserta. Peserta memahami bahawa dia boleh meminta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authorizes the Company, Fidelity and any other possible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senarai nama dan alamat mana-mana penerima Data dengan menghubungi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recipients which may assist the Company (presently or in the future)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wakil sumber manusia tempatannya. </w:t>
            </w:r>
            <w:r>
              <w:rPr>
                <w:rFonts w:ascii="Times New Roman" w:cs="Times New Roman" w:eastAsia="Times New Roman" w:hAnsi="Times New Roman"/>
                <w:sz w:val="16"/>
                <w:szCs w:val="16"/>
                <w:b w:val="1"/>
                <w:bCs w:val="1"/>
                <w:i w:val="1"/>
                <w:iCs w:val="1"/>
                <w:color w:val="000000"/>
              </w:rPr>
              <w:t>Peserta memberi kuasa kepada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with  implementing,  administering  and  managing  the  Plan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dan mana-mana penerima lain yang mungkin membantu Syarikat (masa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receive, possess, use, retain and transfer the Data, in electronic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form, for the sole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c>
          <w:tcPr>
            <w:tcW w:w="0" w:type="dxa"/>
            <w:vAlign w:val="bottom"/>
          </w:tcPr>
          <w:p>
            <w:pPr>
              <w:spacing w:after="0"/>
              <w:rPr>
                <w:sz w:val="1"/>
                <w:szCs w:val="1"/>
                <w:color w:val="auto"/>
              </w:rPr>
            </w:pPr>
          </w:p>
        </w:tc>
      </w:tr>
      <w:tr>
        <w:trPr>
          <w:trHeight w:val="162"/>
        </w:trPr>
        <w:tc>
          <w:tcPr>
            <w:tcW w:w="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c>
          <w:tcPr>
            <w:tcW w:w="0" w:type="dxa"/>
            <w:vAlign w:val="bottom"/>
          </w:tcPr>
          <w:p>
            <w:pPr>
              <w:spacing w:after="0"/>
              <w:rPr>
                <w:sz w:val="1"/>
                <w:szCs w:val="1"/>
                <w:color w:val="auto"/>
              </w:rPr>
            </w:pPr>
          </w:p>
        </w:tc>
      </w:tr>
      <w:tr>
        <w:trPr>
          <w:trHeight w:val="214"/>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-5415915</wp:posOffset>
            </wp:positionV>
            <wp:extent cx="6574790" cy="542607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6574790" cy="542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- 9</w:t>
      </w:r>
    </w:p>
    <w:p>
      <w:pPr>
        <w:sectPr>
          <w:pgSz w:w="11900" w:h="16838" w:orient="portrait"/>
          <w:cols w:equalWidth="0" w:num="1">
            <w:col w:w="10760"/>
          </w:cols>
          <w:pgMar w:left="480" w:top="1015" w:right="659" w:bottom="1440" w:gutter="0" w:footer="0" w:header="0"/>
        </w:sectPr>
      </w:pPr>
    </w:p>
    <w:bookmarkStart w:id="193" w:name="page194"/>
    <w:bookmarkEnd w:id="193"/>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44"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58"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5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39"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54"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53"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3"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80" w:right="320"/>
        <w:spacing w:after="0" w:line="22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Performance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- 10</w:t>
      </w:r>
    </w:p>
    <w:p>
      <w:pPr>
        <w:sectPr>
          <w:pgSz w:w="11900" w:h="16838" w:orient="portrait"/>
          <w:cols w:equalWidth="0" w:num="1">
            <w:col w:w="11080"/>
          </w:cols>
          <w:pgMar w:left="480" w:top="1015" w:right="339" w:bottom="1440" w:gutter="0" w:footer="0" w:header="0"/>
        </w:sectPr>
      </w:pPr>
    </w:p>
    <w:bookmarkStart w:id="194" w:name="page195"/>
    <w:bookmarkEnd w:id="194"/>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37"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Performance RSUs is being made pursuant to an exemption from registration under Section 10.2 of the SRC that has been approved by the PSEC.</w:t>
      </w:r>
    </w:p>
    <w:p>
      <w:pPr>
        <w:spacing w:after="0" w:line="235" w:lineRule="exact"/>
        <w:rPr>
          <w:sz w:val="20"/>
          <w:szCs w:val="20"/>
          <w:color w:val="auto"/>
        </w:rPr>
      </w:pPr>
    </w:p>
    <w:p>
      <w:pPr>
        <w:jc w:val="both"/>
        <w:ind w:left="180" w:right="320"/>
        <w:spacing w:after="0" w:line="221"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198"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23"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subject to the regulations concerning public offers and private placements under the Law on Capital Markets.</w:t>
      </w:r>
    </w:p>
    <w:p>
      <w:pPr>
        <w:spacing w:after="0" w:line="151" w:lineRule="exact"/>
        <w:rPr>
          <w:sz w:val="20"/>
          <w:szCs w:val="20"/>
          <w:color w:val="auto"/>
        </w:rPr>
      </w:pPr>
    </w:p>
    <w:p>
      <w:pPr>
        <w:ind w:left="180" w:right="34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- 11</w:t>
      </w:r>
    </w:p>
    <w:p>
      <w:pPr>
        <w:sectPr>
          <w:pgSz w:w="11900" w:h="16838" w:orient="portrait"/>
          <w:cols w:equalWidth="0" w:num="1">
            <w:col w:w="11080"/>
          </w:cols>
          <w:pgMar w:left="480" w:top="1015" w:right="339" w:bottom="1440" w:gutter="0" w:footer="0" w:header="0"/>
        </w:sectPr>
      </w:pPr>
    </w:p>
    <w:bookmarkStart w:id="195" w:name="page196"/>
    <w:bookmarkEnd w:id="195"/>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basis, any changes in the value of the Shares. As the exchange control regulations in Serbia may change without notice, the Participant should consult with his or her personal advisor with respect to all applicable reporting obligations.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309"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40"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221" w:lineRule="exact"/>
        <w:rPr>
          <w:sz w:val="20"/>
          <w:szCs w:val="20"/>
          <w:color w:val="auto"/>
        </w:rPr>
      </w:pPr>
    </w:p>
    <w:p>
      <w:pPr>
        <w:jc w:val="both"/>
        <w:ind w:left="180"/>
        <w:spacing w:after="0" w:line="216"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w:t>
      </w:r>
    </w:p>
    <w:p>
      <w:pPr>
        <w:jc w:val="both"/>
        <w:ind w:left="180" w:right="20" w:hanging="8"/>
        <w:spacing w:after="0" w:line="217" w:lineRule="auto"/>
        <w:tabs>
          <w:tab w:leader="none" w:pos="423"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0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- 12</w:t>
      </w:r>
    </w:p>
    <w:p>
      <w:pPr>
        <w:sectPr>
          <w:pgSz w:w="11900" w:h="16838" w:orient="portrait"/>
          <w:cols w:equalWidth="0" w:num="1">
            <w:col w:w="10760"/>
          </w:cols>
          <w:pgMar w:left="480" w:top="1015" w:right="659" w:bottom="1440" w:gutter="0" w:footer="0" w:header="0"/>
        </w:sectPr>
      </w:pPr>
    </w:p>
    <w:bookmarkStart w:id="196" w:name="page197"/>
    <w:bookmarkEnd w:id="196"/>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 xml:space="preserve">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 advisor for further information regarding these exchange control reporting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obligations.</w:t>
      </w:r>
    </w:p>
    <w:p>
      <w:pPr>
        <w:spacing w:after="0" w:line="208"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2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23"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- 13</w:t>
      </w:r>
    </w:p>
    <w:p>
      <w:pPr>
        <w:sectPr>
          <w:pgSz w:w="11900" w:h="16838" w:orient="portrait"/>
          <w:cols w:equalWidth="0" w:num="1">
            <w:col w:w="10760"/>
          </w:cols>
          <w:pgMar w:left="480" w:top="1015" w:right="659" w:bottom="1440" w:gutter="0" w:footer="0" w:header="0"/>
          <w:type w:val="continuous"/>
        </w:sectPr>
      </w:pPr>
    </w:p>
    <w:bookmarkStart w:id="197" w:name="page198"/>
    <w:bookmarkEnd w:id="197"/>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1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5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19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Performance RSU grant.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- 14</w:t>
      </w:r>
    </w:p>
    <w:p>
      <w:pPr>
        <w:sectPr>
          <w:pgSz w:w="11900" w:h="16838" w:orient="portrait"/>
          <w:cols w:equalWidth="0" w:num="1">
            <w:col w:w="10760"/>
          </w:cols>
          <w:pgMar w:left="480" w:top="1015" w:right="65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15" w:lineRule="exact"/>
        <w:rPr>
          <w:sz w:val="20"/>
          <w:szCs w:val="20"/>
          <w:color w:val="auto"/>
        </w:rPr>
      </w:pPr>
    </w:p>
    <w:p>
      <w:pPr>
        <w:ind w:left="300" w:hanging="292"/>
        <w:spacing w:after="0"/>
        <w:tabs>
          <w:tab w:leader="none" w:pos="300" w:val="left"/>
        </w:tabs>
        <w:numPr>
          <w:ilvl w:val="0"/>
          <w:numId w:val="1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Performance RSUs under the Plan on Grant Date. On this basis, the Date of Grant for your Performance RSUs is Grant Date.</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Performance RSU Grant</w:t>
      </w:r>
    </w:p>
    <w:p>
      <w:pPr>
        <w:spacing w:after="0" w:line="14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6"/>
          <w:szCs w:val="16"/>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Performance RSUs</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Performance RSUs vest, the Company will issue one share of the Company’s common stock to you in settlement of each vested Performance RSU.</w:t>
      </w:r>
    </w:p>
    <w:p>
      <w:pPr>
        <w:spacing w:after="0" w:line="138" w:lineRule="exact"/>
        <w:rPr>
          <w:sz w:val="20"/>
          <w:szCs w:val="20"/>
          <w:color w:val="auto"/>
        </w:rPr>
      </w:pPr>
    </w:p>
    <w:p>
      <w:pPr>
        <w:ind w:left="300" w:hanging="292"/>
        <w:spacing w:after="0"/>
        <w:tabs>
          <w:tab w:leader="none" w:pos="300" w:val="left"/>
        </w:tabs>
        <w:numPr>
          <w:ilvl w:val="0"/>
          <w:numId w:val="1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108" w:lineRule="exact"/>
        <w:rPr>
          <w:sz w:val="20"/>
          <w:szCs w:val="20"/>
          <w:color w:val="auto"/>
        </w:rPr>
      </w:pPr>
    </w:p>
    <w:p>
      <w:pPr>
        <w:ind w:left="300" w:hanging="292"/>
        <w:spacing w:after="0"/>
        <w:tabs>
          <w:tab w:leader="none" w:pos="300" w:val="left"/>
        </w:tabs>
        <w:numPr>
          <w:ilvl w:val="0"/>
          <w:numId w:val="1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1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112" w:lineRule="exact"/>
        <w:rPr>
          <w:sz w:val="20"/>
          <w:szCs w:val="20"/>
          <w:color w:val="auto"/>
        </w:rPr>
      </w:pPr>
    </w:p>
    <w:p>
      <w:pPr>
        <w:ind w:left="300" w:hanging="292"/>
        <w:spacing w:after="0"/>
        <w:tabs>
          <w:tab w:leader="none" w:pos="300" w:val="left"/>
        </w:tabs>
        <w:numPr>
          <w:ilvl w:val="0"/>
          <w:numId w:val="1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ind w:left="34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34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340"/>
        <w:spacing w:after="0" w:line="229" w:lineRule="auto"/>
        <w:rPr>
          <w:sz w:val="20"/>
          <w:szCs w:val="20"/>
          <w:color w:val="auto"/>
        </w:rPr>
      </w:pPr>
      <w:r>
        <w:rPr>
          <w:rFonts w:ascii="Times New Roman" w:cs="Times New Roman" w:eastAsia="Times New Roman" w:hAnsi="Times New Roman"/>
          <w:sz w:val="16"/>
          <w:szCs w:val="16"/>
          <w:color w:val="auto"/>
        </w:rPr>
        <w:t>Wilmington, MA 01887</w:t>
      </w: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1240"/>
          </w:cols>
          <w:pgMar w:left="320" w:top="1015" w:right="339" w:bottom="1440" w:gutter="0" w:footer="0" w:header="0"/>
        </w:sectPr>
      </w:pPr>
    </w:p>
    <w:bookmarkStart w:id="199" w:name="page200"/>
    <w:bookmarkEnd w:id="199"/>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Performance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3"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206"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08" w:lineRule="exact"/>
        <w:rPr>
          <w:sz w:val="20"/>
          <w:szCs w:val="20"/>
          <w:color w:val="auto"/>
        </w:rPr>
      </w:pPr>
    </w:p>
    <w:p>
      <w:pPr>
        <w:ind w:left="460" w:hanging="288"/>
        <w:spacing w:after="0"/>
        <w:tabs>
          <w:tab w:leader="none" w:pos="460" w:val="left"/>
        </w:tabs>
        <w:numPr>
          <w:ilvl w:val="0"/>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206" w:lineRule="exact"/>
        <w:rPr>
          <w:sz w:val="20"/>
          <w:szCs w:val="20"/>
          <w:color w:val="auto"/>
        </w:rPr>
      </w:pPr>
    </w:p>
    <w:p>
      <w:pPr>
        <w:ind w:left="460" w:hanging="288"/>
        <w:spacing w:after="0"/>
        <w:tabs>
          <w:tab w:leader="none" w:pos="460" w:val="left"/>
        </w:tabs>
        <w:numPr>
          <w:ilvl w:val="0"/>
          <w:numId w:val="1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56" w:lineRule="exact"/>
        <w:rPr>
          <w:sz w:val="20"/>
          <w:szCs w:val="20"/>
          <w:color w:val="auto"/>
        </w:rPr>
      </w:pPr>
    </w:p>
    <w:p>
      <w:pPr>
        <w:ind w:left="180"/>
        <w:spacing w:after="0" w:line="368"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8" w:lineRule="exact"/>
        <w:rPr>
          <w:sz w:val="20"/>
          <w:szCs w:val="20"/>
          <w:color w:val="auto"/>
        </w:rPr>
      </w:pPr>
    </w:p>
    <w:p>
      <w:pPr>
        <w:ind w:left="460" w:hanging="288"/>
        <w:spacing w:after="0"/>
        <w:tabs>
          <w:tab w:leader="none" w:pos="460" w:val="left"/>
        </w:tabs>
        <w:numPr>
          <w:ilvl w:val="0"/>
          <w:numId w:val="1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1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69"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1"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760"/>
          </w:cols>
          <w:pgMar w:left="480" w:top="1013" w:right="659" w:bottom="1440" w:gutter="0" w:footer="0" w:header="0"/>
        </w:sectPr>
      </w:pPr>
    </w:p>
    <w:bookmarkStart w:id="200" w:name="page201"/>
    <w:bookmarkEnd w:id="200"/>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hanging="288"/>
        <w:spacing w:after="0"/>
        <w:tabs>
          <w:tab w:leader="none" w:pos="460" w:val="left"/>
        </w:tabs>
        <w:numPr>
          <w:ilvl w:val="0"/>
          <w:numId w:val="1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69"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740"/>
          </w:cols>
          <w:pgMar w:left="480" w:top="1013" w:right="679" w:bottom="1440" w:gutter="0" w:footer="0" w:header="0"/>
        </w:sectPr>
      </w:pPr>
    </w:p>
    <w:bookmarkStart w:id="201" w:name="page202"/>
    <w:bookmarkEnd w:id="201"/>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- 1</w:t>
      </w:r>
    </w:p>
    <w:p>
      <w:pPr>
        <w:sectPr>
          <w:pgSz w:w="11900" w:h="16838" w:orient="portrait"/>
          <w:cols w:equalWidth="0" w:num="1">
            <w:col w:w="10920"/>
          </w:cols>
          <w:pgMar w:left="320" w:top="1015" w:right="659" w:bottom="1440" w:gutter="0" w:footer="0" w:header="0"/>
        </w:sectPr>
      </w:pPr>
    </w:p>
    <w:bookmarkStart w:id="202" w:name="page203"/>
    <w:bookmarkEnd w:id="202"/>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1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right="20" w:hanging="648"/>
        <w:spacing w:after="0" w:line="241" w:lineRule="auto"/>
        <w:tabs>
          <w:tab w:leader="none" w:pos="2608" w:val="left"/>
        </w:tabs>
        <w:numPr>
          <w:ilvl w:val="2"/>
          <w:numId w:val="193"/>
        </w:numPr>
        <w:rPr>
          <w:rFonts w:ascii="Cambria" w:cs="Cambria" w:eastAsia="Cambria" w:hAnsi="Cambria"/>
          <w:sz w:val="16"/>
          <w:szCs w:val="16"/>
          <w:b w:val="1"/>
          <w:bCs w:val="1"/>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3" w:lineRule="exact"/>
        <w:rPr>
          <w:rFonts w:ascii="Cambria" w:cs="Cambria" w:eastAsia="Cambria" w:hAnsi="Cambria"/>
          <w:sz w:val="16"/>
          <w:szCs w:val="16"/>
          <w:b w:val="1"/>
          <w:bCs w:val="1"/>
          <w:color w:val="auto"/>
        </w:rPr>
      </w:pPr>
    </w:p>
    <w:p>
      <w:pPr>
        <w:ind w:left="2600" w:right="20" w:hanging="648"/>
        <w:spacing w:after="0" w:line="245" w:lineRule="auto"/>
        <w:tabs>
          <w:tab w:leader="none" w:pos="2600" w:val="left"/>
        </w:tabs>
        <w:numPr>
          <w:ilvl w:val="2"/>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18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1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01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- 2</w:t>
      </w:r>
    </w:p>
    <w:p>
      <w:pPr>
        <w:sectPr>
          <w:pgSz w:w="11900" w:h="16838" w:orient="portrait"/>
          <w:cols w:equalWidth="0" w:num="1">
            <w:col w:w="10920"/>
          </w:cols>
          <w:pgMar w:left="320" w:top="1015" w:right="659" w:bottom="1440" w:gutter="0" w:footer="0" w:header="0"/>
          <w:type w:val="continuous"/>
        </w:sectPr>
      </w:pPr>
    </w:p>
    <w:bookmarkStart w:id="203" w:name="page204"/>
    <w:bookmarkEnd w:id="203"/>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1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122" w:lineRule="exact"/>
        <w:rPr>
          <w:sz w:val="20"/>
          <w:szCs w:val="20"/>
          <w:color w:val="auto"/>
        </w:rPr>
      </w:pPr>
    </w:p>
    <w:p>
      <w:pPr>
        <w:ind w:left="980" w:hanging="324"/>
        <w:spacing w:after="0"/>
        <w:tabs>
          <w:tab w:leader="none" w:pos="9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400" w:right="340" w:hanging="647"/>
        <w:spacing w:after="0" w:line="245" w:lineRule="auto"/>
        <w:tabs>
          <w:tab w:leader="none" w:pos="38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10" w:lineRule="exact"/>
        <w:rPr>
          <w:sz w:val="20"/>
          <w:szCs w:val="20"/>
          <w:color w:val="auto"/>
        </w:rPr>
      </w:pPr>
    </w:p>
    <w:p>
      <w:pPr>
        <w:jc w:val="both"/>
        <w:ind w:left="420" w:right="320" w:hanging="647"/>
        <w:spacing w:after="0" w:line="232" w:lineRule="auto"/>
        <w:tabs>
          <w:tab w:leader="none" w:pos="40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660" w:hanging="652"/>
        <w:spacing w:after="0"/>
        <w:tabs>
          <w:tab w:leader="none" w:pos="660" w:val="left"/>
        </w:tabs>
        <w:numPr>
          <w:ilvl w:val="0"/>
          <w:numId w:val="1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380" w:right="320" w:hanging="647"/>
        <w:spacing w:after="0" w:line="245" w:lineRule="auto"/>
        <w:tabs>
          <w:tab w:leader="none" w:pos="36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1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140" w:lineRule="exact"/>
        <w:rPr>
          <w:sz w:val="20"/>
          <w:szCs w:val="20"/>
          <w:color w:val="auto"/>
        </w:rPr>
      </w:pPr>
    </w:p>
    <w:p>
      <w:pPr>
        <w:ind w:left="980" w:hanging="324"/>
        <w:spacing w:after="0"/>
        <w:tabs>
          <w:tab w:leader="none" w:pos="98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4.3</w:t>
        <w:tab/>
        <w:t>This Election will continue in force regardless of whether the Employee ceases to be an employee of the Employer.</w:t>
      </w:r>
    </w:p>
    <w:p>
      <w:pPr>
        <w:spacing w:after="0" w:line="140" w:lineRule="exact"/>
        <w:rPr>
          <w:sz w:val="20"/>
          <w:szCs w:val="20"/>
          <w:color w:val="auto"/>
        </w:rPr>
      </w:pPr>
    </w:p>
    <w:p>
      <w:pPr>
        <w:jc w:val="both"/>
        <w:ind w:left="380" w:right="320" w:hanging="647"/>
        <w:spacing w:after="0" w:line="232" w:lineRule="auto"/>
        <w:tabs>
          <w:tab w:leader="none" w:pos="36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ectPr>
          <w:pgSz w:w="11900" w:h="16838" w:orient="portrait"/>
          <w:cols w:equalWidth="0" w:num="1">
            <w:col w:w="11240"/>
          </w:cols>
          <w:pgMar w:left="320" w:top="10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D - 3</w:t>
      </w:r>
    </w:p>
    <w:p>
      <w:pPr>
        <w:sectPr>
          <w:pgSz w:w="11900" w:h="16838" w:orient="portrait"/>
          <w:cols w:equalWidth="0" w:num="1">
            <w:col w:w="11240"/>
          </w:cols>
          <w:pgMar w:left="320" w:top="1015" w:right="339" w:bottom="1440" w:gutter="0" w:footer="0" w:header="0"/>
          <w:type w:val="continuous"/>
        </w:sectPr>
      </w:pPr>
    </w:p>
    <w:bookmarkStart w:id="204" w:name="page205"/>
    <w:bookmarkEnd w:id="204"/>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51810"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Vice President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- 4</w:t>
      </w:r>
    </w:p>
    <w:p>
      <w:pPr>
        <w:sectPr>
          <w:pgSz w:w="11900" w:h="16838" w:orient="portrait"/>
          <w:cols w:equalWidth="0" w:num="1">
            <w:col w:w="10139"/>
          </w:cols>
          <w:pgMar w:left="320" w:top="1015" w:right="1440" w:bottom="1440" w:gutter="0" w:footer="0" w:header="0"/>
        </w:sectPr>
      </w:pPr>
    </w:p>
    <w:bookmarkStart w:id="205" w:name="page206"/>
    <w:bookmarkEnd w:id="205"/>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right"/>
        <w:ind w:right="268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52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52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00895439</w:t>
            </w:r>
          </w:p>
        </w:tc>
      </w:tr>
      <w:tr>
        <w:trPr>
          <w:trHeight w:val="210"/>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120/A4055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- 5</w:t>
      </w:r>
    </w:p>
    <w:p>
      <w:pPr>
        <w:sectPr>
          <w:pgSz w:w="11900" w:h="16838" w:orient="portrait"/>
          <w:cols w:equalWidth="0" w:num="1">
            <w:col w:w="10560"/>
          </w:cols>
          <w:pgMar w:left="320" w:top="1015" w:right="1019" w:bottom="1440" w:gutter="0" w:footer="0" w:header="0"/>
        </w:sectPr>
      </w:pPr>
    </w:p>
    <w:bookmarkStart w:id="206" w:name="page207"/>
    <w:bookmarkEnd w:id="206"/>
    <w:p>
      <w:pPr>
        <w:jc w:val="right"/>
        <w:spacing w:after="0"/>
        <w:rPr>
          <w:sz w:val="20"/>
          <w:szCs w:val="20"/>
          <w:color w:val="auto"/>
        </w:rPr>
      </w:pPr>
      <w:r>
        <w:rPr>
          <w:rFonts w:ascii="Calibri" w:cs="Calibri" w:eastAsia="Calibri" w:hAnsi="Calibri"/>
          <w:sz w:val="20"/>
          <w:szCs w:val="20"/>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51230" cy="26543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clrChange>
                        <a:clrFrom>
                          <a:srgbClr val="FFFFFF"/>
                        </a:clrFrom>
                        <a:clrTo>
                          <a:srgbClr val="FFFFFF">
                            <a:alpha val="0"/>
                          </a:srgbClr>
                        </a:clrTo>
                      </a:clrChange>
                      <a:extLst>
                        <a:ext uri="{28A0092B-C50C-407E-A947-70E740481C1C}"/>
                      </a:extLst>
                    </a:blip>
                    <a:srcRect/>
                    <a:stretch>
                      <a:fillRect/>
                    </a:stretch>
                  </pic:blipFill>
                  <pic:spPr bwMode="auto">
                    <a:xfrm>
                      <a:off x="0" y="0"/>
                      <a:ext cx="951230" cy="2654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1002665" cy="5143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clrChange>
                        <a:clrFrom>
                          <a:srgbClr val="FFFFFF"/>
                        </a:clrFrom>
                        <a:clrTo>
                          <a:srgbClr val="FFFFFF">
                            <a:alpha val="0"/>
                          </a:srgbClr>
                        </a:clrTo>
                      </a:clrChange>
                      <a:extLst>
                        <a:ext uri="{28A0092B-C50C-407E-A947-70E740481C1C}"/>
                      </a:extLst>
                    </a:blip>
                    <a:srcRect/>
                    <a:stretch>
                      <a:fillRect/>
                    </a:stretch>
                  </pic:blipFill>
                  <pic:spPr bwMode="auto">
                    <a:xfrm>
                      <a:off x="0" y="0"/>
                      <a:ext cx="1002665" cy="51435"/>
                    </a:xfrm>
                    <a:prstGeom prst="rect">
                      <a:avLst/>
                    </a:prstGeom>
                    <a:noFill/>
                  </pic:spPr>
                </pic:pic>
              </a:graphicData>
            </a:graphic>
          </wp:anchor>
        </w:drawing>
        <w:t>Exhibit 10.8</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January 17, 2024</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Richard C. Puccio, Jr.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color w:val="auto"/>
        </w:rPr>
        <w:t>Dear Rich,</w:t>
      </w:r>
    </w:p>
    <w:p>
      <w:pPr>
        <w:spacing w:after="0" w:line="211" w:lineRule="exact"/>
        <w:rPr>
          <w:sz w:val="20"/>
          <w:szCs w:val="20"/>
          <w:color w:val="auto"/>
        </w:rPr>
      </w:pPr>
    </w:p>
    <w:p>
      <w:pPr>
        <w:jc w:val="both"/>
        <w:ind w:right="360"/>
        <w:spacing w:after="0" w:line="205" w:lineRule="auto"/>
        <w:rPr>
          <w:sz w:val="20"/>
          <w:szCs w:val="20"/>
          <w:color w:val="auto"/>
        </w:rPr>
      </w:pPr>
      <w:r>
        <w:rPr>
          <w:rFonts w:ascii="Calibri" w:cs="Calibri" w:eastAsia="Calibri" w:hAnsi="Calibri"/>
          <w:sz w:val="20"/>
          <w:szCs w:val="20"/>
          <w:color w:val="auto"/>
        </w:rPr>
        <w:t>It is a great pleasure to ofer you employment to join Analog Devices (referred to as “ADI” or “Company”) as Executve Vice President Finance &amp; Chief Financial Ofcer. You will be reportng to the Chief Executve Ofcer, Vincent Roche (“CEO”), at our Wilmington, MA locaton.</w:t>
      </w:r>
    </w:p>
    <w:p>
      <w:pPr>
        <w:spacing w:after="0" w:line="211" w:lineRule="exact"/>
        <w:rPr>
          <w:sz w:val="20"/>
          <w:szCs w:val="20"/>
          <w:color w:val="auto"/>
        </w:rPr>
      </w:pPr>
    </w:p>
    <w:p>
      <w:pPr>
        <w:ind w:right="940"/>
        <w:spacing w:after="0" w:line="208" w:lineRule="auto"/>
        <w:rPr>
          <w:sz w:val="20"/>
          <w:szCs w:val="20"/>
          <w:color w:val="auto"/>
        </w:rPr>
      </w:pPr>
      <w:r>
        <w:rPr>
          <w:rFonts w:ascii="Calibri" w:cs="Calibri" w:eastAsia="Calibri" w:hAnsi="Calibri"/>
          <w:sz w:val="20"/>
          <w:szCs w:val="20"/>
          <w:color w:val="auto"/>
        </w:rPr>
        <w:t xml:space="preserve">Your start date at ADI will be </w:t>
      </w:r>
      <w:r>
        <w:rPr>
          <w:rFonts w:ascii="Calibri" w:cs="Calibri" w:eastAsia="Calibri" w:hAnsi="Calibri"/>
          <w:sz w:val="20"/>
          <w:szCs w:val="20"/>
          <w:b w:val="1"/>
          <w:bCs w:val="1"/>
          <w:color w:val="auto"/>
        </w:rPr>
        <w:t>February 5, 2024</w:t>
      </w:r>
      <w:r>
        <w:rPr>
          <w:rFonts w:ascii="Calibri" w:cs="Calibri" w:eastAsia="Calibri" w:hAnsi="Calibri"/>
          <w:sz w:val="20"/>
          <w:szCs w:val="20"/>
          <w:color w:val="auto"/>
        </w:rPr>
        <w:t>. This date presumes you complete background check authorizaton and system onboarding immediately upon receipt of the relevant notfcatons.</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Cash Compensaton.</w:t>
      </w:r>
    </w:p>
    <w:p>
      <w:pPr>
        <w:spacing w:after="0" w:line="228" w:lineRule="exact"/>
        <w:rPr>
          <w:sz w:val="20"/>
          <w:szCs w:val="20"/>
          <w:color w:val="auto"/>
        </w:rPr>
      </w:pPr>
    </w:p>
    <w:p>
      <w:pPr>
        <w:ind w:left="640" w:hanging="308"/>
        <w:spacing w:after="0"/>
        <w:tabs>
          <w:tab w:leader="none" w:pos="640" w:val="left"/>
        </w:tabs>
        <w:numPr>
          <w:ilvl w:val="0"/>
          <w:numId w:val="199"/>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Base Salary. </w:t>
      </w:r>
      <w:r>
        <w:rPr>
          <w:rFonts w:ascii="Calibri" w:cs="Calibri" w:eastAsia="Calibri" w:hAnsi="Calibri"/>
          <w:sz w:val="20"/>
          <w:szCs w:val="20"/>
          <w:color w:val="auto"/>
        </w:rPr>
        <w:t>You will be paid at the bi-weekly rate of $25,769.23, which is annualized at $670,000.</w:t>
      </w:r>
    </w:p>
    <w:p>
      <w:pPr>
        <w:spacing w:after="0" w:line="224" w:lineRule="exact"/>
        <w:rPr>
          <w:rFonts w:ascii="Times New Roman" w:cs="Times New Roman" w:eastAsia="Times New Roman" w:hAnsi="Times New Roman"/>
          <w:sz w:val="20"/>
          <w:szCs w:val="20"/>
          <w:color w:val="auto"/>
        </w:rPr>
      </w:pPr>
    </w:p>
    <w:p>
      <w:pPr>
        <w:ind w:left="660" w:right="40" w:hanging="328"/>
        <w:spacing w:after="0" w:line="203" w:lineRule="auto"/>
        <w:tabs>
          <w:tab w:leader="none" w:pos="648" w:val="left"/>
        </w:tabs>
        <w:numPr>
          <w:ilvl w:val="0"/>
          <w:numId w:val="199"/>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Bonus. </w:t>
      </w:r>
      <w:r>
        <w:rPr>
          <w:rFonts w:ascii="Calibri" w:cs="Calibri" w:eastAsia="Calibri" w:hAnsi="Calibri"/>
          <w:sz w:val="20"/>
          <w:szCs w:val="20"/>
          <w:color w:val="auto"/>
        </w:rPr>
        <w:t>In additon to your base salary, you will be eligible to partcipate in the Executve Performance Incentve Plan (the “Plan”).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Your bonus target under the Plan will be 125% of your base salary. Your eligibility for a Bonus payment and the terms of the bonus are governed by the Plan, as it may be amended from tme to tme by our Board of Directors or the Compensaton and Talent Commitee of the Board.</w:t>
      </w:r>
    </w:p>
    <w:p>
      <w:pPr>
        <w:spacing w:after="0" w:line="240" w:lineRule="exact"/>
        <w:rPr>
          <w:rFonts w:ascii="Times New Roman" w:cs="Times New Roman" w:eastAsia="Times New Roman" w:hAnsi="Times New Roman"/>
          <w:sz w:val="20"/>
          <w:szCs w:val="20"/>
          <w:color w:val="auto"/>
        </w:rPr>
      </w:pPr>
    </w:p>
    <w:p>
      <w:pPr>
        <w:ind w:left="660" w:right="60" w:hanging="328"/>
        <w:spacing w:after="0" w:line="200" w:lineRule="auto"/>
        <w:tabs>
          <w:tab w:leader="none" w:pos="648" w:val="left"/>
        </w:tabs>
        <w:numPr>
          <w:ilvl w:val="0"/>
          <w:numId w:val="199"/>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Hiring Bonus</w:t>
      </w:r>
      <w:r>
        <w:rPr>
          <w:rFonts w:ascii="Calibri" w:cs="Calibri" w:eastAsia="Calibri" w:hAnsi="Calibri"/>
          <w:sz w:val="20"/>
          <w:szCs w:val="20"/>
          <w:color w:val="auto"/>
        </w:rPr>
        <w:t>. In consideraton of compensaton you will be forfeitng with your current employer, you will be paid a one-tme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tme Hiring Bonus (“Hiring Bonus”) of $500,000 (less applicable taxes). This bonus will be earned according to the terms outlined in the Hiring Bonus Agreement. Should you cease to be employed due to your resignaton without Good Reason or terminaton by ADI for “Cause” (each as defned in the Hiring Bonus Agreement) prior to twenty-four months from your start date, you agree to repay the full amount.</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Equity Compensaton.</w:t>
      </w:r>
    </w:p>
    <w:p>
      <w:pPr>
        <w:spacing w:after="0" w:line="238" w:lineRule="exact"/>
        <w:rPr>
          <w:sz w:val="20"/>
          <w:szCs w:val="20"/>
          <w:color w:val="auto"/>
        </w:rPr>
      </w:pPr>
    </w:p>
    <w:p>
      <w:pPr>
        <w:ind w:left="660" w:right="20" w:hanging="328"/>
        <w:spacing w:after="0" w:line="202" w:lineRule="auto"/>
        <w:tabs>
          <w:tab w:leader="none" w:pos="648" w:val="left"/>
        </w:tabs>
        <w:numPr>
          <w:ilvl w:val="0"/>
          <w:numId w:val="200"/>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Sign on Equity Grant. </w:t>
      </w:r>
      <w:r>
        <w:rPr>
          <w:rFonts w:ascii="Calibri" w:cs="Calibri" w:eastAsia="Calibri" w:hAnsi="Calibri"/>
          <w:sz w:val="20"/>
          <w:szCs w:val="20"/>
          <w:color w:val="auto"/>
        </w:rPr>
        <w:t>In consideraton of equity you will be forfeitng with your current employer, you will be recommended for a</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restricted stock unit award (“RSU award”) (approval for which will not be unreasonably denied) with a grant date value of $10,000,000 under the terms of the Analog Devices, Inc. 2020 Equity Incentve Plan, as it may be amended from tme to tme (the “EIP”). The “grant date” of this recommended RSU award will be the 15th day of the month following the month in which you were hired or the next trading day of the NASDAQ, as applicable. This award will vest in three equal installments of 33% each on the anniversary date of the grant, based on your contnued employment with ADI through each vestng date.</w:t>
      </w:r>
    </w:p>
    <w:p>
      <w:pPr>
        <w:spacing w:after="0" w:line="212" w:lineRule="exact"/>
        <w:rPr>
          <w:sz w:val="20"/>
          <w:szCs w:val="20"/>
          <w:color w:val="auto"/>
        </w:rPr>
      </w:pPr>
    </w:p>
    <w:p>
      <w:pPr>
        <w:ind w:right="60"/>
        <w:spacing w:after="0" w:line="199" w:lineRule="auto"/>
        <w:rPr>
          <w:sz w:val="20"/>
          <w:szCs w:val="20"/>
          <w:color w:val="auto"/>
        </w:rPr>
      </w:pPr>
      <w:r>
        <w:rPr>
          <w:rFonts w:ascii="Calibri" w:cs="Calibri" w:eastAsia="Calibri" w:hAnsi="Calibri"/>
          <w:sz w:val="20"/>
          <w:szCs w:val="20"/>
          <w:b w:val="1"/>
          <w:bCs w:val="1"/>
          <w:color w:val="auto"/>
        </w:rPr>
        <w:t>Ongoing Equity Grants (Annual Awards)</w:t>
      </w:r>
      <w:r>
        <w:rPr>
          <w:rFonts w:ascii="Calibri" w:cs="Calibri" w:eastAsia="Calibri" w:hAnsi="Calibri"/>
          <w:sz w:val="20"/>
          <w:szCs w:val="20"/>
          <w:color w:val="auto"/>
        </w:rPr>
        <w:t>. You will be eligible to partcipate in our Annual Equity Award Program for ADI Fiscal Year 2024</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 the normal course. Subject to approval by ADI’s Compensaton and Talent Commitee, for Fiscal Year 2024, you will receive equity award(s) having an aggregate grant date value of $5.5 million. The equity award(s) will be comprised of the same types of equity received by other executves reportng to the CEO. The tming and structure of the awards is subject to review and approval by the Compensaton and Talent Commitee who has full discreton in determining the compositon of annual executve equity awards. There is no guarantee that the value or compositon of equity awards in ADI’s Fiscal Year 2025 (or in subsequent years) will be the same as what is described for Fiscal Year 2024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 1</w:t>
      </w:r>
    </w:p>
    <w:p>
      <w:pPr>
        <w:sectPr>
          <w:pgSz w:w="11900" w:h="16838" w:orient="portrait"/>
          <w:cols w:equalWidth="0" w:num="1">
            <w:col w:w="11240"/>
          </w:cols>
          <w:pgMar w:left="320" w:top="1375" w:right="339" w:bottom="1440" w:gutter="0" w:footer="0" w:header="0"/>
        </w:sectPr>
      </w:pPr>
    </w:p>
    <w:bookmarkStart w:id="207" w:name="page208"/>
    <w:bookmarkEnd w:id="207"/>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51230" cy="26543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clrChange>
                        <a:clrFrom>
                          <a:srgbClr val="FFFFFF"/>
                        </a:clrFrom>
                        <a:clrTo>
                          <a:srgbClr val="FFFFFF">
                            <a:alpha val="0"/>
                          </a:srgbClr>
                        </a:clrTo>
                      </a:clrChange>
                      <a:extLst>
                        <a:ext uri="{28A0092B-C50C-407E-A947-70E740481C1C}"/>
                      </a:extLst>
                    </a:blip>
                    <a:srcRect/>
                    <a:stretch>
                      <a:fillRect/>
                    </a:stretch>
                  </pic:blipFill>
                  <pic:spPr bwMode="auto">
                    <a:xfrm>
                      <a:off x="0" y="0"/>
                      <a:ext cx="951230" cy="2654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1002665" cy="5143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clrChange>
                        <a:clrFrom>
                          <a:srgbClr val="FFFFFF"/>
                        </a:clrFrom>
                        <a:clrTo>
                          <a:srgbClr val="FFFFFF">
                            <a:alpha val="0"/>
                          </a:srgbClr>
                        </a:clrTo>
                      </a:clrChange>
                      <a:extLst>
                        <a:ext uri="{28A0092B-C50C-407E-A947-70E740481C1C}"/>
                      </a:extLst>
                    </a:blip>
                    <a:srcRect/>
                    <a:stretch>
                      <a:fillRect/>
                    </a:stretch>
                  </pic:blipFill>
                  <pic:spPr bwMode="auto">
                    <a:xfrm>
                      <a:off x="0" y="0"/>
                      <a:ext cx="1002665" cy="51435"/>
                    </a:xfrm>
                    <a:prstGeom prst="rect">
                      <a:avLst/>
                    </a:prstGeom>
                    <a:noFill/>
                  </pic:spPr>
                </pic:pic>
              </a:graphicData>
            </a:graphic>
          </wp:anchor>
        </w:drawing>
      </w:r>
    </w:p>
    <w:p>
      <w:pPr>
        <w:ind w:left="660" w:right="160"/>
        <w:spacing w:after="0" w:line="203" w:lineRule="auto"/>
        <w:rPr>
          <w:sz w:val="20"/>
          <w:szCs w:val="20"/>
          <w:color w:val="auto"/>
        </w:rPr>
      </w:pPr>
      <w:r>
        <w:rPr>
          <w:rFonts w:ascii="Calibri" w:cs="Calibri" w:eastAsia="Calibri" w:hAnsi="Calibri"/>
          <w:sz w:val="20"/>
          <w:szCs w:val="20"/>
          <w:b w:val="1"/>
          <w:bCs w:val="1"/>
          <w:color w:val="auto"/>
        </w:rPr>
        <w:t xml:space="preserve">Calculaton Methodology. </w:t>
      </w:r>
      <w:r>
        <w:rPr>
          <w:rFonts w:ascii="Calibri" w:cs="Calibri" w:eastAsia="Calibri" w:hAnsi="Calibri"/>
          <w:sz w:val="20"/>
          <w:szCs w:val="20"/>
          <w:color w:val="auto"/>
        </w:rPr>
        <w:t>To determine the number of shares of equity awarded, the value of the award is divided by the fair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market value (FMV) of each share award type. The FMV considers a variety of factors including the price and volatlity of the Company’s stock around the tme of the grant, the value of the dividend and interest rates, Monte Carlo simulatons and Black-Scholes valuaton methodology as applicable.</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Relocaton</w:t>
      </w:r>
    </w:p>
    <w:p>
      <w:pPr>
        <w:spacing w:after="0" w:line="198" w:lineRule="exact"/>
        <w:rPr>
          <w:sz w:val="20"/>
          <w:szCs w:val="20"/>
          <w:color w:val="auto"/>
        </w:rPr>
      </w:pPr>
    </w:p>
    <w:p>
      <w:pPr>
        <w:ind w:left="340"/>
        <w:spacing w:after="0" w:line="202" w:lineRule="auto"/>
        <w:rPr>
          <w:sz w:val="20"/>
          <w:szCs w:val="20"/>
          <w:color w:val="auto"/>
        </w:rPr>
      </w:pPr>
      <w:r>
        <w:rPr>
          <w:rFonts w:ascii="Calibri" w:cs="Calibri" w:eastAsia="Calibri" w:hAnsi="Calibri"/>
          <w:sz w:val="20"/>
          <w:szCs w:val="20"/>
          <w:color w:val="auto"/>
        </w:rPr>
        <w:t>The Company will support your relocaton to the Massachusets. You are eligible for relocaton benefts based on our current Intra-U.S. Permanent Relocaton policy at the Tier 1 level. The relocaton benefts will expire one year from your start date. If you voluntarily resign without Good Reason or are terminated by the Company for Cause (both as defned in the Employee Retenton Agreement) within the frst twelve months of employment you will be required to repay any relocaton benefts paid to you. To assist with your move, the Company will provide access to a corporate apartment and rental car in Massachusets for your frst six months of employment.</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Additonal features of your employment at ADI.</w:t>
      </w:r>
    </w:p>
    <w:p>
      <w:pPr>
        <w:ind w:left="660" w:right="40" w:hanging="328"/>
        <w:spacing w:after="0" w:line="203" w:lineRule="auto"/>
        <w:tabs>
          <w:tab w:leader="none" w:pos="648" w:val="left"/>
        </w:tabs>
        <w:numPr>
          <w:ilvl w:val="0"/>
          <w:numId w:val="201"/>
        </w:numPr>
        <w:rPr>
          <w:rFonts w:ascii="Times New Roman" w:cs="Times New Roman" w:eastAsia="Times New Roman" w:hAnsi="Times New Roman"/>
          <w:sz w:val="20"/>
          <w:szCs w:val="20"/>
          <w:color w:val="1F497D"/>
        </w:rPr>
      </w:pPr>
      <w:r>
        <w:rPr>
          <w:rFonts w:ascii="Calibri" w:cs="Calibri" w:eastAsia="Calibri" w:hAnsi="Calibri"/>
          <w:sz w:val="20"/>
          <w:szCs w:val="20"/>
          <w:color w:val="auto"/>
        </w:rPr>
        <w:t>You will also be eligible to partcipate in various employee beneft programs including group health, life, and disability insurance; a tuiton assistance program; a 401(k) retrement plan; and the Company’s Deferred Compensaton program. Partcipaton in these beneft programs is subject to all provisions of the plan documents governing these programs.</w:t>
      </w:r>
    </w:p>
    <w:p>
      <w:pPr>
        <w:spacing w:after="0" w:line="239" w:lineRule="exact"/>
        <w:rPr>
          <w:rFonts w:ascii="Times New Roman" w:cs="Times New Roman" w:eastAsia="Times New Roman" w:hAnsi="Times New Roman"/>
          <w:sz w:val="20"/>
          <w:szCs w:val="20"/>
          <w:color w:val="1F497D"/>
        </w:rPr>
      </w:pPr>
    </w:p>
    <w:p>
      <w:pPr>
        <w:ind w:left="660" w:right="140" w:hanging="328"/>
        <w:spacing w:after="0" w:line="214" w:lineRule="auto"/>
        <w:tabs>
          <w:tab w:leader="none" w:pos="648" w:val="left"/>
        </w:tabs>
        <w:numPr>
          <w:ilvl w:val="0"/>
          <w:numId w:val="201"/>
        </w:numPr>
        <w:rPr>
          <w:rFonts w:ascii="Times New Roman" w:cs="Times New Roman" w:eastAsia="Times New Roman" w:hAnsi="Times New Roman"/>
          <w:sz w:val="20"/>
          <w:szCs w:val="20"/>
          <w:color w:val="auto"/>
        </w:rPr>
      </w:pPr>
      <w:r>
        <w:rPr>
          <w:rFonts w:ascii="Calibri" w:cs="Calibri" w:eastAsia="Calibri" w:hAnsi="Calibri"/>
          <w:sz w:val="20"/>
          <w:szCs w:val="20"/>
          <w:color w:val="auto"/>
        </w:rPr>
        <w:t>You are eligible to accrue a maximum of 20 days of vacaton per calendar year, pro-rated based on your start date. Vacaton will accrue and be eligible for use in a manner consistent with the Company’s vacaton policies.</w:t>
      </w:r>
    </w:p>
    <w:p>
      <w:pPr>
        <w:spacing w:after="0" w:line="145" w:lineRule="exact"/>
        <w:rPr>
          <w:sz w:val="20"/>
          <w:szCs w:val="20"/>
          <w:color w:val="auto"/>
        </w:rPr>
      </w:pPr>
    </w:p>
    <w:p>
      <w:pPr>
        <w:ind w:right="560"/>
        <w:spacing w:after="0" w:line="205" w:lineRule="auto"/>
        <w:rPr>
          <w:sz w:val="20"/>
          <w:szCs w:val="20"/>
          <w:color w:val="auto"/>
        </w:rPr>
      </w:pPr>
      <w:r>
        <w:rPr>
          <w:rFonts w:ascii="Calibri" w:cs="Calibri" w:eastAsia="Calibri" w:hAnsi="Calibri"/>
          <w:sz w:val="20"/>
          <w:szCs w:val="20"/>
          <w:color w:val="auto"/>
        </w:rPr>
        <w:t>As a member of ADI’s executve leadership team, ADI will ofer you its standard agreements with executves, including a Retenton Agreement and Indemnifcaton Agreement, each as approved by the Board of Directors and/or the Compensaton and Talent Commitee of the Board.</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color w:val="auto"/>
        </w:rPr>
        <w:t>Subject to confrmaton by our Board of Directors, the positon you are being ofered would qualify you as a "Secton 16 ofcer" of ADI.</w:t>
      </w:r>
    </w:p>
    <w:p>
      <w:pPr>
        <w:spacing w:after="0" w:line="211" w:lineRule="exact"/>
        <w:rPr>
          <w:sz w:val="20"/>
          <w:szCs w:val="20"/>
          <w:color w:val="auto"/>
        </w:rPr>
      </w:pPr>
    </w:p>
    <w:p>
      <w:pPr>
        <w:ind w:right="20"/>
        <w:spacing w:after="0" w:line="200" w:lineRule="auto"/>
        <w:rPr>
          <w:sz w:val="20"/>
          <w:szCs w:val="20"/>
          <w:color w:val="auto"/>
        </w:rPr>
      </w:pPr>
      <w:r>
        <w:rPr>
          <w:rFonts w:ascii="Calibri" w:cs="Calibri" w:eastAsia="Calibri" w:hAnsi="Calibri"/>
          <w:sz w:val="20"/>
          <w:szCs w:val="20"/>
          <w:color w:val="auto"/>
        </w:rPr>
        <w:t>Further, you will be subject to our executve stock ownership guidelines, which are subject to review by our Board of Directors from tme to tme. Under the executve stock ownership guidelines, you will be expected to own at least a number of ADI shares having a value equal to three tmes your base salary, valued at the current market value of ADI shares. Shares counted toward these guidelines include any shares you hold directly, or that are benefcially held by you, any vested or unvested tme-based RSUs and unvested performance-based RSUs whose performance has been certfed by the Compensaton and Talent Commitee.</w:t>
      </w:r>
    </w:p>
    <w:p>
      <w:pPr>
        <w:spacing w:after="0" w:line="211" w:lineRule="exact"/>
        <w:rPr>
          <w:sz w:val="20"/>
          <w:szCs w:val="20"/>
          <w:color w:val="auto"/>
        </w:rPr>
      </w:pPr>
    </w:p>
    <w:p>
      <w:pPr>
        <w:ind w:right="180"/>
        <w:spacing w:after="0" w:line="214" w:lineRule="auto"/>
        <w:rPr>
          <w:sz w:val="20"/>
          <w:szCs w:val="20"/>
          <w:color w:val="auto"/>
        </w:rPr>
      </w:pPr>
      <w:r>
        <w:rPr>
          <w:rFonts w:ascii="Calibri" w:cs="Calibri" w:eastAsia="Calibri" w:hAnsi="Calibri"/>
          <w:sz w:val="20"/>
          <w:szCs w:val="20"/>
          <w:color w:val="auto"/>
        </w:rPr>
        <w:t>Our ofer of employment is contngent upon successful completon of a background check, proof of employment eligibility, and signing of our Employee Confdentality and Developments Agreement, a copy of which is atached.</w:t>
      </w:r>
    </w:p>
    <w:p>
      <w:pPr>
        <w:spacing w:after="0" w:line="199" w:lineRule="exact"/>
        <w:rPr>
          <w:sz w:val="20"/>
          <w:szCs w:val="20"/>
          <w:color w:val="auto"/>
        </w:rPr>
      </w:pPr>
    </w:p>
    <w:p>
      <w:pPr>
        <w:ind w:right="580"/>
        <w:spacing w:after="0" w:line="214" w:lineRule="auto"/>
        <w:rPr>
          <w:sz w:val="20"/>
          <w:szCs w:val="20"/>
          <w:color w:val="auto"/>
        </w:rPr>
      </w:pPr>
      <w:r>
        <w:rPr>
          <w:rFonts w:ascii="Calibri" w:cs="Calibri" w:eastAsia="Calibri" w:hAnsi="Calibri"/>
          <w:sz w:val="20"/>
          <w:szCs w:val="20"/>
          <w:color w:val="auto"/>
        </w:rPr>
        <w:t>Your employment relatonship with ADI will be on an “at will” basis. This means either you or ADI may terminate the employment relatonship at any tme, for any reason, or without a reason, and without prior notce.</w:t>
      </w:r>
    </w:p>
    <w:p>
      <w:pPr>
        <w:spacing w:after="0" w:line="213" w:lineRule="exact"/>
        <w:rPr>
          <w:sz w:val="20"/>
          <w:szCs w:val="20"/>
          <w:color w:val="auto"/>
        </w:rPr>
      </w:pPr>
    </w:p>
    <w:p>
      <w:pPr>
        <w:ind w:right="340"/>
        <w:spacing w:after="0" w:line="205" w:lineRule="auto"/>
        <w:rPr>
          <w:sz w:val="20"/>
          <w:szCs w:val="20"/>
          <w:color w:val="auto"/>
        </w:rPr>
      </w:pPr>
      <w:r>
        <w:rPr>
          <w:rFonts w:ascii="Calibri" w:cs="Calibri" w:eastAsia="Calibri" w:hAnsi="Calibri"/>
          <w:sz w:val="20"/>
          <w:szCs w:val="20"/>
          <w:color w:val="auto"/>
        </w:rPr>
        <w:t>This ofer leter is not a contract guaranteeing employment for any specifed period of tme. ADI reserves the right to amend or terminate any of the above-described programs, plans or policies at any tme and from tme to tme. This means that policies, compensaton, and benefts applicable to its executves and employees generally may be amended or terminated at ADI’s discreton.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 2</w:t>
      </w:r>
    </w:p>
    <w:p>
      <w:pPr>
        <w:sectPr>
          <w:pgSz w:w="11900" w:h="16838" w:orient="portrait"/>
          <w:cols w:equalWidth="0" w:num="1">
            <w:col w:w="11200"/>
          </w:cols>
          <w:pgMar w:left="320" w:top="1440" w:right="379" w:bottom="1440" w:gutter="0" w:footer="0" w:header="0"/>
        </w:sectPr>
      </w:pPr>
    </w:p>
    <w:bookmarkStart w:id="208" w:name="page209"/>
    <w:bookmarkEnd w:id="208"/>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51230" cy="26543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clrChange>
                        <a:clrFrom>
                          <a:srgbClr val="FFFFFF"/>
                        </a:clrFrom>
                        <a:clrTo>
                          <a:srgbClr val="FFFFFF">
                            <a:alpha val="0"/>
                          </a:srgbClr>
                        </a:clrTo>
                      </a:clrChange>
                      <a:extLst>
                        <a:ext uri="{28A0092B-C50C-407E-A947-70E740481C1C}"/>
                      </a:extLst>
                    </a:blip>
                    <a:srcRect/>
                    <a:stretch>
                      <a:fillRect/>
                    </a:stretch>
                  </pic:blipFill>
                  <pic:spPr bwMode="auto">
                    <a:xfrm>
                      <a:off x="0" y="0"/>
                      <a:ext cx="951230" cy="2654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1002665" cy="5143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clrChange>
                        <a:clrFrom>
                          <a:srgbClr val="FFFFFF"/>
                        </a:clrFrom>
                        <a:clrTo>
                          <a:srgbClr val="FFFFFF">
                            <a:alpha val="0"/>
                          </a:srgbClr>
                        </a:clrTo>
                      </a:clrChange>
                      <a:extLst>
                        <a:ext uri="{28A0092B-C50C-407E-A947-70E740481C1C}"/>
                      </a:extLst>
                    </a:blip>
                    <a:srcRect/>
                    <a:stretch>
                      <a:fillRect/>
                    </a:stretch>
                  </pic:blipFill>
                  <pic:spPr bwMode="auto">
                    <a:xfrm>
                      <a:off x="0" y="0"/>
                      <a:ext cx="1002665" cy="51435"/>
                    </a:xfrm>
                    <a:prstGeom prst="rect">
                      <a:avLst/>
                    </a:prstGeom>
                    <a:noFill/>
                  </pic:spPr>
                </pic:pic>
              </a:graphicData>
            </a:graphic>
          </wp:anchor>
        </w:drawing>
      </w:r>
    </w:p>
    <w:p>
      <w:pPr>
        <w:spacing w:after="0"/>
        <w:rPr>
          <w:sz w:val="20"/>
          <w:szCs w:val="20"/>
          <w:color w:val="auto"/>
        </w:rPr>
      </w:pPr>
      <w:r>
        <w:rPr>
          <w:rFonts w:ascii="Calibri" w:cs="Calibri" w:eastAsia="Calibri" w:hAnsi="Calibri"/>
          <w:sz w:val="20"/>
          <w:szCs w:val="20"/>
          <w:color w:val="auto"/>
        </w:rPr>
        <w:t>This ofer of employment is based upon your general skills and abilites. It is not based on your possession of or access to any proprietary informaton belonging to your current or previous employers. When you accept this ofer of employment and join us, ADI directs that you do not disclose any such informaton or bring materials belonging to any former employer or use any such materials while in ADI’s employ.</w:t>
      </w:r>
    </w:p>
    <w:p>
      <w:pPr>
        <w:spacing w:after="0" w:line="307" w:lineRule="exact"/>
        <w:rPr>
          <w:sz w:val="20"/>
          <w:szCs w:val="20"/>
          <w:color w:val="auto"/>
        </w:rPr>
      </w:pPr>
    </w:p>
    <w:p>
      <w:pPr>
        <w:ind w:right="320"/>
        <w:spacing w:after="0" w:line="208" w:lineRule="auto"/>
        <w:rPr>
          <w:sz w:val="20"/>
          <w:szCs w:val="20"/>
          <w:color w:val="auto"/>
        </w:rPr>
      </w:pPr>
      <w:r>
        <w:rPr>
          <w:rFonts w:ascii="Calibri" w:cs="Calibri" w:eastAsia="Calibri" w:hAnsi="Calibri"/>
          <w:sz w:val="20"/>
          <w:szCs w:val="20"/>
          <w:color w:val="auto"/>
        </w:rPr>
        <w:t>Further, you represent and warrant to ADI that you are not bound by any restrictons or covenant not to compete that would prevent you from performing your expected job dutes at ADI.</w:t>
      </w:r>
    </w:p>
    <w:p>
      <w:pPr>
        <w:spacing w:after="0" w:line="211" w:lineRule="exact"/>
        <w:rPr>
          <w:sz w:val="20"/>
          <w:szCs w:val="20"/>
          <w:color w:val="auto"/>
        </w:rPr>
      </w:pPr>
    </w:p>
    <w:p>
      <w:pPr>
        <w:spacing w:after="0" w:line="205" w:lineRule="auto"/>
        <w:rPr>
          <w:sz w:val="20"/>
          <w:szCs w:val="20"/>
          <w:color w:val="auto"/>
        </w:rPr>
      </w:pPr>
      <w:r>
        <w:rPr>
          <w:rFonts w:ascii="Calibri" w:cs="Calibri" w:eastAsia="Calibri" w:hAnsi="Calibri"/>
          <w:sz w:val="20"/>
          <w:szCs w:val="20"/>
          <w:color w:val="auto"/>
        </w:rPr>
        <w:t>Other than the agreements signed contemporaneously herewith, this leter sets forth the complete and sole understanding between the partes regarding your employment and supersedes any and all other ofers, agreements or understandings, whether oral or writen, between you and the Company.</w:t>
      </w:r>
    </w:p>
    <w:p>
      <w:pPr>
        <w:spacing w:after="0" w:line="211" w:lineRule="exact"/>
        <w:rPr>
          <w:sz w:val="20"/>
          <w:szCs w:val="20"/>
          <w:color w:val="auto"/>
        </w:rPr>
      </w:pPr>
    </w:p>
    <w:p>
      <w:pPr>
        <w:ind w:right="100"/>
        <w:spacing w:after="0" w:line="214" w:lineRule="auto"/>
        <w:rPr>
          <w:sz w:val="20"/>
          <w:szCs w:val="20"/>
          <w:color w:val="auto"/>
        </w:rPr>
      </w:pPr>
      <w:r>
        <w:rPr>
          <w:rFonts w:ascii="Calibri" w:cs="Calibri" w:eastAsia="Calibri" w:hAnsi="Calibri"/>
          <w:sz w:val="20"/>
          <w:szCs w:val="20"/>
          <w:color w:val="auto"/>
        </w:rPr>
        <w:t>We believe you will be an excellent additon to the ADI team and look forward to your startng with us. We are certain you will fnd your employment with ADI both challenging and rewarding.</w:t>
      </w:r>
    </w:p>
    <w:p>
      <w:pPr>
        <w:spacing w:after="0" w:line="189" w:lineRule="exact"/>
        <w:rPr>
          <w:sz w:val="20"/>
          <w:szCs w:val="20"/>
          <w:color w:val="auto"/>
        </w:rPr>
      </w:pPr>
    </w:p>
    <w:p>
      <w:pPr>
        <w:spacing w:after="0"/>
        <w:rPr>
          <w:sz w:val="20"/>
          <w:szCs w:val="20"/>
          <w:color w:val="auto"/>
        </w:rPr>
      </w:pPr>
      <w:r>
        <w:rPr>
          <w:rFonts w:ascii="Calibri" w:cs="Calibri" w:eastAsia="Calibri" w:hAnsi="Calibri"/>
          <w:sz w:val="20"/>
          <w:szCs w:val="20"/>
          <w:color w:val="auto"/>
        </w:rPr>
        <w:t>Sincerely,</w:t>
      </w:r>
    </w:p>
    <w:p>
      <w:pPr>
        <w:spacing w:after="0" w:line="255" w:lineRule="exact"/>
        <w:rPr>
          <w:sz w:val="20"/>
          <w:szCs w:val="20"/>
          <w:color w:val="auto"/>
        </w:rPr>
      </w:pPr>
    </w:p>
    <w:p>
      <w:pPr>
        <w:ind w:left="20"/>
        <w:spacing w:after="0"/>
        <w:tabs>
          <w:tab w:leader="none" w:pos="560" w:val="left"/>
        </w:tabs>
        <w:rPr>
          <w:sz w:val="20"/>
          <w:szCs w:val="20"/>
          <w:color w:val="auto"/>
        </w:rPr>
      </w:pP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color w:val="auto"/>
        </w:rPr>
        <w:t>/s/ Mariya Tricket</w:t>
      </w:r>
    </w:p>
    <w:p>
      <w:pPr>
        <w:spacing w:after="0" w:line="26" w:lineRule="exact"/>
        <w:rPr>
          <w:sz w:val="20"/>
          <w:szCs w:val="20"/>
          <w:color w:val="auto"/>
        </w:rPr>
      </w:pPr>
    </w:p>
    <w:p>
      <w:pPr>
        <w:ind w:left="580"/>
        <w:spacing w:after="0"/>
        <w:rPr>
          <w:sz w:val="20"/>
          <w:szCs w:val="20"/>
          <w:color w:val="auto"/>
        </w:rPr>
      </w:pPr>
      <w:r>
        <w:rPr>
          <w:rFonts w:ascii="Calibri" w:cs="Calibri" w:eastAsia="Calibri" w:hAnsi="Calibri"/>
          <w:sz w:val="20"/>
          <w:szCs w:val="20"/>
          <w:color w:val="auto"/>
        </w:rPr>
        <w:t>Mariya Tricket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-140970</wp:posOffset>
            </wp:positionV>
            <wp:extent cx="3248660"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ind w:left="580"/>
        <w:spacing w:after="0"/>
        <w:rPr>
          <w:sz w:val="20"/>
          <w:szCs w:val="20"/>
          <w:color w:val="auto"/>
        </w:rPr>
      </w:pPr>
      <w:r>
        <w:rPr>
          <w:rFonts w:ascii="Calibri" w:cs="Calibri" w:eastAsia="Calibri" w:hAnsi="Calibri"/>
          <w:sz w:val="20"/>
          <w:szCs w:val="20"/>
          <w:color w:val="auto"/>
        </w:rPr>
        <w:t>Senior Vice President &amp; Chief People Ofcer</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alibri" w:cs="Calibri" w:eastAsia="Calibri" w:hAnsi="Calibri"/>
          <w:sz w:val="20"/>
          <w:szCs w:val="20"/>
          <w:color w:val="auto"/>
        </w:rPr>
        <w:t>I accept the above ofer.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560" w:val="left"/>
          <w:tab w:leader="none" w:pos="6600" w:val="left"/>
          <w:tab w:leader="none" w:pos="7300" w:val="left"/>
        </w:tabs>
        <w:rPr>
          <w:sz w:val="20"/>
          <w:szCs w:val="20"/>
          <w:color w:val="auto"/>
        </w:rPr>
      </w:pP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color w:val="auto"/>
        </w:rPr>
        <w:t>/s/ Richard C. Puccio, Jr.</w:t>
      </w:r>
      <w:r>
        <w:rPr>
          <w:sz w:val="20"/>
          <w:szCs w:val="20"/>
          <w:color w:val="auto"/>
        </w:rPr>
        <w:tab/>
      </w:r>
      <w:r>
        <w:rPr>
          <w:rFonts w:ascii="Calibri" w:cs="Calibri" w:eastAsia="Calibri" w:hAnsi="Calibri"/>
          <w:sz w:val="20"/>
          <w:szCs w:val="20"/>
          <w:color w:val="auto"/>
        </w:rPr>
        <w:t>Date:</w:t>
        <w:tab/>
        <w:t>January 18, 2024</w:t>
      </w:r>
    </w:p>
    <w:p>
      <w:pPr>
        <w:spacing w:after="0" w:line="26" w:lineRule="exact"/>
        <w:rPr>
          <w:sz w:val="20"/>
          <w:szCs w:val="20"/>
          <w:color w:val="auto"/>
        </w:rPr>
      </w:pPr>
    </w:p>
    <w:p>
      <w:pPr>
        <w:ind w:left="580"/>
        <w:spacing w:after="0"/>
        <w:rPr>
          <w:sz w:val="20"/>
          <w:szCs w:val="20"/>
          <w:color w:val="auto"/>
        </w:rPr>
      </w:pPr>
      <w:r>
        <w:rPr>
          <w:rFonts w:ascii="Calibri" w:cs="Calibri" w:eastAsia="Calibri" w:hAnsi="Calibri"/>
          <w:sz w:val="20"/>
          <w:szCs w:val="20"/>
          <w:color w:val="auto"/>
        </w:rPr>
        <w:t>Richard C. Puccio, Jr</w:t>
      </w:r>
      <w:r>
        <w:rPr>
          <w:rFonts w:ascii="Calibri" w:cs="Calibri" w:eastAsia="Calibri" w:hAnsi="Calibri"/>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-140970</wp:posOffset>
            </wp:positionV>
            <wp:extent cx="324040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 3</w:t>
      </w:r>
    </w:p>
    <w:p>
      <w:pPr>
        <w:sectPr>
          <w:pgSz w:w="11900" w:h="16838" w:orient="portrait"/>
          <w:cols w:equalWidth="0" w:num="1">
            <w:col w:w="11220"/>
          </w:cols>
          <w:pgMar w:left="320" w:top="1440" w:right="35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and Chair of the Board of</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Directors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21, 2024</w:t>
      </w:r>
    </w:p>
    <w:p>
      <w:pPr>
        <w:sectPr>
          <w:pgSz w:w="11900" w:h="16838" w:orient="portrait"/>
          <w:cols w:equalWidth="0" w:num="1">
            <w:col w:w="11240"/>
          </w:cols>
          <w:pgMar w:left="320" w:top="914"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C. Puccio, Jr., certify that:</w:t>
      </w:r>
    </w:p>
    <w:p>
      <w:pPr>
        <w:spacing w:after="0" w:line="63" w:lineRule="exact"/>
        <w:rPr>
          <w:sz w:val="20"/>
          <w:szCs w:val="20"/>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22860</wp:posOffset>
            </wp:positionV>
            <wp:extent cx="3248660"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21, 2024</w:t>
      </w:r>
    </w:p>
    <w:p>
      <w:pPr>
        <w:sectPr>
          <w:pgSz w:w="11900" w:h="16838" w:orient="portrait"/>
          <w:cols w:equalWidth="0" w:num="1">
            <w:col w:w="11240"/>
          </w:cols>
          <w:pgMar w:left="320" w:top="914"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February 3, 2024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49" w:lineRule="exact"/>
        <w:rPr>
          <w:rFonts w:ascii="Times New Roman" w:cs="Times New Roman" w:eastAsia="Times New Roman" w:hAnsi="Times New Roman"/>
          <w:sz w:val="18"/>
          <w:szCs w:val="18"/>
          <w:color w:val="auto"/>
        </w:rPr>
      </w:pPr>
    </w:p>
    <w:p>
      <w:pPr>
        <w:ind w:left="6140" w:right="3860" w:hanging="4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Vincent Roche Vincent Roche</w:t>
      </w:r>
    </w:p>
    <w:p>
      <w:pPr>
        <w:spacing w:after="0" w:line="1" w:lineRule="exact"/>
        <w:rPr>
          <w:rFonts w:ascii="Times New Roman" w:cs="Times New Roman" w:eastAsia="Times New Roman" w:hAnsi="Times New Roman"/>
          <w:sz w:val="18"/>
          <w:szCs w:val="18"/>
          <w:color w:val="auto"/>
        </w:rPr>
      </w:pPr>
    </w:p>
    <w:p>
      <w:pPr>
        <w:ind w:left="6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-307975</wp:posOffset>
            </wp:positionV>
            <wp:extent cx="3060065"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February 21, 2024</w:t>
      </w:r>
    </w:p>
    <w:p>
      <w:pPr>
        <w:sectPr>
          <w:pgSz w:w="11900" w:h="16838" w:orient="portrait"/>
          <w:cols w:equalWidth="0" w:num="1">
            <w:col w:w="11240"/>
          </w:cols>
          <w:pgMar w:left="320" w:top="914"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February 3, 2024 as filed with the Securities and Exchange Commission on the date hereof (the “Report”), the undersigned, Richard C. Puccio, Jr.,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100" w:right="140" w:hanging="5768"/>
        <w:spacing w:after="0" w:line="296" w:lineRule="auto"/>
        <w:tabs>
          <w:tab w:leader="none" w:pos="66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the Report fairly presents, in all material respects, the financial condition and results of operations of the Company. </w:t>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7"/>
          <w:szCs w:val="17"/>
          <w:color w:val="auto"/>
        </w:rPr>
        <w:t>Richard C. Puccio, Jr.</w:t>
      </w:r>
    </w:p>
    <w:p>
      <w:pPr>
        <w:spacing w:after="0" w:line="1" w:lineRule="exact"/>
        <w:rPr>
          <w:rFonts w:ascii="Times New Roman" w:cs="Times New Roman" w:eastAsia="Times New Roman" w:hAnsi="Times New Roman"/>
          <w:sz w:val="18"/>
          <w:szCs w:val="18"/>
          <w:color w:val="auto"/>
        </w:rPr>
      </w:pPr>
    </w:p>
    <w:p>
      <w:pPr>
        <w:ind w:left="6100" w:right="348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Richard C. Puccio, Jr.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-345440</wp:posOffset>
            </wp:positionV>
            <wp:extent cx="3060065"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February 21, 2024</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
      <w:numFmt w:val="bullet"/>
      <w:start w:val="1"/>
    </w:lvl>
  </w:abstractNum>
  <w:abstractNum w:abstractNumId="1">
    <w:nsid w:val="14FCE74E"/>
    <w:multiLevelType w:val="hybridMultilevel"/>
    <w:lvl w:ilvl="0">
      <w:lvlJc w:val="left"/>
      <w:lvlText w:val="☐"/>
      <w:numFmt w:val="bullet"/>
      <w:start w:val="1"/>
    </w:lvl>
  </w:abstractNum>
  <w:abstractNum w:abstractNumId="2">
    <w:nsid w:val="6A3DD3E8"/>
    <w:multiLevelType w:val="hybridMultilevel"/>
    <w:lvl w:ilvl="0">
      <w:lvlJc w:val="left"/>
      <w:lvlText w:val="*"/>
      <w:numFmt w:val="bullet"/>
      <w:start w:val="1"/>
    </w:lvl>
  </w:abstractNum>
  <w:abstractNum w:abstractNumId="3">
    <w:nsid w:val="71C91298"/>
    <w:multiLevelType w:val="hybridMultilevel"/>
    <w:lvl w:ilvl="0">
      <w:lvlJc w:val="left"/>
      <w:lvlText w:val="(%1)"/>
      <w:numFmt w:val="decimal"/>
      <w:start w:val="1"/>
    </w:lvl>
  </w:abstractNum>
  <w:abstractNum w:abstractNumId="4">
    <w:nsid w:val="9DAF632"/>
    <w:multiLevelType w:val="hybridMultilevel"/>
    <w:lvl w:ilvl="0">
      <w:lvlJc w:val="left"/>
      <w:lvlText w:val="(%1)"/>
      <w:numFmt w:val="decimal"/>
      <w:start w:val="1"/>
    </w:lvl>
  </w:abstractNum>
  <w:abstractNum w:abstractNumId="5">
    <w:nsid w:val="53299938"/>
    <w:multiLevelType w:val="hybridMultilevel"/>
    <w:lvl w:ilvl="0">
      <w:lvlJc w:val="left"/>
      <w:lvlText w:val="*"/>
      <w:numFmt w:val="bullet"/>
      <w:start w:val="1"/>
    </w:lvl>
  </w:abstractNum>
  <w:abstractNum w:abstractNumId="6">
    <w:nsid w:val="1FBFE8E0"/>
    <w:multiLevelType w:val="hybridMultilevel"/>
    <w:lvl w:ilvl="0">
      <w:lvlJc w:val="left"/>
      <w:lvlText w:val="(%1)"/>
      <w:numFmt w:val="lowerLetter"/>
      <w:start w:val="1"/>
    </w:lvl>
  </w:abstractNum>
  <w:abstractNum w:abstractNumId="7">
    <w:nsid w:val="5092CA79"/>
    <w:multiLevelType w:val="hybridMultilevel"/>
    <w:lvl w:ilvl="0">
      <w:lvlJc w:val="left"/>
      <w:lvlText w:val="(%1)"/>
      <w:numFmt w:val="lowerLetter"/>
      <w:start w:val="1"/>
    </w:lvl>
  </w:abstractNum>
  <w:abstractNum w:abstractNumId="8">
    <w:nsid w:val="1D545C4D"/>
    <w:multiLevelType w:val="hybridMultilevel"/>
    <w:lvl w:ilvl="0">
      <w:lvlJc w:val="left"/>
      <w:lvlText w:val="%1"/>
      <w:numFmt w:val="decimal"/>
      <w:start w:val="104"/>
    </w:lvl>
  </w:abstractNum>
  <w:abstractNum w:abstractNumId="9">
    <w:nsid w:val="59ADEA3D"/>
    <w:multiLevelType w:val="hybridMultilevel"/>
    <w:lvl w:ilvl="0">
      <w:lvlJc w:val="left"/>
      <w:lvlText w:val="†"/>
      <w:numFmt w:val="bullet"/>
      <w:start w:val="1"/>
    </w:lvl>
  </w:abstractNum>
  <w:abstractNum w:abstractNumId="10">
    <w:nsid w:val="288F1A34"/>
    <w:multiLevelType w:val="hybridMultilevel"/>
    <w:lvl w:ilvl="0">
      <w:lvlJc w:val="left"/>
      <w:lvlText w:val="#"/>
      <w:numFmt w:val="bullet"/>
      <w:start w:val="1"/>
    </w:lvl>
  </w:abstractNum>
  <w:abstractNum w:abstractNumId="11">
    <w:nsid w:val="2A155DBC"/>
    <w:multiLevelType w:val="hybridMultilevel"/>
    <w:lvl w:ilvl="0">
      <w:lvlJc w:val="left"/>
      <w:lvlText w:val="*"/>
      <w:numFmt w:val="bullet"/>
      <w:start w:val="1"/>
    </w:lvl>
  </w:abstractNum>
  <w:abstractNum w:abstractNumId="12">
    <w:nsid w:val="1D9F6E5F"/>
    <w:multiLevelType w:val="hybridMultilevel"/>
    <w:lvl w:ilvl="0">
      <w:lvlJc w:val="left"/>
      <w:lvlText w:val="**"/>
      <w:numFmt w:val="bullet"/>
      <w:start w:val="1"/>
    </w:lvl>
  </w:abstractNum>
  <w:abstractNum w:abstractNumId="13">
    <w:nsid w:val="97E1B4E"/>
    <w:multiLevelType w:val="hybridMultilevel"/>
    <w:lvl w:ilvl="0">
      <w:lvlJc w:val="left"/>
      <w:lvlText w:val="(%1)"/>
      <w:numFmt w:val="lowerRoman"/>
      <w:start w:val="5"/>
    </w:lvl>
  </w:abstractNum>
  <w:abstractNum w:abstractNumId="14">
    <w:nsid w:val="51088277"/>
    <w:multiLevelType w:val="hybridMultilevel"/>
    <w:lvl w:ilvl="0">
      <w:lvlJc w:val="left"/>
      <w:lvlText w:val="%1."/>
      <w:numFmt w:val="decimal"/>
      <w:start w:val="1"/>
    </w:lvl>
  </w:abstractNum>
  <w:abstractNum w:abstractNumId="15">
    <w:nsid w:val="1CA0C5FA"/>
    <w:multiLevelType w:val="hybridMultilevel"/>
    <w:lvl w:ilvl="0">
      <w:lvlJc w:val="left"/>
      <w:lvlText w:val="%1."/>
      <w:numFmt w:val="decimal"/>
      <w:start w:val="2"/>
    </w:lvl>
  </w:abstractNum>
  <w:abstractNum w:abstractNumId="16">
    <w:nsid w:val="53584BCB"/>
    <w:multiLevelType w:val="hybridMultilevel"/>
    <w:lvl w:ilvl="0">
      <w:lvlJc w:val="left"/>
      <w:lvlText w:val="%1."/>
      <w:numFmt w:val="decimal"/>
      <w:start w:val="3"/>
    </w:lvl>
    <w:lvl w:ilvl="1">
      <w:lvlJc w:val="left"/>
      <w:lvlText w:val="(%2)"/>
      <w:numFmt w:val="lowerLetter"/>
      <w:start w:val="1"/>
    </w:lvl>
  </w:abstractNum>
  <w:abstractNum w:abstractNumId="17">
    <w:nsid w:val="415E286C"/>
    <w:multiLevelType w:val="hybridMultilevel"/>
    <w:lvl w:ilvl="0">
      <w:lvlJc w:val="left"/>
      <w:lvlText w:val="%1"/>
      <w:numFmt w:val="decimal"/>
      <w:start w:val="1"/>
    </w:lvl>
    <w:lvl w:ilvl="1">
      <w:lvlJc w:val="left"/>
      <w:lvlText w:val="(%2)"/>
      <w:numFmt w:val="lowerLetter"/>
      <w:start w:val="8"/>
    </w:lvl>
  </w:abstractNum>
  <w:abstractNum w:abstractNumId="18">
    <w:nsid w:val="7C58FD05"/>
    <w:multiLevelType w:val="hybridMultilevel"/>
    <w:lvl w:ilvl="0">
      <w:lvlJc w:val="left"/>
      <w:lvlText w:val="%1."/>
      <w:numFmt w:val="decimal"/>
      <w:start w:val="4"/>
    </w:lvl>
    <w:lvl w:ilvl="1">
      <w:lvlJc w:val="left"/>
      <w:lvlText w:val="(%2)"/>
      <w:numFmt w:val="lowerLetter"/>
      <w:start w:val="1"/>
    </w:lvl>
  </w:abstractNum>
  <w:abstractNum w:abstractNumId="19">
    <w:nsid w:val="23D86AA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0">
    <w:nsid w:val="45E6D486"/>
    <w:multiLevelType w:val="hybridMultilevel"/>
    <w:lvl w:ilvl="0">
      <w:lvlJc w:val="left"/>
      <w:lvlText w:val="%1."/>
      <w:numFmt w:val="decimal"/>
      <w:start w:val="10"/>
    </w:lvl>
  </w:abstractNum>
  <w:abstractNum w:abstractNumId="21">
    <w:nsid w:val="5C10FE21"/>
    <w:multiLevelType w:val="hybridMultilevel"/>
    <w:lvl w:ilvl="0">
      <w:lvlJc w:val="left"/>
      <w:lvlText w:val="%1."/>
      <w:numFmt w:val="decimal"/>
      <w:start w:val="22"/>
    </w:lvl>
  </w:abstractNum>
  <w:abstractNum w:abstractNumId="22">
    <w:nsid w:val="E7FFA2B"/>
    <w:multiLevelType w:val="hybridMultilevel"/>
    <w:lvl w:ilvl="0">
      <w:lvlJc w:val="left"/>
      <w:lvlText w:val="(%1)"/>
      <w:numFmt w:val="lowerLetter"/>
      <w:start w:val="1"/>
    </w:lvl>
  </w:abstractNum>
  <w:abstractNum w:abstractNumId="23">
    <w:nsid w:val="3C5991AA"/>
    <w:multiLevelType w:val="hybridMultilevel"/>
    <w:lvl w:ilvl="0">
      <w:lvlJc w:val="left"/>
      <w:lvlText w:val="(%1)"/>
      <w:numFmt w:val="lowerLetter"/>
      <w:start w:val="6"/>
    </w:lvl>
  </w:abstractNum>
  <w:abstractNum w:abstractNumId="24">
    <w:nsid w:val="4BD8591A"/>
    <w:multiLevelType w:val="hybridMultilevel"/>
    <w:lvl w:ilvl="0">
      <w:lvlJc w:val="left"/>
      <w:lvlText w:val="(%1)"/>
      <w:numFmt w:val="lowerRoman"/>
      <w:start w:val="1"/>
    </w:lvl>
  </w:abstractNum>
  <w:abstractNum w:abstractNumId="25">
    <w:nsid w:val="78DF6A55"/>
    <w:multiLevelType w:val="hybridMultilevel"/>
    <w:lvl w:ilvl="0">
      <w:lvlJc w:val="left"/>
      <w:lvlText w:val="%1."/>
      <w:numFmt w:val="decimal"/>
      <w:start w:val="31"/>
    </w:lvl>
  </w:abstractNum>
  <w:abstractNum w:abstractNumId="26">
    <w:nsid w:val="39B7AAA2"/>
    <w:multiLevelType w:val="hybridMultilevel"/>
    <w:lvl w:ilvl="0">
      <w:lvlJc w:val="left"/>
      <w:lvlText w:val="%1."/>
      <w:numFmt w:val="decimal"/>
      <w:start w:val="4"/>
    </w:lvl>
  </w:abstractNum>
  <w:abstractNum w:abstractNumId="27">
    <w:nsid w:val="2B0D8DBE"/>
    <w:multiLevelType w:val="hybridMultilevel"/>
    <w:lvl w:ilvl="0">
      <w:lvlJc w:val="left"/>
      <w:lvlText w:val="%1."/>
      <w:numFmt w:val="decimal"/>
      <w:start w:val="6"/>
    </w:lvl>
  </w:abstractNum>
  <w:abstractNum w:abstractNumId="28">
    <w:nsid w:val="6C80EC70"/>
    <w:multiLevelType w:val="hybridMultilevel"/>
    <w:lvl w:ilvl="0">
      <w:lvlJc w:val="left"/>
      <w:lvlText w:val="%1."/>
      <w:numFmt w:val="decimal"/>
      <w:start w:val="2"/>
    </w:lvl>
  </w:abstractNum>
  <w:abstractNum w:abstractNumId="29">
    <w:nsid w:val="379E21B5"/>
    <w:multiLevelType w:val="hybridMultilevel"/>
    <w:lvl w:ilvl="0">
      <w:lvlJc w:val="left"/>
      <w:lvlText w:val="%1."/>
      <w:numFmt w:val="decimal"/>
      <w:start w:val="3"/>
    </w:lvl>
  </w:abstractNum>
  <w:abstractNum w:abstractNumId="30">
    <w:nsid w:val="69E373"/>
    <w:multiLevelType w:val="hybridMultilevel"/>
    <w:lvl w:ilvl="0">
      <w:lvlJc w:val="left"/>
      <w:lvlText w:val="%1."/>
      <w:numFmt w:val="decimal"/>
      <w:start w:val="4"/>
    </w:lvl>
  </w:abstractNum>
  <w:abstractNum w:abstractNumId="31">
    <w:nsid w:val="2C27173B"/>
    <w:multiLevelType w:val="hybridMultilevel"/>
    <w:lvl w:ilvl="0">
      <w:lvlJc w:val="left"/>
      <w:lvlText w:val="%1."/>
      <w:numFmt w:val="decimal"/>
      <w:start w:val="5"/>
    </w:lvl>
  </w:abstractNum>
  <w:abstractNum w:abstractNumId="32">
    <w:nsid w:val="4C9B0904"/>
    <w:multiLevelType w:val="hybridMultilevel"/>
    <w:lvl w:ilvl="0">
      <w:lvlJc w:val="left"/>
      <w:lvlText w:val="%1."/>
      <w:numFmt w:val="decimal"/>
      <w:start w:val="6"/>
    </w:lvl>
  </w:abstractNum>
  <w:abstractNum w:abstractNumId="33">
    <w:nsid w:val="6AA7B75C"/>
    <w:multiLevelType w:val="hybridMultilevel"/>
    <w:lvl w:ilvl="0">
      <w:lvlJc w:val="left"/>
      <w:lvlText w:val="•"/>
      <w:numFmt w:val="bullet"/>
      <w:start w:val="1"/>
    </w:lvl>
  </w:abstractNum>
  <w:abstractNum w:abstractNumId="34">
    <w:nsid w:val="1DF029D3"/>
    <w:multiLevelType w:val="hybridMultilevel"/>
    <w:lvl w:ilvl="0">
      <w:lvlJc w:val="left"/>
      <w:lvlText w:val="%1."/>
      <w:numFmt w:val="upperLetter"/>
      <w:start w:val="1"/>
    </w:lvl>
  </w:abstractNum>
  <w:abstractNum w:abstractNumId="35">
    <w:nsid w:val="5675FF36"/>
    <w:multiLevelType w:val="hybridMultilevel"/>
    <w:lvl w:ilvl="0">
      <w:lvlJc w:val="left"/>
      <w:lvlText w:val="%1."/>
      <w:numFmt w:val="decimal"/>
      <w:start w:val="1"/>
    </w:lvl>
  </w:abstractNum>
  <w:abstractNum w:abstractNumId="36">
    <w:nsid w:val="3DD150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
    <w:nsid w:val="3DB012B3"/>
    <w:multiLevelType w:val="hybridMultilevel"/>
    <w:lvl w:ilvl="0">
      <w:lvlJc w:val="left"/>
      <w:lvlText w:val="%1."/>
      <w:numFmt w:val="decimal"/>
      <w:start w:val="2"/>
    </w:lvl>
  </w:abstractNum>
  <w:abstractNum w:abstractNumId="38">
    <w:nsid w:val="2708C9AF"/>
    <w:multiLevelType w:val="hybridMultilevel"/>
    <w:lvl w:ilvl="0">
      <w:lvlJc w:val="left"/>
      <w:lvlText w:val="%1."/>
      <w:numFmt w:val="decimal"/>
      <w:start w:val="3"/>
    </w:lvl>
  </w:abstractNum>
  <w:abstractNum w:abstractNumId="39">
    <w:nsid w:val="5B25ACE2"/>
    <w:multiLevelType w:val="hybridMultilevel"/>
    <w:lvl w:ilvl="0">
      <w:lvlJc w:val="left"/>
      <w:lvlText w:val="(%1)"/>
      <w:numFmt w:val="lowerRoman"/>
      <w:start w:val="1"/>
    </w:lvl>
  </w:abstractNum>
  <w:abstractNum w:abstractNumId="40">
    <w:nsid w:val="175DFCF0"/>
    <w:multiLevelType w:val="hybridMultilevel"/>
    <w:lvl w:ilvl="0">
      <w:lvlJc w:val="left"/>
      <w:lvlText w:val="%1."/>
      <w:numFmt w:val="decimal"/>
      <w:start w:val="4"/>
    </w:lvl>
  </w:abstractNum>
  <w:abstractNum w:abstractNumId="41">
    <w:nsid w:val="4F97E3E4"/>
    <w:multiLevelType w:val="hybridMultilevel"/>
    <w:lvl w:ilvl="0">
      <w:lvlJc w:val="left"/>
      <w:lvlText w:val="(%1)"/>
      <w:numFmt w:val="lowerRoman"/>
      <w:start w:val="1"/>
    </w:lvl>
  </w:abstractNum>
  <w:abstractNum w:abstractNumId="42">
    <w:nsid w:val="53B0A9E"/>
    <w:multiLevelType w:val="hybridMultilevel"/>
    <w:lvl w:ilvl="0">
      <w:lvlJc w:val="left"/>
      <w:lvlText w:val="%1."/>
      <w:numFmt w:val="decimal"/>
      <w:start w:val="1"/>
    </w:lvl>
    <w:lvl w:ilvl="1">
      <w:lvlJc w:val="left"/>
      <w:lvlText w:val="(%2)"/>
      <w:numFmt w:val="lowerLetter"/>
      <w:start w:val="1"/>
    </w:lvl>
  </w:abstractNum>
  <w:abstractNum w:abstractNumId="43">
    <w:nsid w:val="34FD6B4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4">
    <w:nsid w:val="5915FF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
    <w:nsid w:val="56438D15"/>
    <w:multiLevelType w:val="hybridMultilevel"/>
    <w:lvl w:ilvl="0">
      <w:lvlJc w:val="left"/>
      <w:lvlText w:val="%1."/>
      <w:numFmt w:val="decimal"/>
      <w:start w:val="7"/>
    </w:lvl>
    <w:lvl w:ilvl="1">
      <w:lvlJc w:val="left"/>
      <w:lvlText w:val="(%2)"/>
      <w:numFmt w:val="lowerLetter"/>
      <w:start w:val="1"/>
    </w:lvl>
  </w:abstractNum>
  <w:abstractNum w:abstractNumId="46">
    <w:nsid w:val="519E3149"/>
    <w:multiLevelType w:val="hybridMultilevel"/>
    <w:lvl w:ilvl="0">
      <w:lvlJc w:val="left"/>
      <w:lvlText w:val="(%1)"/>
      <w:numFmt w:val="lowerLetter"/>
      <w:start w:val="5"/>
    </w:lvl>
  </w:abstractNum>
  <w:abstractNum w:abstractNumId="47">
    <w:nsid w:val="2C6E4AFD"/>
    <w:multiLevelType w:val="hybridMultilevel"/>
    <w:lvl w:ilvl="0">
      <w:lvlJc w:val="left"/>
      <w:lvlText w:val="(%1)"/>
      <w:numFmt w:val="lowerLetter"/>
      <w:start w:val="17"/>
    </w:lvl>
  </w:abstractNum>
  <w:abstractNum w:abstractNumId="48">
    <w:nsid w:val="17A1B582"/>
    <w:multiLevelType w:val="hybridMultilevel"/>
    <w:lvl w:ilvl="0">
      <w:lvlJc w:val="left"/>
      <w:lvlText w:val="(%1)"/>
      <w:numFmt w:val="lowerLetter"/>
      <w:start w:val="27"/>
    </w:lvl>
  </w:abstractNum>
  <w:abstractNum w:abstractNumId="49">
    <w:nsid w:val="4DF72E4E"/>
    <w:multiLevelType w:val="hybridMultilevel"/>
    <w:lvl w:ilvl="0">
      <w:lvlJc w:val="left"/>
      <w:lvlText w:val="(%1)"/>
      <w:numFmt w:val="lowerLetter"/>
      <w:start w:val="1"/>
    </w:lvl>
  </w:abstractNum>
  <w:abstractNum w:abstractNumId="50">
    <w:nsid w:val="5046B5A9"/>
    <w:multiLevelType w:val="hybridMultilevel"/>
    <w:lvl w:ilvl="0">
      <w:lvlJc w:val="left"/>
      <w:lvlText w:val="%1."/>
      <w:numFmt w:val="decimal"/>
      <w:start w:val="1"/>
    </w:lvl>
  </w:abstractNum>
  <w:abstractNum w:abstractNumId="51">
    <w:nsid w:val="5D888A08"/>
    <w:multiLevelType w:val="hybridMultilevel"/>
    <w:lvl w:ilvl="0">
      <w:lvlJc w:val="left"/>
      <w:lvlText w:val="%1."/>
      <w:numFmt w:val="decimal"/>
      <w:start w:val="4"/>
    </w:lvl>
  </w:abstractNum>
  <w:abstractNum w:abstractNumId="52">
    <w:nsid w:val="2A082C70"/>
    <w:multiLevelType w:val="hybridMultilevel"/>
    <w:lvl w:ilvl="0">
      <w:lvlJc w:val="left"/>
      <w:lvlText w:val="%1."/>
      <w:numFmt w:val="decimal"/>
      <w:start w:val="6"/>
    </w:lvl>
  </w:abstractNum>
  <w:abstractNum w:abstractNumId="53">
    <w:nsid w:val="5EC6AFD4"/>
    <w:multiLevelType w:val="hybridMultilevel"/>
    <w:lvl w:ilvl="0">
      <w:lvlJc w:val="left"/>
      <w:lvlText w:val="%1."/>
      <w:numFmt w:val="decimal"/>
      <w:start w:val="7"/>
    </w:lvl>
  </w:abstractNum>
  <w:abstractNum w:abstractNumId="54">
    <w:nsid w:val="19E21BB2"/>
    <w:multiLevelType w:val="hybridMultilevel"/>
    <w:lvl w:ilvl="0">
      <w:lvlJc w:val="left"/>
      <w:lvlText w:val="%1."/>
      <w:numFmt w:val="decimal"/>
      <w:start w:val="3"/>
    </w:lvl>
  </w:abstractNum>
  <w:abstractNum w:abstractNumId="55">
    <w:nsid w:val="75E0858A"/>
    <w:multiLevelType w:val="hybridMultilevel"/>
    <w:lvl w:ilvl="0">
      <w:lvlJc w:val="left"/>
      <w:lvlText w:val="%1."/>
      <w:numFmt w:val="decimal"/>
      <w:start w:val="4"/>
    </w:lvl>
  </w:abstractNum>
  <w:abstractNum w:abstractNumId="56">
    <w:nsid w:val="57A61A29"/>
    <w:multiLevelType w:val="hybridMultilevel"/>
    <w:lvl w:ilvl="0">
      <w:lvlJc w:val="left"/>
      <w:lvlText w:val="%1."/>
      <w:numFmt w:val="decimal"/>
      <w:start w:val="5"/>
    </w:lvl>
  </w:abstractNum>
  <w:abstractNum w:abstractNumId="57">
    <w:nsid w:val="5399C654"/>
    <w:multiLevelType w:val="hybridMultilevel"/>
    <w:lvl w:ilvl="0">
      <w:lvlJc w:val="left"/>
      <w:lvlText w:val="%1."/>
      <w:numFmt w:val="decimal"/>
      <w:start w:val="6"/>
    </w:lvl>
  </w:abstractNum>
  <w:abstractNum w:abstractNumId="58">
    <w:nsid w:val="20EE1348"/>
    <w:multiLevelType w:val="hybridMultilevel"/>
    <w:lvl w:ilvl="0">
      <w:lvlJc w:val="left"/>
      <w:lvlText w:val="%1."/>
      <w:numFmt w:val="decimal"/>
      <w:start w:val="7"/>
    </w:lvl>
  </w:abstractNum>
  <w:abstractNum w:abstractNumId="59">
    <w:nsid w:val="4427069A"/>
    <w:multiLevelType w:val="hybridMultilevel"/>
    <w:lvl w:ilvl="0">
      <w:lvlJc w:val="left"/>
      <w:lvlText w:val="•"/>
      <w:numFmt w:val="bullet"/>
      <w:start w:val="1"/>
    </w:lvl>
  </w:abstractNum>
  <w:abstractNum w:abstractNumId="60">
    <w:nsid w:val="B37E80A"/>
    <w:multiLevelType w:val="hybridMultilevel"/>
    <w:lvl w:ilvl="0">
      <w:lvlJc w:val="left"/>
      <w:lvlText w:val="%1."/>
      <w:numFmt w:val="upperLetter"/>
      <w:start w:val="1"/>
    </w:lvl>
  </w:abstractNum>
  <w:abstractNum w:abstractNumId="61">
    <w:nsid w:val="2157F6BC"/>
    <w:multiLevelType w:val="hybridMultilevel"/>
    <w:lvl w:ilvl="0">
      <w:lvlJc w:val="left"/>
      <w:lvlText w:val="%1."/>
      <w:numFmt w:val="decimal"/>
      <w:start w:val="1"/>
    </w:lvl>
  </w:abstractNum>
  <w:abstractNum w:abstractNumId="62">
    <w:nsid w:val="704E1DD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57D2F10E"/>
    <w:multiLevelType w:val="hybridMultilevel"/>
    <w:lvl w:ilvl="0">
      <w:lvlJc w:val="left"/>
      <w:lvlText w:val="%1."/>
      <w:numFmt w:val="decimal"/>
      <w:start w:val="2"/>
    </w:lvl>
  </w:abstractNum>
  <w:abstractNum w:abstractNumId="64">
    <w:nsid w:val="BFFAE18"/>
    <w:multiLevelType w:val="hybridMultilevel"/>
    <w:lvl w:ilvl="0">
      <w:lvlJc w:val="left"/>
      <w:lvlText w:val="%1."/>
      <w:numFmt w:val="decimal"/>
      <w:start w:val="3"/>
    </w:lvl>
  </w:abstractNum>
  <w:abstractNum w:abstractNumId="65">
    <w:nsid w:val="E3E47A8"/>
    <w:multiLevelType w:val="hybridMultilevel"/>
    <w:lvl w:ilvl="0">
      <w:lvlJc w:val="left"/>
      <w:lvlText w:val="(%1)"/>
      <w:numFmt w:val="lowerRoman"/>
      <w:start w:val="1"/>
    </w:lvl>
  </w:abstractNum>
  <w:abstractNum w:abstractNumId="66">
    <w:nsid w:val="2E48F044"/>
    <w:multiLevelType w:val="hybridMultilevel"/>
    <w:lvl w:ilvl="0">
      <w:lvlJc w:val="left"/>
      <w:lvlText w:val="%1."/>
      <w:numFmt w:val="decimal"/>
      <w:start w:val="4"/>
    </w:lvl>
  </w:abstractNum>
  <w:abstractNum w:abstractNumId="67">
    <w:nsid w:val="49D0FEAC"/>
    <w:multiLevelType w:val="hybridMultilevel"/>
    <w:lvl w:ilvl="0">
      <w:lvlJc w:val="left"/>
      <w:lvlText w:val="(%1)"/>
      <w:numFmt w:val="lowerRoman"/>
      <w:start w:val="1"/>
    </w:lvl>
  </w:abstractNum>
  <w:abstractNum w:abstractNumId="68">
    <w:nsid w:val="4BEE5A5B"/>
    <w:multiLevelType w:val="hybridMultilevel"/>
    <w:lvl w:ilvl="0">
      <w:lvlJc w:val="left"/>
      <w:lvlText w:val="%1."/>
      <w:numFmt w:val="decimal"/>
      <w:start w:val="1"/>
    </w:lvl>
  </w:abstractNum>
  <w:abstractNum w:abstractNumId="69">
    <w:nsid w:val="5551B9F3"/>
    <w:multiLevelType w:val="hybridMultilevel"/>
    <w:lvl w:ilvl="0">
      <w:lvlJc w:val="left"/>
      <w:lvlText w:val="%1."/>
      <w:numFmt w:val="decimal"/>
      <w:start w:val="2"/>
    </w:lvl>
  </w:abstractNum>
  <w:abstractNum w:abstractNumId="70">
    <w:nsid w:val="24F6AB8E"/>
    <w:multiLevelType w:val="hybridMultilevel"/>
    <w:lvl w:ilvl="0">
      <w:lvlJc w:val="left"/>
      <w:lvlText w:val="%1."/>
      <w:numFmt w:val="decimal"/>
      <w:start w:val="3"/>
    </w:lvl>
    <w:lvl w:ilvl="1">
      <w:lvlJc w:val="left"/>
      <w:lvlText w:val="(%2)"/>
      <w:numFmt w:val="lowerLetter"/>
      <w:start w:val="1"/>
    </w:lvl>
  </w:abstractNum>
  <w:abstractNum w:abstractNumId="71">
    <w:nsid w:val="634C574C"/>
    <w:multiLevelType w:val="hybridMultilevel"/>
    <w:lvl w:ilvl="0">
      <w:lvlJc w:val="left"/>
      <w:lvlText w:val="%1"/>
      <w:numFmt w:val="decimal"/>
      <w:start w:val="1"/>
    </w:lvl>
    <w:lvl w:ilvl="1">
      <w:lvlJc w:val="left"/>
      <w:lvlText w:val="(%2)"/>
      <w:numFmt w:val="lowerLetter"/>
      <w:start w:val="8"/>
    </w:lvl>
  </w:abstractNum>
  <w:abstractNum w:abstractNumId="72">
    <w:nsid w:val="24E99DD7"/>
    <w:multiLevelType w:val="hybridMultilevel"/>
    <w:lvl w:ilvl="0">
      <w:lvlJc w:val="left"/>
      <w:lvlText w:val="%1."/>
      <w:numFmt w:val="decimal"/>
      <w:start w:val="4"/>
    </w:lvl>
    <w:lvl w:ilvl="1">
      <w:lvlJc w:val="left"/>
      <w:lvlText w:val="(%2)"/>
      <w:numFmt w:val="lowerLetter"/>
      <w:start w:val="1"/>
    </w:lvl>
  </w:abstractNum>
  <w:abstractNum w:abstractNumId="73">
    <w:nsid w:val="2A31B62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4">
    <w:nsid w:val="1849C29B"/>
    <w:multiLevelType w:val="hybridMultilevel"/>
    <w:lvl w:ilvl="0">
      <w:lvlJc w:val="left"/>
      <w:lvlText w:val="%1."/>
      <w:numFmt w:val="decimal"/>
      <w:start w:val="10"/>
    </w:lvl>
  </w:abstractNum>
  <w:abstractNum w:abstractNumId="75">
    <w:nsid w:val="7DFF9D09"/>
    <w:multiLevelType w:val="hybridMultilevel"/>
    <w:lvl w:ilvl="0">
      <w:lvlJc w:val="left"/>
      <w:lvlText w:val="%1."/>
      <w:numFmt w:val="decimal"/>
      <w:start w:val="22"/>
    </w:lvl>
  </w:abstractNum>
  <w:abstractNum w:abstractNumId="76">
    <w:nsid w:val="754342"/>
    <w:multiLevelType w:val="hybridMultilevel"/>
    <w:lvl w:ilvl="0">
      <w:lvlJc w:val="left"/>
      <w:lvlText w:val="(%1)"/>
      <w:numFmt w:val="lowerLetter"/>
      <w:start w:val="1"/>
    </w:lvl>
  </w:abstractNum>
  <w:abstractNum w:abstractNumId="77">
    <w:nsid w:val="69E7F3E5"/>
    <w:multiLevelType w:val="hybridMultilevel"/>
    <w:lvl w:ilvl="0">
      <w:lvlJc w:val="left"/>
      <w:lvlText w:val="(%1)"/>
      <w:numFmt w:val="lowerLetter"/>
      <w:start w:val="6"/>
    </w:lvl>
  </w:abstractNum>
  <w:abstractNum w:abstractNumId="78">
    <w:nsid w:val="2A6DE806"/>
    <w:multiLevelType w:val="hybridMultilevel"/>
    <w:lvl w:ilvl="0">
      <w:lvlJc w:val="left"/>
      <w:lvlText w:val="(%1)"/>
      <w:numFmt w:val="lowerRoman"/>
      <w:start w:val="1"/>
    </w:lvl>
  </w:abstractNum>
  <w:abstractNum w:abstractNumId="79">
    <w:nsid w:val="1816F8C4"/>
    <w:multiLevelType w:val="hybridMultilevel"/>
    <w:lvl w:ilvl="0">
      <w:lvlJc w:val="left"/>
      <w:lvlText w:val="%1."/>
      <w:numFmt w:val="decimal"/>
      <w:start w:val="31"/>
    </w:lvl>
  </w:abstractNum>
  <w:abstractNum w:abstractNumId="80">
    <w:nsid w:val="37DF2233"/>
    <w:multiLevelType w:val="hybridMultilevel"/>
    <w:lvl w:ilvl="0">
      <w:lvlJc w:val="left"/>
      <w:lvlText w:val="%1."/>
      <w:numFmt w:val="decimal"/>
      <w:start w:val="4"/>
    </w:lvl>
  </w:abstractNum>
  <w:abstractNum w:abstractNumId="81">
    <w:nsid w:val="7AB49DAF"/>
    <w:multiLevelType w:val="hybridMultilevel"/>
    <w:lvl w:ilvl="0">
      <w:lvlJc w:val="left"/>
      <w:lvlText w:val="%1."/>
      <w:numFmt w:val="decimal"/>
      <w:start w:val="6"/>
    </w:lvl>
  </w:abstractNum>
  <w:abstractNum w:abstractNumId="82">
    <w:nsid w:val="759F82CD"/>
    <w:multiLevelType w:val="hybridMultilevel"/>
    <w:lvl w:ilvl="0">
      <w:lvlJc w:val="left"/>
      <w:lvlText w:val="%1."/>
      <w:numFmt w:val="decimal"/>
      <w:start w:val="2"/>
    </w:lvl>
  </w:abstractNum>
  <w:abstractNum w:abstractNumId="83">
    <w:nsid w:val="61E74EA3"/>
    <w:multiLevelType w:val="hybridMultilevel"/>
    <w:lvl w:ilvl="0">
      <w:lvlJc w:val="left"/>
      <w:lvlText w:val="%1."/>
      <w:numFmt w:val="decimal"/>
      <w:start w:val="3"/>
    </w:lvl>
  </w:abstractNum>
  <w:abstractNum w:abstractNumId="84">
    <w:nsid w:val="597B4D84"/>
    <w:multiLevelType w:val="hybridMultilevel"/>
    <w:lvl w:ilvl="0">
      <w:lvlJc w:val="left"/>
      <w:lvlText w:val="%1."/>
      <w:numFmt w:val="decimal"/>
      <w:start w:val="4"/>
    </w:lvl>
  </w:abstractNum>
  <w:abstractNum w:abstractNumId="85">
    <w:nsid w:val="F819E7F"/>
    <w:multiLevelType w:val="hybridMultilevel"/>
    <w:lvl w:ilvl="0">
      <w:lvlJc w:val="left"/>
      <w:lvlText w:val="%1."/>
      <w:numFmt w:val="decimal"/>
      <w:start w:val="5"/>
    </w:lvl>
  </w:abstractNum>
  <w:abstractNum w:abstractNumId="86">
    <w:nsid w:val="57C7D42D"/>
    <w:multiLevelType w:val="hybridMultilevel"/>
    <w:lvl w:ilvl="0">
      <w:lvlJc w:val="left"/>
      <w:lvlText w:val="%1."/>
      <w:numFmt w:val="decimal"/>
      <w:start w:val="6"/>
    </w:lvl>
  </w:abstractNum>
  <w:abstractNum w:abstractNumId="87">
    <w:nsid w:val="312167AD"/>
    <w:multiLevelType w:val="hybridMultilevel"/>
    <w:lvl w:ilvl="0">
      <w:lvlJc w:val="left"/>
      <w:lvlText w:val="•"/>
      <w:numFmt w:val="bullet"/>
      <w:start w:val="1"/>
    </w:lvl>
  </w:abstractNum>
  <w:abstractNum w:abstractNumId="88">
    <w:nsid w:val="631B64D4"/>
    <w:multiLevelType w:val="hybridMultilevel"/>
    <w:lvl w:ilvl="0">
      <w:lvlJc w:val="left"/>
      <w:lvlText w:val="%1."/>
      <w:numFmt w:val="upperLetter"/>
      <w:start w:val="1"/>
    </w:lvl>
  </w:abstractNum>
  <w:abstractNum w:abstractNumId="89">
    <w:nsid w:val="78B5E776"/>
    <w:multiLevelType w:val="hybridMultilevel"/>
    <w:lvl w:ilvl="0">
      <w:lvlJc w:val="left"/>
      <w:lvlText w:val="%1."/>
      <w:numFmt w:val="decimal"/>
      <w:start w:val="1"/>
    </w:lvl>
  </w:abstractNum>
  <w:abstractNum w:abstractNumId="90">
    <w:nsid w:val="75486E4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1">
    <w:nsid w:val="6E534CDE"/>
    <w:multiLevelType w:val="hybridMultilevel"/>
    <w:lvl w:ilvl="0">
      <w:lvlJc w:val="left"/>
      <w:lvlText w:val="%1."/>
      <w:numFmt w:val="decimal"/>
      <w:start w:val="2"/>
    </w:lvl>
  </w:abstractNum>
  <w:abstractNum w:abstractNumId="92">
    <w:nsid w:val="1A0DDE32"/>
    <w:multiLevelType w:val="hybridMultilevel"/>
    <w:lvl w:ilvl="0">
      <w:lvlJc w:val="left"/>
      <w:lvlText w:val="%1."/>
      <w:numFmt w:val="decimal"/>
      <w:start w:val="3"/>
    </w:lvl>
  </w:abstractNum>
  <w:abstractNum w:abstractNumId="93">
    <w:nsid w:val="65968C1C"/>
    <w:multiLevelType w:val="hybridMultilevel"/>
    <w:lvl w:ilvl="0">
      <w:lvlJc w:val="left"/>
      <w:lvlText w:val="(%1)"/>
      <w:numFmt w:val="lowerRoman"/>
      <w:start w:val="1"/>
    </w:lvl>
  </w:abstractNum>
  <w:abstractNum w:abstractNumId="94">
    <w:nsid w:val="46263DEC"/>
    <w:multiLevelType w:val="hybridMultilevel"/>
    <w:lvl w:ilvl="0">
      <w:lvlJc w:val="left"/>
      <w:lvlText w:val="%1."/>
      <w:numFmt w:val="decimal"/>
      <w:start w:val="4"/>
    </w:lvl>
  </w:abstractNum>
  <w:abstractNum w:abstractNumId="95">
    <w:nsid w:val="260D8C4A"/>
    <w:multiLevelType w:val="hybridMultilevel"/>
    <w:lvl w:ilvl="0">
      <w:lvlJc w:val="left"/>
      <w:lvlText w:val="(%1)"/>
      <w:numFmt w:val="lowerRoman"/>
      <w:start w:val="1"/>
    </w:lvl>
  </w:abstractNum>
  <w:abstractNum w:abstractNumId="96">
    <w:nsid w:val="73D4D3C4"/>
    <w:multiLevelType w:val="hybridMultilevel"/>
    <w:lvl w:ilvl="0">
      <w:lvlJc w:val="left"/>
      <w:lvlText w:val="%1."/>
      <w:numFmt w:val="decimal"/>
      <w:start w:val="1"/>
    </w:lvl>
    <w:lvl w:ilvl="1">
      <w:lvlJc w:val="left"/>
      <w:lvlText w:val="(%2)"/>
      <w:numFmt w:val="lowerLetter"/>
      <w:start w:val="1"/>
    </w:lvl>
  </w:abstractNum>
  <w:abstractNum w:abstractNumId="97">
    <w:nsid w:val="746F2E3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98">
    <w:nsid w:val="6FDE8AF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9">
    <w:nsid w:val="3FC32E20"/>
    <w:multiLevelType w:val="hybridMultilevel"/>
    <w:lvl w:ilvl="0">
      <w:lvlJc w:val="left"/>
      <w:lvlText w:val="%1."/>
      <w:numFmt w:val="decimal"/>
      <w:start w:val="7"/>
    </w:lvl>
    <w:lvl w:ilvl="1">
      <w:lvlJc w:val="left"/>
      <w:lvlText w:val="(%2)"/>
      <w:numFmt w:val="lowerLetter"/>
      <w:start w:val="1"/>
    </w:lvl>
  </w:abstractNum>
  <w:abstractNum w:abstractNumId="100">
    <w:nsid w:val="49C0E823"/>
    <w:multiLevelType w:val="hybridMultilevel"/>
    <w:lvl w:ilvl="0">
      <w:lvlJc w:val="left"/>
      <w:lvlText w:val="(%1)"/>
      <w:numFmt w:val="lowerLetter"/>
      <w:start w:val="5"/>
    </w:lvl>
  </w:abstractNum>
  <w:abstractNum w:abstractNumId="101">
    <w:nsid w:val="14D53685"/>
    <w:multiLevelType w:val="hybridMultilevel"/>
    <w:lvl w:ilvl="0">
      <w:lvlJc w:val="left"/>
      <w:lvlText w:val="(%1)"/>
      <w:numFmt w:val="lowerLetter"/>
      <w:start w:val="17"/>
    </w:lvl>
  </w:abstractNum>
  <w:abstractNum w:abstractNumId="102">
    <w:nsid w:val="230F856C"/>
    <w:multiLevelType w:val="hybridMultilevel"/>
    <w:lvl w:ilvl="0">
      <w:lvlJc w:val="left"/>
      <w:lvlText w:val="(%1)"/>
      <w:numFmt w:val="lowerLetter"/>
      <w:start w:val="27"/>
    </w:lvl>
  </w:abstractNum>
  <w:abstractNum w:abstractNumId="103">
    <w:nsid w:val="6EAA85FB"/>
    <w:multiLevelType w:val="hybridMultilevel"/>
    <w:lvl w:ilvl="0">
      <w:lvlJc w:val="left"/>
      <w:lvlText w:val="(%1)"/>
      <w:numFmt w:val="lowerLetter"/>
      <w:start w:val="1"/>
    </w:lvl>
  </w:abstractNum>
  <w:abstractNum w:abstractNumId="104">
    <w:nsid w:val="3F06ECB2"/>
    <w:multiLevelType w:val="hybridMultilevel"/>
    <w:lvl w:ilvl="0">
      <w:lvlJc w:val="left"/>
      <w:lvlText w:val="%1."/>
      <w:numFmt w:val="decimal"/>
      <w:start w:val="1"/>
    </w:lvl>
  </w:abstractNum>
  <w:abstractNum w:abstractNumId="105">
    <w:nsid w:val="3B594807"/>
    <w:multiLevelType w:val="hybridMultilevel"/>
    <w:lvl w:ilvl="0">
      <w:lvlJc w:val="left"/>
      <w:lvlText w:val="%1."/>
      <w:numFmt w:val="decimal"/>
      <w:start w:val="4"/>
    </w:lvl>
  </w:abstractNum>
  <w:abstractNum w:abstractNumId="106">
    <w:nsid w:val="6CAA2304"/>
    <w:multiLevelType w:val="hybridMultilevel"/>
    <w:lvl w:ilvl="0">
      <w:lvlJc w:val="left"/>
      <w:lvlText w:val="%1."/>
      <w:numFmt w:val="decimal"/>
      <w:start w:val="6"/>
    </w:lvl>
  </w:abstractNum>
  <w:abstractNum w:abstractNumId="107">
    <w:nsid w:val="3F7C2FF4"/>
    <w:multiLevelType w:val="hybridMultilevel"/>
    <w:lvl w:ilvl="0">
      <w:lvlJc w:val="left"/>
      <w:lvlText w:val="%1."/>
      <w:numFmt w:val="decimal"/>
      <w:start w:val="7"/>
    </w:lvl>
  </w:abstractNum>
  <w:abstractNum w:abstractNumId="108">
    <w:nsid w:val="25413BEC"/>
    <w:multiLevelType w:val="hybridMultilevel"/>
    <w:lvl w:ilvl="0">
      <w:lvlJc w:val="left"/>
      <w:lvlText w:val="%1."/>
      <w:numFmt w:val="decimal"/>
      <w:start w:val="3"/>
    </w:lvl>
  </w:abstractNum>
  <w:abstractNum w:abstractNumId="109">
    <w:nsid w:val="17180B0B"/>
    <w:multiLevelType w:val="hybridMultilevel"/>
    <w:lvl w:ilvl="0">
      <w:lvlJc w:val="left"/>
      <w:lvlText w:val="%1."/>
      <w:numFmt w:val="decimal"/>
      <w:start w:val="4"/>
    </w:lvl>
  </w:abstractNum>
  <w:abstractNum w:abstractNumId="110">
    <w:nsid w:val="579328B9"/>
    <w:multiLevelType w:val="hybridMultilevel"/>
    <w:lvl w:ilvl="0">
      <w:lvlJc w:val="left"/>
      <w:lvlText w:val="%1."/>
      <w:numFmt w:val="decimal"/>
      <w:start w:val="5"/>
    </w:lvl>
  </w:abstractNum>
  <w:abstractNum w:abstractNumId="111">
    <w:nsid w:val="5D205E20"/>
    <w:multiLevelType w:val="hybridMultilevel"/>
    <w:lvl w:ilvl="0">
      <w:lvlJc w:val="left"/>
      <w:lvlText w:val="%1."/>
      <w:numFmt w:val="decimal"/>
      <w:start w:val="6"/>
    </w:lvl>
  </w:abstractNum>
  <w:abstractNum w:abstractNumId="112">
    <w:nsid w:val="11CCA8BA"/>
    <w:multiLevelType w:val="hybridMultilevel"/>
    <w:lvl w:ilvl="0">
      <w:lvlJc w:val="left"/>
      <w:lvlText w:val="%1."/>
      <w:numFmt w:val="decimal"/>
      <w:start w:val="7"/>
    </w:lvl>
  </w:abstractNum>
  <w:abstractNum w:abstractNumId="113">
    <w:nsid w:val="4D32AB86"/>
    <w:multiLevelType w:val="hybridMultilevel"/>
    <w:lvl w:ilvl="0">
      <w:lvlJc w:val="left"/>
      <w:lvlText w:val="•"/>
      <w:numFmt w:val="bullet"/>
      <w:start w:val="1"/>
    </w:lvl>
  </w:abstractNum>
  <w:abstractNum w:abstractNumId="114">
    <w:nsid w:val="3F07ACC3"/>
    <w:multiLevelType w:val="hybridMultilevel"/>
    <w:lvl w:ilvl="0">
      <w:lvlJc w:val="left"/>
      <w:lvlText w:val="%1."/>
      <w:numFmt w:val="upperLetter"/>
      <w:start w:val="1"/>
    </w:lvl>
  </w:abstractNum>
  <w:abstractNum w:abstractNumId="115">
    <w:nsid w:val="6B47F63E"/>
    <w:multiLevelType w:val="hybridMultilevel"/>
    <w:lvl w:ilvl="0">
      <w:lvlJc w:val="left"/>
      <w:lvlText w:val="%1."/>
      <w:numFmt w:val="decimal"/>
      <w:start w:val="1"/>
    </w:lvl>
  </w:abstractNum>
  <w:abstractNum w:abstractNumId="116">
    <w:nsid w:val="5CB44A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7">
    <w:nsid w:val="16CF80F1"/>
    <w:multiLevelType w:val="hybridMultilevel"/>
    <w:lvl w:ilvl="0">
      <w:lvlJc w:val="left"/>
      <w:lvlText w:val="%1."/>
      <w:numFmt w:val="decimal"/>
      <w:start w:val="2"/>
    </w:lvl>
  </w:abstractNum>
  <w:abstractNum w:abstractNumId="118">
    <w:nsid w:val="1C695DEC"/>
    <w:multiLevelType w:val="hybridMultilevel"/>
    <w:lvl w:ilvl="0">
      <w:lvlJc w:val="left"/>
      <w:lvlText w:val="%1."/>
      <w:numFmt w:val="decimal"/>
      <w:start w:val="3"/>
    </w:lvl>
  </w:abstractNum>
  <w:abstractNum w:abstractNumId="119">
    <w:nsid w:val="3FCFAED9"/>
    <w:multiLevelType w:val="hybridMultilevel"/>
    <w:lvl w:ilvl="0">
      <w:lvlJc w:val="left"/>
      <w:lvlText w:val="(%1)"/>
      <w:numFmt w:val="lowerRoman"/>
      <w:start w:val="1"/>
    </w:lvl>
  </w:abstractNum>
  <w:abstractNum w:abstractNumId="120">
    <w:nsid w:val="F856867"/>
    <w:multiLevelType w:val="hybridMultilevel"/>
    <w:lvl w:ilvl="0">
      <w:lvlJc w:val="left"/>
      <w:lvlText w:val="%1."/>
      <w:numFmt w:val="decimal"/>
      <w:start w:val="4"/>
    </w:lvl>
  </w:abstractNum>
  <w:abstractNum w:abstractNumId="121">
    <w:nsid w:val="11B1CC33"/>
    <w:multiLevelType w:val="hybridMultilevel"/>
    <w:lvl w:ilvl="0">
      <w:lvlJc w:val="left"/>
      <w:lvlText w:val="(%1)"/>
      <w:numFmt w:val="lowerRoman"/>
      <w:start w:val="1"/>
    </w:lvl>
  </w:abstractNum>
  <w:abstractNum w:abstractNumId="122">
    <w:nsid w:val="2E22FBB7"/>
    <w:multiLevelType w:val="hybridMultilevel"/>
    <w:lvl w:ilvl="0">
      <w:lvlJc w:val="left"/>
      <w:lvlText w:val="%1."/>
      <w:numFmt w:val="decimal"/>
      <w:start w:val="1"/>
    </w:lvl>
  </w:abstractNum>
  <w:abstractNum w:abstractNumId="123">
    <w:nsid w:val="29934699"/>
    <w:multiLevelType w:val="hybridMultilevel"/>
    <w:lvl w:ilvl="0">
      <w:lvlJc w:val="left"/>
      <w:lvlText w:val="%1."/>
      <w:numFmt w:val="decimal"/>
      <w:start w:val="2"/>
    </w:lvl>
    <w:lvl w:ilvl="1">
      <w:lvlJc w:val="left"/>
      <w:lvlText w:val="(%2)"/>
      <w:numFmt w:val="lowerLetter"/>
      <w:start w:val="1"/>
    </w:lvl>
  </w:abstractNum>
  <w:abstractNum w:abstractNumId="124">
    <w:nsid w:val="77485850"/>
    <w:multiLevelType w:val="hybridMultilevel"/>
    <w:lvl w:ilvl="0">
      <w:lvlJc w:val="left"/>
      <w:lvlText w:val="%1"/>
      <w:numFmt w:val="decimal"/>
      <w:start w:val="1"/>
    </w:lvl>
    <w:lvl w:ilvl="1">
      <w:lvlJc w:val="left"/>
      <w:lvlText w:val="(%2)"/>
      <w:numFmt w:val="lowerLetter"/>
      <w:start w:val="2"/>
    </w:lvl>
  </w:abstractNum>
  <w:abstractNum w:abstractNumId="125">
    <w:nsid w:val="744939A3"/>
    <w:multiLevelType w:val="hybridMultilevel"/>
    <w:lvl w:ilvl="0">
      <w:lvlJc w:val="left"/>
      <w:lvlText w:val="%1."/>
      <w:numFmt w:val="decimal"/>
      <w:start w:val="3"/>
    </w:lvl>
    <w:lvl w:ilvl="1">
      <w:lvlJc w:val="left"/>
      <w:lvlText w:val="(%2)"/>
      <w:numFmt w:val="lowerLetter"/>
      <w:start w:val="1"/>
    </w:lvl>
  </w:abstractNum>
  <w:abstractNum w:abstractNumId="126">
    <w:nsid w:val="4FA0D2E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7">
    <w:nsid w:val="6B1D2C14"/>
    <w:multiLevelType w:val="hybridMultilevel"/>
    <w:lvl w:ilvl="0">
      <w:lvlJc w:val="left"/>
      <w:lvlText w:val="%1."/>
      <w:numFmt w:val="decimal"/>
      <w:start w:val="8"/>
    </w:lvl>
  </w:abstractNum>
  <w:abstractNum w:abstractNumId="128">
    <w:nsid w:val="68B867D3"/>
    <w:multiLevelType w:val="hybridMultilevel"/>
    <w:lvl w:ilvl="0">
      <w:lvlJc w:val="left"/>
      <w:lvlText w:val="%1)"/>
      <w:numFmt w:val="lowerLetter"/>
      <w:start w:val="1"/>
    </w:lvl>
  </w:abstractNum>
  <w:abstractNum w:abstractNumId="129">
    <w:nsid w:val="3F7F5DD9"/>
    <w:multiLevelType w:val="hybridMultilevel"/>
    <w:lvl w:ilvl="0">
      <w:lvlJc w:val="left"/>
      <w:lvlText w:val="%1"/>
      <w:numFmt w:val="decimal"/>
      <w:start w:val="1"/>
    </w:lvl>
    <w:lvl w:ilvl="1">
      <w:lvlJc w:val="left"/>
      <w:lvlText w:val="%2)"/>
      <w:numFmt w:val="lowerLetter"/>
      <w:start w:val="6"/>
    </w:lvl>
  </w:abstractNum>
  <w:abstractNum w:abstractNumId="130">
    <w:nsid w:val="2AE05A34"/>
    <w:multiLevelType w:val="hybridMultilevel"/>
    <w:lvl w:ilvl="0">
      <w:lvlJc w:val="left"/>
      <w:lvlText w:val="%1."/>
      <w:numFmt w:val="decimal"/>
      <w:start w:val="11"/>
    </w:lvl>
    <w:lvl w:ilvl="1">
      <w:lvlJc w:val="left"/>
      <w:lvlText w:val="%2"/>
      <w:numFmt w:val="lowerLetter"/>
      <w:start w:val="1"/>
    </w:lvl>
  </w:abstractNum>
  <w:abstractNum w:abstractNumId="131">
    <w:nsid w:val="32794FF7"/>
    <w:multiLevelType w:val="hybridMultilevel"/>
    <w:lvl w:ilvl="0">
      <w:lvlJc w:val="left"/>
      <w:lvlText w:val="(%1)"/>
      <w:numFmt w:val="lowerLetter"/>
      <w:start w:val="4"/>
    </w:lvl>
  </w:abstractNum>
  <w:abstractNum w:abstractNumId="132">
    <w:nsid w:val="5454945E"/>
    <w:multiLevelType w:val="hybridMultilevel"/>
    <w:lvl w:ilvl="0">
      <w:lvlJc w:val="left"/>
      <w:lvlText w:val="(%1)"/>
      <w:numFmt w:val="lowerLetter"/>
      <w:start w:val="12"/>
    </w:lvl>
  </w:abstractNum>
  <w:abstractNum w:abstractNumId="133">
    <w:nsid w:val="4DEFDFA0"/>
    <w:multiLevelType w:val="hybridMultilevel"/>
    <w:lvl w:ilvl="0">
      <w:lvlJc w:val="left"/>
      <w:lvlText w:val="(%1)"/>
      <w:numFmt w:val="lowerLetter"/>
      <w:start w:val="18"/>
    </w:lvl>
  </w:abstractNum>
  <w:abstractNum w:abstractNumId="134">
    <w:nsid w:val="2123D5F2"/>
    <w:multiLevelType w:val="hybridMultilevel"/>
    <w:lvl w:ilvl="0">
      <w:lvlJc w:val="left"/>
      <w:lvlText w:val="(%1)"/>
      <w:numFmt w:val="lowerLetter"/>
      <w:start w:val="25"/>
    </w:lvl>
  </w:abstractNum>
  <w:abstractNum w:abstractNumId="135">
    <w:nsid w:val="135B8110"/>
    <w:multiLevelType w:val="hybridMultilevel"/>
    <w:lvl w:ilvl="0">
      <w:lvlJc w:val="left"/>
      <w:lvlText w:val="%1."/>
      <w:numFmt w:val="decimal"/>
      <w:start w:val="1"/>
    </w:lvl>
    <w:lvl w:ilvl="1">
      <w:lvlJc w:val="left"/>
      <w:lvlText w:val="(%2)"/>
      <w:numFmt w:val="lowerLetter"/>
      <w:start w:val="1"/>
    </w:lvl>
  </w:abstractNum>
  <w:abstractNum w:abstractNumId="136">
    <w:nsid w:val="94927A8"/>
    <w:multiLevelType w:val="hybridMultilevel"/>
    <w:lvl w:ilvl="0">
      <w:lvlJc w:val="left"/>
      <w:lvlText w:val="%1"/>
      <w:numFmt w:val="decimal"/>
      <w:start w:val="1"/>
    </w:lvl>
    <w:lvl w:ilvl="1">
      <w:lvlJc w:val="left"/>
      <w:lvlText w:val="(%2)"/>
      <w:numFmt w:val="lowerLetter"/>
      <w:start w:val="4"/>
    </w:lvl>
  </w:abstractNum>
  <w:abstractNum w:abstractNumId="137">
    <w:nsid w:val="DCDF8F6"/>
    <w:multiLevelType w:val="hybridMultilevel"/>
    <w:lvl w:ilvl="0">
      <w:lvlJc w:val="left"/>
      <w:lvlText w:val="%1."/>
      <w:numFmt w:val="decimal"/>
      <w:start w:val="3"/>
    </w:lvl>
    <w:lvl w:ilvl="1">
      <w:lvlJc w:val="left"/>
      <w:lvlText w:val="(%2)"/>
      <w:numFmt w:val="lowerLetter"/>
      <w:start w:val="1"/>
    </w:lvl>
  </w:abstractNum>
  <w:abstractNum w:abstractNumId="138">
    <w:nsid w:val="52D7B1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9">
    <w:nsid w:val="2E8A639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40">
    <w:nsid w:val="24E60401"/>
    <w:multiLevelType w:val="hybridMultilevel"/>
    <w:lvl w:ilvl="0">
      <w:lvlJc w:val="left"/>
      <w:lvlText w:val="(%1)"/>
      <w:numFmt w:val="lowerLetter"/>
      <w:start w:val="2"/>
    </w:lvl>
  </w:abstractNum>
  <w:abstractNum w:abstractNumId="141">
    <w:nsid w:val="2A6AD9BE"/>
    <w:multiLevelType w:val="hybridMultilevel"/>
    <w:lvl w:ilvl="0">
      <w:lvlJc w:val="left"/>
      <w:lvlText w:val="(%1)"/>
      <w:numFmt w:val="lowerLetter"/>
      <w:start w:val="14"/>
    </w:lvl>
  </w:abstractNum>
  <w:abstractNum w:abstractNumId="142">
    <w:nsid w:val="BAAC1B4"/>
    <w:multiLevelType w:val="hybridMultilevel"/>
    <w:lvl w:ilvl="0">
      <w:lvlJc w:val="left"/>
      <w:lvlText w:val="(%1)"/>
      <w:numFmt w:val="lowerLetter"/>
      <w:start w:val="24"/>
    </w:lvl>
  </w:abstractNum>
  <w:abstractNum w:abstractNumId="143">
    <w:nsid w:val="36B2ACBC"/>
    <w:multiLevelType w:val="hybridMultilevel"/>
    <w:lvl w:ilvl="0">
      <w:lvlJc w:val="left"/>
      <w:lvlText w:val="(%1)"/>
      <w:numFmt w:val="lowerLetter"/>
      <w:start w:val="27"/>
    </w:lvl>
  </w:abstractNum>
  <w:abstractNum w:abstractNumId="144">
    <w:nsid w:val="779D85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5">
    <w:nsid w:val="4AB26E78"/>
    <w:multiLevelType w:val="hybridMultilevel"/>
    <w:lvl w:ilvl="0">
      <w:lvlJc w:val="left"/>
      <w:lvlText w:val="(%1)"/>
      <w:numFmt w:val="lowerLetter"/>
      <w:start w:val="1"/>
    </w:lvl>
  </w:abstractNum>
  <w:abstractNum w:abstractNumId="146">
    <w:nsid w:val="21FAA2FA"/>
    <w:multiLevelType w:val="hybridMultilevel"/>
    <w:lvl w:ilvl="0">
      <w:lvlJc w:val="left"/>
      <w:lvlText w:val="(%1)"/>
      <w:numFmt w:val="lowerLetter"/>
      <w:start w:val="6"/>
    </w:lvl>
  </w:abstractNum>
  <w:abstractNum w:abstractNumId="147">
    <w:nsid w:val="5451CF49"/>
    <w:multiLevelType w:val="hybridMultilevel"/>
    <w:lvl w:ilvl="0">
      <w:lvlJc w:val="left"/>
      <w:lvlText w:val="(%1)"/>
      <w:numFmt w:val="decimal"/>
      <w:start w:val="3"/>
    </w:lvl>
  </w:abstractNum>
  <w:abstractNum w:abstractNumId="148">
    <w:nsid w:val="6181EF69"/>
    <w:multiLevelType w:val="hybridMultilevel"/>
    <w:lvl w:ilvl="0">
      <w:lvlJc w:val="left"/>
      <w:lvlText w:val="%1."/>
      <w:numFmt w:val="decimal"/>
      <w:start w:val="1"/>
    </w:lvl>
  </w:abstractNum>
  <w:abstractNum w:abstractNumId="149">
    <w:nsid w:val="3E6400E6"/>
    <w:multiLevelType w:val="hybridMultilevel"/>
    <w:lvl w:ilvl="0">
      <w:lvlJc w:val="left"/>
      <w:lvlText w:val="%1."/>
      <w:numFmt w:val="decimal"/>
      <w:start w:val="4"/>
    </w:lvl>
  </w:abstractNum>
  <w:abstractNum w:abstractNumId="150">
    <w:nsid w:val="14217E23"/>
    <w:multiLevelType w:val="hybridMultilevel"/>
    <w:lvl w:ilvl="0">
      <w:lvlJc w:val="left"/>
      <w:lvlText w:val="%1."/>
      <w:numFmt w:val="decimal"/>
      <w:start w:val="6"/>
    </w:lvl>
  </w:abstractNum>
  <w:abstractNum w:abstractNumId="151">
    <w:nsid w:val="710757D0"/>
    <w:multiLevelType w:val="hybridMultilevel"/>
    <w:lvl w:ilvl="0">
      <w:lvlJc w:val="left"/>
      <w:lvlText w:val="%1."/>
      <w:numFmt w:val="decimal"/>
      <w:start w:val="7"/>
    </w:lvl>
  </w:abstractNum>
  <w:abstractNum w:abstractNumId="152">
    <w:nsid w:val="5015CD1A"/>
    <w:multiLevelType w:val="hybridMultilevel"/>
    <w:lvl w:ilvl="0">
      <w:lvlJc w:val="left"/>
      <w:lvlText w:val="%1."/>
      <w:numFmt w:val="decimal"/>
      <w:start w:val="3"/>
    </w:lvl>
  </w:abstractNum>
  <w:abstractNum w:abstractNumId="153">
    <w:nsid w:val="424479DA"/>
    <w:multiLevelType w:val="hybridMultilevel"/>
    <w:lvl w:ilvl="0">
      <w:lvlJc w:val="left"/>
      <w:lvlText w:val="%1."/>
      <w:numFmt w:val="decimal"/>
      <w:start w:val="4"/>
    </w:lvl>
  </w:abstractNum>
  <w:abstractNum w:abstractNumId="154">
    <w:nsid w:val="1A9A9E69"/>
    <w:multiLevelType w:val="hybridMultilevel"/>
    <w:lvl w:ilvl="0">
      <w:lvlJc w:val="left"/>
      <w:lvlText w:val="%1."/>
      <w:numFmt w:val="decimal"/>
      <w:start w:val="5"/>
    </w:lvl>
  </w:abstractNum>
  <w:abstractNum w:abstractNumId="155">
    <w:nsid w:val="475E256A"/>
    <w:multiLevelType w:val="hybridMultilevel"/>
    <w:lvl w:ilvl="0">
      <w:lvlJc w:val="left"/>
      <w:lvlText w:val="%1."/>
      <w:numFmt w:val="decimal"/>
      <w:start w:val="6"/>
    </w:lvl>
  </w:abstractNum>
  <w:abstractNum w:abstractNumId="156">
    <w:nsid w:val="368DB37E"/>
    <w:multiLevelType w:val="hybridMultilevel"/>
    <w:lvl w:ilvl="0">
      <w:lvlJc w:val="left"/>
      <w:lvlText w:val="%1."/>
      <w:numFmt w:val="decimal"/>
      <w:start w:val="7"/>
    </w:lvl>
  </w:abstractNum>
  <w:abstractNum w:abstractNumId="157">
    <w:nsid w:val="6A3B714C"/>
    <w:multiLevelType w:val="hybridMultilevel"/>
    <w:lvl w:ilvl="0">
      <w:lvlJc w:val="left"/>
      <w:lvlText w:val="•"/>
      <w:numFmt w:val="bullet"/>
      <w:start w:val="1"/>
    </w:lvl>
  </w:abstractNum>
  <w:abstractNum w:abstractNumId="158">
    <w:nsid w:val="327B517E"/>
    <w:multiLevelType w:val="hybridMultilevel"/>
    <w:lvl w:ilvl="0">
      <w:lvlJc w:val="left"/>
      <w:lvlText w:val="%1."/>
      <w:numFmt w:val="upperLetter"/>
      <w:start w:val="1"/>
    </w:lvl>
  </w:abstractNum>
  <w:abstractNum w:abstractNumId="159">
    <w:nsid w:val="1F461B51"/>
    <w:multiLevelType w:val="hybridMultilevel"/>
    <w:lvl w:ilvl="0">
      <w:lvlJc w:val="left"/>
      <w:lvlText w:val="%1."/>
      <w:numFmt w:val="decimal"/>
      <w:start w:val="1"/>
    </w:lvl>
  </w:abstractNum>
  <w:abstractNum w:abstractNumId="160">
    <w:nsid w:val="29BACF2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1">
    <w:nsid w:val="5D5BABB3"/>
    <w:multiLevelType w:val="hybridMultilevel"/>
    <w:lvl w:ilvl="0">
      <w:lvlJc w:val="left"/>
      <w:lvlText w:val="%1."/>
      <w:numFmt w:val="decimal"/>
      <w:start w:val="2"/>
    </w:lvl>
  </w:abstractNum>
  <w:abstractNum w:abstractNumId="162">
    <w:nsid w:val="51BF6B48"/>
    <w:multiLevelType w:val="hybridMultilevel"/>
    <w:lvl w:ilvl="0">
      <w:lvlJc w:val="left"/>
      <w:lvlText w:val="%1."/>
      <w:numFmt w:val="decimal"/>
      <w:start w:val="3"/>
    </w:lvl>
  </w:abstractNum>
  <w:abstractNum w:abstractNumId="163">
    <w:nsid w:val="7E0F6384"/>
    <w:multiLevelType w:val="hybridMultilevel"/>
    <w:lvl w:ilvl="0">
      <w:lvlJc w:val="left"/>
      <w:lvlText w:val="(%1)"/>
      <w:numFmt w:val="lowerRoman"/>
      <w:start w:val="1"/>
    </w:lvl>
  </w:abstractNum>
  <w:abstractNum w:abstractNumId="164">
    <w:nsid w:val="2B4B8B53"/>
    <w:multiLevelType w:val="hybridMultilevel"/>
    <w:lvl w:ilvl="0">
      <w:lvlJc w:val="left"/>
      <w:lvlText w:val="%1."/>
      <w:numFmt w:val="decimal"/>
      <w:start w:val="4"/>
    </w:lvl>
  </w:abstractNum>
  <w:abstractNum w:abstractNumId="165">
    <w:nsid w:val="72E3413A"/>
    <w:multiLevelType w:val="hybridMultilevel"/>
    <w:lvl w:ilvl="0">
      <w:lvlJc w:val="left"/>
      <w:lvlText w:val="(%1)"/>
      <w:numFmt w:val="lowerRoman"/>
      <w:start w:val="1"/>
    </w:lvl>
  </w:abstractNum>
  <w:abstractNum w:abstractNumId="166">
    <w:nsid w:val="116AE494"/>
    <w:multiLevelType w:val="hybridMultilevel"/>
    <w:lvl w:ilvl="0">
      <w:lvlJc w:val="left"/>
      <w:lvlText w:val="%1."/>
      <w:numFmt w:val="decimal"/>
      <w:start w:val="1"/>
    </w:lvl>
    <w:lvl w:ilvl="1">
      <w:lvlJc w:val="left"/>
      <w:lvlText w:val="(%2)"/>
      <w:numFmt w:val="lowerLetter"/>
      <w:start w:val="1"/>
    </w:lvl>
  </w:abstractNum>
  <w:abstractNum w:abstractNumId="167">
    <w:nsid w:val="3494B2F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68">
    <w:nsid w:val="B13A3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69">
    <w:nsid w:val="644295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0">
    <w:nsid w:val="631F169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1">
    <w:nsid w:val="25973E32"/>
    <w:multiLevelType w:val="hybridMultilevel"/>
    <w:lvl w:ilvl="0">
      <w:lvlJc w:val="left"/>
      <w:lvlText w:val="(%1)"/>
      <w:numFmt w:val="lowerLetter"/>
      <w:start w:val="3"/>
    </w:lvl>
  </w:abstractNum>
  <w:abstractNum w:abstractNumId="172">
    <w:nsid w:val="EAD6F57"/>
    <w:multiLevelType w:val="hybridMultilevel"/>
    <w:lvl w:ilvl="0">
      <w:lvlJc w:val="left"/>
      <w:lvlText w:val="(%1)"/>
      <w:numFmt w:val="lowerLetter"/>
      <w:start w:val="14"/>
    </w:lvl>
  </w:abstractNum>
  <w:abstractNum w:abstractNumId="173">
    <w:nsid w:val="6EC9D844"/>
    <w:multiLevelType w:val="hybridMultilevel"/>
    <w:lvl w:ilvl="0">
      <w:lvlJc w:val="left"/>
      <w:lvlText w:val="(%1)"/>
      <w:numFmt w:val="lowerLetter"/>
      <w:start w:val="25"/>
    </w:lvl>
  </w:abstractNum>
  <w:abstractNum w:abstractNumId="174">
    <w:nsid w:val="5C49EAEE"/>
    <w:multiLevelType w:val="hybridMultilevel"/>
    <w:lvl w:ilvl="0">
      <w:lvlJc w:val="left"/>
      <w:lvlText w:val="(%1)"/>
      <w:numFmt w:val="lowerLetter"/>
      <w:start w:val="27"/>
    </w:lvl>
  </w:abstractNum>
  <w:abstractNum w:abstractNumId="175">
    <w:nsid w:val="64AF49B"/>
    <w:multiLevelType w:val="hybridMultilevel"/>
    <w:lvl w:ilvl="0">
      <w:lvlJc w:val="left"/>
      <w:lvlText w:val="%1."/>
      <w:numFmt w:val="decimal"/>
      <w:start w:val="1"/>
    </w:lvl>
  </w:abstractNum>
  <w:abstractNum w:abstractNumId="176">
    <w:nsid w:val="397C46BC"/>
    <w:multiLevelType w:val="hybridMultilevel"/>
    <w:lvl w:ilvl="0">
      <w:lvlJc w:val="left"/>
      <w:lvlText w:val="(%1)"/>
      <w:numFmt w:val="lowerLetter"/>
      <w:start w:val="1"/>
    </w:lvl>
  </w:abstractNum>
  <w:abstractNum w:abstractNumId="177">
    <w:nsid w:val="7E448DE9"/>
    <w:multiLevelType w:val="hybridMultilevel"/>
    <w:lvl w:ilvl="0">
      <w:lvlJc w:val="left"/>
      <w:lvlText w:val="(%1)"/>
      <w:numFmt w:val="lowerLetter"/>
      <w:start w:val="6"/>
    </w:lvl>
  </w:abstractNum>
  <w:abstractNum w:abstractNumId="178">
    <w:nsid w:val="5A9CC3E5"/>
    <w:multiLevelType w:val="hybridMultilevel"/>
    <w:lvl w:ilvl="0">
      <w:lvlJc w:val="left"/>
      <w:lvlText w:val="(%1)"/>
      <w:numFmt w:val="decimal"/>
      <w:start w:val="3"/>
    </w:lvl>
  </w:abstractNum>
  <w:abstractNum w:abstractNumId="179">
    <w:nsid w:val="1AFE3625"/>
    <w:multiLevelType w:val="hybridMultilevel"/>
    <w:lvl w:ilvl="0">
      <w:lvlJc w:val="left"/>
      <w:lvlText w:val="(%1)"/>
      <w:numFmt w:val="decimal"/>
      <w:start w:val="3"/>
    </w:lvl>
  </w:abstractNum>
  <w:abstractNum w:abstractNumId="180">
    <w:nsid w:val="3CA88ECF"/>
    <w:multiLevelType w:val="hybridMultilevel"/>
    <w:lvl w:ilvl="0">
      <w:lvlJc w:val="left"/>
      <w:lvlText w:val="%1."/>
      <w:numFmt w:val="decimal"/>
      <w:start w:val="1"/>
    </w:lvl>
  </w:abstractNum>
  <w:abstractNum w:abstractNumId="181">
    <w:nsid w:val="6EBE4208"/>
    <w:multiLevelType w:val="hybridMultilevel"/>
    <w:lvl w:ilvl="0">
      <w:lvlJc w:val="left"/>
      <w:lvlText w:val="%1."/>
      <w:numFmt w:val="decimal"/>
      <w:start w:val="4"/>
    </w:lvl>
  </w:abstractNum>
  <w:abstractNum w:abstractNumId="182">
    <w:nsid w:val="C058DF5"/>
    <w:multiLevelType w:val="hybridMultilevel"/>
    <w:lvl w:ilvl="0">
      <w:lvlJc w:val="left"/>
      <w:lvlText w:val="%1."/>
      <w:numFmt w:val="decimal"/>
      <w:start w:val="6"/>
    </w:lvl>
  </w:abstractNum>
  <w:abstractNum w:abstractNumId="183">
    <w:nsid w:val="CBE5BE9"/>
    <w:multiLevelType w:val="hybridMultilevel"/>
    <w:lvl w:ilvl="0">
      <w:lvlJc w:val="left"/>
      <w:lvlText w:val="%1."/>
      <w:numFmt w:val="decimal"/>
      <w:start w:val="7"/>
    </w:lvl>
  </w:abstractNum>
  <w:abstractNum w:abstractNumId="184">
    <w:nsid w:val="3102BBE2"/>
    <w:multiLevelType w:val="hybridMultilevel"/>
    <w:lvl w:ilvl="0">
      <w:lvlJc w:val="left"/>
      <w:lvlText w:val="%1."/>
      <w:numFmt w:val="decimal"/>
      <w:start w:val="3"/>
    </w:lvl>
  </w:abstractNum>
  <w:abstractNum w:abstractNumId="185">
    <w:nsid w:val="26A02C5E"/>
    <w:multiLevelType w:val="hybridMultilevel"/>
    <w:lvl w:ilvl="0">
      <w:lvlJc w:val="left"/>
      <w:lvlText w:val="%1."/>
      <w:numFmt w:val="decimal"/>
      <w:start w:val="4"/>
    </w:lvl>
  </w:abstractNum>
  <w:abstractNum w:abstractNumId="186">
    <w:nsid w:val="541C8153"/>
    <w:multiLevelType w:val="hybridMultilevel"/>
    <w:lvl w:ilvl="0">
      <w:lvlJc w:val="left"/>
      <w:lvlText w:val="%1."/>
      <w:numFmt w:val="decimal"/>
      <w:start w:val="5"/>
    </w:lvl>
  </w:abstractNum>
  <w:abstractNum w:abstractNumId="187">
    <w:nsid w:val="67906F60"/>
    <w:multiLevelType w:val="hybridMultilevel"/>
    <w:lvl w:ilvl="0">
      <w:lvlJc w:val="left"/>
      <w:lvlText w:val="%1."/>
      <w:numFmt w:val="decimal"/>
      <w:start w:val="6"/>
    </w:lvl>
  </w:abstractNum>
  <w:abstractNum w:abstractNumId="188">
    <w:nsid w:val="10DB9DAA"/>
    <w:multiLevelType w:val="hybridMultilevel"/>
    <w:lvl w:ilvl="0">
      <w:lvlJc w:val="left"/>
      <w:lvlText w:val="%1."/>
      <w:numFmt w:val="decimal"/>
      <w:start w:val="7"/>
    </w:lvl>
  </w:abstractNum>
  <w:abstractNum w:abstractNumId="189">
    <w:nsid w:val="697D2D2"/>
    <w:multiLevelType w:val="hybridMultilevel"/>
    <w:lvl w:ilvl="0">
      <w:lvlJc w:val="left"/>
      <w:lvlText w:val="•"/>
      <w:numFmt w:val="bullet"/>
      <w:start w:val="1"/>
    </w:lvl>
  </w:abstractNum>
  <w:abstractNum w:abstractNumId="190">
    <w:nsid w:val="6D68AB2"/>
    <w:multiLevelType w:val="hybridMultilevel"/>
    <w:lvl w:ilvl="0">
      <w:lvlJc w:val="left"/>
      <w:lvlText w:val="%1."/>
      <w:numFmt w:val="upperLetter"/>
      <w:start w:val="1"/>
    </w:lvl>
  </w:abstractNum>
  <w:abstractNum w:abstractNumId="191">
    <w:nsid w:val="3A966CD0"/>
    <w:multiLevelType w:val="hybridMultilevel"/>
    <w:lvl w:ilvl="0">
      <w:lvlJc w:val="left"/>
      <w:lvlText w:val="%1."/>
      <w:numFmt w:val="decimal"/>
      <w:start w:val="1"/>
    </w:lvl>
  </w:abstractNum>
  <w:abstractNum w:abstractNumId="192">
    <w:nsid w:val="63F37E8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3">
    <w:nsid w:val="5895F5FA"/>
    <w:multiLevelType w:val="hybridMultilevel"/>
    <w:lvl w:ilvl="0">
      <w:lvlJc w:val="left"/>
      <w:lvlText w:val="%1."/>
      <w:numFmt w:val="decimal"/>
      <w:start w:val="2"/>
    </w:lvl>
  </w:abstractNum>
  <w:abstractNum w:abstractNumId="194">
    <w:nsid w:val="38A5D054"/>
    <w:multiLevelType w:val="hybridMultilevel"/>
    <w:lvl w:ilvl="0">
      <w:lvlJc w:val="left"/>
      <w:lvlText w:val="%1."/>
      <w:numFmt w:val="decimal"/>
      <w:start w:val="3"/>
    </w:lvl>
  </w:abstractNum>
  <w:abstractNum w:abstractNumId="195">
    <w:nsid w:val="F3F09D8"/>
    <w:multiLevelType w:val="hybridMultilevel"/>
    <w:lvl w:ilvl="0">
      <w:lvlJc w:val="left"/>
      <w:lvlText w:val="(%1)"/>
      <w:numFmt w:val="lowerRoman"/>
      <w:start w:val="1"/>
    </w:lvl>
  </w:abstractNum>
  <w:abstractNum w:abstractNumId="196">
    <w:nsid w:val="4B793735"/>
    <w:multiLevelType w:val="hybridMultilevel"/>
    <w:lvl w:ilvl="0">
      <w:lvlJc w:val="left"/>
      <w:lvlText w:val="%1."/>
      <w:numFmt w:val="decimal"/>
      <w:start w:val="4"/>
    </w:lvl>
  </w:abstractNum>
  <w:abstractNum w:abstractNumId="197">
    <w:nsid w:val="4A10B4E8"/>
    <w:multiLevelType w:val="hybridMultilevel"/>
    <w:lvl w:ilvl="0">
      <w:lvlJc w:val="left"/>
      <w:lvlText w:val="(%1)"/>
      <w:numFmt w:val="lowerRoman"/>
      <w:start w:val="1"/>
    </w:lvl>
  </w:abstractNum>
  <w:abstractNum w:abstractNumId="198">
    <w:nsid w:val="43D3BCD4"/>
    <w:multiLevelType w:val="hybridMultilevel"/>
    <w:lvl w:ilvl="0">
      <w:lvlJc w:val="left"/>
      <w:lvlText w:val="•"/>
      <w:numFmt w:val="bullet"/>
      <w:start w:val="1"/>
    </w:lvl>
  </w:abstractNum>
  <w:abstractNum w:abstractNumId="199">
    <w:nsid w:val="4C2A7166"/>
    <w:multiLevelType w:val="hybridMultilevel"/>
    <w:lvl w:ilvl="0">
      <w:lvlJc w:val="left"/>
      <w:lvlText w:val="•"/>
      <w:numFmt w:val="bullet"/>
      <w:start w:val="1"/>
    </w:lvl>
  </w:abstractNum>
  <w:abstractNum w:abstractNumId="200">
    <w:nsid w:val="2E534A82"/>
    <w:multiLevelType w:val="hybridMultilevel"/>
    <w:lvl w:ilvl="0">
      <w:lvlJc w:val="left"/>
      <w:lvlText w:val="•"/>
      <w:numFmt w:val="bullet"/>
      <w:start w:val="1"/>
    </w:lvl>
  </w:abstractNum>
  <w:abstractNum w:abstractNumId="201">
    <w:nsid w:val="26F2D364"/>
    <w:multiLevelType w:val="hybridMultilevel"/>
    <w:lvl w:ilvl="0">
      <w:lvlJc w:val="left"/>
      <w:lvlText w:val="%1."/>
      <w:numFmt w:val="decimal"/>
      <w:start w:val="1"/>
    </w:lvl>
    <w:lvl w:ilvl="1">
      <w:lvlJc w:val="left"/>
      <w:lvlText w:val="%2)"/>
      <w:numFmt w:val="lowerLetter"/>
      <w:start w:val="1"/>
    </w:lvl>
  </w:abstractNum>
  <w:abstractNum w:abstractNumId="202">
    <w:nsid w:val="71C1AF98"/>
    <w:multiLevelType w:val="hybridMultilevel"/>
    <w:lvl w:ilvl="0">
      <w:lvlJc w:val="left"/>
      <w:lvlText w:val="%1."/>
      <w:numFmt w:val="decimal"/>
      <w:start w:val="1"/>
    </w:lvl>
    <w:lvl w:ilvl="1">
      <w:lvlJc w:val="left"/>
      <w:lvlText w:val="%2)"/>
      <w:numFmt w:val="lowerLetter"/>
      <w:start w:val="1"/>
    </w:lvl>
  </w:abstractNum>
  <w:abstractNum w:abstractNumId="203">
    <w:nsid w:val="3D00B9D9"/>
    <w:multiLevelType w:val="hybridMultilevel"/>
    <w:lvl w:ilvl="0">
      <w:lvlJc w:val="left"/>
      <w:lvlText w:val="%1."/>
      <w:numFmt w:val="decimal"/>
      <w:start w:val="1"/>
    </w:lvl>
  </w:abstractNum>
  <w:abstractNum w:abstractNumId="204">
    <w:nsid w:val="15BCAB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jpeg"/><Relationship Id="rId1154" Type="http://schemas.openxmlformats.org/officeDocument/2006/relationships/image" Target="media/image1147.jpeg"/><Relationship Id="rId1155" Type="http://schemas.openxmlformats.org/officeDocument/2006/relationships/image" Target="media/image1148.jpeg"/><Relationship Id="rId1156" Type="http://schemas.openxmlformats.org/officeDocument/2006/relationships/image" Target="media/image1149.jpeg"/><Relationship Id="rId1157" Type="http://schemas.openxmlformats.org/officeDocument/2006/relationships/image" Target="media/image1150.jpeg"/><Relationship Id="rId1158" Type="http://schemas.openxmlformats.org/officeDocument/2006/relationships/image" Target="media/image1151.jpeg"/><Relationship Id="rId1159" Type="http://schemas.openxmlformats.org/officeDocument/2006/relationships/image" Target="media/image1152.jpeg"/><Relationship Id="rId1160" Type="http://schemas.openxmlformats.org/officeDocument/2006/relationships/image" Target="media/image1153.jpeg"/><Relationship Id="rId1161" Type="http://schemas.openxmlformats.org/officeDocument/2006/relationships/image" Target="media/image1154.jpeg"/><Relationship Id="rId1162" Type="http://schemas.openxmlformats.org/officeDocument/2006/relationships/image" Target="media/image1155.jpeg"/><Relationship Id="rId1163" Type="http://schemas.openxmlformats.org/officeDocument/2006/relationships/image" Target="media/image1156.jpeg"/><Relationship Id="rId1164" Type="http://schemas.openxmlformats.org/officeDocument/2006/relationships/image" Target="media/image1157.png"/><Relationship Id="rId1165" Type="http://schemas.openxmlformats.org/officeDocument/2006/relationships/image" Target="media/image1158.jpeg"/><Relationship Id="rId1166" Type="http://schemas.openxmlformats.org/officeDocument/2006/relationships/image" Target="media/image1159.jpeg"/><Relationship Id="rId1167" Type="http://schemas.openxmlformats.org/officeDocument/2006/relationships/image" Target="media/image1160.jpeg"/><Relationship Id="rId1168" Type="http://schemas.openxmlformats.org/officeDocument/2006/relationships/image" Target="media/image1161.jpeg"/><Relationship Id="rId1169" Type="http://schemas.openxmlformats.org/officeDocument/2006/relationships/image" Target="media/image1162.jpeg"/><Relationship Id="rId1170" Type="http://schemas.openxmlformats.org/officeDocument/2006/relationships/image" Target="media/image1163.jpeg"/><Relationship Id="rId1171" Type="http://schemas.openxmlformats.org/officeDocument/2006/relationships/image" Target="media/image1164.jpeg"/><Relationship Id="rId1172" Type="http://schemas.openxmlformats.org/officeDocument/2006/relationships/image" Target="media/image1165.jpeg"/><Relationship Id="rId1173" Type="http://schemas.openxmlformats.org/officeDocument/2006/relationships/image" Target="media/image1166.png"/><Relationship Id="rId1174" Type="http://schemas.openxmlformats.org/officeDocument/2006/relationships/image" Target="media/image1167.jpeg"/><Relationship Id="rId1175" Type="http://schemas.openxmlformats.org/officeDocument/2006/relationships/image" Target="media/image1168.jpeg"/><Relationship Id="rId1176" Type="http://schemas.openxmlformats.org/officeDocument/2006/relationships/image" Target="media/image1169.jpeg"/><Relationship Id="rId1177" Type="http://schemas.openxmlformats.org/officeDocument/2006/relationships/image" Target="media/image1170.jpeg"/><Relationship Id="rId1178" Type="http://schemas.openxmlformats.org/officeDocument/2006/relationships/image" Target="media/image1171.jpeg"/><Relationship Id="rId1179" Type="http://schemas.openxmlformats.org/officeDocument/2006/relationships/image" Target="media/image1172.jpeg"/><Relationship Id="rId1180" Type="http://schemas.openxmlformats.org/officeDocument/2006/relationships/image" Target="media/image1173.jpeg"/><Relationship Id="rId1181" Type="http://schemas.openxmlformats.org/officeDocument/2006/relationships/image" Target="media/image1174.jpe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jpeg"/><Relationship Id="rId1187" Type="http://schemas.openxmlformats.org/officeDocument/2006/relationships/image" Target="media/image1180.jpeg"/><Relationship Id="rId1188" Type="http://schemas.openxmlformats.org/officeDocument/2006/relationships/image" Target="media/image1181.jpeg"/><Relationship Id="rId1189" Type="http://schemas.openxmlformats.org/officeDocument/2006/relationships/image" Target="media/image1182.jpeg"/><Relationship Id="rId1190" Type="http://schemas.openxmlformats.org/officeDocument/2006/relationships/image" Target="media/image1183.jpeg"/><Relationship Id="rId1191" Type="http://schemas.openxmlformats.org/officeDocument/2006/relationships/image" Target="media/image1184.jpeg"/><Relationship Id="rId1192" Type="http://schemas.openxmlformats.org/officeDocument/2006/relationships/image" Target="media/image1185.jpeg"/><Relationship Id="rId1193" Type="http://schemas.openxmlformats.org/officeDocument/2006/relationships/image" Target="media/image1186.jpeg"/><Relationship Id="rId1194" Type="http://schemas.openxmlformats.org/officeDocument/2006/relationships/image" Target="media/image1187.jpeg"/><Relationship Id="rId1195" Type="http://schemas.openxmlformats.org/officeDocument/2006/relationships/image" Target="media/image1188.jpeg"/><Relationship Id="rId1196" Type="http://schemas.openxmlformats.org/officeDocument/2006/relationships/image" Target="media/image1189.jpeg"/><Relationship Id="rId1197" Type="http://schemas.openxmlformats.org/officeDocument/2006/relationships/image" Target="media/image1190.jpeg"/><Relationship Id="rId1198" Type="http://schemas.openxmlformats.org/officeDocument/2006/relationships/image" Target="media/image1191.png"/><Relationship Id="rId1199" Type="http://schemas.openxmlformats.org/officeDocument/2006/relationships/image" Target="media/image1192.jpeg"/><Relationship Id="rId1200" Type="http://schemas.openxmlformats.org/officeDocument/2006/relationships/image" Target="media/image1193.jpeg"/><Relationship Id="rId1201" Type="http://schemas.openxmlformats.org/officeDocument/2006/relationships/image" Target="media/image1194.jpeg"/><Relationship Id="rId1202" Type="http://schemas.openxmlformats.org/officeDocument/2006/relationships/image" Target="media/image1195.jpeg"/><Relationship Id="rId1203" Type="http://schemas.openxmlformats.org/officeDocument/2006/relationships/image" Target="media/image1196.jpeg"/><Relationship Id="rId1204" Type="http://schemas.openxmlformats.org/officeDocument/2006/relationships/image" Target="media/image1197.jpeg"/><Relationship Id="rId1205" Type="http://schemas.openxmlformats.org/officeDocument/2006/relationships/image" Target="media/image1198.jpeg"/><Relationship Id="rId1206" Type="http://schemas.openxmlformats.org/officeDocument/2006/relationships/image" Target="media/image1199.jpeg"/><Relationship Id="rId1207" Type="http://schemas.openxmlformats.org/officeDocument/2006/relationships/image" Target="media/image1200.png"/><Relationship Id="rId1208" Type="http://schemas.openxmlformats.org/officeDocument/2006/relationships/image" Target="media/image1201.jpeg"/><Relationship Id="rId1209" Type="http://schemas.openxmlformats.org/officeDocument/2006/relationships/image" Target="media/image1202.jpeg"/><Relationship Id="rId1210" Type="http://schemas.openxmlformats.org/officeDocument/2006/relationships/image" Target="media/image1203.jpeg"/><Relationship Id="rId1211" Type="http://schemas.openxmlformats.org/officeDocument/2006/relationships/image" Target="media/image1204.jpeg"/><Relationship Id="rId1212" Type="http://schemas.openxmlformats.org/officeDocument/2006/relationships/image" Target="media/image1205.jpeg"/><Relationship Id="rId1213" Type="http://schemas.openxmlformats.org/officeDocument/2006/relationships/image" Target="media/image1206.jpeg"/><Relationship Id="rId1214" Type="http://schemas.openxmlformats.org/officeDocument/2006/relationships/image" Target="media/image1207.png"/><Relationship Id="rId1215" Type="http://schemas.openxmlformats.org/officeDocument/2006/relationships/image" Target="media/image1208.jpeg"/><Relationship Id="rId1216" Type="http://schemas.openxmlformats.org/officeDocument/2006/relationships/image" Target="media/image1209.jpe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jpeg"/><Relationship Id="rId2314" Type="http://schemas.openxmlformats.org/officeDocument/2006/relationships/image" Target="media/image2307.jpeg"/><Relationship Id="rId2315" Type="http://schemas.openxmlformats.org/officeDocument/2006/relationships/image" Target="media/image2308.jpeg"/><Relationship Id="rId2316" Type="http://schemas.openxmlformats.org/officeDocument/2006/relationships/image" Target="media/image2309.jpeg"/><Relationship Id="rId2317" Type="http://schemas.openxmlformats.org/officeDocument/2006/relationships/image" Target="media/image2310.jpeg"/><Relationship Id="rId2318" Type="http://schemas.openxmlformats.org/officeDocument/2006/relationships/image" Target="media/image2311.jpeg"/><Relationship Id="rId2319" Type="http://schemas.openxmlformats.org/officeDocument/2006/relationships/image" Target="media/image2312.jpeg"/><Relationship Id="rId2320" Type="http://schemas.openxmlformats.org/officeDocument/2006/relationships/image" Target="media/image2313.jpeg"/><Relationship Id="rId2321" Type="http://schemas.openxmlformats.org/officeDocument/2006/relationships/image" Target="media/image2314.jpeg"/><Relationship Id="rId2322" Type="http://schemas.openxmlformats.org/officeDocument/2006/relationships/image" Target="media/image2315.jpeg"/><Relationship Id="rId2323" Type="http://schemas.openxmlformats.org/officeDocument/2006/relationships/image" Target="media/image2316.png"/><Relationship Id="rId2324" Type="http://schemas.openxmlformats.org/officeDocument/2006/relationships/image" Target="media/image2317.jpeg"/><Relationship Id="rId2325" Type="http://schemas.openxmlformats.org/officeDocument/2006/relationships/image" Target="media/image2318.jpeg"/><Relationship Id="rId2326" Type="http://schemas.openxmlformats.org/officeDocument/2006/relationships/image" Target="media/image2319.jpeg"/><Relationship Id="rId2327" Type="http://schemas.openxmlformats.org/officeDocument/2006/relationships/image" Target="media/image2320.jpeg"/><Relationship Id="rId2328" Type="http://schemas.openxmlformats.org/officeDocument/2006/relationships/image" Target="media/image2321.jpeg"/><Relationship Id="rId2329" Type="http://schemas.openxmlformats.org/officeDocument/2006/relationships/image" Target="media/image2322.jpeg"/><Relationship Id="rId2330" Type="http://schemas.openxmlformats.org/officeDocument/2006/relationships/image" Target="media/image2323.jpeg"/><Relationship Id="rId2331" Type="http://schemas.openxmlformats.org/officeDocument/2006/relationships/image" Target="media/image2324.jpeg"/><Relationship Id="rId2332" Type="http://schemas.openxmlformats.org/officeDocument/2006/relationships/image" Target="media/image2325.png"/><Relationship Id="rId2333" Type="http://schemas.openxmlformats.org/officeDocument/2006/relationships/image" Target="media/image2326.jpeg"/><Relationship Id="rId2334" Type="http://schemas.openxmlformats.org/officeDocument/2006/relationships/image" Target="media/image2327.jpeg"/><Relationship Id="rId2335" Type="http://schemas.openxmlformats.org/officeDocument/2006/relationships/image" Target="media/image2328.jpeg"/><Relationship Id="rId2336" Type="http://schemas.openxmlformats.org/officeDocument/2006/relationships/image" Target="media/image2329.jpeg"/><Relationship Id="rId2337" Type="http://schemas.openxmlformats.org/officeDocument/2006/relationships/image" Target="media/image2330.jpeg"/><Relationship Id="rId2338" Type="http://schemas.openxmlformats.org/officeDocument/2006/relationships/image" Target="media/image2331.jpeg"/><Relationship Id="rId2339" Type="http://schemas.openxmlformats.org/officeDocument/2006/relationships/image" Target="media/image2332.jpeg"/><Relationship Id="rId2340" Type="http://schemas.openxmlformats.org/officeDocument/2006/relationships/image" Target="media/image2333.jpeg"/><Relationship Id="rId2341" Type="http://schemas.openxmlformats.org/officeDocument/2006/relationships/image" Target="media/image2334.jpe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jpeg"/><Relationship Id="rId2347" Type="http://schemas.openxmlformats.org/officeDocument/2006/relationships/image" Target="media/image2340.jpeg"/><Relationship Id="rId2348" Type="http://schemas.openxmlformats.org/officeDocument/2006/relationships/image" Target="media/image2341.jpeg"/><Relationship Id="rId2349" Type="http://schemas.openxmlformats.org/officeDocument/2006/relationships/image" Target="media/image2342.jpeg"/><Relationship Id="rId2350" Type="http://schemas.openxmlformats.org/officeDocument/2006/relationships/image" Target="media/image2343.jpeg"/><Relationship Id="rId2351" Type="http://schemas.openxmlformats.org/officeDocument/2006/relationships/image" Target="media/image2344.jpeg"/><Relationship Id="rId2352" Type="http://schemas.openxmlformats.org/officeDocument/2006/relationships/image" Target="media/image2345.jpeg"/><Relationship Id="rId2353" Type="http://schemas.openxmlformats.org/officeDocument/2006/relationships/image" Target="media/image2346.jpeg"/><Relationship Id="rId2354" Type="http://schemas.openxmlformats.org/officeDocument/2006/relationships/image" Target="media/image2347.jpeg"/><Relationship Id="rId2355" Type="http://schemas.openxmlformats.org/officeDocument/2006/relationships/image" Target="media/image2348.jpeg"/><Relationship Id="rId2356" Type="http://schemas.openxmlformats.org/officeDocument/2006/relationships/image" Target="media/image2349.jpeg"/><Relationship Id="rId2357" Type="http://schemas.openxmlformats.org/officeDocument/2006/relationships/image" Target="media/image2350.jpeg"/><Relationship Id="rId2358" Type="http://schemas.openxmlformats.org/officeDocument/2006/relationships/image" Target="media/image2351.png"/><Relationship Id="rId2359" Type="http://schemas.openxmlformats.org/officeDocument/2006/relationships/image" Target="media/image2352.jpeg"/><Relationship Id="rId2360" Type="http://schemas.openxmlformats.org/officeDocument/2006/relationships/image" Target="media/image2353.jpeg"/><Relationship Id="rId2361" Type="http://schemas.openxmlformats.org/officeDocument/2006/relationships/image" Target="media/image2354.jpeg"/><Relationship Id="rId2362" Type="http://schemas.openxmlformats.org/officeDocument/2006/relationships/image" Target="media/image2355.jpeg"/><Relationship Id="rId2363" Type="http://schemas.openxmlformats.org/officeDocument/2006/relationships/image" Target="media/image2356.jpeg"/><Relationship Id="rId2364" Type="http://schemas.openxmlformats.org/officeDocument/2006/relationships/image" Target="media/image2357.jpeg"/><Relationship Id="rId2365" Type="http://schemas.openxmlformats.org/officeDocument/2006/relationships/image" Target="media/image2358.jpeg"/><Relationship Id="rId2366" Type="http://schemas.openxmlformats.org/officeDocument/2006/relationships/image" Target="media/image2359.jpeg"/><Relationship Id="rId2367" Type="http://schemas.openxmlformats.org/officeDocument/2006/relationships/image" Target="media/image2360.jpeg"/><Relationship Id="rId2368" Type="http://schemas.openxmlformats.org/officeDocument/2006/relationships/image" Target="media/image2361.jpeg"/><Relationship Id="rId2369" Type="http://schemas.openxmlformats.org/officeDocument/2006/relationships/image" Target="media/image2362.jpeg"/><Relationship Id="rId2370" Type="http://schemas.openxmlformats.org/officeDocument/2006/relationships/image" Target="media/image2363.jpeg"/><Relationship Id="rId2371" Type="http://schemas.openxmlformats.org/officeDocument/2006/relationships/image" Target="media/image2364.png"/><Relationship Id="rId2372" Type="http://schemas.openxmlformats.org/officeDocument/2006/relationships/image" Target="media/image2365.jpeg"/><Relationship Id="rId2373" Type="http://schemas.openxmlformats.org/officeDocument/2006/relationships/image" Target="media/image2366.jpeg"/><Relationship Id="rId2374" Type="http://schemas.openxmlformats.org/officeDocument/2006/relationships/image" Target="media/image2367.jpeg"/><Relationship Id="rId2375" Type="http://schemas.openxmlformats.org/officeDocument/2006/relationships/image" Target="media/image2368.jpeg"/><Relationship Id="rId2376" Type="http://schemas.openxmlformats.org/officeDocument/2006/relationships/image" Target="media/image2369.jpeg"/><Relationship Id="rId2377" Type="http://schemas.openxmlformats.org/officeDocument/2006/relationships/image" Target="media/image2370.jpeg"/><Relationship Id="rId2378" Type="http://schemas.openxmlformats.org/officeDocument/2006/relationships/image" Target="media/image2371.jpeg"/><Relationship Id="rId2379" Type="http://schemas.openxmlformats.org/officeDocument/2006/relationships/image" Target="media/image2372.jpeg"/><Relationship Id="rId2380" Type="http://schemas.openxmlformats.org/officeDocument/2006/relationships/image" Target="media/image2373.png"/><Relationship Id="rId2381" Type="http://schemas.openxmlformats.org/officeDocument/2006/relationships/image" Target="media/image2374.jpeg"/><Relationship Id="rId2382" Type="http://schemas.openxmlformats.org/officeDocument/2006/relationships/image" Target="media/image2375.jpeg"/><Relationship Id="rId2383" Type="http://schemas.openxmlformats.org/officeDocument/2006/relationships/image" Target="media/image2376.jpeg"/><Relationship Id="rId2384" Type="http://schemas.openxmlformats.org/officeDocument/2006/relationships/image" Target="media/image2377.jpeg"/><Relationship Id="rId2385" Type="http://schemas.openxmlformats.org/officeDocument/2006/relationships/image" Target="media/image2378.jpeg"/><Relationship Id="rId2386" Type="http://schemas.openxmlformats.org/officeDocument/2006/relationships/image" Target="media/image2379.jpeg"/><Relationship Id="rId2387" Type="http://schemas.openxmlformats.org/officeDocument/2006/relationships/image" Target="media/image2380.jpeg"/><Relationship Id="rId2388" Type="http://schemas.openxmlformats.org/officeDocument/2006/relationships/image" Target="media/image2381.jpeg"/><Relationship Id="rId2389" Type="http://schemas.openxmlformats.org/officeDocument/2006/relationships/image" Target="media/image2382.jpeg"/><Relationship Id="rId2390" Type="http://schemas.openxmlformats.org/officeDocument/2006/relationships/image" Target="media/image2383.jpeg"/><Relationship Id="rId2391" Type="http://schemas.openxmlformats.org/officeDocument/2006/relationships/image" Target="media/image2384.jpe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jpeg"/><Relationship Id="rId2397" Type="http://schemas.openxmlformats.org/officeDocument/2006/relationships/image" Target="media/image2390.jpeg"/><Relationship Id="rId2398" Type="http://schemas.openxmlformats.org/officeDocument/2006/relationships/image" Target="media/image2391.jpeg"/><Relationship Id="rId2399" Type="http://schemas.openxmlformats.org/officeDocument/2006/relationships/image" Target="media/image2392.jpeg"/><Relationship Id="rId2400" Type="http://schemas.openxmlformats.org/officeDocument/2006/relationships/image" Target="media/image2393.jpeg"/><Relationship Id="rId2401" Type="http://schemas.openxmlformats.org/officeDocument/2006/relationships/image" Target="media/image2394.jpeg"/><Relationship Id="rId2402" Type="http://schemas.openxmlformats.org/officeDocument/2006/relationships/image" Target="media/image2395.jpeg"/><Relationship Id="rId2403" Type="http://schemas.openxmlformats.org/officeDocument/2006/relationships/image" Target="media/image2396.jpeg"/><Relationship Id="rId2404" Type="http://schemas.openxmlformats.org/officeDocument/2006/relationships/image" Target="media/image2397.jpeg"/><Relationship Id="rId2405" Type="http://schemas.openxmlformats.org/officeDocument/2006/relationships/image" Target="media/image2398.jpeg"/><Relationship Id="rId2406" Type="http://schemas.openxmlformats.org/officeDocument/2006/relationships/image" Target="media/image2399.jpeg"/><Relationship Id="rId2407" Type="http://schemas.openxmlformats.org/officeDocument/2006/relationships/image" Target="media/image2400.jpeg"/><Relationship Id="rId2408" Type="http://schemas.openxmlformats.org/officeDocument/2006/relationships/image" Target="media/image2401.png"/><Relationship Id="rId2409" Type="http://schemas.openxmlformats.org/officeDocument/2006/relationships/image" Target="media/image2402.jpeg"/><Relationship Id="rId2410" Type="http://schemas.openxmlformats.org/officeDocument/2006/relationships/image" Target="media/image2403.jpeg"/><Relationship Id="rId2411" Type="http://schemas.openxmlformats.org/officeDocument/2006/relationships/image" Target="media/image2404.jpeg"/><Relationship Id="rId2412" Type="http://schemas.openxmlformats.org/officeDocument/2006/relationships/image" Target="media/image2405.jpeg"/><Relationship Id="rId2413" Type="http://schemas.openxmlformats.org/officeDocument/2006/relationships/image" Target="media/image2406.jpeg"/><Relationship Id="rId2414" Type="http://schemas.openxmlformats.org/officeDocument/2006/relationships/image" Target="media/image2407.jpeg"/><Relationship Id="rId2415" Type="http://schemas.openxmlformats.org/officeDocument/2006/relationships/image" Target="media/image2408.jpeg"/><Relationship Id="rId2416" Type="http://schemas.openxmlformats.org/officeDocument/2006/relationships/image" Target="media/image2409.png"/><Relationship Id="rId2417" Type="http://schemas.openxmlformats.org/officeDocument/2006/relationships/image" Target="media/image2410.jpeg"/><Relationship Id="rId2418" Type="http://schemas.openxmlformats.org/officeDocument/2006/relationships/image" Target="media/image2411.png"/><Relationship Id="rId2419" Type="http://schemas.openxmlformats.org/officeDocument/2006/relationships/image" Target="media/image2412.jpeg"/><Relationship Id="rId2420" Type="http://schemas.openxmlformats.org/officeDocument/2006/relationships/image" Target="media/image2413.jpeg"/><Relationship Id="rId2421" Type="http://schemas.openxmlformats.org/officeDocument/2006/relationships/image" Target="media/image2414.jpeg"/><Relationship Id="rId2422" Type="http://schemas.openxmlformats.org/officeDocument/2006/relationships/image" Target="media/image2415.jpeg"/><Relationship Id="rId2423" Type="http://schemas.openxmlformats.org/officeDocument/2006/relationships/image" Target="media/image2416.jpeg"/><Relationship Id="rId2424" Type="http://schemas.openxmlformats.org/officeDocument/2006/relationships/image" Target="media/image2417.jpeg"/><Relationship Id="rId2425" Type="http://schemas.openxmlformats.org/officeDocument/2006/relationships/image" Target="media/image2418.jpeg"/><Relationship Id="rId2426" Type="http://schemas.openxmlformats.org/officeDocument/2006/relationships/image" Target="media/image2419.jpeg"/><Relationship Id="rId2427" Type="http://schemas.openxmlformats.org/officeDocument/2006/relationships/image" Target="media/image2420.jpe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jpeg"/><Relationship Id="rId2433" Type="http://schemas.openxmlformats.org/officeDocument/2006/relationships/image" Target="media/image2426.jpeg"/><Relationship Id="rId2434" Type="http://schemas.openxmlformats.org/officeDocument/2006/relationships/image" Target="media/image2427.jpeg"/><Relationship Id="rId2435" Type="http://schemas.openxmlformats.org/officeDocument/2006/relationships/image" Target="media/image2428.jpeg"/><Relationship Id="rId2436" Type="http://schemas.openxmlformats.org/officeDocument/2006/relationships/image" Target="media/image2429.jpeg"/><Relationship Id="rId2437" Type="http://schemas.openxmlformats.org/officeDocument/2006/relationships/image" Target="media/image2430.jpeg"/><Relationship Id="rId2438" Type="http://schemas.openxmlformats.org/officeDocument/2006/relationships/image" Target="media/image2431.jpeg"/><Relationship Id="rId2439" Type="http://schemas.openxmlformats.org/officeDocument/2006/relationships/image" Target="media/image2432.jpeg"/><Relationship Id="rId2440" Type="http://schemas.openxmlformats.org/officeDocument/2006/relationships/image" Target="media/image2433.jpeg"/><Relationship Id="rId2441" Type="http://schemas.openxmlformats.org/officeDocument/2006/relationships/image" Target="media/image2434.jpeg"/><Relationship Id="rId2442" Type="http://schemas.openxmlformats.org/officeDocument/2006/relationships/image" Target="media/image2435.jpeg"/><Relationship Id="rId2443" Type="http://schemas.openxmlformats.org/officeDocument/2006/relationships/image" Target="media/image2436.jpeg"/><Relationship Id="rId2444" Type="http://schemas.openxmlformats.org/officeDocument/2006/relationships/image" Target="media/image2437.png"/><Relationship Id="rId2445" Type="http://schemas.openxmlformats.org/officeDocument/2006/relationships/image" Target="media/image2438.jpeg"/><Relationship Id="rId2446" Type="http://schemas.openxmlformats.org/officeDocument/2006/relationships/image" Target="media/image2439.jpeg"/><Relationship Id="rId2447" Type="http://schemas.openxmlformats.org/officeDocument/2006/relationships/image" Target="media/image2440.jpeg"/><Relationship Id="rId2448" Type="http://schemas.openxmlformats.org/officeDocument/2006/relationships/image" Target="media/image2441.jpeg"/><Relationship Id="rId2449" Type="http://schemas.openxmlformats.org/officeDocument/2006/relationships/image" Target="media/image2442.jpeg"/><Relationship Id="rId2450" Type="http://schemas.openxmlformats.org/officeDocument/2006/relationships/image" Target="media/image2443.jpeg"/><Relationship Id="rId2451" Type="http://schemas.openxmlformats.org/officeDocument/2006/relationships/image" Target="media/image2444.jpe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2024-02-21T06:18:41Z</dcterms:created>
  <dcterms:modified xsi:type="dcterms:W3CDTF">2024-02-21T06:18:41Z</dcterms:modified>
</cp:coreProperties>
</file>