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December 20, 2006</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6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(State or other jurisdiction</w:t>
      </w:r>
    </w:p>
    <w:p>
      <w:pPr>
        <w:ind w:left="86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1-7819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ind w:left="1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65" w:orient="portrait"/>
          <w:cols w:equalWidth="0" w:num="3">
            <w:col w:w="3700" w:space="420"/>
            <w:col w:w="1580" w:space="420"/>
            <w:col w:w="4099"/>
          </w:cols>
          <w:pgMar w:left="240" w:top="244" w:right="1440" w:bottom="0" w:gutter="0" w:footer="0" w:header="0"/>
          <w:type w:val="continuous"/>
        </w:sect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One Technology Way, Norwood,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02062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65" w:orient="portrait"/>
          <w:cols w:equalWidth="0" w:num="2">
            <w:col w:w="5400" w:space="720"/>
            <w:col w:w="4099"/>
          </w:cols>
          <w:pgMar w:left="240" w:top="244" w:right="1440" w:bottom="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(781) 329-4700</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1"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communications pursuant to Rule 425 under the Securities Act (17 CFR 230.425)</w:t>
      </w:r>
    </w:p>
    <w:p>
      <w:pPr>
        <w:spacing w:after="0" w:line="208"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1160" w:right="3259" w:hanging="1158"/>
        <w:spacing w:after="0" w:line="236" w:lineRule="auto"/>
        <w:rPr>
          <w:sz w:val="20"/>
          <w:szCs w:val="20"/>
          <w:color w:val="auto"/>
        </w:rPr>
      </w:pPr>
      <w:r>
        <w:rPr>
          <w:rFonts w:ascii="Courier New" w:cs="Courier New" w:eastAsia="Courier New" w:hAnsi="Courier New"/>
          <w:sz w:val="18"/>
          <w:szCs w:val="18"/>
          <w:color w:val="auto"/>
        </w:rPr>
        <w:t>Item 5.02. Departure of Directors or Certain Officers; Election of Directors; Appointment of Certain Officers; Compensatory Arrangements of Certain Officers.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Executive Performance Bonus Plan for Fiscal Year 2007</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December 20, 2006, the Compensation Committee of the Board of Directors of Analog Devices, Inc. (the "Company") approved the terms of an Executive Performance Bonus Plan for fiscal year 2007 (the "Executive Bonus Plan"). All executive officers and other senior management selected by the Chief Executive Officer will participate in the Executive Bonus Plan. Bonus payments under the Executive Bonus Plan are calculated and paid as follows:</w:t>
      </w:r>
    </w:p>
    <w:p>
      <w:pPr>
        <w:spacing w:after="0" w:line="210" w:lineRule="exact"/>
        <w:rPr>
          <w:sz w:val="24"/>
          <w:szCs w:val="24"/>
          <w:color w:val="auto"/>
        </w:rPr>
      </w:pPr>
    </w:p>
    <w:p>
      <w:pPr>
        <w:ind w:right="1999" w:firstLine="535"/>
        <w:spacing w:after="0" w:line="290"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participant's Fiscal 2007 Bonus Target is obtained by multiplying his or her Eligible Earnings by his or her Bonus Target Percentage:</w:t>
      </w:r>
    </w:p>
    <w:p>
      <w:pPr>
        <w:spacing w:after="0" w:line="170" w:lineRule="exact"/>
        <w:rPr>
          <w:sz w:val="24"/>
          <w:szCs w:val="24"/>
          <w:color w:val="auto"/>
        </w:rPr>
      </w:pPr>
    </w:p>
    <w:p>
      <w:pPr>
        <w:ind w:left="540" w:right="177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Earnings - the individual's base pay during the applicable bonus period.</w:t>
      </w:r>
    </w:p>
    <w:p>
      <w:pPr>
        <w:spacing w:after="0" w:line="208" w:lineRule="exact"/>
        <w:rPr>
          <w:rFonts w:ascii="Courier New" w:cs="Courier New" w:eastAsia="Courier New" w:hAnsi="Courier New"/>
          <w:sz w:val="18"/>
          <w:szCs w:val="18"/>
          <w:color w:val="auto"/>
        </w:rPr>
      </w:pPr>
    </w:p>
    <w:p>
      <w:pPr>
        <w:jc w:val="both"/>
        <w:ind w:left="540" w:right="1779" w:hanging="532"/>
        <w:spacing w:after="0" w:line="290"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 Target Percentage - a percentage of the individual's Eligible Earnings, determined individually for each participant by the Compensation</w:t>
      </w:r>
    </w:p>
    <w:p>
      <w:pPr>
        <w:sectPr>
          <w:pgSz w:w="11900" w:h="16865"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Committee and ranging from 35% to 160%.</w:t>
      </w:r>
    </w:p>
    <w:p>
      <w:pPr>
        <w:spacing w:after="0" w:line="207" w:lineRule="exact"/>
        <w:rPr>
          <w:sz w:val="20"/>
          <w:szCs w:val="20"/>
          <w:color w:val="auto"/>
        </w:rPr>
      </w:pPr>
    </w:p>
    <w:p>
      <w:pPr>
        <w:ind w:right="1779" w:firstLine="535"/>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participant's Fiscal 2007 Bonus Target is then multiplied by the Bonus Payout Factor. The Bonus Payout Factor is based on the Company's operating profit before tax as a percentage of revenue for the applicable bonus period, which is adjustable by the Compensation Committee in its sole discretion to exclude special items, including but not limited to: stock-based compensation expense, restructuring-related expense, acquisition-related expense, gain or loss on disposition of businesses, non-recurring royalty payments, and other similar non-cash or non-recurring items. The Bonus Payout Factor can range from zero to three.</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product obtained by multiplying a participant's Fiscal 2007 Bonus Target by the Bonus Payout Factor shall be the Fiscal 2007 Bonus Payment for each participant. Each participant's Fiscal 2007 Bonus Payment can therefore be reduced to zero, or increased by up to three times his or her Fiscal 2007 Bonus Target.</w:t>
      </w:r>
    </w:p>
    <w:p>
      <w:pPr>
        <w:spacing w:after="0" w:line="209" w:lineRule="exact"/>
        <w:rPr>
          <w:sz w:val="20"/>
          <w:szCs w:val="20"/>
          <w:color w:val="auto"/>
        </w:rPr>
      </w:pPr>
    </w:p>
    <w:p>
      <w:pPr>
        <w:ind w:right="1779" w:firstLine="535"/>
        <w:spacing w:after="0" w:line="270" w:lineRule="auto"/>
        <w:tabs>
          <w:tab w:leader="none" w:pos="8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participant's Fiscal 2007 Bonus Payment is then subject to adjustment by his or her Individual Payout Factor as follows. The Individual Payout Factor can increase the calculated bonus payment by as much as 50% or decrease the calculated bonus payment by as much as 50%, based on an evaluation of the participant's performance against a set of individual goals that are focused on key performance indicators, including business unit financial performance, strategic initiatives and overall leadership. At the end of fiscal year 2007, the Chief Executive Officer will review and assess the performance of each of the other participants with respect to his or her goals, and provide his recommendations thereon to the Compensation Committee. In addition, the Compensation Committee will review and assess the Chief Executive Officer's performance with respect to his goals. The Compensation Committee will then determine the Individual Payout Factor for the Chief Executive Officer and each of the other participants, based on the Committee's review and assessment of the performance of each individual toward his or her goals.</w:t>
      </w:r>
    </w:p>
    <w:p>
      <w:pPr>
        <w:spacing w:after="0" w:line="386" w:lineRule="exact"/>
        <w:rPr>
          <w:rFonts w:ascii="Courier New" w:cs="Courier New" w:eastAsia="Courier New" w:hAnsi="Courier New"/>
          <w:sz w:val="16"/>
          <w:szCs w:val="16"/>
          <w:color w:val="auto"/>
        </w:rPr>
      </w:pPr>
    </w:p>
    <w:p>
      <w:pPr>
        <w:ind w:right="1879" w:firstLine="535"/>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payments, if any, under the Executive Bonus Plan will be calculated at the end of each fiscal quarter and distributed after the first half and second half of fiscal year 2007. The Individual Payout Factor adjustments are only assessed and calculated annually at the end of the fiscal year. Therefore, the distribution paid after the first half of fiscal year 2007 will be based only on paragraphs 1 and 2 above. Any Individual Payout Factor adjustments pursuant to paragraph 3 above will be assessed and calculated after the fiscal year end for the full fiscal year and applied only to the distribution which would be otherwise due and payable after the second half of fiscal year 2007 using the calculation described above.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Revised Forms for Usage under 2006 Stock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 Registrant's employees (including executive officers), directors, consultants and advisors are eligible to receive options, stock appreciation rights, restricted stock, restricted stock units and other stock-based awards under the Company's 2006 Stock Incentive Plan (the "2006 Plan"). On December 13, 2006, the Compensation Committee approved a revised form of Confirming Memorandum for Grants of Non-Qualified Stock Options to Employees for usage under the 2006 Plan. The revised form of Confirming Memorandum for Grants of Non-Qualified Stock Options to Employees is filed as an exhibit hereto and is incorporated herein by reference.</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9.01.</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ectPr>
          <w:pgSz w:w="11900" w:h="16838" w:orient="portrait"/>
          <w:cols w:equalWidth="0" w:num="2">
            <w:col w:w="1060" w:space="640"/>
            <w:col w:w="851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Exhibits</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---------- 99.1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Confirming Memorandum for Grants of Non-Qualified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to Employees for usage under the Registrant's 2006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Incentive Plan.</w:t>
      </w:r>
    </w:p>
    <w:p>
      <w:pPr>
        <w:sectPr>
          <w:pgSz w:w="11900" w:h="16838" w:orient="portrait"/>
          <w:cols w:equalWidth="0" w:num="2">
            <w:col w:w="1280" w:space="300"/>
            <w:col w:w="8639"/>
          </w:cols>
          <w:pgMar w:left="240" w:top="136"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22, 2006</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2660" w:space="720"/>
            <w:col w:w="6839"/>
          </w:cols>
          <w:pgMar w:left="240" w:top="1122" w:right="1440" w:bottom="1440" w:gutter="0" w:footer="0" w:header="0"/>
          <w:type w:val="continuous"/>
        </w:sectPr>
      </w:pPr>
    </w:p>
    <w:p>
      <w:pPr>
        <w:spacing w:after="0" w:line="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Vice President, Finance and Chief</w:t>
      </w:r>
    </w:p>
    <w:p>
      <w:pPr>
        <w:spacing w:after="0"/>
        <w:rPr>
          <w:sz w:val="20"/>
          <w:szCs w:val="20"/>
          <w:color w:val="auto"/>
        </w:rPr>
      </w:pPr>
      <w:r>
        <w:rPr>
          <w:rFonts w:ascii="Courier New" w:cs="Courier New" w:eastAsia="Courier New" w:hAnsi="Courier New"/>
          <w:sz w:val="18"/>
          <w:szCs w:val="18"/>
          <w:color w:val="auto"/>
        </w:rPr>
        <w:t>Financial Officer</w:t>
      </w:r>
    </w:p>
    <w:p>
      <w:pPr>
        <w:sectPr>
          <w:pgSz w:w="11900" w:h="16838" w:orient="portrait"/>
          <w:cols w:equalWidth="0" w:num="2">
            <w:col w:w="3700" w:space="200"/>
            <w:col w:w="6319"/>
          </w:cols>
          <w:pgMar w:left="240" w:top="1122" w:right="1440" w:bottom="1440" w:gutter="0" w:footer="0" w:header="0"/>
          <w:type w:val="continuous"/>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Confirming Memorandum for Grants of Non-Qualified Stock</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to Employees for usage under the Registrant's 2006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Incentive Plan.</w:t>
      </w:r>
    </w:p>
    <w:p>
      <w:pPr>
        <w:sectPr>
          <w:pgSz w:w="11900" w:h="16838" w:orient="portrait"/>
          <w:cols w:equalWidth="0" w:num="2">
            <w:col w:w="1280" w:space="300"/>
            <w:col w:w="8639"/>
          </w:cols>
          <w:pgMar w:left="240" w:top="1128"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STOCK OPTION CONFIRMING MEMORANDUM</w:t>
      </w:r>
    </w:p>
    <w:p>
      <w:pPr>
        <w:ind w:left="2440"/>
        <w:spacing w:after="0" w:line="238" w:lineRule="auto"/>
        <w:rPr>
          <w:sz w:val="20"/>
          <w:szCs w:val="20"/>
          <w:color w:val="auto"/>
        </w:rPr>
      </w:pPr>
      <w:r>
        <w:rPr>
          <w:rFonts w:ascii="Courier New" w:cs="Courier New" w:eastAsia="Courier New" w:hAnsi="Courier New"/>
          <w:sz w:val="18"/>
          <w:szCs w:val="18"/>
          <w:color w:val="auto"/>
        </w:rPr>
        <w:t>GRANT OF NON-QUALIFIED STOCK OPTION</w:t>
      </w:r>
    </w:p>
    <w:p>
      <w:pPr>
        <w:ind w:left="2220"/>
        <w:spacing w:after="0"/>
        <w:rPr>
          <w:sz w:val="20"/>
          <w:szCs w:val="20"/>
          <w:color w:val="auto"/>
        </w:rPr>
      </w:pPr>
      <w:r>
        <w:rPr>
          <w:rFonts w:ascii="Courier New" w:cs="Courier New" w:eastAsia="Courier New" w:hAnsi="Courier New"/>
          <w:sz w:val="18"/>
          <w:szCs w:val="18"/>
          <w:color w:val="auto"/>
        </w:rPr>
        <w:t>Private &amp; Confidential (Addressee Only)</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2006 STOCK INCENTIVE PLAN: GENERAL VERSION Division: --- COMPANY</w:t>
      </w:r>
    </w:p>
    <w:p>
      <w:pPr>
        <w:ind w:left="420"/>
        <w:spacing w:after="0" w:line="238" w:lineRule="auto"/>
        <w:rPr>
          <w:sz w:val="20"/>
          <w:szCs w:val="20"/>
          <w:color w:val="auto"/>
        </w:rPr>
      </w:pPr>
      <w:r>
        <w:rPr>
          <w:rFonts w:ascii="Courier New" w:cs="Courier New" w:eastAsia="Courier New" w:hAnsi="Courier New"/>
          <w:sz w:val="18"/>
          <w:szCs w:val="18"/>
          <w:color w:val="auto"/>
        </w:rPr>
        <w:t>CODE: 1010 --- VESTING CODE: G5 Location: --- PLAN CODE:</w:t>
      </w:r>
    </w:p>
    <w:p>
      <w:pPr>
        <w:ind w:left="420"/>
        <w:spacing w:after="0"/>
        <w:rPr>
          <w:sz w:val="20"/>
          <w:szCs w:val="20"/>
          <w:color w:val="auto"/>
        </w:rPr>
      </w:pPr>
      <w:r>
        <w:rPr>
          <w:rFonts w:ascii="Courier New" w:cs="Courier New" w:eastAsia="Courier New" w:hAnsi="Courier New"/>
          <w:sz w:val="18"/>
          <w:szCs w:val="18"/>
          <w:color w:val="auto"/>
        </w:rPr>
        <w:t>06RT/2006-R1</w:t>
      </w:r>
    </w:p>
    <w:p>
      <w:pPr>
        <w:spacing w:after="0" w:line="206" w:lineRule="exact"/>
        <w:rPr>
          <w:sz w:val="20"/>
          <w:szCs w:val="20"/>
          <w:color w:val="auto"/>
        </w:rPr>
      </w:pPr>
    </w:p>
    <w:p>
      <w:pPr>
        <w:ind w:left="420" w:right="1779"/>
        <w:spacing w:after="0" w:line="237" w:lineRule="auto"/>
        <w:rPr>
          <w:sz w:val="20"/>
          <w:szCs w:val="20"/>
          <w:color w:val="auto"/>
        </w:rPr>
      </w:pPr>
      <w:r>
        <w:rPr>
          <w:rFonts w:ascii="Courier New" w:cs="Courier New" w:eastAsia="Courier New" w:hAnsi="Courier New"/>
          <w:sz w:val="18"/>
          <w:szCs w:val="18"/>
          <w:color w:val="auto"/>
        </w:rPr>
        <w:t>We are pleased to advise you that you have been granted an option to purchase #,### shares of Analog Devices, Inc. Common Stock on the terms and conditions set forth below (the "Option"). The grant of this Option reflects Analog's confidence in your commitment and contributions to the success and continued growth of Analog Devices, Inc. (the "Company").</w:t>
      </w:r>
    </w:p>
    <w:p>
      <w:pPr>
        <w:spacing w:after="0" w:line="209" w:lineRule="exact"/>
        <w:rPr>
          <w:sz w:val="20"/>
          <w:szCs w:val="20"/>
          <w:color w:val="auto"/>
        </w:rPr>
      </w:pPr>
    </w:p>
    <w:p>
      <w:pPr>
        <w:ind w:left="420" w:right="1779" w:firstLine="737"/>
        <w:spacing w:after="0" w:line="237" w:lineRule="auto"/>
        <w:rPr>
          <w:sz w:val="20"/>
          <w:szCs w:val="20"/>
          <w:color w:val="auto"/>
        </w:rPr>
      </w:pPr>
      <w:r>
        <w:rPr>
          <w:rFonts w:ascii="Courier New" w:cs="Courier New" w:eastAsia="Courier New" w:hAnsi="Courier New"/>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Date of Grant:</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99/99/9999</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Option Shares Granted:</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w:t>
            </w:r>
          </w:p>
        </w:tc>
        <w:tc>
          <w:tcPr>
            <w:tcW w:w="3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Exercise Price Per Share:</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 TERMS NOT DEFINED HEREIN SHALL HAVE THE MEANINGS ASSIGNED TO SUCH TERMS IN THE PLAN. EXERCISE OF OPTION: The Option is exercisable as follows:</w:t>
      </w:r>
    </w:p>
    <w:p>
      <w:pPr>
        <w:spacing w:after="0" w:line="203" w:lineRule="exact"/>
        <w:rPr>
          <w:sz w:val="20"/>
          <w:szCs w:val="20"/>
          <w:color w:val="auto"/>
        </w:rPr>
      </w:pPr>
    </w:p>
    <w:p>
      <w:pPr>
        <w:ind w:left="2860"/>
        <w:spacing w:after="0"/>
        <w:tabs>
          <w:tab w:leader="none" w:pos="5880" w:val="left"/>
        </w:tabs>
        <w:rPr>
          <w:sz w:val="20"/>
          <w:szCs w:val="20"/>
          <w:color w:val="auto"/>
        </w:rPr>
      </w:pPr>
      <w:r>
        <w:rPr>
          <w:rFonts w:ascii="Courier New" w:cs="Courier New" w:eastAsia="Courier New" w:hAnsi="Courier New"/>
          <w:sz w:val="18"/>
          <w:szCs w:val="18"/>
          <w:color w:val="auto"/>
        </w:rPr>
        <w:t>EXERCISE PERIOD</w:t>
      </w:r>
      <w:r>
        <w:rPr>
          <w:sz w:val="20"/>
          <w:szCs w:val="20"/>
          <w:color w:val="auto"/>
        </w:rPr>
        <w:tab/>
      </w:r>
      <w:r>
        <w:rPr>
          <w:rFonts w:ascii="Courier New" w:cs="Courier New" w:eastAsia="Courier New" w:hAnsi="Courier New"/>
          <w:sz w:val="16"/>
          <w:szCs w:val="16"/>
          <w:color w:val="auto"/>
        </w:rPr>
        <w:t>NUMBER OF SHARES</w:t>
      </w:r>
    </w:p>
    <w:p>
      <w:pPr>
        <w:ind w:left="128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2860" w:type="dxa"/>
        <w:tblCellMar>
          <w:top w:w="0" w:type="dxa"/>
          <w:left w:w="0" w:type="dxa"/>
          <w:bottom w:w="0" w:type="dxa"/>
          <w:right w:w="0" w:type="dxa"/>
        </w:tblCellMar>
      </w:tblPr>
      <w:tr>
        <w:trPr>
          <w:trHeight w:val="203"/>
        </w:trPr>
        <w:tc>
          <w:tcPr>
            <w:tcW w:w="3000" w:type="dxa"/>
            <w:vAlign w:val="bottom"/>
            <w:gridSpan w:val="3"/>
          </w:tcPr>
          <w:p>
            <w:pPr>
              <w:spacing w:after="0"/>
              <w:rPr>
                <w:sz w:val="20"/>
                <w:szCs w:val="20"/>
                <w:color w:val="auto"/>
              </w:rPr>
            </w:pPr>
            <w:r>
              <w:rPr>
                <w:rFonts w:ascii="Courier New" w:cs="Courier New" w:eastAsia="Courier New" w:hAnsi="Courier New"/>
                <w:sz w:val="18"/>
                <w:szCs w:val="18"/>
                <w:color w:val="auto"/>
              </w:rPr>
              <w:t>Vesting Period #1</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w:t>
            </w:r>
          </w:p>
        </w:tc>
        <w:tc>
          <w:tcPr>
            <w:tcW w:w="148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#2</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w:t>
            </w:r>
          </w:p>
        </w:tc>
        <w:tc>
          <w:tcPr>
            <w:tcW w:w="148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#3</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420" w:right="1879"/>
        <w:spacing w:after="0" w:line="237" w:lineRule="auto"/>
        <w:rPr>
          <w:sz w:val="20"/>
          <w:szCs w:val="20"/>
          <w:color w:val="auto"/>
        </w:rPr>
      </w:pPr>
      <w:r>
        <w:rPr>
          <w:rFonts w:ascii="Courier New" w:cs="Courier New" w:eastAsia="Courier New" w:hAnsi="Courier New"/>
          <w:sz w:val="18"/>
          <w:szCs w:val="18"/>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TERM OF OPTION; TERMINATION OF EMPLOYMENT:</w:t>
      </w:r>
    </w:p>
    <w:p>
      <w:pPr>
        <w:spacing w:after="0" w:line="207" w:lineRule="exact"/>
        <w:rPr>
          <w:sz w:val="20"/>
          <w:szCs w:val="20"/>
          <w:color w:val="auto"/>
        </w:rPr>
      </w:pPr>
    </w:p>
    <w:p>
      <w:pPr>
        <w:ind w:left="540" w:right="1779" w:hanging="532"/>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of the Option is ten (10) years after the Date of Grant, subject, however, to the early termination provisions set forth herein.</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207"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shall terminate on the date the Optionee voluntarily terminates employment with the Company or one of its subsidiaries (except by reason of retirement after attaining age 60 as provided below) or on the date his/her employment is terminated by the Company without "Cause" (as defined in paragraph 4), but any Option Shares that are exercisable on the date of such termination shall continue to be exercisable for a period of three (3) months following such termination date.</w:t>
      </w:r>
    </w:p>
    <w:p>
      <w:pPr>
        <w:spacing w:after="0" w:line="211"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shall terminate on the date the Optionee's employment with the Company or one of its subsidiaries is terminated by the Company for "Cause",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209"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death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07"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Optionee's employment with the Company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(as determined in the sole discretion of the Company).</w:t>
      </w:r>
    </w:p>
    <w:p>
      <w:pPr>
        <w:sectPr>
          <w:pgSz w:w="11900" w:h="16838" w:orient="portrait"/>
          <w:cols w:equalWidth="0" w:num="1">
            <w:col w:w="10219"/>
          </w:cols>
          <w:pgMar w:left="240" w:top="136" w:right="1440" w:bottom="0" w:gutter="0" w:footer="0" w:header="0"/>
        </w:sectPr>
      </w:pPr>
    </w:p>
    <w:bookmarkStart w:id="5" w:name="page6"/>
    <w:bookmarkEnd w:id="5"/>
    <w:p>
      <w:pPr>
        <w:jc w:val="both"/>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employment of the Optionee terminates due to disability (as determined by the Company), the Option Shares that are not exercisable as of the date of disability shall become exercisable on the date or dates (over the remaining 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used herein, the terms "employment" and "employee" shall mean and include any one of the following relationships with the Company: director, employee, consultant or advisor.</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 OF PURCHASE PRICE: The following payment methods may be used to purchase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Shares:</w:t>
      </w:r>
    </w:p>
    <w:p>
      <w:pPr>
        <w:spacing w:after="0" w:line="201" w:lineRule="exact"/>
        <w:rPr>
          <w:sz w:val="20"/>
          <w:szCs w:val="20"/>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cashless exercise in a manner described in the Plan.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or check payable to the Company.</w:t>
      </w:r>
    </w:p>
    <w:p>
      <w:pPr>
        <w:spacing w:after="0" w:line="206" w:lineRule="exact"/>
        <w:rPr>
          <w:rFonts w:ascii="Courier New" w:cs="Courier New" w:eastAsia="Courier New" w:hAnsi="Courier New"/>
          <w:sz w:val="18"/>
          <w:szCs w:val="18"/>
          <w:color w:val="auto"/>
        </w:rPr>
      </w:pPr>
    </w:p>
    <w:p>
      <w:pPr>
        <w:jc w:val="both"/>
        <w:ind w:left="1060" w:right="1779" w:hanging="52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above methods.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copy of the Plan prospectus and brochure describing the principal features of the Plan is available on the Company's Intranet at www.analog.com/employee (from Signals home page, click Knowledge Centers, Employee Stock Programs. The related documents can be found in the right-hand column). If you have any questions regarding your stock option, please contact your regional stock plan administrator, Jennifer Baptiste at (781)461-3889 or Jennifer.Baptiste@Analog.com; or Fran Sarro, Assistant Treasurer, at (781) 461-3907 or email Fran.Sarro@Analog.com. If you are unable to access this information via the Intranet, your regional stock plan administrator can provide you with copies.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Ray Stata</w:t>
            </w:r>
          </w:p>
        </w:tc>
        <w:tc>
          <w:tcPr>
            <w:tcW w:w="4380" w:type="dxa"/>
            <w:vAlign w:val="bottom"/>
          </w:tcPr>
          <w:p>
            <w:pPr>
              <w:ind w:left="680"/>
              <w:spacing w:after="0"/>
              <w:rPr>
                <w:sz w:val="20"/>
                <w:szCs w:val="20"/>
                <w:color w:val="auto"/>
              </w:rPr>
            </w:pPr>
            <w:r>
              <w:rPr>
                <w:rFonts w:ascii="Courier New" w:cs="Courier New" w:eastAsia="Courier New" w:hAnsi="Courier New"/>
                <w:sz w:val="18"/>
                <w:szCs w:val="18"/>
                <w:color w:val="auto"/>
              </w:rPr>
              <w:t>/s/ Jerald G. Fishman</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3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Ray</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Stata</w:t>
            </w:r>
          </w:p>
        </w:tc>
        <w:tc>
          <w:tcPr>
            <w:tcW w:w="43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Jerald G. Fishman</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43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7"/>
              </w:rPr>
              <w:t>President &amp; Chief Executive Officer</w:t>
            </w:r>
          </w:p>
        </w:tc>
      </w:tr>
    </w:tbl>
    <w:p>
      <w:pPr>
        <w:spacing w:after="0" w:line="1" w:lineRule="exact"/>
        <w:rPr>
          <w:sz w:val="20"/>
          <w:szCs w:val="20"/>
          <w:color w:val="auto"/>
        </w:rPr>
      </w:pP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o"/>
      <w:numFmt w:val="bullet"/>
      <w:start w:val="1"/>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2019-12-11T16:48:36Z</dcterms:created>
  <dcterms:modified xsi:type="dcterms:W3CDTF">2019-12-11T16:48:36Z</dcterms:modified>
</cp:coreProperties>
</file>