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3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0"/>
          <w:szCs w:val="20"/>
          <w:color w:val="auto"/>
        </w:rPr>
      </w:pPr>
    </w:p>
    <w:p>
      <w:pPr>
        <w:spacing w:after="0" w:line="28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2980" w:right="1599" w:hanging="1205"/>
        <w:spacing w:after="0" w:line="261" w:lineRule="auto"/>
        <w:tabs>
          <w:tab w:leader="none" w:pos="2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ANNUAL REPORT PURSUANT TO SECTION 15 (d) OF THE SECURITIES EXCHANGE ACT OF 1934 (NO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-172720</wp:posOffset>
            </wp:positionV>
            <wp:extent cx="24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17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For the fiscal year ended December 31, 2002</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OR</w:t>
      </w:r>
    </w:p>
    <w:p>
      <w:pPr>
        <w:spacing w:after="0" w:line="200" w:lineRule="exact"/>
        <w:rPr>
          <w:sz w:val="20"/>
          <w:szCs w:val="20"/>
          <w:color w:val="auto"/>
        </w:rPr>
      </w:pPr>
    </w:p>
    <w:p>
      <w:pPr>
        <w:spacing w:after="0" w:line="268" w:lineRule="exact"/>
        <w:rPr>
          <w:sz w:val="20"/>
          <w:szCs w:val="20"/>
          <w:color w:val="auto"/>
        </w:rPr>
      </w:pPr>
    </w:p>
    <w:p>
      <w:pPr>
        <w:ind w:left="2980" w:right="1279"/>
        <w:spacing w:after="0" w:line="268" w:lineRule="auto"/>
        <w:rPr>
          <w:sz w:val="20"/>
          <w:szCs w:val="20"/>
          <w:color w:val="auto"/>
        </w:rPr>
      </w:pPr>
      <w:r>
        <w:rPr>
          <w:rFonts w:ascii="Arial" w:cs="Arial" w:eastAsia="Arial" w:hAnsi="Arial"/>
          <w:sz w:val="18"/>
          <w:szCs w:val="18"/>
          <w:color w:val="auto"/>
        </w:rPr>
        <w:t>TRANSITION REPORT PURSUANT TO SECTION 15 (d) OF THE SECURITIES EXCHANGE ACT OF 1934 (NO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-175895</wp:posOffset>
            </wp:positionV>
            <wp:extent cx="250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825" cy="8890"/>
                    </a:xfrm>
                    <a:prstGeom prst="rect">
                      <a:avLst/>
                    </a:prstGeom>
                    <a:noFill/>
                  </pic:spPr>
                </pic:pic>
              </a:graphicData>
            </a:graphic>
          </wp:anchor>
        </w:drawing>
      </w:r>
    </w:p>
    <w:p>
      <w:pPr>
        <w:spacing w:after="0" w:line="16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For the transition period from_______________ to ________________</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Commission file number 1-7819</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ANALOG DEVICES, INC.</w:t>
      </w:r>
    </w:p>
    <w:p>
      <w:pPr>
        <w:spacing w:after="0" w:line="3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THE INVESTMENT PARTNERSHIP PLAN</w:t>
      </w:r>
    </w:p>
    <w:p>
      <w:pPr>
        <w:spacing w:after="0" w:line="7"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86"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ANALOG DEVICES, INC.</w:t>
      </w:r>
    </w:p>
    <w:p>
      <w:pPr>
        <w:spacing w:after="0" w:line="43"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(Name of issuer of the securities held pursuant to the plan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and the address of its principal executive office)</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24"/>
          <w:szCs w:val="24"/>
          <w:color w:val="auto"/>
        </w:rPr>
        <w:t>One Technology Way</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4"/>
          <w:szCs w:val="24"/>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THE INVESTMENT PARTNERSHIP PLAN</w:t>
        </w:r>
      </w:hyperlink>
    </w:p>
    <w:p>
      <w:pPr>
        <w:spacing w:after="0" w:line="8" w:lineRule="exact"/>
        <w:rPr>
          <w:sz w:val="20"/>
          <w:szCs w:val="20"/>
          <w:color w:val="auto"/>
        </w:rPr>
      </w:pPr>
    </w:p>
    <w:p>
      <w:pPr>
        <w:ind w:right="249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REPORT OF ERNST &amp; YOUNG LLP, INDEPENDENT AUDITORS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STATEMENTS OF NET ASSETS AVAILABLE FOR BENEFITS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STATEMENTS OF CHANGES IN NET ASSETS AVAILABLE FOR BENEFITS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NOTES TO FINANCIAL STATEMENTS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SUPPLEMENTAL SCHEDULE</w:t>
        </w:r>
      </w:hyperlink>
    </w:p>
    <w:p>
      <w:pPr>
        <w:spacing w:after="0" w:line="233"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EX-23.1 CONSENT OF ERNST &amp; YOUNG LLP</w:t>
      </w:r>
    </w:p>
    <w:p>
      <w:pPr>
        <w:spacing w:after="0" w:line="231" w:lineRule="auto"/>
        <w:rPr>
          <w:sz w:val="20"/>
          <w:szCs w:val="20"/>
          <w:color w:val="auto"/>
        </w:rPr>
      </w:pPr>
      <w:r>
        <w:rPr>
          <w:rFonts w:ascii="Arial" w:cs="Arial" w:eastAsia="Arial" w:hAnsi="Arial"/>
          <w:sz w:val="22"/>
          <w:szCs w:val="22"/>
          <w:u w:val="single" w:color="auto"/>
          <w:color w:val="0000EE"/>
        </w:rPr>
        <w:t>EX-99.1 CERTIFICATION CHIEF EXECUTIVE OFFICER</w:t>
      </w:r>
    </w:p>
    <w:p>
      <w:pPr>
        <w:spacing w:after="0"/>
        <w:rPr>
          <w:sz w:val="20"/>
          <w:szCs w:val="20"/>
          <w:color w:val="auto"/>
        </w:rPr>
      </w:pPr>
      <w:r>
        <w:rPr>
          <w:rFonts w:ascii="Arial" w:cs="Arial" w:eastAsia="Arial" w:hAnsi="Arial"/>
          <w:sz w:val="22"/>
          <w:szCs w:val="22"/>
          <w:u w:val="single" w:color="auto"/>
          <w:color w:val="0000EE"/>
        </w:rPr>
        <w:t>EX-99.2 CERTIFICATION CHIEF FINANCIAL OFFICER</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INVESTMENT PARTNERSHIP PLAN</w:t>
      </w: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Audited Statements of Net Assets Available for Benefits as of December 31, 2002 and 2001.</w:t>
      </w:r>
    </w:p>
    <w:p>
      <w:pPr>
        <w:spacing w:after="0" w:line="225" w:lineRule="exact"/>
        <w:rPr>
          <w:rFonts w:ascii="Arial" w:cs="Arial" w:eastAsia="Arial" w:hAnsi="Arial"/>
          <w:sz w:val="18"/>
          <w:szCs w:val="18"/>
          <w:color w:val="auto"/>
        </w:rPr>
      </w:pPr>
    </w:p>
    <w:p>
      <w:pPr>
        <w:ind w:left="4880" w:right="1359" w:hanging="4872"/>
        <w:spacing w:after="0" w:line="50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Audited Statements of Changes in Net Assets Available for Benefits for the Years Ended December 31, 2002 and 2001. </w:t>
      </w:r>
      <w:r>
        <w:rPr>
          <w:rFonts w:ascii="Arial" w:cs="Arial" w:eastAsia="Arial" w:hAnsi="Arial"/>
          <w:sz w:val="18"/>
          <w:szCs w:val="18"/>
          <w:u w:val="single" w:color="auto"/>
          <w:color w:val="auto"/>
        </w:rPr>
        <w:t>Supplemental Schedule</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 H-Line 4i — Schedule of Assets (Held at End of Year)</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Consent of Ernst &amp; Young LLP, filed herewith.</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Certifications Pursuant to 18 U.S.C. Section 1350</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statements of net assets available for benefits of Analog Devices, Inc. The Investment Partnership Plan as of December 31, 2002 and 2001,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6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2002 and 2001, and changes in its net assets available for benefits for the years then ended, in conformity with accounting principles generally accepted in the United States.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2002,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285750</wp:posOffset>
            </wp:positionV>
            <wp:extent cx="185229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2003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December 31, 2002 and 2001</w:t>
      </w:r>
    </w:p>
    <w:p>
      <w:pPr>
        <w:spacing w:after="0" w:line="200" w:lineRule="exact"/>
        <w:rPr>
          <w:sz w:val="20"/>
          <w:szCs w:val="20"/>
          <w:color w:val="auto"/>
        </w:rPr>
      </w:pPr>
    </w:p>
    <w:p>
      <w:pPr>
        <w:spacing w:after="0" w:line="268"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480" w:type="dxa"/>
            <w:vAlign w:val="bottom"/>
          </w:tcPr>
          <w:p>
            <w:pPr>
              <w:spacing w:after="0"/>
              <w:rPr>
                <w:sz w:val="19"/>
                <w:szCs w:val="19"/>
                <w:color w:val="auto"/>
              </w:rPr>
            </w:pPr>
          </w:p>
        </w:tc>
        <w:tc>
          <w:tcPr>
            <w:tcW w:w="1640" w:type="dxa"/>
            <w:vAlign w:val="bottom"/>
            <w:gridSpan w:val="3"/>
          </w:tcPr>
          <w:p>
            <w:pPr>
              <w:jc w:val="right"/>
              <w:ind w:right="132"/>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gridSpan w:val="3"/>
            <w:vMerge w:val="restart"/>
          </w:tcPr>
          <w:p>
            <w:pPr>
              <w:jc w:val="center"/>
              <w:ind w:right="1840"/>
              <w:spacing w:after="0"/>
              <w:rPr>
                <w:sz w:val="20"/>
                <w:szCs w:val="20"/>
                <w:color w:val="auto"/>
              </w:rPr>
            </w:pPr>
            <w:r>
              <w:rPr>
                <w:rFonts w:ascii="Arial" w:cs="Arial" w:eastAsia="Arial" w:hAnsi="Arial"/>
                <w:sz w:val="18"/>
                <w:szCs w:val="18"/>
                <w:color w:val="auto"/>
                <w:w w:val="90"/>
              </w:rPr>
              <w:t>ASSETS</w:t>
            </w: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$465,303,388</w:t>
            </w:r>
          </w:p>
        </w:tc>
        <w:tc>
          <w:tcPr>
            <w:tcW w:w="4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$596,540,422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rPr>
              <w:t>Accrued interest and dividends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178,603</w:t>
            </w:r>
          </w:p>
        </w:tc>
        <w:tc>
          <w:tcPr>
            <w:tcW w:w="4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691,336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Contributions receivable</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586,707</w:t>
            </w:r>
          </w:p>
        </w:tc>
        <w:tc>
          <w:tcPr>
            <w:tcW w:w="4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980,836</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5"/>
          </w:tcPr>
          <w:p>
            <w:pPr>
              <w:spacing w:after="0"/>
              <w:rPr>
                <w:sz w:val="20"/>
                <w:szCs w:val="20"/>
                <w:color w:val="auto"/>
              </w:rPr>
            </w:pPr>
            <w:r>
              <w:rPr>
                <w:rFonts w:ascii="Arial" w:cs="Arial" w:eastAsia="Arial" w:hAnsi="Arial"/>
                <w:sz w:val="18"/>
                <w:szCs w:val="18"/>
                <w:color w:val="auto"/>
              </w:rPr>
              <w:t>Participant loans receivable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8,677,811</w:t>
            </w:r>
          </w:p>
        </w:tc>
        <w:tc>
          <w:tcPr>
            <w:tcW w:w="4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9,150,870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474,746,509</w:t>
            </w:r>
          </w:p>
        </w:tc>
        <w:tc>
          <w:tcPr>
            <w:tcW w:w="4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607,363,464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660" w:type="dxa"/>
            <w:vAlign w:val="bottom"/>
            <w:gridSpan w:val="4"/>
            <w:vMerge w:val="restart"/>
          </w:tcPr>
          <w:p>
            <w:pPr>
              <w:jc w:val="center"/>
              <w:ind w:right="166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4"/>
                <w:szCs w:val="24"/>
                <w:color w:val="auto"/>
              </w:rPr>
            </w:pPr>
          </w:p>
        </w:tc>
        <w:tc>
          <w:tcPr>
            <w:tcW w:w="266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Payables – Pending investment transactions</w:t>
            </w:r>
          </w:p>
        </w:tc>
        <w:tc>
          <w:tcPr>
            <w:tcW w:w="178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(682,291)</w:t>
            </w: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5"/>
          </w:tcPr>
          <w:p>
            <w:pPr>
              <w:spacing w:after="0"/>
              <w:rPr>
                <w:sz w:val="20"/>
                <w:szCs w:val="20"/>
                <w:color w:val="auto"/>
              </w:rPr>
            </w:pPr>
            <w:r>
              <w:rPr>
                <w:rFonts w:ascii="Arial" w:cs="Arial" w:eastAsia="Arial" w:hAnsi="Arial"/>
                <w:sz w:val="18"/>
                <w:szCs w:val="18"/>
                <w:color w:val="auto"/>
              </w:rPr>
              <w:t>Net assets available for benefits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$474,064,218</w:t>
            </w:r>
          </w:p>
        </w:tc>
        <w:tc>
          <w:tcPr>
            <w:tcW w:w="4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$607,363,464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Years ended December 31, 2002 and 2001</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Investment income (loss):</w:t>
            </w:r>
          </w:p>
        </w:tc>
        <w:tc>
          <w:tcPr>
            <w:tcW w:w="5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756,662</w:t>
            </w:r>
          </w:p>
        </w:tc>
        <w:tc>
          <w:tcPr>
            <w:tcW w:w="6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616,776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Change in net unrealized/realized depreciation</w:t>
            </w:r>
          </w:p>
        </w:tc>
        <w:tc>
          <w:tcPr>
            <w:tcW w:w="5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7"/>
              </w:rPr>
              <w:t>(151,692,973)</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(68,287,918)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Dividend income and capital gains distributions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5,235,525</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11,408,039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Net investment loss</w:t>
            </w:r>
          </w:p>
        </w:tc>
        <w:tc>
          <w:tcPr>
            <w:tcW w:w="5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7"/>
              </w:rPr>
              <w:t>(145,700,786)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(56,263,103)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Contributions:</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Employer</w:t>
            </w:r>
          </w:p>
        </w:tc>
        <w:tc>
          <w:tcPr>
            <w:tcW w:w="5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20,999,276</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20,125,821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Employee</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24,423,999</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25,609,433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 contributions</w:t>
            </w:r>
          </w:p>
        </w:tc>
        <w:tc>
          <w:tcPr>
            <w:tcW w:w="5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45,423,275</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45,735,254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Participant withdrawals</w:t>
            </w:r>
          </w:p>
        </w:tc>
        <w:tc>
          <w:tcPr>
            <w:tcW w:w="56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(33,021,735)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(21,820,355)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Net (decrease) in net assets available for benefits</w:t>
            </w:r>
          </w:p>
        </w:tc>
        <w:tc>
          <w:tcPr>
            <w:tcW w:w="5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7"/>
              </w:rPr>
              <w:t>(133,299,246)</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(32,348,204)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607,363,464</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3"/>
              </w:rPr>
              <w:t>639,711,668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 at end of year</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474,064,218</w:t>
            </w:r>
          </w:p>
        </w:tc>
        <w:tc>
          <w:tcPr>
            <w:tcW w:w="6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607,363,464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2002 and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Plan</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219" w:lineRule="exact"/>
        <w:rPr>
          <w:sz w:val="20"/>
          <w:szCs w:val="20"/>
          <w:color w:val="auto"/>
        </w:rPr>
      </w:pPr>
    </w:p>
    <w:p>
      <w:pPr>
        <w:ind w:left="240" w:hanging="2"/>
        <w:spacing w:after="0" w:line="268" w:lineRule="auto"/>
        <w:tabs>
          <w:tab w:leader="none" w:pos="59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Income Security Act of 1974 (“ERISA”).</w:t>
      </w:r>
    </w:p>
    <w:p>
      <w:pPr>
        <w:spacing w:after="0" w:line="185" w:lineRule="exact"/>
        <w:rPr>
          <w:rFonts w:ascii="Arial" w:cs="Arial" w:eastAsia="Arial" w:hAnsi="Arial"/>
          <w:sz w:val="18"/>
          <w:szCs w:val="18"/>
          <w:color w:val="auto"/>
        </w:rPr>
      </w:pPr>
    </w:p>
    <w:p>
      <w:pPr>
        <w:ind w:left="240" w:right="60" w:hanging="2"/>
        <w:spacing w:after="0" w:line="259" w:lineRule="auto"/>
        <w:tabs>
          <w:tab w:leader="none" w:pos="59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pay-period of the month following 30 days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contributions are effective on the first day of a calendar quarter following one year of service. For eligibility purposes, a year of service is a 12-month period during which an employee completes at least 1,000 hours of service.</w:t>
      </w:r>
    </w:p>
    <w:p>
      <w:pPr>
        <w:spacing w:after="0" w:line="194" w:lineRule="exact"/>
        <w:rPr>
          <w:rFonts w:ascii="Arial" w:cs="Arial" w:eastAsia="Arial" w:hAnsi="Arial"/>
          <w:sz w:val="18"/>
          <w:szCs w:val="18"/>
          <w:color w:val="auto"/>
        </w:rPr>
      </w:pPr>
    </w:p>
    <w:p>
      <w:pPr>
        <w:ind w:left="240" w:right="100" w:hanging="2"/>
        <w:spacing w:after="0" w:line="291" w:lineRule="auto"/>
        <w:tabs>
          <w:tab w:leader="none" w:pos="59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The Company makes an annual basic contribution to the Plan equal to 5% of each participant’s total eligible compensation.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Service defined total eligible compensation as an amount not to exceed $200,000 for 2002 and $170,000 in 2001. For 2003, this amount will remain at $200,000. The Company also matches each participant’s pre-tax contribution, if any, by contributing an amount not to exceed 3% (for all participants, except those eligible to participate in the Deferred Compensation Plan) of such participant’s total eligible compensation. Effective January 1, 2002, a participant may voluntarily contribute to the Plan up to 50% of his or her pre-tax total eligible compensation, (12% in 2001); however, pre-tax contributions could not exceed $11,000 in 2002 and $10,500 in 2001. This amount will increase to $12,000 for 2003.</w:t>
      </w:r>
    </w:p>
    <w:p>
      <w:pPr>
        <w:spacing w:after="0" w:line="174"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86" w:lineRule="exact"/>
        <w:rPr>
          <w:sz w:val="20"/>
          <w:szCs w:val="20"/>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Income Fund</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Analog Devices, Inc. Common Stock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Equity Index Commingled Pool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Low-Priced Stock Fund</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Templeton Foreign Fund I</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2040 Fund</w:t>
      </w:r>
    </w:p>
    <w:p>
      <w:pPr>
        <w:spacing w:after="0" w:line="219" w:lineRule="exact"/>
        <w:rPr>
          <w:sz w:val="20"/>
          <w:szCs w:val="20"/>
          <w:color w:val="auto"/>
        </w:rPr>
      </w:pPr>
    </w:p>
    <w:p>
      <w:pPr>
        <w:ind w:left="240" w:right="200"/>
        <w:spacing w:after="0" w:line="332" w:lineRule="auto"/>
        <w:rPr>
          <w:sz w:val="20"/>
          <w:szCs w:val="20"/>
          <w:color w:val="auto"/>
        </w:rPr>
      </w:pPr>
      <w:r>
        <w:rPr>
          <w:rFonts w:ascii="Arial" w:cs="Arial" w:eastAsia="Arial" w:hAnsi="Arial"/>
          <w:sz w:val="16"/>
          <w:szCs w:val="16"/>
          <w:color w:val="auto"/>
        </w:rPr>
        <w:t>Additionally, participants have the option to invest vested assets in Fidelity and non-Fidelity funds, which are not offered in the Plan, through a self-directed brokerage service that allows participants access to a wide variety of stocks, bonds, short-term securities and mutual funds.</w:t>
      </w:r>
    </w:p>
    <w:p>
      <w:pPr>
        <w:spacing w:after="0" w:line="139" w:lineRule="exact"/>
        <w:rPr>
          <w:sz w:val="20"/>
          <w:szCs w:val="20"/>
          <w:color w:val="auto"/>
        </w:rPr>
      </w:pPr>
    </w:p>
    <w:p>
      <w:pPr>
        <w:ind w:left="240" w:right="120" w:hanging="2"/>
        <w:spacing w:after="0" w:line="255" w:lineRule="auto"/>
        <w:tabs>
          <w:tab w:leader="none" w:pos="591"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Employee contributions are immediately 100% vested and nonforfeitable at the time they are deducted from the participants’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on employee contributions vests as earned. Effective January 1, 2002, Company match contributions made thereon and investment earnings become vested after three years of service. Company contributions (both basic and pre-2002 match) and investment earnings thereon become fully vested upon the first to occur of (i) completion of five years of service with the Company, (ii) after reaching age 65 or (iii) upon death or permanent disability while employed by the Company.</w:t>
      </w:r>
    </w:p>
    <w:p>
      <w:pPr>
        <w:spacing w:after="0" w:line="196" w:lineRule="exact"/>
        <w:rPr>
          <w:rFonts w:ascii="Arial" w:cs="Arial" w:eastAsia="Arial" w:hAnsi="Arial"/>
          <w:sz w:val="18"/>
          <w:szCs w:val="18"/>
          <w:color w:val="auto"/>
        </w:rPr>
      </w:pPr>
    </w:p>
    <w:p>
      <w:pPr>
        <w:ind w:left="240" w:right="180" w:hanging="2"/>
        <w:spacing w:after="0" w:line="294" w:lineRule="auto"/>
        <w:tabs>
          <w:tab w:leader="none" w:pos="59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Upon normal retirement at age 65, death, permanent disability or termination of employment, the participant’s vested benefits are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$5,000 for 2002 and 2001, upon termination of employment, distribution will be made in the form of a lump-sum payment within one year following termination of employment. Participants may request an in-service withdrawal for any reason after he or she attains age 59 1/2.</w:t>
      </w:r>
    </w:p>
    <w:p>
      <w:pPr>
        <w:spacing w:after="0" w:line="169" w:lineRule="exact"/>
        <w:rPr>
          <w:rFonts w:ascii="Arial" w:cs="Arial" w:eastAsia="Arial" w:hAnsi="Arial"/>
          <w:sz w:val="16"/>
          <w:szCs w:val="16"/>
          <w:color w:val="auto"/>
        </w:rPr>
      </w:pPr>
    </w:p>
    <w:p>
      <w:pPr>
        <w:ind w:left="240" w:hanging="2"/>
        <w:spacing w:after="0" w:line="298" w:lineRule="auto"/>
        <w:tabs>
          <w:tab w:leader="none" w:pos="59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Loans</w:t>
      </w:r>
      <w:r>
        <w:rPr>
          <w:rFonts w:ascii="Arial" w:cs="Arial" w:eastAsia="Arial" w:hAnsi="Arial"/>
          <w:sz w:val="16"/>
          <w:szCs w:val="16"/>
          <w:color w:val="auto"/>
        </w:rPr>
        <w:t>. Participants may borrow the lesser of 50% of their vested account balance or $50,000, as defined by the Plan. Participants repay loans plus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to their accounts through payroll deductions generally over a five-year period unless for the purchase of a primary residence, in which case the repayment period may be extended up to twenty years. The interest rate on loans, which is announced quarterly, is tied to the interest rate of Treasury Bonds with 3- and 10-year maturities. Once determined, the interest rate is fixed for the duration of the loan.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9" w:lineRule="exact"/>
        <w:rPr>
          <w:sz w:val="20"/>
          <w:szCs w:val="20"/>
          <w:color w:val="auto"/>
        </w:rPr>
      </w:pPr>
    </w:p>
    <w:p>
      <w:pPr>
        <w:ind w:left="240" w:right="200" w:hanging="2"/>
        <w:spacing w:after="0" w:line="323" w:lineRule="auto"/>
        <w:tabs>
          <w:tab w:leader="none" w:pos="591"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Accounting</w:t>
      </w:r>
      <w:r>
        <w:rPr>
          <w:rFonts w:ascii="Arial" w:cs="Arial" w:eastAsia="Arial" w:hAnsi="Arial"/>
          <w:sz w:val="15"/>
          <w:szCs w:val="15"/>
          <w:color w:val="auto"/>
        </w:rPr>
        <w:t>. A separate account is maintained for each participant. Account balances are adjusted periodically for employee and matching employer</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withdrawals and a pro rata share of net investment income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152" w:lineRule="exact"/>
        <w:rPr>
          <w:sz w:val="20"/>
          <w:szCs w:val="20"/>
          <w:color w:val="auto"/>
        </w:rPr>
      </w:pPr>
    </w:p>
    <w:p>
      <w:pPr>
        <w:ind w:left="240" w:right="380"/>
        <w:spacing w:after="0" w:line="259"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proportion of units in each participant’s account, except for the Self-Directed Brokerage Service, whereby earnings are recorded on a transaction specific basis.</w:t>
      </w:r>
    </w:p>
    <w:p>
      <w:pPr>
        <w:spacing w:after="0" w:line="194" w:lineRule="exact"/>
        <w:rPr>
          <w:sz w:val="20"/>
          <w:szCs w:val="20"/>
          <w:color w:val="auto"/>
        </w:rPr>
      </w:pPr>
    </w:p>
    <w:p>
      <w:pPr>
        <w:ind w:left="240" w:hanging="2"/>
        <w:spacing w:after="0" w:line="370" w:lineRule="auto"/>
        <w:tabs>
          <w:tab w:leader="none" w:pos="591" w:val="left"/>
        </w:tabs>
        <w:numPr>
          <w:ilvl w:val="1"/>
          <w:numId w:val="8"/>
        </w:numPr>
        <w:rPr>
          <w:rFonts w:ascii="Arial" w:cs="Arial" w:eastAsia="Arial" w:hAnsi="Arial"/>
          <w:sz w:val="15"/>
          <w:szCs w:val="15"/>
          <w:color w:val="auto"/>
        </w:rPr>
      </w:pPr>
      <w:r>
        <w:rPr>
          <w:rFonts w:ascii="Arial" w:cs="Arial" w:eastAsia="Arial" w:hAnsi="Arial"/>
          <w:sz w:val="15"/>
          <w:szCs w:val="15"/>
          <w:i w:val="1"/>
          <w:iCs w:val="1"/>
          <w:color w:val="auto"/>
        </w:rPr>
        <w:t>Investment allocation</w:t>
      </w:r>
      <w:r>
        <w:rPr>
          <w:rFonts w:ascii="Arial" w:cs="Arial" w:eastAsia="Arial" w:hAnsi="Arial"/>
          <w:sz w:val="15"/>
          <w:szCs w:val="15"/>
          <w:color w:val="auto"/>
        </w:rPr>
        <w:t>. The vested and nonvested share of a participant’s account balance is invested in one or more of the funds depending upon the</w:t>
      </w:r>
      <w:r>
        <w:rPr>
          <w:rFonts w:ascii="Arial" w:cs="Arial" w:eastAsia="Arial" w:hAnsi="Arial"/>
          <w:sz w:val="15"/>
          <w:szCs w:val="15"/>
          <w:i w:val="1"/>
          <w:iCs w:val="1"/>
          <w:color w:val="auto"/>
        </w:rPr>
        <w:t xml:space="preserve"> </w:t>
      </w:r>
      <w:r>
        <w:rPr>
          <w:rFonts w:ascii="Arial" w:cs="Arial" w:eastAsia="Arial" w:hAnsi="Arial"/>
          <w:sz w:val="15"/>
          <w:szCs w:val="15"/>
          <w:color w:val="auto"/>
        </w:rPr>
        <w:t>allocation instructions of the participant. In the absence of such allocation instructions, all amounts accruing to the participant are invested in the Income Fund.</w:t>
      </w:r>
    </w:p>
    <w:p>
      <w:pPr>
        <w:spacing w:after="0" w:line="116" w:lineRule="exact"/>
        <w:rPr>
          <w:rFonts w:ascii="Arial" w:cs="Arial" w:eastAsia="Arial" w:hAnsi="Arial"/>
          <w:sz w:val="15"/>
          <w:szCs w:val="15"/>
          <w:color w:val="auto"/>
        </w:rPr>
      </w:pPr>
    </w:p>
    <w:p>
      <w:pPr>
        <w:ind w:left="240" w:right="80" w:hanging="2"/>
        <w:spacing w:after="0" w:line="332" w:lineRule="auto"/>
        <w:tabs>
          <w:tab w:leader="none" w:pos="679"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such termination or suspension, each participant would have a nonforfeitable right to all monies in his or her account.</w:t>
      </w:r>
    </w:p>
    <w:p>
      <w:pPr>
        <w:spacing w:after="0" w:line="133" w:lineRule="exact"/>
        <w:rPr>
          <w:rFonts w:ascii="Arial" w:cs="Arial" w:eastAsia="Arial" w:hAnsi="Arial"/>
          <w:sz w:val="16"/>
          <w:szCs w:val="16"/>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rFonts w:ascii="Arial" w:cs="Arial" w:eastAsia="Arial" w:hAnsi="Arial"/>
          <w:sz w:val="18"/>
          <w:szCs w:val="18"/>
          <w:b w:val="1"/>
          <w:bCs w:val="1"/>
          <w:color w:val="auto"/>
        </w:rPr>
      </w:pPr>
    </w:p>
    <w:p>
      <w:pPr>
        <w:ind w:left="580" w:hanging="342"/>
        <w:spacing w:after="0"/>
        <w:tabs>
          <w:tab w:leader="none" w:pos="58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an accrual basis of accounting.</w:t>
      </w:r>
    </w:p>
    <w:p>
      <w:pPr>
        <w:spacing w:after="0" w:line="225" w:lineRule="exact"/>
        <w:rPr>
          <w:rFonts w:ascii="Arial" w:cs="Arial" w:eastAsia="Arial" w:hAnsi="Arial"/>
          <w:sz w:val="18"/>
          <w:szCs w:val="18"/>
          <w:color w:val="auto"/>
        </w:rPr>
      </w:pPr>
    </w:p>
    <w:p>
      <w:pPr>
        <w:ind w:left="240" w:right="180" w:hanging="2"/>
        <w:spacing w:after="0" w:line="268" w:lineRule="auto"/>
        <w:tabs>
          <w:tab w:leader="none" w:pos="591"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valued at quoted market prices. Participant loans are valued at their outstanding carrying balance, which approximates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w:t>
      </w:r>
    </w:p>
    <w:p>
      <w:pPr>
        <w:spacing w:after="0" w:line="185" w:lineRule="exact"/>
        <w:rPr>
          <w:rFonts w:ascii="Arial" w:cs="Arial" w:eastAsia="Arial" w:hAnsi="Arial"/>
          <w:sz w:val="18"/>
          <w:szCs w:val="18"/>
          <w:color w:val="auto"/>
        </w:rPr>
      </w:pPr>
    </w:p>
    <w:p>
      <w:pPr>
        <w:ind w:left="240" w:right="120" w:hanging="2"/>
        <w:spacing w:after="0" w:line="332" w:lineRule="auto"/>
        <w:tabs>
          <w:tab w:leader="none" w:pos="591"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employees are recorded when the Company makes payroll deductions from plan participants. Employer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accrued at the end of the period in which they become obligations of the Company based upon the terms of the Plan.</w:t>
      </w:r>
    </w:p>
    <w:p>
      <w:pPr>
        <w:spacing w:after="0" w:line="139" w:lineRule="exact"/>
        <w:rPr>
          <w:rFonts w:ascii="Arial" w:cs="Arial" w:eastAsia="Arial" w:hAnsi="Arial"/>
          <w:sz w:val="16"/>
          <w:szCs w:val="16"/>
          <w:color w:val="auto"/>
        </w:rPr>
      </w:pPr>
    </w:p>
    <w:p>
      <w:pPr>
        <w:ind w:left="240" w:right="160" w:hanging="2"/>
        <w:spacing w:after="0" w:line="259" w:lineRule="auto"/>
        <w:tabs>
          <w:tab w:leader="none" w:pos="591"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mutual funds, realized gains or losses on sales of investments and the change in net unrealized appreciation (depreciation) between the cost and market value of investments at the beginning and end of the period.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interest, dividends and capital gains distributions are reinvested in the respective funds and are recorded as earned on an accrual basis.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9" w:lineRule="exact"/>
        <w:rPr>
          <w:sz w:val="20"/>
          <w:szCs w:val="20"/>
          <w:color w:val="auto"/>
        </w:rPr>
      </w:pPr>
    </w:p>
    <w:p>
      <w:pPr>
        <w:ind w:left="240" w:firstLine="219"/>
        <w:spacing w:after="0" w:line="259" w:lineRule="auto"/>
        <w:rPr>
          <w:sz w:val="20"/>
          <w:szCs w:val="20"/>
          <w:color w:val="auto"/>
        </w:rPr>
      </w:pPr>
      <w:r>
        <w:rPr>
          <w:rFonts w:ascii="Arial" w:cs="Arial" w:eastAsia="Arial" w:hAnsi="Arial"/>
          <w:sz w:val="18"/>
          <w:szCs w:val="18"/>
          <w:color w:val="auto"/>
        </w:rPr>
        <w:t>Interest, dividends, capital gain/loss distributions and unrealized appreciation (depreciation) have been allocated to participants based upon the proportion that each participant’s share in a fund bears to the total in that fund, except for the Self-Directed Brokerage Service, whereby investment income is recorded on a transaction specific basis (see Note A).</w:t>
      </w:r>
    </w:p>
    <w:p>
      <w:pPr>
        <w:spacing w:after="0" w:line="194" w:lineRule="exact"/>
        <w:rPr>
          <w:sz w:val="20"/>
          <w:szCs w:val="20"/>
          <w:color w:val="auto"/>
        </w:rPr>
      </w:pPr>
    </w:p>
    <w:p>
      <w:pPr>
        <w:ind w:left="240" w:right="40" w:hanging="2"/>
        <w:spacing w:after="0" w:line="298" w:lineRule="auto"/>
        <w:tabs>
          <w:tab w:leader="none" w:pos="591"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status. </w:t>
      </w:r>
      <w:r>
        <w:rPr>
          <w:rFonts w:ascii="Arial" w:cs="Arial" w:eastAsia="Arial" w:hAnsi="Arial"/>
          <w:sz w:val="16"/>
          <w:szCs w:val="16"/>
          <w:color w:val="auto"/>
        </w:rPr>
        <w:t>The Plan has received a determination letter from the Internal Revenue Service dated May 1, 2003, stating that the Plan is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Section 401(a) of the Internal Revenue Code (the “Code”) and, therefore, the related trust is exempt from taxation. Once qualified, the Plan is required to operate in conformity with the Code to maintain its qualification. The Plan Committee believes the Plan is being operated in compliance with the applicable requirements of the Code and, therefore, that the Plan is qualified and the related trust is tax exempt.</w:t>
      </w:r>
    </w:p>
    <w:p>
      <w:pPr>
        <w:spacing w:after="0" w:line="166" w:lineRule="exact"/>
        <w:rPr>
          <w:rFonts w:ascii="Arial" w:cs="Arial" w:eastAsia="Arial" w:hAnsi="Arial"/>
          <w:sz w:val="16"/>
          <w:szCs w:val="16"/>
          <w:i w:val="1"/>
          <w:iCs w:val="1"/>
          <w:color w:val="auto"/>
        </w:rPr>
      </w:pPr>
    </w:p>
    <w:p>
      <w:pPr>
        <w:ind w:left="580" w:hanging="342"/>
        <w:spacing w:after="0"/>
        <w:tabs>
          <w:tab w:leader="none" w:pos="580"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Administrative expenses</w:t>
      </w:r>
      <w:r>
        <w:rPr>
          <w:rFonts w:ascii="Arial" w:cs="Arial" w:eastAsia="Arial" w:hAnsi="Arial"/>
          <w:sz w:val="16"/>
          <w:szCs w:val="16"/>
          <w:color w:val="auto"/>
        </w:rPr>
        <w:t>. For the years ended December 31, 2002 and 2001, the Company elected to pay the administrative expenses of the Plan</w:t>
      </w:r>
      <w:r>
        <w:rPr>
          <w:rFonts w:ascii="Arial" w:cs="Arial" w:eastAsia="Arial" w:hAnsi="Arial"/>
          <w:sz w:val="16"/>
          <w:szCs w:val="16"/>
          <w:i w:val="1"/>
          <w:iCs w:val="1"/>
          <w:color w:val="auto"/>
        </w:rPr>
        <w:t>.</w:t>
      </w:r>
    </w:p>
    <w:p>
      <w:pPr>
        <w:spacing w:after="0" w:line="248" w:lineRule="exact"/>
        <w:rPr>
          <w:rFonts w:ascii="Arial" w:cs="Arial" w:eastAsia="Arial" w:hAnsi="Arial"/>
          <w:sz w:val="16"/>
          <w:szCs w:val="16"/>
          <w:i w:val="1"/>
          <w:iCs w:val="1"/>
          <w:color w:val="auto"/>
        </w:rPr>
      </w:pPr>
    </w:p>
    <w:p>
      <w:pPr>
        <w:ind w:left="240" w:right="400" w:hanging="2"/>
        <w:spacing w:after="0" w:line="306" w:lineRule="auto"/>
        <w:tabs>
          <w:tab w:leader="none" w:pos="591" w:val="left"/>
        </w:tabs>
        <w:numPr>
          <w:ilvl w:val="1"/>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6"/>
          <w:szCs w:val="16"/>
          <w:i w:val="1"/>
          <w:iCs w:val="1"/>
          <w:color w:val="auto"/>
        </w:rPr>
        <w:t>.</w:t>
      </w:r>
    </w:p>
    <w:p>
      <w:pPr>
        <w:spacing w:after="0" w:line="154" w:lineRule="exact"/>
        <w:rPr>
          <w:rFonts w:ascii="Arial" w:cs="Arial" w:eastAsia="Arial" w:hAnsi="Arial"/>
          <w:sz w:val="16"/>
          <w:szCs w:val="16"/>
          <w:i w:val="1"/>
          <w:iCs w:val="1"/>
          <w:color w:val="auto"/>
        </w:rPr>
      </w:pPr>
    </w:p>
    <w:p>
      <w:pPr>
        <w:ind w:left="220" w:hanging="212"/>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Trustee and Plan Recordkeeper</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1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following investments represent 5 percent or more of the Plan’s net assets.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60" w:type="dxa"/>
            <w:vAlign w:val="bottom"/>
            <w:gridSpan w:val="3"/>
          </w:tcPr>
          <w:p>
            <w:pPr>
              <w:jc w:val="right"/>
              <w:ind w:right="15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4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Analog Devices, Inc. Common Stock</w:t>
            </w:r>
          </w:p>
        </w:tc>
        <w:tc>
          <w:tcPr>
            <w:tcW w:w="1460" w:type="dxa"/>
            <w:vAlign w:val="bottom"/>
            <w:shd w:val="clear" w:color="auto" w:fill="EEEEEE"/>
          </w:tcPr>
          <w:p>
            <w:pPr>
              <w:jc w:val="right"/>
              <w:ind w:right="35"/>
              <w:spacing w:after="0"/>
              <w:rPr>
                <w:sz w:val="20"/>
                <w:szCs w:val="20"/>
                <w:color w:val="auto"/>
              </w:rPr>
            </w:pPr>
            <w:r>
              <w:rPr>
                <w:rFonts w:ascii="Arial" w:cs="Arial" w:eastAsia="Arial" w:hAnsi="Arial"/>
                <w:sz w:val="18"/>
                <w:szCs w:val="18"/>
                <w:color w:val="auto"/>
              </w:rPr>
              <w:t>$113,868,350</w:t>
            </w:r>
          </w:p>
        </w:tc>
        <w:tc>
          <w:tcPr>
            <w:tcW w:w="24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$187,117,078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Fidelity Institutional Cash Portfolios-U.S. Government Portfolio</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111,189,657</w:t>
            </w:r>
          </w:p>
        </w:tc>
        <w:tc>
          <w:tcPr>
            <w:tcW w:w="2460" w:type="dxa"/>
            <w:vAlign w:val="bottom"/>
            <w:gridSpan w:val="3"/>
          </w:tcPr>
          <w:p>
            <w:pPr>
              <w:jc w:val="right"/>
              <w:ind w:right="480"/>
              <w:spacing w:after="0"/>
              <w:rPr>
                <w:sz w:val="20"/>
                <w:szCs w:val="20"/>
                <w:color w:val="auto"/>
              </w:rPr>
            </w:pPr>
            <w:r>
              <w:rPr>
                <w:rFonts w:ascii="Arial" w:cs="Arial" w:eastAsia="Arial" w:hAnsi="Arial"/>
                <w:sz w:val="18"/>
                <w:szCs w:val="18"/>
                <w:color w:val="auto"/>
              </w:rPr>
              <w:t>115,918,390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Fidelity Magellan Fund</w:t>
            </w:r>
          </w:p>
        </w:tc>
        <w:tc>
          <w:tcPr>
            <w:tcW w:w="1460" w:type="dxa"/>
            <w:vAlign w:val="bottom"/>
            <w:shd w:val="clear" w:color="auto" w:fill="EEEEEE"/>
          </w:tcPr>
          <w:p>
            <w:pPr>
              <w:jc w:val="right"/>
              <w:ind w:right="35"/>
              <w:spacing w:after="0"/>
              <w:rPr>
                <w:sz w:val="20"/>
                <w:szCs w:val="20"/>
                <w:color w:val="auto"/>
              </w:rPr>
            </w:pPr>
            <w:r>
              <w:rPr>
                <w:rFonts w:ascii="Arial" w:cs="Arial" w:eastAsia="Arial" w:hAnsi="Arial"/>
                <w:sz w:val="18"/>
                <w:szCs w:val="18"/>
                <w:color w:val="auto"/>
              </w:rPr>
              <w:t>42,801,356</w:t>
            </w:r>
          </w:p>
        </w:tc>
        <w:tc>
          <w:tcPr>
            <w:tcW w:w="24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58,630,924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Fidelity Institutional Cash Portfolios-Money Market Portfolio</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29,205,469</w:t>
            </w:r>
          </w:p>
        </w:tc>
        <w:tc>
          <w:tcPr>
            <w:tcW w:w="2460" w:type="dxa"/>
            <w:vAlign w:val="bottom"/>
            <w:gridSpan w:val="3"/>
          </w:tcPr>
          <w:p>
            <w:pPr>
              <w:jc w:val="right"/>
              <w:ind w:right="480"/>
              <w:spacing w:after="0"/>
              <w:rPr>
                <w:sz w:val="20"/>
                <w:szCs w:val="20"/>
                <w:color w:val="auto"/>
              </w:rPr>
            </w:pPr>
            <w:r>
              <w:rPr>
                <w:rFonts w:ascii="Arial" w:cs="Arial" w:eastAsia="Arial" w:hAnsi="Arial"/>
                <w:sz w:val="18"/>
                <w:szCs w:val="18"/>
                <w:color w:val="auto"/>
              </w:rPr>
              <w:t>30,914,174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Fidelity Equity Income Fund</w:t>
            </w:r>
          </w:p>
        </w:tc>
        <w:tc>
          <w:tcPr>
            <w:tcW w:w="1460" w:type="dxa"/>
            <w:vAlign w:val="bottom"/>
            <w:shd w:val="clear" w:color="auto" w:fill="EEEEEE"/>
          </w:tcPr>
          <w:p>
            <w:pPr>
              <w:jc w:val="right"/>
              <w:ind w:right="35"/>
              <w:spacing w:after="0"/>
              <w:rPr>
                <w:sz w:val="20"/>
                <w:szCs w:val="20"/>
                <w:color w:val="auto"/>
              </w:rPr>
            </w:pPr>
            <w:r>
              <w:rPr>
                <w:rFonts w:ascii="Arial" w:cs="Arial" w:eastAsia="Arial" w:hAnsi="Arial"/>
                <w:sz w:val="18"/>
                <w:szCs w:val="18"/>
                <w:color w:val="auto"/>
              </w:rPr>
              <w:t>28,432,001</w:t>
            </w:r>
          </w:p>
        </w:tc>
        <w:tc>
          <w:tcPr>
            <w:tcW w:w="24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36,573,775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Fidelity Growth Company Fund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25,721,692</w:t>
            </w:r>
          </w:p>
        </w:tc>
        <w:tc>
          <w:tcPr>
            <w:tcW w:w="2460" w:type="dxa"/>
            <w:vAlign w:val="bottom"/>
            <w:gridSpan w:val="3"/>
          </w:tcPr>
          <w:p>
            <w:pPr>
              <w:jc w:val="right"/>
              <w:ind w:right="480"/>
              <w:spacing w:after="0"/>
              <w:rPr>
                <w:sz w:val="20"/>
                <w:szCs w:val="20"/>
                <w:color w:val="auto"/>
              </w:rPr>
            </w:pPr>
            <w:r>
              <w:rPr>
                <w:rFonts w:ascii="Arial" w:cs="Arial" w:eastAsia="Arial" w:hAnsi="Arial"/>
                <w:sz w:val="18"/>
                <w:szCs w:val="18"/>
                <w:color w:val="auto"/>
              </w:rPr>
              <w:t>41,020,331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Plan’s investments (including gains and losses on investments bought and sold, as well as held during the year) depreciated in value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5"/>
          </w:tcPr>
          <w:p>
            <w:pPr>
              <w:jc w:val="right"/>
              <w:ind w:right="2140"/>
              <w:spacing w:after="0"/>
              <w:rPr>
                <w:sz w:val="20"/>
                <w:szCs w:val="20"/>
                <w:color w:val="auto"/>
              </w:rPr>
            </w:pPr>
            <w:r>
              <w:rPr>
                <w:rFonts w:ascii="Arial" w:cs="Arial" w:eastAsia="Arial" w:hAnsi="Arial"/>
                <w:sz w:val="14"/>
                <w:szCs w:val="14"/>
                <w:b w:val="1"/>
                <w:bCs w:val="1"/>
                <w:color w:val="auto"/>
              </w:rPr>
              <w:t>Year Ended</w:t>
            </w:r>
          </w:p>
        </w:tc>
        <w:tc>
          <w:tcPr>
            <w:tcW w:w="144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5"/>
          </w:tcPr>
          <w:p>
            <w:pPr>
              <w:jc w:val="right"/>
              <w:ind w:right="208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63"/>
        </w:trPr>
        <w:tc>
          <w:tcPr>
            <w:tcW w:w="14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24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95"/>
        </w:trPr>
        <w:tc>
          <w:tcPr>
            <w:tcW w:w="1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760" w:type="dxa"/>
            <w:vAlign w:val="bottom"/>
            <w:tcBorders>
              <w:right w:val="single" w:sz="8" w:color="EEEEEE"/>
            </w:tcBorders>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5"/>
              </w:rPr>
              <w:t>(91,633,752)</w:t>
            </w:r>
          </w:p>
        </w:tc>
        <w:tc>
          <w:tcPr>
            <w:tcW w:w="3060" w:type="dxa"/>
            <w:vAlign w:val="bottom"/>
            <w:gridSpan w:val="5"/>
            <w:shd w:val="clear" w:color="auto" w:fill="EEEEEE"/>
          </w:tcPr>
          <w:p>
            <w:pPr>
              <w:jc w:val="right"/>
              <w:ind w:right="600"/>
              <w:spacing w:after="0"/>
              <w:rPr>
                <w:sz w:val="20"/>
                <w:szCs w:val="20"/>
                <w:color w:val="auto"/>
              </w:rPr>
            </w:pPr>
            <w:r>
              <w:rPr>
                <w:rFonts w:ascii="Arial" w:cs="Arial" w:eastAsia="Arial" w:hAnsi="Arial"/>
                <w:sz w:val="18"/>
                <w:szCs w:val="18"/>
                <w:color w:val="auto"/>
              </w:rPr>
              <w:t>$(22,120,072)</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Mutual funds</w:t>
            </w:r>
          </w:p>
        </w:tc>
        <w:tc>
          <w:tcPr>
            <w:tcW w:w="7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(60,059,221)</w:t>
            </w:r>
          </w:p>
        </w:tc>
        <w:tc>
          <w:tcPr>
            <w:tcW w:w="3060" w:type="dxa"/>
            <w:vAlign w:val="bottom"/>
            <w:gridSpan w:val="5"/>
          </w:tcPr>
          <w:p>
            <w:pPr>
              <w:jc w:val="right"/>
              <w:ind w:right="600"/>
              <w:spacing w:after="0"/>
              <w:rPr>
                <w:sz w:val="20"/>
                <w:szCs w:val="20"/>
                <w:color w:val="auto"/>
              </w:rPr>
            </w:pPr>
            <w:r>
              <w:rPr>
                <w:rFonts w:ascii="Arial" w:cs="Arial" w:eastAsia="Arial" w:hAnsi="Arial"/>
                <w:sz w:val="18"/>
                <w:szCs w:val="18"/>
                <w:color w:val="auto"/>
              </w:rPr>
              <w:t>(46,167,846)</w:t>
            </w: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Investment depreciation</w:t>
            </w:r>
          </w:p>
        </w:tc>
        <w:tc>
          <w:tcPr>
            <w:tcW w:w="760" w:type="dxa"/>
            <w:vAlign w:val="bottom"/>
            <w:tcBorders>
              <w:right w:val="single" w:sz="8" w:color="EEEEEE"/>
            </w:tcBorders>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7"/>
              </w:rPr>
              <w:t>(151,692,973)</w:t>
            </w:r>
          </w:p>
        </w:tc>
        <w:tc>
          <w:tcPr>
            <w:tcW w:w="3060" w:type="dxa"/>
            <w:vAlign w:val="bottom"/>
            <w:gridSpan w:val="5"/>
            <w:shd w:val="clear" w:color="auto" w:fill="EEEEEE"/>
          </w:tcPr>
          <w:p>
            <w:pPr>
              <w:jc w:val="right"/>
              <w:ind w:right="600"/>
              <w:spacing w:after="0"/>
              <w:rPr>
                <w:sz w:val="20"/>
                <w:szCs w:val="20"/>
                <w:color w:val="auto"/>
              </w:rPr>
            </w:pPr>
            <w:r>
              <w:rPr>
                <w:rFonts w:ascii="Arial" w:cs="Arial" w:eastAsia="Arial" w:hAnsi="Arial"/>
                <w:sz w:val="18"/>
                <w:szCs w:val="18"/>
                <w:color w:val="auto"/>
              </w:rPr>
              <w:t>$(68,287,918)</w:t>
            </w: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35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535"/>
        </w:trPr>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00" w:type="dxa"/>
            <w:vAlign w:val="bottom"/>
            <w:gridSpan w:val="2"/>
          </w:tcPr>
          <w:p>
            <w:pPr>
              <w:jc w:val="right"/>
              <w:ind w:right="817"/>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THE INVESTMENT PARTNERSHIP PLAN</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SUPPLEMENTAL SCHEDULE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2002</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INVESTMENT PARTNERSHIP PLAN</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EIN NO: 04-2348234 PLAN NO: 003</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SCHED. H-LN 4i — SCHEDULE OF ASSETS (HELD AT END OF YEAR)</w:t>
      </w:r>
    </w:p>
    <w:p>
      <w:pPr>
        <w:spacing w:after="0" w:line="21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December 31, 2002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40" w:type="dxa"/>
            <w:vAlign w:val="bottom"/>
          </w:tcPr>
          <w:p>
            <w:pPr>
              <w:jc w:val="right"/>
              <w:ind w:right="69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Description of Investment:</w:t>
            </w:r>
          </w:p>
        </w:tc>
        <w:tc>
          <w:tcPr>
            <w:tcW w:w="1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w w:val="99"/>
              </w:rPr>
              <w:t>Fidelity</w:t>
            </w: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Institutional Cash Portfolios - U.S. Government Portfolio</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111,189,657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111,189,657</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Institutional Cash Portfolios - Money Market Portfolio</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29,205,469</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29,205,469</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Magellan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542,064</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42,801,356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Equity Income Fund</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716,713</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28,432,001</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Growth Company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726,191</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25,721,692</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U.S. Bond Index Portfolio</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1,419,954</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15,960,237</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Low-Priced Stock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629,693</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15,849,366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Growth &amp; Income Portfolio</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310,140</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9,400,336</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U.S. Equity Index Commingled Pool</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242,693</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6,375,540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Income Fund</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185,059</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1,961,625</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2000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216,196</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2,380,319</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2010 Fund</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555,381</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6,353,561</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2020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404,172</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4,300,387</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2030 Fund</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741,782</w:t>
            </w:r>
          </w:p>
        </w:tc>
        <w:tc>
          <w:tcPr>
            <w:tcW w:w="240" w:type="dxa"/>
            <w:vAlign w:val="bottom"/>
            <w:shd w:val="clear" w:color="auto" w:fill="EEEEEE"/>
          </w:tcPr>
          <w:p>
            <w:pPr>
              <w:spacing w:after="0"/>
              <w:rPr>
                <w:sz w:val="22"/>
                <w:szCs w:val="22"/>
                <w:color w:val="auto"/>
              </w:rPr>
            </w:pPr>
          </w:p>
        </w:tc>
        <w:tc>
          <w:tcPr>
            <w:tcW w:w="560" w:type="dxa"/>
            <w:vAlign w:val="bottom"/>
            <w:shd w:val="clear" w:color="auto" w:fill="EEEEEE"/>
          </w:tcPr>
          <w:p>
            <w:pPr>
              <w:spacing w:after="0"/>
              <w:rPr>
                <w:sz w:val="22"/>
                <w:szCs w:val="22"/>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7,595,843</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Fidelity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2040 Fund</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72,317</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423,776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Templeton Foreign Fund I</w:t>
            </w:r>
          </w:p>
        </w:tc>
        <w:tc>
          <w:tcPr>
            <w:tcW w:w="194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780,562</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6,486,466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tcPr>
          <w:p>
            <w:pPr>
              <w:ind w:left="220"/>
              <w:spacing w:after="0" w:line="256" w:lineRule="exact"/>
              <w:rPr>
                <w:sz w:val="20"/>
                <w:szCs w:val="20"/>
                <w:color w:val="auto"/>
              </w:rPr>
            </w:pPr>
            <w:r>
              <w:rPr>
                <w:rFonts w:ascii="Arial" w:cs="Arial" w:eastAsia="Arial" w:hAnsi="Arial"/>
                <w:sz w:val="18"/>
                <w:szCs w:val="18"/>
                <w:color w:val="auto"/>
              </w:rPr>
              <w:t>Analog Devices, Inc.</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Common Stock</w:t>
            </w:r>
          </w:p>
        </w:tc>
        <w:tc>
          <w:tcPr>
            <w:tcW w:w="1940" w:type="dxa"/>
            <w:vAlign w:val="bottom"/>
          </w:tcPr>
          <w:p>
            <w:pPr>
              <w:jc w:val="right"/>
              <w:ind w:right="493"/>
              <w:spacing w:after="0"/>
              <w:rPr>
                <w:sz w:val="20"/>
                <w:szCs w:val="20"/>
                <w:color w:val="auto"/>
              </w:rPr>
            </w:pPr>
            <w:r>
              <w:rPr>
                <w:rFonts w:ascii="Arial" w:cs="Arial" w:eastAsia="Arial" w:hAnsi="Arial"/>
                <w:sz w:val="18"/>
                <w:szCs w:val="18"/>
                <w:color w:val="auto"/>
              </w:rPr>
              <w:t>4,770,354</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113,868,350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Participants Self-Directed Brokerage Accounts</w:t>
            </w:r>
          </w:p>
        </w:tc>
        <w:tc>
          <w:tcPr>
            <w:tcW w:w="1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36,997,408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465,303,388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500" w:type="dxa"/>
            <w:vAlign w:val="bottom"/>
            <w:gridSpan w:val="2"/>
            <w:shd w:val="clear" w:color="auto" w:fill="EEEEEE"/>
          </w:tcPr>
          <w:p>
            <w:pPr>
              <w:ind w:left="220"/>
              <w:spacing w:after="0" w:line="256" w:lineRule="exact"/>
              <w:rPr>
                <w:sz w:val="20"/>
                <w:szCs w:val="20"/>
                <w:color w:val="auto"/>
              </w:rPr>
            </w:pPr>
            <w:r>
              <w:rPr>
                <w:rFonts w:ascii="Arial" w:cs="Arial" w:eastAsia="Arial" w:hAnsi="Arial"/>
                <w:sz w:val="18"/>
                <w:szCs w:val="18"/>
                <w:color w:val="auto"/>
              </w:rPr>
              <w:t>Participant Loans Receivable</w:t>
            </w:r>
            <w:r>
              <w:rPr>
                <w:rFonts w:ascii="Arial" w:cs="Arial" w:eastAsia="Arial" w:hAnsi="Arial"/>
                <w:sz w:val="29"/>
                <w:szCs w:val="29"/>
                <w:color w:val="auto"/>
                <w:vertAlign w:val="superscript"/>
              </w:rPr>
              <w:t>(1)(2)</w:t>
            </w:r>
          </w:p>
        </w:tc>
        <w:tc>
          <w:tcPr>
            <w:tcW w:w="1940" w:type="dxa"/>
            <w:vAlign w:val="bottom"/>
            <w:shd w:val="clear" w:color="auto" w:fill="EEEEEE"/>
          </w:tcPr>
          <w:p>
            <w:pPr>
              <w:spacing w:after="0"/>
              <w:rPr>
                <w:sz w:val="22"/>
                <w:szCs w:val="22"/>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8,677,811</w:t>
            </w:r>
          </w:p>
        </w:tc>
        <w:tc>
          <w:tcPr>
            <w:tcW w:w="5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8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31" w:lineRule="auto"/>
        <w:tabs>
          <w:tab w:leader="none" w:pos="50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Indicates party-in-interest to the Plan.</w:t>
      </w:r>
    </w:p>
    <w:p>
      <w:pPr>
        <w:spacing w:after="0" w:line="210" w:lineRule="exact"/>
        <w:rPr>
          <w:rFonts w:ascii="Arial" w:cs="Arial" w:eastAsia="Arial" w:hAnsi="Arial"/>
          <w:sz w:val="29"/>
          <w:szCs w:val="29"/>
          <w:color w:val="auto"/>
          <w:vertAlign w:val="superscript"/>
        </w:rPr>
      </w:pPr>
    </w:p>
    <w:p>
      <w:pPr>
        <w:ind w:left="5620" w:right="920" w:hanging="5612"/>
        <w:spacing w:after="0" w:line="372" w:lineRule="auto"/>
        <w:tabs>
          <w:tab w:leader="none" w:pos="502"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loan account at December 31, 2002 bears interest at rates ranging from 4.25% to 6.0% with terms ranging from 1 to 20 years.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6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Plan)</w:t>
      </w:r>
    </w:p>
    <w:p>
      <w:pPr>
        <w:spacing w:after="0" w:line="219" w:lineRule="exact"/>
        <w:rPr>
          <w:sz w:val="20"/>
          <w:szCs w:val="20"/>
          <w:color w:val="auto"/>
        </w:rPr>
      </w:pPr>
    </w:p>
    <w:p>
      <w:pPr>
        <w:jc w:val="center"/>
        <w:ind w:left="3620"/>
        <w:spacing w:after="0"/>
        <w:tabs>
          <w:tab w:leader="none" w:pos="180" w:val="left"/>
        </w:tabs>
        <w:rPr>
          <w:sz w:val="20"/>
          <w:szCs w:val="20"/>
          <w:color w:val="auto"/>
        </w:rPr>
      </w:pPr>
      <w:r>
        <w:rPr>
          <w:rFonts w:ascii="Arial" w:cs="Arial" w:eastAsia="Arial" w:hAnsi="Arial"/>
          <w:sz w:val="18"/>
          <w:szCs w:val="18"/>
          <w:color w:val="auto"/>
        </w:rPr>
        <w:t>By:</w:t>
        <w:tab/>
        <w:t>/s/Joseph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80010</wp:posOffset>
            </wp:positionV>
            <wp:extent cx="3344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Analog Devices, Inc. and Member of The Investment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Partnership Plan Administration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26, 2003</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240" w:top="419" w:right="6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3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(Form S-8 Nos. 33-2502, 2-95495, 33-43128, and 333-08493) pertaining to the Analog Devices, Inc. The Investment Partnership Plan of our report dated May 23, 2003, with respect to the financial statements and schedule of the Analog Devices Inc. The Investment Partnership Plan included in this Annual Report (Form 11-K) for the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261620</wp:posOffset>
            </wp:positionV>
            <wp:extent cx="1852295"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23, 2003</w:t>
      </w:r>
    </w:p>
    <w:p>
      <w:pPr>
        <w:sectPr>
          <w:pgSz w:w="11900" w:h="16838" w:orient="portrait"/>
          <w:cols w:equalWidth="0" w:num="1">
            <w:col w:w="11420"/>
          </w:cols>
          <w:pgMar w:left="240" w:top="93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263"/>
        <w:spacing w:after="0" w:line="259" w:lineRule="auto"/>
        <w:rPr>
          <w:sz w:val="20"/>
          <w:szCs w:val="20"/>
          <w:color w:val="auto"/>
        </w:rPr>
      </w:pPr>
      <w:r>
        <w:rPr>
          <w:rFonts w:ascii="Arial" w:cs="Arial" w:eastAsia="Arial" w:hAnsi="Arial"/>
          <w:sz w:val="18"/>
          <w:szCs w:val="18"/>
          <w:color w:val="auto"/>
        </w:rPr>
        <w:t>In connection with the Annual Report of the Analog Devices, Inc. The Investment Partnership Plan (the “Plan”) on Form 11-K for the period ended December 31, 2002 as filed with the Securities and Exchange Commission on the date hereof (the “Report”), the undersigned, Jerald G. Fishman, Chief Executive Officer of Analog Devices, Inc., hereby certifies, pursuant to 18 U.S.C. Section 1350, that:</w:t>
      </w:r>
    </w:p>
    <w:p>
      <w:pPr>
        <w:spacing w:after="0" w:line="194" w:lineRule="exact"/>
        <w:rPr>
          <w:sz w:val="20"/>
          <w:szCs w:val="20"/>
          <w:color w:val="auto"/>
        </w:rPr>
      </w:pPr>
    </w:p>
    <w:p>
      <w:pPr>
        <w:ind w:left="920" w:hanging="536"/>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536"/>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Plan.</w:t>
      </w:r>
    </w:p>
    <w:p>
      <w:pPr>
        <w:spacing w:after="0" w:line="200" w:lineRule="exact"/>
        <w:rPr>
          <w:sz w:val="20"/>
          <w:szCs w:val="20"/>
          <w:color w:val="auto"/>
        </w:rPr>
      </w:pPr>
    </w:p>
    <w:p>
      <w:pPr>
        <w:spacing w:after="0" w:line="29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June 26, 2003</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80010</wp:posOffset>
            </wp:positionV>
            <wp:extent cx="3481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Plan and will be retained by the Plan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20" w:firstLine="263"/>
        <w:spacing w:after="0" w:line="306" w:lineRule="auto"/>
        <w:rPr>
          <w:sz w:val="20"/>
          <w:szCs w:val="20"/>
          <w:color w:val="auto"/>
        </w:rPr>
      </w:pPr>
      <w:r>
        <w:rPr>
          <w:rFonts w:ascii="Arial" w:cs="Arial" w:eastAsia="Arial" w:hAnsi="Arial"/>
          <w:sz w:val="16"/>
          <w:szCs w:val="16"/>
          <w:color w:val="auto"/>
        </w:rPr>
        <w:t>In connection with the Annual Report of the Analog Devices, Inc. The Investment Partnership Plan (the “Plan”) on Form 11-K for the period ended December 31, 2002 as filed with the Securities and Exchange Commission on the date hereof (the “Report”), the undersigned, Joseph E. McDonough, Chief Financial Officer of Analog Devices, Inc. hereby certifies, pursuant to 18 U.S.C. Section 1350, that:</w:t>
      </w:r>
    </w:p>
    <w:p>
      <w:pPr>
        <w:spacing w:after="0" w:line="161" w:lineRule="exact"/>
        <w:rPr>
          <w:sz w:val="20"/>
          <w:szCs w:val="20"/>
          <w:color w:val="auto"/>
        </w:rPr>
      </w:pPr>
    </w:p>
    <w:p>
      <w:pPr>
        <w:ind w:left="920" w:hanging="536"/>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536"/>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Plan.</w:t>
      </w:r>
    </w:p>
    <w:p>
      <w:pPr>
        <w:spacing w:after="0" w:line="200" w:lineRule="exact"/>
        <w:rPr>
          <w:sz w:val="20"/>
          <w:szCs w:val="20"/>
          <w:color w:val="auto"/>
        </w:rPr>
      </w:pPr>
    </w:p>
    <w:p>
      <w:pPr>
        <w:spacing w:after="0" w:line="291"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Dated: June 26, 2003</w:t>
      </w:r>
      <w:r>
        <w:rPr>
          <w:sz w:val="20"/>
          <w:szCs w:val="20"/>
          <w:color w:val="auto"/>
        </w:rPr>
        <w:tab/>
      </w:r>
      <w:r>
        <w:rPr>
          <w:rFonts w:ascii="Arial" w:cs="Arial" w:eastAsia="Arial" w:hAnsi="Arial"/>
          <w:sz w:val="15"/>
          <w:szCs w:val="15"/>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80010</wp:posOffset>
            </wp:positionV>
            <wp:extent cx="31730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Plan and will be retained by the Plan and furnished to the Securities and Exchange Commission or its staff upon request.</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upperLetter"/>
      <w:start w:val="1"/>
    </w:lvl>
    <w:lvl w:ilvl="1">
      <w:lvlJc w:val="left"/>
      <w:lvlText w:val="%2."/>
      <w:numFmt w:val="decimal"/>
      <w:start w:val="9"/>
    </w:lvl>
  </w:abstractNum>
  <w:abstractNum w:abstractNumId="8">
    <w:nsid w:val="66EF438D"/>
    <w:multiLevelType w:val="hybridMultilevel"/>
    <w:lvl w:ilvl="0">
      <w:lvlJc w:val="left"/>
      <w:lvlText w:val="%1."/>
      <w:numFmt w:val="upperLetter"/>
      <w:start w:val="2"/>
    </w:lvl>
    <w:lvl w:ilvl="1">
      <w:lvlJc w:val="left"/>
      <w:lvlText w:val="%2."/>
      <w:numFmt w:val="decimal"/>
      <w:start w:val="1"/>
    </w:lvl>
  </w:abstractNum>
  <w:abstractNum w:abstractNumId="9">
    <w:nsid w:val="140E0F76"/>
    <w:multiLevelType w:val="hybridMultilevel"/>
    <w:lvl w:ilvl="0">
      <w:lvlJc w:val="left"/>
      <w:lvlText w:val="%1"/>
      <w:numFmt w:val="upperLetter"/>
      <w:start w:val="1"/>
    </w:lvl>
    <w:lvl w:ilvl="1">
      <w:lvlJc w:val="left"/>
      <w:lvlText w:val="%2."/>
      <w:numFmt w:val="decimal"/>
      <w:start w:val="5"/>
    </w:lvl>
  </w:abstractNum>
  <w:abstractNum w:abstractNumId="10">
    <w:nsid w:val="3352255A"/>
    <w:multiLevelType w:val="hybridMultilevel"/>
    <w:lvl w:ilvl="0">
      <w:lvlJc w:val="left"/>
      <w:lvlText w:val="%1."/>
      <w:numFmt w:val="upperLetter"/>
      <w:start w:val="3"/>
    </w:lvl>
    <w:lvl w:ilvl="1">
      <w:lvlJc w:val="left"/>
      <w:lvlText w:val="%2"/>
      <w:numFmt w:val="decimal"/>
      <w:start w:val="1"/>
    </w:lvl>
  </w:abstractNum>
  <w:abstractNum w:abstractNumId="11">
    <w:nsid w:val="109CF92E"/>
    <w:multiLevelType w:val="hybridMultilevel"/>
    <w:lvl w:ilvl="0">
      <w:lvlJc w:val="left"/>
      <w:lvlText w:val="%1."/>
      <w:numFmt w:val="upperLetter"/>
      <w:start w:val="4"/>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2019-12-20T05:09:35Z</dcterms:created>
  <dcterms:modified xsi:type="dcterms:W3CDTF">2019-12-20T05:09:35Z</dcterms:modified>
</cp:coreProperties>
</file>