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(Amendment)</w:t>
      </w:r>
    </w:p>
    <w:p>
      <w:pPr>
        <w:sectPr>
          <w:pgSz w:w="11900" w:h="16838" w:orient="portrait"/>
          <w:cols w:equalWidth="0" w:num="1">
            <w:col w:w="10239"/>
          </w:cols>
          <w:pgMar w:left="220" w:top="225"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171" w:lineRule="exact"/>
        <w:rPr>
          <w:sz w:val="24"/>
          <w:szCs w:val="24"/>
          <w:color w:val="auto"/>
        </w:rPr>
      </w:pPr>
    </w:p>
    <w:p>
      <w:pPr>
        <w:sectPr>
          <w:pgSz w:w="11900" w:h="16838" w:orient="portrait"/>
          <w:cols w:equalWidth="0" w:num="2">
            <w:col w:w="2780" w:space="720"/>
            <w:col w:w="6739"/>
          </w:cols>
          <w:pgMar w:left="220" w:top="22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4"/>
          <w:szCs w:val="24"/>
          <w:color w:val="auto"/>
        </w:rPr>
      </w:pPr>
    </w:p>
    <w:p>
      <w:pPr>
        <w:sectPr>
          <w:pgSz w:w="11900" w:h="16838" w:orient="portrait"/>
          <w:cols w:equalWidth="0" w:num="2">
            <w:col w:w="2780" w:space="720"/>
            <w:col w:w="67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032654105</w:t>
      </w:r>
    </w:p>
    <w:p>
      <w:pPr>
        <w:spacing w:after="0" w:line="200" w:lineRule="exact"/>
        <w:rPr>
          <w:sz w:val="24"/>
          <w:szCs w:val="24"/>
          <w:color w:val="auto"/>
        </w:rPr>
      </w:pPr>
    </w:p>
    <w:p>
      <w:pPr>
        <w:sectPr>
          <w:pgSz w:w="11900" w:h="16838" w:orient="portrait"/>
          <w:cols w:equalWidth="0" w:num="2">
            <w:col w:w="2780" w:space="720"/>
            <w:col w:w="6739"/>
          </w:cols>
          <w:pgMar w:left="220" w:top="225" w:right="1440" w:bottom="0" w:gutter="0" w:footer="0" w:header="0"/>
          <w:type w:val="continuous"/>
        </w:sectPr>
      </w:pPr>
    </w:p>
    <w:p>
      <w:pPr>
        <w:spacing w:after="0" w:line="146"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10 Pages</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13G</w:t>
      </w:r>
    </w:p>
    <w:p>
      <w:pPr>
        <w:sectPr>
          <w:pgSz w:w="11900" w:h="16838" w:orient="portrait"/>
          <w:cols w:equalWidth="0" w:num="1">
            <w:col w:w="10239"/>
          </w:cols>
          <w:pgMar w:left="220" w:top="225" w:right="1440" w:bottom="0" w:gutter="0" w:footer="0" w:header="0"/>
          <w:type w:val="continuous"/>
        </w:sectPr>
      </w:pPr>
    </w:p>
    <w:p>
      <w:pPr>
        <w:spacing w:after="0" w:line="166"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032654105</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Page 2 of 10 Pages</w:t>
      </w:r>
    </w:p>
    <w:p>
      <w:pPr>
        <w:spacing w:after="0" w:line="9" w:lineRule="exact"/>
        <w:rPr>
          <w:sz w:val="24"/>
          <w:szCs w:val="24"/>
          <w:color w:val="auto"/>
        </w:rPr>
      </w:pPr>
    </w:p>
    <w:p>
      <w:pPr>
        <w:sectPr>
          <w:pgSz w:w="11900" w:h="16838" w:orient="portrait"/>
          <w:cols w:equalWidth="0" w:num="2">
            <w:col w:w="6280" w:space="720"/>
            <w:col w:w="32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spacing w:after="0" w:line="237" w:lineRule="auto"/>
        <w:rPr>
          <w:sz w:val="20"/>
          <w:szCs w:val="20"/>
          <w:color w:val="auto"/>
        </w:rPr>
      </w:pPr>
      <w:r>
        <w:rPr>
          <w:rFonts w:ascii="Courier New" w:cs="Courier New" w:eastAsia="Courier New" w:hAnsi="Courier New"/>
          <w:sz w:val="15"/>
          <w:szCs w:val="15"/>
          <w:color w:val="auto"/>
        </w:rPr>
        <w:t>S.S. or I.R.S. identification no. of above person</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Marsh &amp; McLennan Companies, Inc.</w:t>
      </w:r>
    </w:p>
    <w:p>
      <w:pPr>
        <w:ind w:left="700"/>
        <w:spacing w:after="0" w:line="237" w:lineRule="auto"/>
        <w:rPr>
          <w:sz w:val="20"/>
          <w:szCs w:val="20"/>
          <w:color w:val="auto"/>
        </w:rPr>
      </w:pPr>
      <w:r>
        <w:rPr>
          <w:rFonts w:ascii="Courier New" w:cs="Courier New" w:eastAsia="Courier New" w:hAnsi="Courier New"/>
          <w:sz w:val="15"/>
          <w:szCs w:val="15"/>
          <w:color w:val="auto"/>
        </w:rPr>
        <w:t>36-2668272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700"/>
        <w:spacing w:after="0"/>
        <w:tabs>
          <w:tab w:leader="none" w:pos="1300" w:val="left"/>
          <w:tab w:leader="none" w:pos="2780" w:val="left"/>
          <w:tab w:leader="none" w:pos="34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hanging="691"/>
        <w:spacing w:after="0" w:line="237" w:lineRule="auto"/>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 w:lineRule="exact"/>
        <w:rPr>
          <w:sz w:val="24"/>
          <w:szCs w:val="24"/>
          <w:color w:val="auto"/>
        </w:rPr>
      </w:pPr>
    </w:p>
    <w:p>
      <w:pPr>
        <w:sectPr>
          <w:pgSz w:w="11900" w:h="16838" w:orient="portrait"/>
          <w:cols w:equalWidth="0" w:num="4">
            <w:col w:w="1400" w:space="700"/>
            <w:col w:w="100" w:space="600"/>
            <w:col w:w="180" w:space="520"/>
            <w:col w:w="6739"/>
          </w:cols>
          <w:pgMar w:left="220" w:top="225" w:right="1440" w:bottom="0" w:gutter="0" w:footer="0" w:header="0"/>
          <w:type w:val="continuous"/>
        </w:sectPr>
      </w:pPr>
    </w:p>
    <w:p>
      <w:pPr>
        <w:spacing w:after="0" w:line="4"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Beneficially Owned by each</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ectPr>
          <w:pgSz w:w="11900" w:h="16838" w:orient="portrait"/>
          <w:cols w:equalWidth="0" w:num="3">
            <w:col w:w="1140" w:space="260"/>
            <w:col w:w="1380" w:space="720"/>
            <w:col w:w="6739"/>
          </w:cols>
          <w:pgMar w:left="220" w:top="22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7.</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4"/>
          <w:szCs w:val="24"/>
          <w:color w:val="auto"/>
        </w:rPr>
      </w:pPr>
    </w:p>
    <w:p>
      <w:pPr>
        <w:sectPr>
          <w:pgSz w:w="11900" w:h="16838" w:orient="portrait"/>
          <w:cols w:equalWidth="0" w:num="4">
            <w:col w:w="1060" w:space="340"/>
            <w:col w:w="100" w:space="600"/>
            <w:col w:w="180" w:space="520"/>
            <w:col w:w="7439"/>
          </w:cols>
          <w:pgMar w:left="220" w:top="22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ectPr>
          <w:pgSz w:w="11900" w:h="16838" w:orient="portrait"/>
          <w:cols w:equalWidth="0" w:num="1">
            <w:col w:w="10239"/>
          </w:cols>
          <w:pgMar w:left="220" w:top="225" w:right="1440" w:bottom="0" w:gutter="0" w:footer="0" w:header="0"/>
          <w:type w:val="continuous"/>
        </w:sectPr>
      </w:pPr>
    </w:p>
    <w:bookmarkStart w:id="1" w:name="page2"/>
    <w:bookmarkEnd w:id="1"/>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032654105</w:t>
      </w:r>
      <w:r>
        <w:rPr>
          <w:sz w:val="20"/>
          <w:szCs w:val="20"/>
          <w:color w:val="auto"/>
        </w:rPr>
        <w:tab/>
      </w:r>
      <w:r>
        <w:rPr>
          <w:rFonts w:ascii="Courier New" w:cs="Courier New" w:eastAsia="Courier New" w:hAnsi="Courier New"/>
          <w:sz w:val="14"/>
          <w:szCs w:val="14"/>
          <w:color w:val="auto"/>
        </w:rPr>
        <w:t>Page 3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Investments, LLC.</w:t>
      </w:r>
    </w:p>
    <w:p>
      <w:pPr>
        <w:ind w:left="700"/>
        <w:spacing w:after="0" w:line="237" w:lineRule="auto"/>
        <w:rPr>
          <w:sz w:val="20"/>
          <w:szCs w:val="20"/>
          <w:color w:val="auto"/>
        </w:rPr>
      </w:pPr>
      <w:r>
        <w:rPr>
          <w:rFonts w:ascii="Courier New" w:cs="Courier New" w:eastAsia="Courier New" w:hAnsi="Courier New"/>
          <w:sz w:val="15"/>
          <w:szCs w:val="15"/>
          <w:color w:val="auto"/>
        </w:rPr>
        <w:t>04-2539558</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Massachusetts</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7003"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7003" w:orient="portrait"/>
          <w:cols w:equalWidth="0" w:num="4">
            <w:col w:w="1140" w:space="260"/>
            <w:col w:w="100" w:space="0"/>
            <w:col w:w="780" w:space="520"/>
            <w:col w:w="7439"/>
          </w:cols>
          <w:pgMar w:left="220" w:top="135" w:right="1440" w:bottom="0" w:gutter="0" w:footer="0" w:header="0"/>
          <w:type w:val="continuous"/>
        </w:sectPr>
      </w:pPr>
    </w:p>
    <w:p>
      <w:pPr>
        <w:ind w:left="4200"/>
        <w:spacing w:after="0" w:line="232" w:lineRule="auto"/>
        <w:rPr>
          <w:sz w:val="20"/>
          <w:szCs w:val="20"/>
          <w:color w:val="auto"/>
        </w:rPr>
      </w:pPr>
      <w:r>
        <w:rPr>
          <w:rFonts w:ascii="Courier New" w:cs="Courier New" w:eastAsia="Courier New" w:hAnsi="Courier New"/>
          <w:sz w:val="15"/>
          <w:szCs w:val="15"/>
          <w:color w:val="auto"/>
        </w:rPr>
        <w:t>339</w:t>
      </w:r>
    </w:p>
    <w:p>
      <w:pPr>
        <w:sectPr>
          <w:pgSz w:w="11900" w:h="17003" w:orient="portrait"/>
          <w:cols w:equalWidth="0" w:num="1">
            <w:col w:w="10239"/>
          </w:cols>
          <w:pgMar w:left="220" w:top="135"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7003" w:orient="portrait"/>
          <w:cols w:equalWidth="0" w:num="2">
            <w:col w:w="1380" w:space="720"/>
            <w:col w:w="8139"/>
          </w:cols>
          <w:pgMar w:left="220" w:top="135"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7003" w:orient="portrait"/>
          <w:cols w:equalWidth="0" w:num="4">
            <w:col w:w="1060" w:space="340"/>
            <w:col w:w="680" w:space="72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845,149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400" w:right="4279" w:hanging="1390"/>
        <w:spacing w:after="0" w:line="46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845,149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0.2%</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032654105</w:t>
      </w:r>
      <w:r>
        <w:rPr>
          <w:sz w:val="20"/>
          <w:szCs w:val="20"/>
          <w:color w:val="auto"/>
        </w:rPr>
        <w:tab/>
      </w:r>
      <w:r>
        <w:rPr>
          <w:rFonts w:ascii="Courier New" w:cs="Courier New" w:eastAsia="Courier New" w:hAnsi="Courier New"/>
          <w:sz w:val="14"/>
          <w:szCs w:val="14"/>
          <w:color w:val="auto"/>
        </w:rPr>
        <w:t>Page 4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 Management, LLC.</w:t>
      </w:r>
    </w:p>
    <w:p>
      <w:pPr>
        <w:ind w:left="700"/>
        <w:spacing w:after="0" w:line="237" w:lineRule="auto"/>
        <w:rPr>
          <w:sz w:val="20"/>
          <w:szCs w:val="20"/>
          <w:color w:val="auto"/>
        </w:rPr>
      </w:pPr>
      <w:r>
        <w:rPr>
          <w:rFonts w:ascii="Courier New" w:cs="Courier New" w:eastAsia="Courier New" w:hAnsi="Courier New"/>
          <w:sz w:val="15"/>
          <w:szCs w:val="15"/>
          <w:color w:val="auto"/>
        </w:rPr>
        <w:t>04-2471937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Massachusetts</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7003" w:orient="portrait"/>
          <w:cols w:equalWidth="0" w:num="1">
            <w:col w:w="10239"/>
          </w:cols>
          <w:pgMar w:left="220" w:top="135" w:right="1440" w:bottom="0" w:gutter="0" w:footer="0" w:header="0"/>
          <w:type w:val="continuous"/>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7003"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7003"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200" w:right="5339" w:hanging="2091"/>
        <w:spacing w:after="0" w:line="516" w:lineRule="auto"/>
        <w:tabs>
          <w:tab w:leader="none" w:pos="2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752,602</w:t>
      </w:r>
    </w:p>
    <w:p>
      <w:pPr>
        <w:sectPr>
          <w:pgSz w:w="11900" w:h="17003" w:orient="portrait"/>
          <w:cols w:equalWidth="0" w:num="1">
            <w:col w:w="10239"/>
          </w:cols>
          <w:pgMar w:left="220" w:top="135"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752,602</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0.2%</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032654105</w:t>
      </w:r>
      <w:r>
        <w:rPr>
          <w:sz w:val="20"/>
          <w:szCs w:val="20"/>
          <w:color w:val="auto"/>
        </w:rPr>
        <w:tab/>
      </w:r>
      <w:r>
        <w:rPr>
          <w:rFonts w:ascii="Courier New" w:cs="Courier New" w:eastAsia="Courier New" w:hAnsi="Courier New"/>
          <w:sz w:val="14"/>
          <w:szCs w:val="14"/>
          <w:color w:val="auto"/>
        </w:rPr>
        <w:t>Page 5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Putnam Advisory Company, LLC.</w:t>
      </w:r>
    </w:p>
    <w:p>
      <w:pPr>
        <w:ind w:left="700"/>
        <w:spacing w:after="0" w:line="237" w:lineRule="auto"/>
        <w:rPr>
          <w:sz w:val="20"/>
          <w:szCs w:val="20"/>
          <w:color w:val="auto"/>
        </w:rPr>
      </w:pPr>
      <w:r>
        <w:rPr>
          <w:rFonts w:ascii="Courier New" w:cs="Courier New" w:eastAsia="Courier New" w:hAnsi="Courier New"/>
          <w:sz w:val="15"/>
          <w:szCs w:val="15"/>
          <w:color w:val="auto"/>
        </w:rPr>
        <w:t>04-6187127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Massachusetts</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339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92,547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92,547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6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Securities Exchange Act of 1934</w:t>
      </w:r>
    </w:p>
    <w:p>
      <w:pPr>
        <w:sectPr>
          <w:pgSz w:w="11900" w:h="16838" w:orient="portrait"/>
          <w:cols w:equalWidth="0" w:num="1">
            <w:col w:w="10239"/>
          </w:cols>
          <w:pgMar w:left="220" w:top="135" w:right="14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178" w:lineRule="exact"/>
        <w:rPr>
          <w:sz w:val="20"/>
          <w:szCs w:val="20"/>
          <w:color w:val="auto"/>
        </w:rPr>
      </w:pPr>
    </w:p>
    <w:p>
      <w:pPr>
        <w:sectPr>
          <w:pgSz w:w="11900" w:h="16838" w:orient="portrait"/>
          <w:cols w:equalWidth="0" w:num="3">
            <w:col w:w="800" w:space="600"/>
            <w:col w:w="1380" w:space="720"/>
            <w:col w:w="67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Issuer's Principal Executive Offices:</w:t>
      </w:r>
    </w:p>
    <w:p>
      <w:pPr>
        <w:spacing w:after="0" w:line="178" w:lineRule="exact"/>
        <w:rPr>
          <w:sz w:val="20"/>
          <w:szCs w:val="20"/>
          <w:color w:val="auto"/>
        </w:rPr>
      </w:pPr>
    </w:p>
    <w:p>
      <w:pPr>
        <w:sectPr>
          <w:pgSz w:w="11900" w:h="16838" w:orient="portrait"/>
          <w:cols w:equalWidth="0" w:num="2">
            <w:col w:w="800" w:space="600"/>
            <w:col w:w="88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One Technology Way, Norwood, MA 02062,</w:t>
      </w:r>
    </w:p>
    <w:p>
      <w:pPr>
        <w:sectPr>
          <w:pgSz w:w="11900" w:h="16838" w:orient="portrait"/>
          <w:cols w:equalWidth="0" w:num="1">
            <w:col w:w="10239"/>
          </w:cols>
          <w:pgMar w:left="220" w:top="135"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Item 2(b)</w:t>
      </w:r>
    </w:p>
    <w:p>
      <w:pPr>
        <w:spacing w:after="0" w:line="178" w:lineRule="exact"/>
        <w:rPr>
          <w:sz w:val="20"/>
          <w:szCs w:val="20"/>
          <w:color w:val="auto"/>
        </w:rPr>
      </w:pPr>
    </w:p>
    <w:p>
      <w:pPr>
        <w:sectPr>
          <w:pgSz w:w="11900" w:h="16838" w:orient="portrait"/>
          <w:cols w:equalWidth="0" w:num="2">
            <w:col w:w="4180" w:space="720"/>
            <w:col w:w="53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Person Filing: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 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or Principal Office or, if</w:t>
      </w:r>
    </w:p>
    <w:p>
      <w:pPr>
        <w:spacing w:after="0" w:line="339" w:lineRule="exact"/>
        <w:rPr>
          <w:sz w:val="20"/>
          <w:szCs w:val="20"/>
          <w:color w:val="auto"/>
        </w:rPr>
      </w:pPr>
    </w:p>
    <w:p>
      <w:pPr>
        <w:sectPr>
          <w:pgSz w:w="11900" w:h="16838" w:orient="portrait"/>
          <w:cols w:equalWidth="0" w:num="2">
            <w:col w:w="3480" w:space="720"/>
            <w:col w:w="6039"/>
          </w:cols>
          <w:pgMar w:left="220" w:top="13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Investments,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itself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346" w:lineRule="exact"/>
        <w:rPr>
          <w:sz w:val="20"/>
          <w:szCs w:val="20"/>
          <w:color w:val="auto"/>
        </w:rPr>
      </w:pPr>
    </w:p>
    <w:p>
      <w:pPr>
        <w:sectPr>
          <w:pgSz w:w="11900" w:h="16838" w:orient="portrait"/>
          <w:cols w:equalWidth="0" w:num="2">
            <w:col w:w="3480" w:space="720"/>
            <w:col w:w="60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*Marsh &amp; McLennan Companies, Inc.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("MMC")</w:t>
      </w:r>
    </w:p>
    <w:p>
      <w:pPr>
        <w:spacing w:after="0" w:line="20" w:lineRule="exact"/>
        <w:rPr>
          <w:sz w:val="20"/>
          <w:szCs w:val="20"/>
          <w:color w:val="auto"/>
        </w:rPr>
      </w:pPr>
      <w:r>
        <w:rPr>
          <w:sz w:val="20"/>
          <w:szCs w:val="20"/>
          <w:color w:val="auto"/>
        </w:rPr>
        <w:br w:type="column"/>
      </w:r>
    </w:p>
    <w:p>
      <w:pPr>
        <w:jc w:val="right"/>
        <w:ind w:right="3659"/>
        <w:spacing w:after="0"/>
        <w:rPr>
          <w:sz w:val="20"/>
          <w:szCs w:val="20"/>
          <w:color w:val="auto"/>
        </w:rPr>
      </w:pPr>
      <w:r>
        <w:rPr>
          <w:rFonts w:ascii="Courier New" w:cs="Courier New" w:eastAsia="Courier New" w:hAnsi="Courier New"/>
          <w:sz w:val="14"/>
          <w:szCs w:val="14"/>
          <w:color w:val="auto"/>
        </w:rPr>
        <w:t>1166 Avenue of the Americas</w:t>
      </w:r>
    </w:p>
    <w:p>
      <w:pPr>
        <w:spacing w:after="0" w:line="3" w:lineRule="exact"/>
        <w:rPr>
          <w:sz w:val="20"/>
          <w:szCs w:val="20"/>
          <w:color w:val="auto"/>
        </w:rPr>
      </w:pPr>
    </w:p>
    <w:p>
      <w:pPr>
        <w:jc w:val="right"/>
        <w:ind w:right="3659"/>
        <w:spacing w:after="0"/>
        <w:tabs>
          <w:tab w:leader="none" w:pos="4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sectPr>
          <w:pgSz w:w="11900" w:h="16838" w:orient="portrait"/>
          <w:cols w:equalWidth="0" w:num="2">
            <w:col w:w="3480" w:space="720"/>
            <w:col w:w="6039"/>
          </w:cols>
          <w:pgMar w:left="220" w:top="135"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Putnam Investment Management, LLC.</w:t>
            </w:r>
          </w:p>
        </w:tc>
        <w:tc>
          <w:tcPr>
            <w:tcW w:w="1300" w:type="dxa"/>
            <w:vAlign w:val="bottom"/>
          </w:tcPr>
          <w:p>
            <w:pPr>
              <w:ind w:left="600"/>
              <w:spacing w:after="0"/>
              <w:rPr>
                <w:sz w:val="20"/>
                <w:szCs w:val="20"/>
                <w:color w:val="auto"/>
              </w:rPr>
            </w:pPr>
            <w:r>
              <w:rPr>
                <w:rFonts w:ascii="Courier New" w:cs="Courier New" w:eastAsia="Courier New" w:hAnsi="Courier New"/>
                <w:sz w:val="15"/>
                <w:szCs w:val="15"/>
                <w:color w:val="auto"/>
                <w:w w:val="94"/>
              </w:rPr>
              <w:t>One Post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Office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Square</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("PIM")</w:t>
            </w: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Boston,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Massachusetts 02109</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 Putnam Advisory Company, LLC.</w:t>
            </w:r>
          </w:p>
        </w:tc>
        <w:tc>
          <w:tcPr>
            <w:tcW w:w="1300" w:type="dxa"/>
            <w:vAlign w:val="bottom"/>
          </w:tcPr>
          <w:p>
            <w:pPr>
              <w:ind w:left="600"/>
              <w:spacing w:after="0"/>
              <w:rPr>
                <w:sz w:val="20"/>
                <w:szCs w:val="20"/>
                <w:color w:val="auto"/>
              </w:rPr>
            </w:pPr>
            <w:r>
              <w:rPr>
                <w:rFonts w:ascii="Courier New" w:cs="Courier New" w:eastAsia="Courier New" w:hAnsi="Courier New"/>
                <w:sz w:val="15"/>
                <w:szCs w:val="15"/>
                <w:color w:val="auto"/>
                <w:w w:val="94"/>
              </w:rPr>
              <w:t>One Post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Office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Square</w:t>
            </w:r>
          </w:p>
        </w:tc>
      </w:tr>
    </w:tbl>
    <w:p>
      <w:pPr>
        <w:spacing w:after="0" w:line="5" w:lineRule="exact"/>
        <w:rPr>
          <w:sz w:val="20"/>
          <w:szCs w:val="20"/>
          <w:color w:val="auto"/>
        </w:rPr>
      </w:pPr>
    </w:p>
    <w:p>
      <w:pPr>
        <w:sectPr>
          <w:pgSz w:w="11900" w:h="16838" w:orient="portrait"/>
          <w:cols w:equalWidth="0" w:num="1">
            <w:col w:w="11540"/>
          </w:cols>
          <w:pgMar w:left="220" w:top="135" w:right="139" w:bottom="0" w:gutter="0" w:footer="0" w:header="0"/>
        </w:sectPr>
      </w:pPr>
    </w:p>
    <w:p>
      <w:pPr>
        <w:ind w:left="700"/>
        <w:spacing w:after="0"/>
        <w:rPr>
          <w:sz w:val="20"/>
          <w:szCs w:val="20"/>
          <w:color w:val="auto"/>
        </w:rPr>
      </w:pPr>
      <w:r>
        <w:rPr>
          <w:rFonts w:ascii="Courier New" w:cs="Courier New" w:eastAsia="Courier New" w:hAnsi="Courier New"/>
          <w:sz w:val="14"/>
          <w:szCs w:val="14"/>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Boston, Massachusetts 02109</w:t>
      </w:r>
    </w:p>
    <w:p>
      <w:pPr>
        <w:spacing w:after="0" w:line="200" w:lineRule="exact"/>
        <w:rPr>
          <w:sz w:val="20"/>
          <w:szCs w:val="20"/>
          <w:color w:val="auto"/>
        </w:rPr>
      </w:pPr>
    </w:p>
    <w:p>
      <w:pPr>
        <w:sectPr>
          <w:pgSz w:w="11900" w:h="16838" w:orient="portrait"/>
          <w:cols w:equalWidth="0" w:num="2">
            <w:col w:w="4180" w:space="720"/>
            <w:col w:w="6640"/>
          </w:cols>
          <w:pgMar w:left="220" w:top="135" w:right="139" w:bottom="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right="4100"/>
        <w:spacing w:after="0" w:line="235" w:lineRule="auto"/>
        <w:rPr>
          <w:sz w:val="20"/>
          <w:szCs w:val="20"/>
          <w:color w:val="auto"/>
        </w:rPr>
      </w:pPr>
      <w:r>
        <w:rPr>
          <w:rFonts w:ascii="Courier New" w:cs="Courier New" w:eastAsia="Courier New" w:hAnsi="Courier New"/>
          <w:sz w:val="15"/>
          <w:szCs w:val="15"/>
          <w:color w:val="auto"/>
        </w:rPr>
        <w:t>Item 2(c) Citizenship: PI, PIM and PAC are limited liability companies organized under Massachusetts law. The citizenship of other persons identified in Item 2(a) is designated as follows:</w:t>
      </w:r>
    </w:p>
    <w:p>
      <w:pPr>
        <w:sectPr>
          <w:pgSz w:w="11900" w:h="16838" w:orient="portrait"/>
          <w:cols w:equalWidth="0" w:num="1">
            <w:col w:w="11540"/>
          </w:cols>
          <w:pgMar w:left="220" w:top="135" w:right="139" w:bottom="0" w:gutter="0" w:footer="0" w:header="0"/>
          <w:type w:val="continuous"/>
        </w:sectPr>
      </w:pPr>
    </w:p>
    <w:p>
      <w:pPr>
        <w:spacing w:after="0" w:line="167" w:lineRule="exact"/>
        <w:rPr>
          <w:sz w:val="20"/>
          <w:szCs w:val="20"/>
          <w:color w:val="auto"/>
        </w:rPr>
      </w:pPr>
    </w:p>
    <w:p>
      <w:pPr>
        <w:ind w:left="2800" w:hanging="691"/>
        <w:spacing w:after="0"/>
        <w:tabs>
          <w:tab w:leader="none" w:pos="2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 Delaware law</w:t>
      </w:r>
    </w:p>
    <w:p>
      <w:pPr>
        <w:spacing w:after="0" w:line="5" w:lineRule="exact"/>
        <w:rPr>
          <w:sz w:val="20"/>
          <w:szCs w:val="20"/>
          <w:color w:val="auto"/>
        </w:rPr>
      </w:pPr>
    </w:p>
    <w:p>
      <w:pPr>
        <w:ind w:left="2100"/>
        <w:spacing w:after="0"/>
        <w:tabs>
          <w:tab w:leader="none" w:pos="2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Voluntary association known as Massachusetts business trust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law</w:t>
      </w:r>
    </w:p>
    <w:p>
      <w:pPr>
        <w:sectPr>
          <w:pgSz w:w="11900" w:h="16838" w:orient="portrait"/>
          <w:cols w:equalWidth="0" w:num="1">
            <w:col w:w="11540"/>
          </w:cols>
          <w:pgMar w:left="220" w:top="135" w:right="139"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0"/>
          <w:szCs w:val="20"/>
          <w:color w:val="auto"/>
        </w:rPr>
      </w:pPr>
    </w:p>
    <w:p>
      <w:pPr>
        <w:sectPr>
          <w:pgSz w:w="11900" w:h="16838" w:orient="portrait"/>
          <w:cols w:equalWidth="0" w:num="3">
            <w:col w:w="1380" w:space="720"/>
            <w:col w:w="2540" w:space="260"/>
            <w:col w:w="66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032654105</w:t>
      </w:r>
    </w:p>
    <w:p>
      <w:pPr>
        <w:spacing w:after="0" w:line="178" w:lineRule="exact"/>
        <w:rPr>
          <w:sz w:val="20"/>
          <w:szCs w:val="20"/>
          <w:color w:val="auto"/>
        </w:rPr>
      </w:pPr>
    </w:p>
    <w:p>
      <w:pPr>
        <w:sectPr>
          <w:pgSz w:w="11900" w:h="16838" w:orient="portrait"/>
          <w:cols w:equalWidth="0" w:num="3">
            <w:col w:w="1380" w:space="720"/>
            <w:col w:w="1140" w:space="260"/>
            <w:col w:w="80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Page 6 of 10 Pages</w:t>
      </w:r>
    </w:p>
    <w:p>
      <w:pPr>
        <w:sectPr>
          <w:pgSz w:w="11900" w:h="16838" w:orient="portrait"/>
          <w:cols w:equalWidth="0" w:num="1">
            <w:col w:w="11540"/>
          </w:cols>
          <w:pgMar w:left="220" w:top="135" w:right="139"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Item 3. If this statement is filed pursuant to Rules 13d-1(b), or 13d-2(b), check whether the person filing is 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Broker or</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Dealer registered under Section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15 of the 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Bank as defined in</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w w:val="97"/>
              </w:rPr>
              <w:t>Section 3(a)(6) of the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Insurance</w:t>
            </w: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as defined in Section 3(a)(19) of the 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Investment Company</w:t>
            </w:r>
          </w:p>
        </w:tc>
        <w:tc>
          <w:tcPr>
            <w:tcW w:w="3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registered under Section 8 of the Investment</w:t>
            </w:r>
          </w:p>
        </w:tc>
      </w:tr>
    </w:tbl>
    <w:p>
      <w:pPr>
        <w:spacing w:after="0" w:line="237" w:lineRule="auto"/>
        <w:rPr>
          <w:sz w:val="20"/>
          <w:szCs w:val="20"/>
          <w:color w:val="auto"/>
        </w:rPr>
      </w:pPr>
      <w:r>
        <w:rPr>
          <w:rFonts w:ascii="Courier New" w:cs="Courier New" w:eastAsia="Courier New" w:hAnsi="Courier New"/>
          <w:sz w:val="15"/>
          <w:szCs w:val="15"/>
          <w:color w:val="auto"/>
        </w:rPr>
        <w:t>Company Act</w:t>
      </w:r>
    </w:p>
    <w:p>
      <w:pPr>
        <w:spacing w:after="0" w:line="342" w:lineRule="exact"/>
        <w:rPr>
          <w:sz w:val="20"/>
          <w:szCs w:val="20"/>
          <w:color w:val="auto"/>
        </w:rPr>
      </w:pPr>
    </w:p>
    <w:p>
      <w:pPr>
        <w:ind w:right="4440"/>
        <w:spacing w:after="0" w:line="234" w:lineRule="auto"/>
        <w:rPr>
          <w:sz w:val="20"/>
          <w:szCs w:val="20"/>
          <w:color w:val="auto"/>
        </w:rPr>
      </w:pPr>
      <w:r>
        <w:rPr>
          <w:rFonts w:ascii="Courier New" w:cs="Courier New" w:eastAsia="Courier New" w:hAnsi="Courier New"/>
          <w:sz w:val="15"/>
          <w:szCs w:val="15"/>
          <w:color w:val="auto"/>
        </w:rPr>
        <w:t>(e)( X ) Investment Adviser registered under Section 203 of the Investment Advisers Act of 1940</w:t>
      </w:r>
    </w:p>
    <w:p>
      <w:pPr>
        <w:spacing w:after="0" w:line="341" w:lineRule="exact"/>
        <w:rPr>
          <w:sz w:val="20"/>
          <w:szCs w:val="20"/>
          <w:color w:val="auto"/>
        </w:rPr>
      </w:pPr>
    </w:p>
    <w:p>
      <w:pPr>
        <w:ind w:right="4980"/>
        <w:spacing w:after="0" w:line="235" w:lineRule="auto"/>
        <w:rPr>
          <w:sz w:val="20"/>
          <w:szCs w:val="20"/>
          <w:color w:val="auto"/>
        </w:rPr>
      </w:pPr>
      <w:r>
        <w:rPr>
          <w:rFonts w:ascii="Courier New" w:cs="Courier New" w:eastAsia="Courier New" w:hAnsi="Courier New"/>
          <w:sz w:val="15"/>
          <w:szCs w:val="15"/>
          <w:color w:val="auto"/>
        </w:rPr>
        <w:t>(f)( ) Employee Benefit Plan, Pension Fund which is subject to the provisions of the Employee Retirement Income Security Act of 1974 or Endowment Fund; see (Section 240.13d-1(b)(1)(ii)(F)</w:t>
      </w:r>
    </w:p>
    <w:p>
      <w:pPr>
        <w:spacing w:after="0" w:line="342" w:lineRule="exact"/>
        <w:rPr>
          <w:sz w:val="20"/>
          <w:szCs w:val="20"/>
          <w:color w:val="auto"/>
        </w:rPr>
      </w:pPr>
    </w:p>
    <w:p>
      <w:pPr>
        <w:ind w:right="5760"/>
        <w:spacing w:after="0" w:line="234" w:lineRule="auto"/>
        <w:rPr>
          <w:sz w:val="20"/>
          <w:szCs w:val="20"/>
          <w:color w:val="auto"/>
        </w:rPr>
      </w:pPr>
      <w:r>
        <w:rPr>
          <w:rFonts w:ascii="Courier New" w:cs="Courier New" w:eastAsia="Courier New" w:hAnsi="Courier New"/>
          <w:sz w:val="15"/>
          <w:szCs w:val="15"/>
          <w:color w:val="auto"/>
        </w:rPr>
        <w:t>(g)( X ) Parent Holding Company, in accordance with Section 240.13d-1(b)(ii)(G)</w:t>
      </w:r>
    </w:p>
    <w:p>
      <w:pPr>
        <w:spacing w:after="0" w:line="335" w:lineRule="exact"/>
        <w:rPr>
          <w:sz w:val="20"/>
          <w:szCs w:val="20"/>
          <w:color w:val="auto"/>
        </w:rPr>
      </w:pPr>
    </w:p>
    <w:p>
      <w:pPr>
        <w:spacing w:after="0"/>
        <w:tabs>
          <w:tab w:leader="none" w:pos="600" w:val="left"/>
          <w:tab w:leader="none" w:pos="1380" w:val="left"/>
        </w:tabs>
        <w:rPr>
          <w:sz w:val="20"/>
          <w:szCs w:val="20"/>
          <w:color w:val="auto"/>
        </w:rPr>
      </w:pPr>
      <w:r>
        <w:rPr>
          <w:rFonts w:ascii="Courier New" w:cs="Courier New" w:eastAsia="Courier New" w:hAnsi="Courier New"/>
          <w:sz w:val="15"/>
          <w:szCs w:val="15"/>
          <w:color w:val="auto"/>
        </w:rPr>
        <w:t>(h)(</w:t>
        <w:tab/>
        <w:t>)</w:t>
      </w:r>
      <w:r>
        <w:rPr>
          <w:sz w:val="20"/>
          <w:szCs w:val="20"/>
          <w:color w:val="auto"/>
        </w:rPr>
        <w:tab/>
      </w:r>
      <w:r>
        <w:rPr>
          <w:rFonts w:ascii="Courier New" w:cs="Courier New" w:eastAsia="Courier New" w:hAnsi="Courier New"/>
          <w:sz w:val="14"/>
          <w:szCs w:val="14"/>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Page 7 of 10 Pages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w:t>
      </w:r>
    </w:p>
    <w:p>
      <w:pPr>
        <w:spacing w:after="0" w:line="237" w:lineRule="auto"/>
        <w:rPr>
          <w:sz w:val="20"/>
          <w:szCs w:val="20"/>
          <w:color w:val="auto"/>
        </w:rPr>
      </w:pPr>
      <w:r>
        <w:rPr>
          <w:rFonts w:ascii="Courier New" w:cs="Courier New" w:eastAsia="Courier New" w:hAnsi="Courier New"/>
          <w:sz w:val="15"/>
          <w:szCs w:val="15"/>
          <w:color w:val="auto"/>
        </w:rPr>
        <w:t>Ownership.</w:t>
      </w:r>
    </w:p>
    <w:p>
      <w:pPr>
        <w:spacing w:after="0" w:line="167" w:lineRule="exact"/>
        <w:rPr>
          <w:sz w:val="20"/>
          <w:szCs w:val="20"/>
          <w:color w:val="auto"/>
        </w:rPr>
      </w:pPr>
    </w:p>
    <w:tbl>
      <w:tblPr>
        <w:tblLayout w:type="fixed"/>
        <w:tblInd w:w="3500" w:type="dxa"/>
        <w:tblCellMar>
          <w:top w:w="0" w:type="dxa"/>
          <w:left w:w="0" w:type="dxa"/>
          <w:bottom w:w="0" w:type="dxa"/>
          <w:right w:w="0" w:type="dxa"/>
        </w:tblCellMar>
      </w:tblPr>
      <w:tr>
        <w:trPr>
          <w:trHeight w:val="170"/>
        </w:trPr>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rPr>
              <w:t>M&amp;MC</w:t>
            </w:r>
          </w:p>
        </w:tc>
        <w:tc>
          <w:tcPr>
            <w:tcW w:w="3060" w:type="dxa"/>
            <w:vAlign w:val="bottom"/>
          </w:tcPr>
          <w:p>
            <w:pPr>
              <w:ind w:left="1440"/>
              <w:spacing w:after="0"/>
              <w:rPr>
                <w:sz w:val="20"/>
                <w:szCs w:val="20"/>
                <w:color w:val="auto"/>
              </w:rPr>
            </w:pPr>
            <w:r>
              <w:rPr>
                <w:rFonts w:ascii="Courier New" w:cs="Courier New" w:eastAsia="Courier New" w:hAnsi="Courier New"/>
                <w:sz w:val="15"/>
                <w:szCs w:val="15"/>
                <w:color w:val="auto"/>
              </w:rPr>
              <w:t>PIM*</w:t>
            </w:r>
          </w:p>
        </w:tc>
        <w:tc>
          <w:tcPr>
            <w:tcW w:w="2200" w:type="dxa"/>
            <w:vAlign w:val="bottom"/>
          </w:tcPr>
          <w:p>
            <w:pPr>
              <w:ind w:left="480"/>
              <w:spacing w:after="0"/>
              <w:rPr>
                <w:sz w:val="20"/>
                <w:szCs w:val="20"/>
                <w:color w:val="auto"/>
              </w:rPr>
            </w:pPr>
            <w:r>
              <w:rPr>
                <w:rFonts w:ascii="Courier New" w:cs="Courier New" w:eastAsia="Courier New" w:hAnsi="Courier New"/>
                <w:sz w:val="15"/>
                <w:szCs w:val="15"/>
                <w:color w:val="auto"/>
              </w:rPr>
              <w:t>PAC</w:t>
            </w:r>
          </w:p>
        </w:tc>
        <w:tc>
          <w:tcPr>
            <w:tcW w:w="720" w:type="dxa"/>
            <w:vAlign w:val="bottom"/>
          </w:tcPr>
          <w:p>
            <w:pPr>
              <w:ind w:left="380"/>
              <w:spacing w:after="0"/>
              <w:rPr>
                <w:sz w:val="20"/>
                <w:szCs w:val="20"/>
                <w:color w:val="auto"/>
              </w:rPr>
            </w:pPr>
            <w:r>
              <w:rPr>
                <w:rFonts w:ascii="Courier New" w:cs="Courier New" w:eastAsia="Courier New" w:hAnsi="Courier New"/>
                <w:sz w:val="15"/>
                <w:szCs w:val="15"/>
                <w:color w:val="auto"/>
              </w:rPr>
              <w:t>PI</w:t>
            </w:r>
          </w:p>
        </w:tc>
      </w:tr>
      <w:tr>
        <w:trPr>
          <w:trHeight w:val="168"/>
        </w:trPr>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 holding</w:t>
            </w:r>
          </w:p>
        </w:tc>
        <w:tc>
          <w:tcPr>
            <w:tcW w:w="30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(Investment advisers</w:t>
            </w:r>
          </w:p>
        </w:tc>
        <w:tc>
          <w:tcPr>
            <w:tcW w:w="2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(Parent company</w:t>
            </w:r>
          </w:p>
        </w:tc>
        <w:tc>
          <w:tcPr>
            <w:tcW w:w="72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to PI)</w:t>
            </w:r>
          </w:p>
        </w:tc>
        <w:tc>
          <w:tcPr>
            <w:tcW w:w="30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&amp; subsidiaries of PI)</w:t>
            </w:r>
          </w:p>
        </w:tc>
        <w:tc>
          <w:tcPr>
            <w:tcW w:w="2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 PIM and PAC)</w:t>
            </w:r>
          </w:p>
        </w:tc>
        <w:tc>
          <w:tcPr>
            <w:tcW w:w="720" w:type="dxa"/>
            <w:vAlign w:val="bottom"/>
          </w:tcPr>
          <w:p>
            <w:pPr>
              <w:spacing w:after="0"/>
              <w:rPr>
                <w:sz w:val="14"/>
                <w:szCs w:val="14"/>
                <w:color w:val="auto"/>
              </w:rPr>
            </w:pPr>
          </w:p>
        </w:tc>
      </w:tr>
    </w:tbl>
    <w:p>
      <w:pPr>
        <w:spacing w:after="0" w:line="335" w:lineRule="exact"/>
        <w:rPr>
          <w:sz w:val="20"/>
          <w:szCs w:val="20"/>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Beneficially</w:t>
      </w: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23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Owned:</w:t>
            </w:r>
          </w:p>
        </w:tc>
        <w:tc>
          <w:tcPr>
            <w:tcW w:w="25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NONE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752,602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92,547  =</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845,149</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360" w:type="dxa"/>
            <w:vAlign w:val="bottom"/>
          </w:tcPr>
          <w:p>
            <w:pPr>
              <w:ind w:left="200"/>
              <w:spacing w:after="0"/>
              <w:rPr>
                <w:sz w:val="20"/>
                <w:szCs w:val="20"/>
                <w:color w:val="auto"/>
              </w:rPr>
            </w:pPr>
            <w:r>
              <w:rPr>
                <w:rFonts w:ascii="Courier New" w:cs="Courier New" w:eastAsia="Courier New" w:hAnsi="Courier New"/>
                <w:sz w:val="15"/>
                <w:szCs w:val="15"/>
                <w:color w:val="auto"/>
              </w:rPr>
              <w:t>Percent of Class:</w:t>
            </w:r>
          </w:p>
        </w:tc>
        <w:tc>
          <w:tcPr>
            <w:tcW w:w="2580" w:type="dxa"/>
            <w:vAlign w:val="bottom"/>
          </w:tcPr>
          <w:p>
            <w:pPr>
              <w:ind w:left="1340"/>
              <w:spacing w:after="0"/>
              <w:rPr>
                <w:sz w:val="20"/>
                <w:szCs w:val="20"/>
                <w:color w:val="auto"/>
              </w:rPr>
            </w:pPr>
            <w:r>
              <w:rPr>
                <w:rFonts w:ascii="Courier New" w:cs="Courier New" w:eastAsia="Courier New" w:hAnsi="Courier New"/>
                <w:sz w:val="15"/>
                <w:szCs w:val="15"/>
                <w:color w:val="auto"/>
              </w:rPr>
              <w:t>NONE</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NONE</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166" w:lineRule="exact"/>
        <w:rPr>
          <w:sz w:val="20"/>
          <w:szCs w:val="20"/>
          <w:color w:val="auto"/>
        </w:rPr>
      </w:pPr>
    </w:p>
    <w:p>
      <w:pPr>
        <w:ind w:left="700" w:hanging="690"/>
        <w:spacing w:after="0"/>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such person has:</w:t>
      </w:r>
    </w:p>
    <w:p>
      <w:pPr>
        <w:spacing w:after="0" w:line="167" w:lineRule="exact"/>
        <w:rPr>
          <w:sz w:val="20"/>
          <w:szCs w:val="20"/>
          <w:color w:val="auto"/>
        </w:rPr>
      </w:pPr>
    </w:p>
    <w:p>
      <w:pPr>
        <w:ind w:left="700" w:hanging="690"/>
        <w:spacing w:after="0"/>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to direct the vote;</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700" w:right="8900" w:hanging="690"/>
        <w:spacing w:after="0" w:line="254" w:lineRule="auto"/>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vote or to direct the vote;</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339</w:t>
      </w:r>
      <w:r>
        <w:rPr>
          <w:sz w:val="20"/>
          <w:szCs w:val="20"/>
          <w:color w:val="auto"/>
        </w:rPr>
        <w:tab/>
      </w:r>
      <w:r>
        <w:rPr>
          <w:rFonts w:ascii="Courier New" w:cs="Courier New" w:eastAsia="Courier New" w:hAnsi="Courier New"/>
          <w:sz w:val="14"/>
          <w:szCs w:val="14"/>
          <w:color w:val="auto"/>
        </w:rPr>
        <w:t>339</w:t>
      </w:r>
    </w:p>
    <w:p>
      <w:pPr>
        <w:spacing w:after="0" w:line="174" w:lineRule="exact"/>
        <w:rPr>
          <w:sz w:val="20"/>
          <w:szCs w:val="20"/>
          <w:color w:val="auto"/>
        </w:rPr>
      </w:pPr>
    </w:p>
    <w:p>
      <w:pPr>
        <w:ind w:left="700" w:right="9000" w:hanging="690"/>
        <w:spacing w:after="0" w:line="235" w:lineRule="auto"/>
        <w:tabs>
          <w:tab w:leader="none" w:pos="7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dispose or to direct the disposition of;</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700" w:right="9080" w:hanging="690"/>
        <w:spacing w:after="0" w:line="261"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dispose or to direct</w:t>
      </w:r>
    </w:p>
    <w:p>
      <w:pPr>
        <w:sectPr>
          <w:pgSz w:w="11900" w:h="16838" w:orient="portrait"/>
          <w:cols w:equalWidth="0" w:num="1">
            <w:col w:w="11540"/>
          </w:cols>
          <w:pgMar w:left="220" w:top="135" w:right="139" w:bottom="0" w:gutter="0" w:footer="0" w:header="0"/>
          <w:type w:val="continuous"/>
        </w:sectPr>
      </w:pPr>
    </w:p>
    <w:bookmarkStart w:id="4" w:name="page5"/>
    <w:bookmarkEnd w:id="4"/>
    <w:p>
      <w:pPr>
        <w:ind w:left="700"/>
        <w:spacing w:after="0"/>
        <w:rPr>
          <w:sz w:val="20"/>
          <w:szCs w:val="20"/>
          <w:color w:val="auto"/>
        </w:rPr>
      </w:pPr>
      <w:r>
        <w:rPr>
          <w:rFonts w:ascii="Courier New" w:cs="Courier New" w:eastAsia="Courier New" w:hAnsi="Courier New"/>
          <w:sz w:val="15"/>
          <w:szCs w:val="15"/>
          <w:color w:val="auto"/>
        </w:rPr>
        <w:t>the disposition of;</w:t>
      </w:r>
    </w:p>
    <w:p>
      <w:pPr>
        <w:ind w:left="700"/>
        <w:spacing w:after="0" w:line="237" w:lineRule="auto"/>
        <w:tabs>
          <w:tab w:leader="none" w:pos="4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Ownership of Five Percent or Less of a Class.</w:t>
      </w:r>
    </w:p>
    <w:p>
      <w:pPr>
        <w:spacing w:after="0" w:line="173"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5"/>
          <w:szCs w:val="15"/>
          <w:color w:val="auto"/>
        </w:rPr>
        <w:t>If this statement is being filed to report the fact that as of the date thereof the reporting person has ceased to be the beneficial owner of more than five percent of the class of securities, check the following ( X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Ownership of More than Five/Ten Percent on Behalf of</w:t>
      </w:r>
    </w:p>
    <w:p>
      <w:pPr>
        <w:spacing w:after="0" w:line="237" w:lineRule="auto"/>
        <w:rPr>
          <w:sz w:val="20"/>
          <w:szCs w:val="20"/>
          <w:color w:val="auto"/>
        </w:rPr>
      </w:pPr>
      <w:r>
        <w:rPr>
          <w:rFonts w:ascii="Courier New" w:cs="Courier New" w:eastAsia="Courier New" w:hAnsi="Courier New"/>
          <w:sz w:val="15"/>
          <w:szCs w:val="15"/>
          <w:color w:val="auto"/>
        </w:rPr>
        <w:t>Another Person:</w:t>
      </w:r>
    </w:p>
    <w:p>
      <w:pPr>
        <w:spacing w:after="0" w:line="5"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5"/>
          <w:szCs w:val="15"/>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79" w:lineRule="exact"/>
        <w:rPr>
          <w:sz w:val="20"/>
          <w:szCs w:val="20"/>
          <w:color w:val="auto"/>
        </w:rPr>
      </w:pPr>
    </w:p>
    <w:p>
      <w:pPr>
        <w:ind w:right="140"/>
        <w:spacing w:after="0" w:line="261"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60"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PI, which is a wholly-owned subsidiary of M&amp;MC, wholly owns two registered investment advisers: Putnam Investment Management, LLC., which is the investment adviser to the Putnam family of mutual funds and The Putnam Advisory Company, LLC., which is the investment adviser to Putnam's institutional clients. Both subsidiaries have dispository power over the shares as investment managers, but each of the mutual fund's trustees have voting power over the shares held by each fund, and The Putnam Advisory Company, LLC.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Identification and Classification of Members of the Group:</w:t>
      </w:r>
    </w:p>
    <w:p>
      <w:pPr>
        <w:ind w:left="1400"/>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Notice of Dissolution of Group:</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10 Pages</w:t>
      </w:r>
    </w:p>
    <w:p>
      <w:pPr>
        <w:spacing w:after="0" w:line="341"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43" w:lineRule="exact"/>
        <w:rPr>
          <w:sz w:val="20"/>
          <w:szCs w:val="20"/>
          <w:color w:val="auto"/>
        </w:rPr>
      </w:pPr>
    </w:p>
    <w:p>
      <w:pPr>
        <w:ind w:right="140"/>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INVESTMENTS, LLC.</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/s/Gregory L. Pickard</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Name/Title:</w:t>
      </w:r>
      <w:r>
        <w:rPr>
          <w:sz w:val="20"/>
          <w:szCs w:val="20"/>
          <w:color w:val="auto"/>
        </w:rPr>
        <w:tab/>
      </w:r>
      <w:r>
        <w:rPr>
          <w:rFonts w:ascii="Courier New" w:cs="Courier New" w:eastAsia="Courier New" w:hAnsi="Courier New"/>
          <w:sz w:val="15"/>
          <w:szCs w:val="15"/>
          <w:color w:val="auto"/>
        </w:rPr>
        <w:t>Gregory L. Pickard</w:t>
      </w:r>
    </w:p>
    <w:p>
      <w:pPr>
        <w:ind w:left="700"/>
        <w:spacing w:after="0" w:line="237" w:lineRule="auto"/>
        <w:rPr>
          <w:sz w:val="20"/>
          <w:szCs w:val="20"/>
          <w:color w:val="auto"/>
        </w:rPr>
      </w:pPr>
      <w:r>
        <w:rPr>
          <w:rFonts w:ascii="Courier New" w:cs="Courier New" w:eastAsia="Courier New" w:hAnsi="Courier New"/>
          <w:sz w:val="15"/>
          <w:szCs w:val="15"/>
          <w:color w:val="auto"/>
        </w:rPr>
        <w:t>Assistant Vice President and Associate Counsel</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Date:</w:t>
        <w:tab/>
        <w:t>February 13, 2001</w:t>
      </w:r>
    </w:p>
    <w:p>
      <w:pPr>
        <w:spacing w:after="0" w:line="341"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5"/>
          <w:szCs w:val="15"/>
          <w:color w:val="auto"/>
        </w:rPr>
        <w:t>For this and all future filings, reference is made to Power of Attorney dated May 3, 2000, with respect to duly authorized signatures on behalf of Marsh &amp; McLennan Companies, Inc., Putnam Investments, LLC., Putnam Investment Management, LLC., The Putnam Advisory Company, LLC. and any Putnam Fund wherever applicable.</w:t>
      </w:r>
    </w:p>
    <w:p>
      <w:pPr>
        <w:spacing w:after="0" w:line="174" w:lineRule="exact"/>
        <w:rPr>
          <w:sz w:val="20"/>
          <w:szCs w:val="20"/>
          <w:color w:val="auto"/>
        </w:rPr>
      </w:pPr>
    </w:p>
    <w:p>
      <w:pPr>
        <w:jc w:val="both"/>
        <w:ind w:right="500"/>
        <w:spacing w:after="0" w:line="258" w:lineRule="auto"/>
        <w:rPr>
          <w:sz w:val="20"/>
          <w:szCs w:val="20"/>
          <w:color w:val="auto"/>
        </w:rPr>
      </w:pPr>
      <w:r>
        <w:rPr>
          <w:rFonts w:ascii="Courier New" w:cs="Courier New" w:eastAsia="Courier New" w:hAnsi="Courier New"/>
          <w:sz w:val="14"/>
          <w:szCs w:val="14"/>
          <w:color w:val="auto"/>
        </w:rPr>
        <w:t>For this and all future filings, reference is made to an Agreement dated June 28, 1990, with respect to one filing of Schedule 13G on behalf of said entities, pursuant to Rule 13d-1(f)(1).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2080" w:val="left"/>
          <w:tab w:leader="none" w:pos="4180" w:val="left"/>
        </w:tabs>
        <w:rPr>
          <w:sz w:val="20"/>
          <w:szCs w:val="20"/>
          <w:color w:val="auto"/>
        </w:rPr>
      </w:pP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4"/>
          <w:szCs w:val="14"/>
          <w:color w:val="auto"/>
        </w:rPr>
        <w:t>ALL</w:t>
      </w:r>
    </w:p>
    <w:p>
      <w:pPr>
        <w:sectPr>
          <w:pgSz w:w="11900" w:h="16838" w:orient="portrait"/>
          <w:cols w:equalWidth="0" w:num="2">
            <w:col w:w="6280" w:space="720"/>
            <w:col w:w="4460"/>
          </w:cols>
          <w:pgMar w:left="220" w:top="135" w:right="219" w:bottom="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Page 10 of 10 Pages</w:t>
      </w:r>
    </w:p>
    <w:sectPr>
      <w:pgSz w:w="11900" w:h="16838" w:orient="portrait"/>
      <w:cols w:equalWidth="0" w:num="1">
        <w:col w:w="10239"/>
      </w:cols>
      <w:pgMar w:left="22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
      <w:numFmt w:val="bullet"/>
      <w:start w:val="1"/>
    </w:lvl>
    <w:lvl w:ilvl="1">
      <w:lvlJc w:val="left"/>
      <w:lvlText w:val="%2."/>
      <w:numFmt w:val="decimal"/>
      <w:start w:val="5"/>
    </w:lvl>
  </w:abstractNum>
  <w:abstractNum w:abstractNumId="5">
    <w:nsid w:val="6763845E"/>
    <w:multiLevelType w:val="hybridMultilevel"/>
    <w:lvl w:ilvl="0">
      <w:lvlJc w:val="left"/>
      <w:lvlText w:val="%1."/>
      <w:numFmt w:val="decimal"/>
      <w:start w:val="8"/>
    </w:lvl>
  </w:abstractNum>
  <w:abstractNum w:abstractNumId="6">
    <w:nsid w:val="75A2A8D4"/>
    <w:multiLevelType w:val="hybridMultilevel"/>
    <w:lvl w:ilvl="0">
      <w:lvlJc w:val="left"/>
      <w:lvlText w:val="%1."/>
      <w:numFmt w:val="decimal"/>
      <w:start w:val="9"/>
    </w:lvl>
  </w:abstractNum>
  <w:abstractNum w:abstractNumId="7">
    <w:nsid w:val="8EDBDAB"/>
    <w:multiLevelType w:val="hybridMultilevel"/>
    <w:lvl w:ilvl="0">
      <w:lvlJc w:val="left"/>
      <w:lvlText w:val="%1."/>
      <w:numFmt w:val="decimal"/>
      <w:start w:val="10"/>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
      <w:numFmt w:val="bullet"/>
      <w:start w:val="1"/>
    </w:lvl>
    <w:lvl w:ilvl="1">
      <w:lvlJc w:val="left"/>
      <w:lvlText w:val="%2."/>
      <w:numFmt w:val="decimal"/>
      <w:start w:val="5"/>
    </w:lvl>
  </w:abstractNum>
  <w:abstractNum w:abstractNumId="13">
    <w:nsid w:val="71F32454"/>
    <w:multiLevelType w:val="hybridMultilevel"/>
    <w:lvl w:ilvl="0">
      <w:lvlJc w:val="left"/>
      <w:lvlText w:val="%1."/>
      <w:numFmt w:val="decimal"/>
      <w:start w:val="8"/>
    </w:lvl>
  </w:abstractNum>
  <w:abstractNum w:abstractNumId="14">
    <w:nsid w:val="2CA88611"/>
    <w:multiLevelType w:val="hybridMultilevel"/>
    <w:lvl w:ilvl="0">
      <w:lvlJc w:val="left"/>
      <w:lvlText w:val="%1."/>
      <w:numFmt w:val="decimal"/>
      <w:start w:val="9"/>
    </w:lvl>
  </w:abstractNum>
  <w:abstractNum w:abstractNumId="15">
    <w:nsid w:val="836C40E"/>
    <w:multiLevelType w:val="hybridMultilevel"/>
    <w:lvl w:ilvl="0">
      <w:lvlJc w:val="left"/>
      <w:lvlText w:val="%1."/>
      <w:numFmt w:val="decimal"/>
      <w:start w:val="10"/>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decimal"/>
      <w:start w:val="4"/>
    </w:lvl>
  </w:abstractNum>
  <w:abstractNum w:abstractNumId="20">
    <w:nsid w:val="7C3DBD3D"/>
    <w:multiLevelType w:val="hybridMultilevel"/>
    <w:lvl w:ilvl="0">
      <w:lvlJc w:val="left"/>
      <w:lvlText w:val="-"/>
      <w:numFmt w:val="bullet"/>
      <w:start w:val="1"/>
    </w:lvl>
    <w:lvl w:ilvl="1">
      <w:lvlJc w:val="left"/>
      <w:lvlText w:val="%2."/>
      <w:numFmt w:val="decimal"/>
      <w:start w:val="5"/>
    </w:lvl>
  </w:abstractNum>
  <w:abstractNum w:abstractNumId="21">
    <w:nsid w:val="737B8DDC"/>
    <w:multiLevelType w:val="hybridMultilevel"/>
    <w:lvl w:ilvl="0">
      <w:lvlJc w:val="left"/>
      <w:lvlText w:val="%1."/>
      <w:numFmt w:val="decimal"/>
      <w:start w:val="8"/>
    </w:lvl>
  </w:abstractNum>
  <w:abstractNum w:abstractNumId="22">
    <w:nsid w:val="6CEAF087"/>
    <w:multiLevelType w:val="hybridMultilevel"/>
    <w:lvl w:ilvl="0">
      <w:lvlJc w:val="left"/>
      <w:lvlText w:val="%1."/>
      <w:numFmt w:val="decimal"/>
      <w:start w:val="9"/>
    </w:lvl>
  </w:abstractNum>
  <w:abstractNum w:abstractNumId="23">
    <w:nsid w:val="22221A70"/>
    <w:multiLevelType w:val="hybridMultilevel"/>
    <w:lvl w:ilvl="0">
      <w:lvlJc w:val="left"/>
      <w:lvlText w:val="%1."/>
      <w:numFmt w:val="decimal"/>
      <w:start w:val="10"/>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2"/>
    </w:lvl>
  </w:abstractNum>
  <w:abstractNum w:abstractNumId="26">
    <w:nsid w:val="614FD4A1"/>
    <w:multiLevelType w:val="hybridMultilevel"/>
    <w:lvl w:ilvl="0">
      <w:lvlJc w:val="left"/>
      <w:lvlText w:val="%1."/>
      <w:numFmt w:val="decimal"/>
      <w:start w:val="3"/>
    </w:lvl>
  </w:abstractNum>
  <w:abstractNum w:abstractNumId="27">
    <w:nsid w:val="419AC241"/>
    <w:multiLevelType w:val="hybridMultilevel"/>
    <w:lvl w:ilvl="0">
      <w:lvlJc w:val="left"/>
      <w:lvlText w:val="%1."/>
      <w:numFmt w:val="decimal"/>
      <w:start w:val="4"/>
    </w:lvl>
  </w:abstractNum>
  <w:abstractNum w:abstractNumId="28">
    <w:nsid w:val="5577F8E1"/>
    <w:multiLevelType w:val="hybridMultilevel"/>
    <w:lvl w:ilvl="0">
      <w:lvlJc w:val="left"/>
      <w:lvlText w:val="-"/>
      <w:numFmt w:val="bullet"/>
      <w:start w:val="1"/>
    </w:lvl>
    <w:lvl w:ilvl="1">
      <w:lvlJc w:val="left"/>
      <w:lvlText w:val="%2."/>
      <w:numFmt w:val="decimal"/>
      <w:start w:val="5"/>
    </w:lvl>
  </w:abstractNum>
  <w:abstractNum w:abstractNumId="29">
    <w:nsid w:val="440BADFC"/>
    <w:multiLevelType w:val="hybridMultilevel"/>
    <w:lvl w:ilvl="0">
      <w:lvlJc w:val="left"/>
      <w:lvlText w:val="%1."/>
      <w:numFmt w:val="decimal"/>
      <w:start w:val="8"/>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decimal"/>
      <w:start w:val="10"/>
    </w:lvl>
  </w:abstractNum>
  <w:abstractNum w:abstractNumId="32">
    <w:nsid w:val="77465F01"/>
    <w:multiLevelType w:val="hybridMultilevel"/>
    <w:lvl w:ilvl="0">
      <w:lvlJc w:val="left"/>
      <w:lvlText w:val="%1."/>
      <w:numFmt w:val="decimal"/>
      <w:start w:val="11"/>
    </w:lvl>
  </w:abstractNum>
  <w:abstractNum w:abstractNumId="33">
    <w:nsid w:val="7724C67E"/>
    <w:multiLevelType w:val="hybridMultilevel"/>
    <w:lvl w:ilvl="0">
      <w:lvlJc w:val="left"/>
      <w:lvlText w:val="%1."/>
      <w:numFmt w:val="decimal"/>
      <w:start w:val="12"/>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3"/>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3"/>
    </w:lvl>
  </w:abstractNum>
  <w:abstractNum w:abstractNumId="40">
    <w:nsid w:val="153EA43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2019-12-11T17:19:45Z</dcterms:created>
  <dcterms:modified xsi:type="dcterms:W3CDTF">2019-12-11T17:19:45Z</dcterms:modified>
</cp:coreProperties>
</file>