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fiscal year ended November 1, 2025</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 w:lineRule="exact"/>
        <w:rPr>
          <w:sz w:val="24"/>
          <w:szCs w:val="24"/>
          <w:color w:val="auto"/>
        </w:rPr>
      </w:pPr>
    </w:p>
    <w:p>
      <w:pPr>
        <w:ind w:left="560" w:hanging="521"/>
        <w:spacing w:after="0"/>
        <w:tabs>
          <w:tab w:leader="none" w:pos="56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6" w:lineRule="exact"/>
        <w:rPr>
          <w:sz w:val="24"/>
          <w:szCs w:val="24"/>
          <w:color w:val="auto"/>
        </w:rPr>
      </w:pPr>
    </w:p>
    <w:p>
      <w:pPr>
        <w:ind w:left="408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1-7819</w:t>
      </w:r>
    </w:p>
    <w:p>
      <w:pPr>
        <w:spacing w:after="0" w:line="2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Analog Devices, Inc.</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040" w:type="dxa"/>
            <w:vAlign w:val="bottom"/>
          </w:tcPr>
          <w:p>
            <w:pPr>
              <w:jc w:val="center"/>
              <w:ind w:left="356"/>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160" w:type="dxa"/>
            <w:vAlign w:val="bottom"/>
          </w:tcPr>
          <w:p>
            <w:pPr>
              <w:spacing w:after="0"/>
              <w:rPr>
                <w:sz w:val="19"/>
                <w:szCs w:val="19"/>
                <w:color w:val="auto"/>
              </w:rPr>
            </w:pPr>
          </w:p>
        </w:tc>
        <w:tc>
          <w:tcPr>
            <w:tcW w:w="3400" w:type="dxa"/>
            <w:vAlign w:val="bottom"/>
          </w:tcPr>
          <w:p>
            <w:pPr>
              <w:jc w:val="right"/>
              <w:ind w:right="1276"/>
              <w:spacing w:after="0"/>
              <w:rPr>
                <w:sz w:val="20"/>
                <w:szCs w:val="20"/>
                <w:color w:val="auto"/>
              </w:rPr>
            </w:pPr>
            <w:r>
              <w:rPr>
                <w:rFonts w:ascii="Times New Roman" w:cs="Times New Roman" w:eastAsia="Times New Roman" w:hAnsi="Times New Roman"/>
                <w:sz w:val="18"/>
                <w:szCs w:val="18"/>
                <w:b w:val="1"/>
                <w:bCs w:val="1"/>
                <w:color w:val="auto"/>
              </w:rPr>
              <w:t>04-2348234</w:t>
            </w:r>
          </w:p>
        </w:tc>
      </w:tr>
      <w:tr>
        <w:trPr>
          <w:trHeight w:val="190"/>
        </w:trPr>
        <w:tc>
          <w:tcPr>
            <w:tcW w:w="4040" w:type="dxa"/>
            <w:vAlign w:val="bottom"/>
          </w:tcPr>
          <w:p>
            <w:pPr>
              <w:jc w:val="center"/>
              <w:ind w:left="376"/>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160" w:type="dxa"/>
            <w:vAlign w:val="bottom"/>
          </w:tcPr>
          <w:p>
            <w:pPr>
              <w:spacing w:after="0"/>
              <w:rPr>
                <w:sz w:val="16"/>
                <w:szCs w:val="16"/>
                <w:color w:val="auto"/>
              </w:rPr>
            </w:pPr>
          </w:p>
        </w:tc>
        <w:tc>
          <w:tcPr>
            <w:tcW w:w="3400" w:type="dxa"/>
            <w:vAlign w:val="bottom"/>
          </w:tcPr>
          <w:p>
            <w:pPr>
              <w:jc w:val="center"/>
              <w:ind w:right="136"/>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36"/>
        </w:trPr>
        <w:tc>
          <w:tcPr>
            <w:tcW w:w="40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One Analog Way,  Wilmington,  MA</w:t>
            </w:r>
          </w:p>
        </w:tc>
        <w:tc>
          <w:tcPr>
            <w:tcW w:w="3160" w:type="dxa"/>
            <w:vAlign w:val="bottom"/>
          </w:tcPr>
          <w:p>
            <w:pPr>
              <w:spacing w:after="0"/>
              <w:rPr>
                <w:sz w:val="24"/>
                <w:szCs w:val="24"/>
                <w:color w:val="auto"/>
              </w:rPr>
            </w:pPr>
          </w:p>
        </w:tc>
        <w:tc>
          <w:tcPr>
            <w:tcW w:w="3400" w:type="dxa"/>
            <w:vAlign w:val="bottom"/>
          </w:tcPr>
          <w:p>
            <w:pPr>
              <w:jc w:val="right"/>
              <w:ind w:right="1496"/>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190"/>
        </w:trPr>
        <w:tc>
          <w:tcPr>
            <w:tcW w:w="4040" w:type="dxa"/>
            <w:vAlign w:val="bottom"/>
          </w:tcPr>
          <w:p>
            <w:pPr>
              <w:jc w:val="center"/>
              <w:ind w:left="356"/>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160" w:type="dxa"/>
            <w:vAlign w:val="bottom"/>
          </w:tcPr>
          <w:p>
            <w:pPr>
              <w:spacing w:after="0"/>
              <w:rPr>
                <w:sz w:val="16"/>
                <w:szCs w:val="16"/>
                <w:color w:val="auto"/>
              </w:rPr>
            </w:pPr>
          </w:p>
        </w:tc>
        <w:tc>
          <w:tcPr>
            <w:tcW w:w="3400" w:type="dxa"/>
            <w:vAlign w:val="bottom"/>
          </w:tcPr>
          <w:p>
            <w:pPr>
              <w:jc w:val="center"/>
              <w:ind w:right="116"/>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82"/>
        </w:trPr>
        <w:tc>
          <w:tcPr>
            <w:tcW w:w="4040" w:type="dxa"/>
            <w:vAlign w:val="bottom"/>
          </w:tcPr>
          <w:p>
            <w:pPr>
              <w:spacing w:after="0"/>
              <w:rPr>
                <w:sz w:val="24"/>
                <w:szCs w:val="24"/>
                <w:color w:val="auto"/>
              </w:rPr>
            </w:pPr>
          </w:p>
        </w:tc>
        <w:tc>
          <w:tcPr>
            <w:tcW w:w="3160" w:type="dxa"/>
            <w:vAlign w:val="bottom"/>
          </w:tcPr>
          <w:p>
            <w:pPr>
              <w:jc w:val="right"/>
              <w:ind w:right="975"/>
              <w:spacing w:after="0"/>
              <w:rPr>
                <w:sz w:val="20"/>
                <w:szCs w:val="20"/>
                <w:color w:val="auto"/>
              </w:rPr>
            </w:pPr>
            <w:r>
              <w:rPr>
                <w:rFonts w:ascii="Times New Roman" w:cs="Times New Roman" w:eastAsia="Times New Roman" w:hAnsi="Times New Roman"/>
                <w:sz w:val="16"/>
                <w:szCs w:val="16"/>
                <w:b w:val="1"/>
                <w:bCs w:val="1"/>
                <w:color w:val="auto"/>
              </w:rPr>
              <w:t>(781) 935-5565</w:t>
            </w:r>
          </w:p>
        </w:tc>
        <w:tc>
          <w:tcPr>
            <w:tcW w:w="3400" w:type="dxa"/>
            <w:vAlign w:val="bottom"/>
          </w:tcPr>
          <w:p>
            <w:pPr>
              <w:spacing w:after="0"/>
              <w:rPr>
                <w:sz w:val="24"/>
                <w:szCs w:val="24"/>
                <w:color w:val="auto"/>
              </w:rPr>
            </w:pPr>
          </w:p>
        </w:tc>
      </w:tr>
      <w:tr>
        <w:trPr>
          <w:trHeight w:val="182"/>
        </w:trPr>
        <w:tc>
          <w:tcPr>
            <w:tcW w:w="404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400" w:type="dxa"/>
            <w:vAlign w:val="bottom"/>
          </w:tcPr>
          <w:p>
            <w:pPr>
              <w:spacing w:after="0"/>
              <w:rPr>
                <w:sz w:val="15"/>
                <w:szCs w:val="15"/>
                <w:color w:val="auto"/>
              </w:rPr>
            </w:pPr>
          </w:p>
        </w:tc>
      </w:tr>
      <w:tr>
        <w:trPr>
          <w:trHeight w:val="234"/>
        </w:trPr>
        <w:tc>
          <w:tcPr>
            <w:tcW w:w="4040" w:type="dxa"/>
            <w:vAlign w:val="bottom"/>
          </w:tcPr>
          <w:p>
            <w:pPr>
              <w:spacing w:after="0"/>
              <w:rPr>
                <w:sz w:val="20"/>
                <w:szCs w:val="20"/>
                <w:color w:val="auto"/>
              </w:rPr>
            </w:pPr>
          </w:p>
        </w:tc>
        <w:tc>
          <w:tcPr>
            <w:tcW w:w="3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400" w:type="dxa"/>
            <w:vAlign w:val="bottom"/>
          </w:tcPr>
          <w:p>
            <w:pPr>
              <w:spacing w:after="0"/>
              <w:rPr>
                <w:sz w:val="20"/>
                <w:szCs w:val="20"/>
                <w:color w:val="auto"/>
              </w:rPr>
            </w:pPr>
          </w:p>
        </w:tc>
      </w:tr>
      <w:tr>
        <w:trPr>
          <w:trHeight w:val="291"/>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44"/>
        </w:trPr>
        <w:tc>
          <w:tcPr>
            <w:tcW w:w="40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Stock $0.16 2/3 par value per share</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None</w:t>
      </w:r>
    </w:p>
    <w:p>
      <w:pPr>
        <w:spacing w:after="0" w:line="51" w:lineRule="exact"/>
        <w:rPr>
          <w:sz w:val="24"/>
          <w:szCs w:val="24"/>
          <w:color w:val="auto"/>
        </w:rPr>
      </w:pPr>
    </w:p>
    <w:p>
      <w:pPr>
        <w:ind w:left="340" w:right="2100"/>
        <w:spacing w:after="0" w:line="350"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38" w:lineRule="exact"/>
        <w:rPr>
          <w:sz w:val="24"/>
          <w:szCs w:val="24"/>
          <w:color w:val="auto"/>
        </w:rPr>
      </w:pPr>
    </w:p>
    <w:p>
      <w:pPr>
        <w:ind w:right="300" w:firstLine="324"/>
        <w:spacing w:after="0" w:line="26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20" w:firstLine="324"/>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38" w:lineRule="exact"/>
        <w:rPr>
          <w:sz w:val="24"/>
          <w:szCs w:val="24"/>
          <w:color w:val="auto"/>
        </w:rPr>
      </w:pPr>
    </w:p>
    <w:p>
      <w:pPr>
        <w:ind w:right="240" w:firstLine="324"/>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5" w:lineRule="exact"/>
        <w:rPr>
          <w:sz w:val="24"/>
          <w:szCs w:val="24"/>
          <w:color w:val="auto"/>
        </w:rPr>
      </w:pPr>
    </w:p>
    <w:p>
      <w:pPr>
        <w:ind w:right="200" w:firstLine="324"/>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4" w:lineRule="exact"/>
        <w:rPr>
          <w:sz w:val="24"/>
          <w:szCs w:val="24"/>
          <w:color w:val="auto"/>
        </w:rPr>
      </w:pPr>
    </w:p>
    <w:p>
      <w:pPr>
        <w:ind w:right="60" w:firstLine="324"/>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38" w:lineRule="exact"/>
        <w:rPr>
          <w:sz w:val="24"/>
          <w:szCs w:val="24"/>
          <w:color w:val="auto"/>
        </w:rPr>
      </w:pPr>
    </w:p>
    <w:p>
      <w:pPr>
        <w:ind w:right="16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ind w:right="18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approximately $81,121,000,000 based on the last reported sale of the Common Stock on The Nasdaq Global Select Market on May 3, 2025.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5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November 1, 2025, there were 489,654,097 shares of Common Stock, $0.16 2/3 par value per share, outstanding.</w:t>
      </w:r>
    </w:p>
    <w:p>
      <w:pPr>
        <w:spacing w:after="0" w:line="7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0" w:lineRule="exact"/>
        <w:rPr>
          <w:sz w:val="24"/>
          <w:szCs w:val="24"/>
          <w:color w:val="auto"/>
        </w:rPr>
      </w:pPr>
    </w:p>
    <w:p>
      <w:pPr>
        <w:ind w:left="40"/>
        <w:spacing w:after="0"/>
        <w:tabs>
          <w:tab w:leader="none" w:pos="10020" w:val="left"/>
        </w:tabs>
        <w:rPr>
          <w:sz w:val="20"/>
          <w:szCs w:val="20"/>
          <w:color w:val="auto"/>
        </w:rPr>
      </w:pPr>
      <w:r>
        <w:rPr>
          <w:rFonts w:ascii="Times New Roman" w:cs="Times New Roman" w:eastAsia="Times New Roman" w:hAnsi="Times New Roman"/>
          <w:sz w:val="14"/>
          <w:szCs w:val="14"/>
          <w:b w:val="1"/>
          <w:bCs w:val="1"/>
          <w:color w:val="auto"/>
        </w:rPr>
        <w:t>Document Description</w:t>
      </w:r>
      <w:r>
        <w:rPr>
          <w:sz w:val="20"/>
          <w:szCs w:val="20"/>
          <w:color w:val="auto"/>
        </w:rPr>
        <w:tab/>
      </w:r>
      <w:r>
        <w:rPr>
          <w:rFonts w:ascii="Times New Roman" w:cs="Times New Roman" w:eastAsia="Times New Roman" w:hAnsi="Times New Roman"/>
          <w:sz w:val="14"/>
          <w:szCs w:val="14"/>
          <w:b w:val="1"/>
          <w:bCs w:val="1"/>
          <w:color w:val="auto"/>
        </w:rPr>
        <w:t>Form 10-K Part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181" w:right="399" w:bottom="209" w:gutter="0" w:footer="0" w:header="0"/>
        </w:sectPr>
      </w:pPr>
    </w:p>
    <w:p>
      <w:pPr>
        <w:spacing w:after="0" w:line="66" w:lineRule="exact"/>
        <w:rPr>
          <w:sz w:val="24"/>
          <w:szCs w:val="24"/>
          <w:color w:val="auto"/>
        </w:rPr>
      </w:pPr>
    </w:p>
    <w:p>
      <w:pPr>
        <w:ind w:left="40"/>
        <w:spacing w:after="0"/>
        <w:tabs>
          <w:tab w:leader="none" w:pos="10440" w:val="left"/>
        </w:tabs>
        <w:rPr>
          <w:sz w:val="20"/>
          <w:szCs w:val="20"/>
          <w:color w:val="auto"/>
        </w:rPr>
      </w:pPr>
      <w:r>
        <w:rPr>
          <w:rFonts w:ascii="Times New Roman" w:cs="Times New Roman" w:eastAsia="Times New Roman" w:hAnsi="Times New Roman"/>
          <w:sz w:val="16"/>
          <w:szCs w:val="16"/>
          <w:color w:val="auto"/>
        </w:rPr>
        <w:t>Portions of the Registrant’s Proxy Statement for the Annual Meeting of Shareholders to be held March 11, 2026</w:t>
      </w:r>
      <w:r>
        <w:rPr>
          <w:sz w:val="20"/>
          <w:szCs w:val="20"/>
          <w:color w:val="auto"/>
        </w:rPr>
        <w:tab/>
      </w:r>
      <w:r>
        <w:rPr>
          <w:rFonts w:ascii="Times New Roman" w:cs="Times New Roman" w:eastAsia="Times New Roman" w:hAnsi="Times New Roman"/>
          <w:sz w:val="16"/>
          <w:szCs w:val="16"/>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181" w:right="399" w:bottom="20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2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0"/>
                <w:szCs w:val="20"/>
                <w:color w:val="auto"/>
              </w:rPr>
            </w:pPr>
          </w:p>
        </w:tc>
      </w:tr>
      <w:tr>
        <w:trPr>
          <w:trHeight w:val="252"/>
        </w:trPr>
        <w:tc>
          <w:tcPr>
            <w:tcW w:w="10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Note about Forward-Looking Statements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w:t>
            </w:r>
          </w:p>
        </w:tc>
        <w:tc>
          <w:tcPr>
            <w:tcW w:w="1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1A. Risk Factors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1B. Unresolved Staff Comments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1C. Cybersecurity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II</w:t>
            </w:r>
          </w:p>
        </w:tc>
        <w:tc>
          <w:tcPr>
            <w:tcW w:w="1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7A. Quantitative and Qualitative Disclosures about Market Risk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10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10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10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10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10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10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10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9A. Controls and Procedures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9B. Other Information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9C. Disclosure Regarding Foreign Jurisdictions That Prevent Inspections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PART III</w:t>
            </w:r>
          </w:p>
        </w:tc>
        <w:tc>
          <w:tcPr>
            <w:tcW w:w="1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Directors, Executive Officers and Corporate Governance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 Executive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Security Ownership of Certain Beneficial Owners and Management and Related Stockholder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 Certain Relationships and Related Transactions, and Director Independence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 Principal Accountant Fees and Services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PART IV</w:t>
            </w:r>
          </w:p>
        </w:tc>
        <w:tc>
          <w:tcPr>
            <w:tcW w:w="18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 Exhibits and Financial Statement Schedules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10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w:t>
            </w:r>
          </w:p>
        </w:tc>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 Form 10-K Summary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9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222"/>
        </w:trPr>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135"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In addition, any statements that refer to projections regarding our future financial performance or results; the effects of business, economic, political, legal and regulatory impacts or conflicts upon our global operations; our anticipated growth and trends in our businesses;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our plans to pay dividends or repurchase stock; servicing our outstanding debt; our plans to borrow under our fourth amended and restated revolving credit agreement, and issue notes under our commercial paper program and the planned use of proceeds from such borrowing and issuing; our expected tax rate; the effect of tax examinations and audits and changes in or the application of new or revised tax laws; expected cost savings; the effect of new accounting pronouncements; and other characterizations of future events or circumstances are forward-looking statements. Our actual results could differ materially from those anticipated in these forward-looking statements as a result of various factors. Readers are cautioned that these forward-looking statements are only predictions and are subject to risks, uncertainties, and assumptions that are difficult to predict, including those identified in Part I, Item 1A. “Risk Factors” and elsewhere in this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Strategy and Mission</w:t>
      </w:r>
    </w:p>
    <w:p>
      <w:pPr>
        <w:spacing w:after="0" w:line="148"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Analog Devices, Inc. (we, Analog Devices or the Company) is a global semiconductor leader dedicated to solving our customers’ most complex engineering challenges. We deliver innovations that connect technology to human breakthroughs and play a critical role at the intersection of the physical and digital worlds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pacing w:after="0" w:line="9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Intelligent Edge is characterized by ubiquitous sensing, hyper-scale and edge computing, artificial intelligence (AI) and pervasive connectivity. These technological trends drive new generations of applications that expand the demand for Analog Devices’ high-performance analog, mixed-signal, power and RF ICs. We have positioned our business to capitalize on these long-term growth opportunities and to deliver innovative solutions across industries. Central to our strategy is our focus on solving challenges that our customers face across the most impactful application areas. This strategy is built around the following key priorities, which we believe will continue to drive our long-term success:</w:t>
      </w:r>
    </w:p>
    <w:p>
      <w:pPr>
        <w:spacing w:after="0" w:line="85" w:lineRule="exact"/>
        <w:rPr>
          <w:sz w:val="20"/>
          <w:szCs w:val="20"/>
          <w:color w:val="auto"/>
        </w:rPr>
      </w:pPr>
    </w:p>
    <w:p>
      <w:pPr>
        <w:ind w:left="660" w:right="20" w:hanging="328"/>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Efficient use of capital. </w:t>
      </w:r>
      <w:r>
        <w:rPr>
          <w:rFonts w:ascii="Times New Roman" w:cs="Times New Roman" w:eastAsia="Times New Roman" w:hAnsi="Times New Roman"/>
          <w:sz w:val="18"/>
          <w:szCs w:val="18"/>
          <w:color w:val="auto"/>
        </w:rPr>
        <w:t>Research and development (R&amp;D) is critical to continuing our cycle of innovation, driven by a diverse array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talent who “engineer good” for our planet and society. We are committed to realizing targeted shareholder value creation from acquisitions to complement our R&amp;D and drive long-term value creation. Through the development of cutting-edge innovations and our ability to solve difficult problems across a broad array of applications, we generate significant cash flow and are committed to delivering strong shareholder returns.</w:t>
      </w:r>
    </w:p>
    <w:p>
      <w:pPr>
        <w:spacing w:after="0" w:line="98"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Deepening customer-centricity. </w:t>
      </w:r>
      <w:r>
        <w:rPr>
          <w:rFonts w:ascii="Times New Roman" w:cs="Times New Roman" w:eastAsia="Times New Roman" w:hAnsi="Times New Roman"/>
          <w:sz w:val="18"/>
          <w:szCs w:val="18"/>
          <w:color w:val="auto"/>
        </w:rPr>
        <w:t>Close customer relationships influence all aspects of our business: from our broad range of product portfolios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application expertise to manufacturing capabilities in high-performance power management and precision and high-speed signal processing technologies. We believe that our engineering talent continues to be an important competitive differentiator in the semiconductor space that will enable us to deepen our relationships with customers. We strive to be the destination for the world’s best engineering talent, with a team of approximately 13,000 engineers. Together, our products and our engineering talent enable us to partner with our customers, leveraging our analog domain expertise and the full breadth of our technology capabilities to develop complete and innovative solutions.</w:t>
      </w:r>
    </w:p>
    <w:p>
      <w:pPr>
        <w:spacing w:after="0" w:line="87" w:lineRule="exact"/>
        <w:rPr>
          <w:rFonts w:ascii="Times New Roman" w:cs="Times New Roman" w:eastAsia="Times New Roman" w:hAnsi="Times New Roman"/>
          <w:sz w:val="18"/>
          <w:szCs w:val="18"/>
          <w:color w:val="auto"/>
        </w:rPr>
      </w:pPr>
    </w:p>
    <w:p>
      <w:pPr>
        <w:ind w:left="660" w:right="20" w:hanging="328"/>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Capitalizing on secular trends. </w:t>
      </w:r>
      <w:r>
        <w:rPr>
          <w:rFonts w:ascii="Times New Roman" w:cs="Times New Roman" w:eastAsia="Times New Roman" w:hAnsi="Times New Roman"/>
          <w:sz w:val="18"/>
          <w:szCs w:val="18"/>
          <w:color w:val="auto"/>
        </w:rPr>
        <w:t>We are positioned to capitalize on critical long-term growth trends to drive advancements in digitized factories,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mobility and digital healthcare, combat climate change and reliably connect humans and the world. We are well aligned with the key B2B markets driving the increase in data at the Intelligent Edge and will continue to be a critical partner in the collection, creation and communication of our customers’ edge data. In addition, we incorporate AI capabilities across our technologies, business operations, products and services to enhance performance and drive smarter, more efficient solutions.</w:t>
      </w:r>
    </w:p>
    <w:p>
      <w:pPr>
        <w:spacing w:after="0" w:line="1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were incorporated in Massachusetts in 1965 with our corporate headquarters near Boston in Wilmington, Massachusetts. We have manufacturing facilities primarily in the United States, Ireland and Southeast Asia. Our common stock is listed on the Nasdaq Global Select Market under the symbol ADI and is included in the Standard &amp; Poor’s 500 Index. Our fiscal year is the 52-week or 53-week period ending on the Saturday closest to the last day in October; November 1, 2025 (fiscal 2025) was a 52-week fiscal period, while the fiscal year ended November 2, 2024 (fiscal 2024) was a 53-week fiscal period and the fiscal year ended October 28, 2023 (fiscal 2023) was a 52-week fiscal period. The additional week in fiscal 2024 was included in the first quarter ended February 3, 2024. Therefore, fiscal 2025 and fiscal 2023 include one less week of operations as compared to fiscal 2024.</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maintain a website with the address www.analog.com.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by-laws, corporate governance guidelines, the charters for the committees of our Board of Directors, our code of business conduct and ethics, which applies to our directors, officers and employees, and other governance documents.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94"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We have included our website address in this Annual Report on Form 10-K as an inactive textual reference. We are not including the information contained on our website as a part of, or incorporating it by reference into,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48"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Semiconductor components are the building blocks used in electronic systems and equipment. These components are classified as either discrete devices, such as individual transistors, or as ICs, in which a number of transistors and other elements are combined to form a more complicated electronic circuit.</w:t>
      </w:r>
    </w:p>
    <w:p>
      <w:pPr>
        <w:spacing w:after="0" w:line="8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ICs are designed to address a wide range of real-world signal processing applications. We sell our ICs to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Our analog ICs monitor, condition, amplify or transform continuous analog signals associated with physical properties, such as temperature, pressure, weight, light, sound or motion, and play an important role in bridging real world phenomena to a variety of electronic systems. Our analog ICs also provide voltage regulation and power control to electronic systems.</w:t>
      </w:r>
    </w:p>
    <w:p>
      <w:pPr>
        <w:spacing w:after="0" w:line="97"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We also work with customers to design application-specific solutions. We begin with our existing core technologies, which leverage our analog and mixed signal, power management, RF and microwave, edge processors and other sensors, and devise solutions that more closely meet the needs of a specific customer or group of customers. In certain cases, because we have already developed the core technology platform for our general-purpose products, we can create application-specific solutions quickly and efficiently.</w:t>
      </w:r>
    </w:p>
    <w:p>
      <w:pPr>
        <w:spacing w:after="0" w:line="9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Our analog and mixed-signal IC technology have been the foundation of our business for six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smaller size, lower power consumption and fewer components, resulting in improved performance and reliability. Our product portfolio includes several thousand analog ICs, many of which can have several hundred end customers. Our analog ICs typically have long product life cycles. Our customers include original equipment manufacturers (OEMs) and customers who build electronic subsystems for integration into larger systems.</w:t>
      </w:r>
    </w:p>
    <w:p>
      <w:pPr>
        <w:spacing w:after="0" w:line="9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continue to expand our capabilities in software, digital platforms and AI to support the evolving needs of our customers and markets. These efforts are intended to enhance system-level performance, improve design efficiency, reduce complexity and help customers accelerate time to market for their products and solutions. Our strategic goal is to bridge the domains of analog and mixed-signal, digital and embedded and AI and software technologies to enable intelligent systems that can sense, process and respond to real-world conditions. This integrated approach supports the development of differentiated solutions across industrial, automotive, communications, consumer and healthcare applications.</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product offerings include more than 75,000 stock keeping units (SKUs) that can be aggregated into the following general categories:</w:t>
      </w:r>
    </w:p>
    <w:p>
      <w:pPr>
        <w:spacing w:after="0" w:line="142" w:lineRule="exact"/>
        <w:rPr>
          <w:sz w:val="20"/>
          <w:szCs w:val="20"/>
          <w:color w:val="auto"/>
        </w:rPr>
      </w:pPr>
    </w:p>
    <w:p>
      <w:pPr>
        <w:ind w:left="660" w:right="20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Analog and Mixed Signal</w:t>
      </w:r>
      <w:r>
        <w:rPr>
          <w:rFonts w:ascii="Times New Roman" w:cs="Times New Roman" w:eastAsia="Times New Roman" w:hAnsi="Times New Roman"/>
          <w:sz w:val="18"/>
          <w:szCs w:val="18"/>
          <w:color w:val="auto"/>
        </w:rPr>
        <w:t>—We are a leading supplier of data converter products. Data converters translate real-world analog signals into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and also translate 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ind w:left="660" w:right="60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Management &amp; Reference</w:t>
      </w:r>
      <w:r>
        <w:rPr>
          <w:rFonts w:ascii="Times New Roman" w:cs="Times New Roman" w:eastAsia="Times New Roman" w:hAnsi="Times New Roman"/>
          <w:sz w:val="18"/>
          <w:szCs w:val="18"/>
          <w:color w:val="auto"/>
        </w:rPr>
        <w:t>—Power management and reference products, which include functions such as power conversion,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sequencing and energy management, provide efficient solutions for power management and conversion applications in the automotive, communications, industrial and high-end consumer markets. Our high-performance power ICs include powerful performance, integration and software design simulation tools to provide fast and accurate power supply designs.</w:t>
      </w:r>
    </w:p>
    <w:p>
      <w:pPr>
        <w:spacing w:after="0" w:line="98" w:lineRule="exact"/>
        <w:rPr>
          <w:rFonts w:ascii="Times New Roman" w:cs="Times New Roman" w:eastAsia="Times New Roman" w:hAnsi="Times New Roman"/>
          <w:sz w:val="18"/>
          <w:szCs w:val="18"/>
          <w:color w:val="auto"/>
        </w:rPr>
      </w:pPr>
    </w:p>
    <w:p>
      <w:pPr>
        <w:ind w:left="660" w:right="20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Amplifiers/RF and Microwave</w:t>
      </w:r>
      <w:r>
        <w:rPr>
          <w:rFonts w:ascii="Times New Roman" w:cs="Times New Roman" w:eastAsia="Times New Roman" w:hAnsi="Times New Roman"/>
          <w:sz w:val="18"/>
          <w:szCs w:val="18"/>
          <w:color w:val="auto"/>
        </w:rPr>
        <w:t>—We are also a leading supplier of high-performance amplifiers which are used to condition analog signals.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amplifiers emphasize the performance dimensions of speed and precision. Within this product portfolio we provide precision, instrumentation, high-speed, intermediate frequency/RF/microwave, broadband and other amplifiers. Our analog product line also includes a broad portfolio of high-performance RF and microwave ICs covering the entire RF signal chain. Our high-performance RF and microwave ICs support the high-performance requirements of cellular infrastructure and a broad range of applications in our target markets, including instrumentation, aerospace and automotive.</w:t>
      </w:r>
    </w:p>
    <w:p>
      <w:pPr>
        <w:spacing w:after="0" w:line="87"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Sensors &amp; Actuators</w:t>
      </w:r>
      <w:r>
        <w:rPr>
          <w:rFonts w:ascii="Times New Roman" w:cs="Times New Roman" w:eastAsia="Times New Roman" w:hAnsi="Times New Roman"/>
          <w:sz w:val="18"/>
          <w:szCs w:val="18"/>
          <w:color w:val="auto"/>
        </w:rPr>
        <w:t>—Our analog technology portfolio is comprised of sensor and actuator products, including products based on micro-electro-mechanical systems (MEMS) technology. MEMS technology enables us to build extremely small sensors that incorporate an electromechanical structure and the supporting analog circuitry for conditioning signals obtained from the sensing element. Our MEMS product portfolio includes accelerometers used to sense acceleration, gyroscopes used to sense rotation, inertial measurement units used to sense multiple degrees of freedom combining multiple sensing types along multiple axes, and broadband switches suitable for radio and instrument systems. We offer other high-performance sensors, from temperature to magnetic fields, that are deployed in a variety of systems. In addition to sensor products, our other analog product category includes isolators that enable designers to implement isolation in designs without the cost, size, power, performance and reliability constraints found with optocouplers.</w:t>
      </w:r>
    </w:p>
    <w:p>
      <w:pPr>
        <w:spacing w:after="0" w:line="90"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 Signal Processing and System Products (DSPs)</w:t>
      </w:r>
      <w:r>
        <w:rPr>
          <w:rFonts w:ascii="Times New Roman" w:cs="Times New Roman" w:eastAsia="Times New Roman" w:hAnsi="Times New Roman"/>
          <w:sz w:val="18"/>
          <w:szCs w:val="18"/>
          <w:color w:val="auto"/>
        </w:rPr>
        <w:t>—DSPs are optimized for high-speed numeric calculations, which are essential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 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w:t>
      </w:r>
    </w:p>
    <w:p>
      <w:pPr>
        <w:spacing w:after="0" w:line="10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Interface</w:t>
      </w:r>
      <w:r>
        <w:rPr>
          <w:rFonts w:ascii="Times New Roman" w:cs="Times New Roman" w:eastAsia="Times New Roman" w:hAnsi="Times New Roman"/>
          <w:sz w:val="18"/>
          <w:szCs w:val="18"/>
          <w:color w:val="auto"/>
        </w:rPr>
        <w:t>—Includes general purpose analog ICs whose primary function is to modify or shape the signal in order to ensure signal integrity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over a distance through a physical medium such as a wire, cable, waveguide or tracks within a printed circuit board. These include devices that shape the signal for transmission over the medium or reconstruct the received signal after transmission to recover the intended signal integrity.</w:t>
      </w:r>
    </w:p>
    <w:p>
      <w:pPr>
        <w:spacing w:after="0" w:line="85"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 Digital Platforms and Artificial Intelligence</w:t>
      </w:r>
      <w:r>
        <w:rPr>
          <w:rFonts w:ascii="Times New Roman" w:cs="Times New Roman" w:eastAsia="Times New Roman" w:hAnsi="Times New Roman"/>
          <w:sz w:val="18"/>
          <w:szCs w:val="18"/>
          <w:color w:val="auto"/>
        </w:rPr>
        <w:t>—As part of our evolution from a component supplier to a full-system and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we recently introduced an upgrade to our open-source embedded development platform, CodeFusion Studio 2.0, designed to support embedded system design through integrated workflows for signal processing, edge computing and connectivity. CodeFusion Studio 2.0 facilitates prototyping and deployment of applications on ADI platforms and is intended to reduce development time and improve system integration. In fiscal 2025, we also launched Power Studio, a digital simulation and design ecosystem integrating new system-level and IC-level design capabilities into a single product family. Together, the Power Studio family of products is designed to enable faster time to market by streamlining power management design and optimization. These platforms are part of our broader Physical Intelligence vision, which seeks to leverage our deep expertise in electro-physical systems to develop and fine-tune foundational AI models that can reason about and interact with the real world. This initiative integrates signal, power, sensing, time-series sampling, actuation and more to support autonomous operation and enhanced system responsiveness. These software and AI-driven capabilities complement our existing product portfolio and support our strategy to deliver differentiated solutions that address complex customer requirements.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Channel</w:t>
      </w:r>
    </w:p>
    <w:p>
      <w:pPr>
        <w:spacing w:after="0" w:line="14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sell our products globally through a direct sales force, third-party distributors, independent sales representatives and via our website. We have direct sales offices, sales representatives and/or distributors in approximately 50 countries. 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7" w:name="page8"/>
    <w:bookmarkEnd w:id="7"/>
    <w:p>
      <w:pPr>
        <w:ind w:right="380"/>
        <w:spacing w:after="0" w:line="282" w:lineRule="auto"/>
        <w:rPr>
          <w:sz w:val="20"/>
          <w:szCs w:val="20"/>
          <w:color w:val="auto"/>
        </w:rPr>
      </w:pPr>
      <w:r>
        <w:rPr>
          <w:rFonts w:ascii="Times New Roman" w:cs="Times New Roman" w:eastAsia="Times New Roman" w:hAnsi="Times New Roman"/>
          <w:sz w:val="18"/>
          <w:szCs w:val="18"/>
          <w:color w:val="auto"/>
        </w:rPr>
        <w:t>customers in incorporating our products into their products. In addition, we offer a variety of web-based tools that ease product selection and aid in the design process for our customers.</w:t>
      </w:r>
    </w:p>
    <w:p>
      <w:pPr>
        <w:spacing w:after="0" w:line="8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believe distributors provide a cost-effective means of reaching a broad range of customers while providing efficient logistics services. From time to time, we may add or terminate distributors in specific geographies, or move customers to a direct support or fulfillment model as we deem appropriate given our strategies, the level of distributor business activity and distributor performance and financial condition.</w:t>
      </w:r>
    </w:p>
    <w:p>
      <w:pPr>
        <w:spacing w:after="0" w:line="8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These distributors typically maintain an inventory of our products. Some of them also sell products that compete with our products, including those for which we are an alternate source. We make sales to distributors under agreements that allow certain distributors to receive price adjustment credits and to return qualifying products for credit, typically as determined by us, in order to reduce the amounts of slow-moving, discontinued or obsolete product from their inventory. These agreements limit such returns to a certain percentage of our shipments to that distributor during the prior quarter. In addition, certain distributors are allowed to return unsold products if we terminate the relationship with the distributor. Additional information relating to our revenue and customer concentration is set forth in Note 2l, </w:t>
      </w:r>
      <w:r>
        <w:rPr>
          <w:rFonts w:ascii="Times New Roman" w:cs="Times New Roman" w:eastAsia="Times New Roman" w:hAnsi="Times New Roman"/>
          <w:sz w:val="18"/>
          <w:szCs w:val="18"/>
          <w:i w:val="1"/>
          <w:iCs w:val="1"/>
          <w:color w:val="auto"/>
        </w:rPr>
        <w:t>Concentrations of Risk</w:t>
      </w:r>
      <w:r>
        <w:rPr>
          <w:rFonts w:ascii="Times New Roman" w:cs="Times New Roman" w:eastAsia="Times New Roman" w:hAnsi="Times New Roman"/>
          <w:sz w:val="18"/>
          <w:szCs w:val="18"/>
          <w:color w:val="auto"/>
        </w:rPr>
        <w:t xml:space="preserve">; Note 2n,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Industry, 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of the Notes to Consolidated Financial Statements contained in Part II, Item 8 of this Annual Report on Form 10-K.</w:t>
      </w:r>
    </w:p>
    <w:p>
      <w:pPr>
        <w:spacing w:after="0" w:line="94"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such that those canceled orders would result in an inventory of unsaleable products, causing potential inventory write-offs.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breakdown of our annual revenue by end market is set out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 of Fiscal 2025</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 of Fiscal 2024</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Fiscal 2023</w:t>
            </w:r>
          </w:p>
        </w:tc>
        <w:tc>
          <w:tcPr>
            <w:tcW w:w="0" w:type="dxa"/>
            <w:vAlign w:val="bottom"/>
          </w:tcPr>
          <w:p>
            <w:pPr>
              <w:spacing w:after="0"/>
              <w:rPr>
                <w:sz w:val="1"/>
                <w:szCs w:val="1"/>
                <w:color w:val="auto"/>
              </w:rPr>
            </w:pPr>
          </w:p>
        </w:tc>
      </w:tr>
      <w:tr>
        <w:trPr>
          <w:trHeight w:val="195"/>
        </w:trPr>
        <w:tc>
          <w:tcPr>
            <w:tcW w:w="6480" w:type="dxa"/>
            <w:vAlign w:val="bottom"/>
            <w:gridSpan w:val="2"/>
            <w:vMerge w:val="continue"/>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3"/>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4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individual percentages may not equal 100% due to rounding.</w:t>
      </w:r>
    </w:p>
    <w:p>
      <w:pPr>
        <w:spacing w:after="0" w:line="136" w:lineRule="exact"/>
        <w:rPr>
          <w:sz w:val="20"/>
          <w:szCs w:val="20"/>
          <w:color w:val="auto"/>
        </w:rPr>
      </w:pPr>
    </w:p>
    <w:p>
      <w:pPr>
        <w:ind w:right="1040" w:firstLine="445"/>
        <w:spacing w:after="0" w:line="282" w:lineRule="auto"/>
        <w:rPr>
          <w:sz w:val="20"/>
          <w:szCs w:val="20"/>
          <w:color w:val="auto"/>
        </w:rPr>
      </w:pPr>
      <w:r>
        <w:rPr>
          <w:rFonts w:ascii="Times New Roman" w:cs="Times New Roman" w:eastAsia="Times New Roman" w:hAnsi="Times New Roman"/>
          <w:sz w:val="18"/>
          <w:szCs w:val="18"/>
          <w:color w:val="auto"/>
        </w:rPr>
        <w:t>The following describes some of the characteristics of, and customer products within, our major end markets of Industrial, Automotive, Communications and Consumer:</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Industrial </w:t>
      </w:r>
      <w:r>
        <w:rPr>
          <w:rFonts w:ascii="Times New Roman" w:cs="Times New Roman" w:eastAsia="Times New Roman" w:hAnsi="Times New Roman"/>
          <w:sz w:val="18"/>
          <w:szCs w:val="18"/>
          <w:color w:val="auto"/>
        </w:rPr>
        <w:t>— Our industrial market includes the following sectors:</w:t>
      </w:r>
    </w:p>
    <w:p>
      <w:pPr>
        <w:spacing w:after="0" w:line="133"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Industrial Automation </w:t>
      </w:r>
      <w:r>
        <w:rPr>
          <w:rFonts w:ascii="Times New Roman" w:cs="Times New Roman" w:eastAsia="Times New Roman" w:hAnsi="Times New Roman"/>
          <w:sz w:val="18"/>
          <w:szCs w:val="18"/>
          <w:color w:val="auto"/>
        </w:rPr>
        <w:t>— We are a leader in industrial automation demonstrated through our delivery of robust, high-performance solutions derived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expertise in deep motion and process control and precision sensing measurement and interpretation, which translate into expansive connectivity and power capabilities. We take real-world phenomena in the most complex environments on the factory floor and translate them into valuable insights and outcomes. We co-create with customers to architect robotics systems and solutions that improve dynamic behavior and precision while enhancing worker safety, machine health and manufacturing flexibility. Our industrial automation market includes applications such as:</w:t>
      </w:r>
    </w:p>
    <w:p>
      <w:pPr>
        <w:sectPr>
          <w:pgSz w:w="11900" w:h="16838" w:orient="portrait"/>
          <w:cols w:equalWidth="0" w:num="1">
            <w:col w:w="11240"/>
          </w:cols>
          <w:pgMar w:left="320" w:top="1012" w:right="33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Condition-based monitoring (CbM)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Industrial robotics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Factory and process 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Industrial power supplies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Industrial motion control</w:t>
      </w:r>
    </w:p>
    <w:p>
      <w:pPr>
        <w:spacing w:after="0" w:line="429" w:lineRule="exact"/>
        <w:rPr>
          <w:sz w:val="20"/>
          <w:szCs w:val="20"/>
          <w:color w:val="auto"/>
        </w:rPr>
      </w:pPr>
    </w:p>
    <w:p>
      <w:pPr>
        <w:sectPr>
          <w:pgSz w:w="11900" w:h="16838" w:orient="portrait"/>
          <w:cols w:equalWidth="0" w:num="2">
            <w:col w:w="5120" w:space="720"/>
            <w:col w:w="5400"/>
          </w:cols>
          <w:pgMar w:left="320" w:top="1012" w:right="339" w:bottom="1440" w:gutter="0" w:footer="0" w:header="0"/>
          <w:type w:val="continuous"/>
        </w:sectPr>
      </w:pPr>
    </w:p>
    <w:p>
      <w:pPr>
        <w:spacing w:after="0" w:line="18" w:lineRule="exact"/>
        <w:rPr>
          <w:sz w:val="20"/>
          <w:szCs w:val="20"/>
          <w:color w:val="auto"/>
        </w:rPr>
      </w:pPr>
    </w:p>
    <w:p>
      <w:pPr>
        <w:ind w:right="1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Instrumentation &amp; Measurement </w:t>
      </w:r>
      <w:r>
        <w:rPr>
          <w:rFonts w:ascii="Times New Roman" w:cs="Times New Roman" w:eastAsia="Times New Roman" w:hAnsi="Times New Roman"/>
          <w:sz w:val="18"/>
          <w:szCs w:val="18"/>
          <w:color w:val="auto"/>
        </w:rPr>
        <w:t>— Trusted measurement is at the forefront of innovation. With the rapid pace of global transformation,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ubiquitous connectivity, to electrification, to AI, to human health and environmental sustainability — all of these trends require reliable and efficient test solutions from R&amp;D to manufacturing to field deployment. We enable high performance measurement through our components and system solutions. Our RF, high-speed and power management products are designed to enable solutions for complying with evolving communications standards. Our high-voltage, isolation and precision products are a key part of the systems that are designed for safety, longevity and efficiency in electric vehicles and renewable energy. Beyond electrical testing, our precision and power technology enable analytical instruments for drug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8" w:name="page9"/>
    <w:bookmarkEnd w:id="8"/>
    <w:p>
      <w:pPr>
        <w:ind w:right="820"/>
        <w:spacing w:after="0" w:line="273" w:lineRule="auto"/>
        <w:rPr>
          <w:sz w:val="20"/>
          <w:szCs w:val="20"/>
          <w:color w:val="auto"/>
        </w:rPr>
      </w:pPr>
      <w:r>
        <w:rPr>
          <w:rFonts w:ascii="Times New Roman" w:cs="Times New Roman" w:eastAsia="Times New Roman" w:hAnsi="Times New Roman"/>
          <w:sz w:val="18"/>
          <w:szCs w:val="18"/>
          <w:color w:val="auto"/>
        </w:rPr>
        <w:t>vaccine R&amp;D and manufacturing, food safety and quality and environmental monitoring. Our instrumentation and measurement market includes applications such as:</w:t>
      </w:r>
    </w:p>
    <w:p>
      <w:pPr>
        <w:sectPr>
          <w:pgSz w:w="11900" w:h="16838" w:orient="portrait"/>
          <w:cols w:equalWidth="0" w:num="1">
            <w:col w:w="11240"/>
          </w:cols>
          <w:pgMar w:left="320" w:top="1012" w:right="339" w:bottom="1440" w:gutter="0" w:footer="0" w:header="0"/>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Automated test equipment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Electronic test and measurement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Environmental and process analysis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Automotive and energy test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Life sciences and drug discovery</w:t>
      </w:r>
    </w:p>
    <w:p>
      <w:pPr>
        <w:spacing w:after="0" w:line="440" w:lineRule="exact"/>
        <w:rPr>
          <w:sz w:val="20"/>
          <w:szCs w:val="20"/>
          <w:color w:val="auto"/>
        </w:rPr>
      </w:pPr>
    </w:p>
    <w:p>
      <w:pPr>
        <w:sectPr>
          <w:pgSz w:w="11900" w:h="16838" w:orient="portrait"/>
          <w:cols w:equalWidth="0" w:num="2">
            <w:col w:w="5120" w:space="720"/>
            <w:col w:w="5400"/>
          </w:cols>
          <w:pgMar w:left="320" w:top="1012" w:right="339" w:bottom="1440" w:gutter="0" w:footer="0" w:header="0"/>
          <w:type w:val="continuous"/>
        </w:sectPr>
      </w:pPr>
    </w:p>
    <w:p>
      <w:pPr>
        <w:spacing w:after="0" w:line="18"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Aerospace/Defense </w:t>
      </w:r>
      <w:r>
        <w:rPr>
          <w:rFonts w:ascii="Times New Roman" w:cs="Times New Roman" w:eastAsia="Times New Roman" w:hAnsi="Times New Roman"/>
          <w:sz w:val="18"/>
          <w:szCs w:val="18"/>
          <w:color w:val="auto"/>
        </w:rPr>
        <w:t>— The defense, commercial avionics and space markets all require high-performance ICs that meet rigorous environmental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reliability specifications. Many of our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us to provide higher levels of integration in order to minimize size, weight and power and to improve ease-of-use. As such, we also sell products in the form of system in package (SiPs), printed circuit board assemblies, modules and subsystems. Customer products include applications such as:</w:t>
      </w:r>
    </w:p>
    <w:p>
      <w:pPr>
        <w:sectPr>
          <w:pgSz w:w="11900" w:h="16838" w:orient="portrait"/>
          <w:cols w:equalWidth="0" w:num="1">
            <w:col w:w="11240"/>
          </w:cols>
          <w:pgMar w:left="320" w:top="1012" w:right="33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Navigation systems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Space and satellite communications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Communication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Radar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Security devices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Electronic surveillance and countermeasures</w:t>
      </w:r>
    </w:p>
    <w:p>
      <w:pPr>
        <w:spacing w:after="0" w:line="211" w:lineRule="exact"/>
        <w:rPr>
          <w:sz w:val="20"/>
          <w:szCs w:val="20"/>
          <w:color w:val="auto"/>
        </w:rPr>
      </w:pPr>
    </w:p>
    <w:p>
      <w:pPr>
        <w:sectPr>
          <w:pgSz w:w="11900" w:h="16838" w:orient="portrait"/>
          <w:cols w:equalWidth="0" w:num="2">
            <w:col w:w="5100" w:space="720"/>
            <w:col w:w="5420"/>
          </w:cols>
          <w:pgMar w:left="320" w:top="1012" w:right="339" w:bottom="1440" w:gutter="0" w:footer="0" w:header="0"/>
          <w:type w:val="continuous"/>
        </w:sectPr>
      </w:pPr>
    </w:p>
    <w:p>
      <w:pPr>
        <w:spacing w:after="0" w:line="18" w:lineRule="exact"/>
        <w:rPr>
          <w:sz w:val="20"/>
          <w:szCs w:val="20"/>
          <w:color w:val="auto"/>
        </w:rPr>
      </w:pPr>
    </w:p>
    <w:p>
      <w:pPr>
        <w:ind w:right="40" w:firstLine="445"/>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Healthcare </w:t>
      </w:r>
      <w:r>
        <w:rPr>
          <w:rFonts w:ascii="Times New Roman" w:cs="Times New Roman" w:eastAsia="Times New Roman" w:hAnsi="Times New Roman"/>
          <w:sz w:val="17"/>
          <w:szCs w:val="17"/>
          <w:color w:val="auto"/>
        </w:rPr>
        <w:t>— The healthcare market is evolving in response to the need for increased access to better and more affordable care, as well as a growing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focus on preventative healthcare and the need to better and more cost effectively manage chronic conditions. To help achieve this, we collaborate with customers and partners on innovative solutions designed to achieve better outcomes for patients and more efficient workflows for physicians at reduced costs. Our offerings include both standard and application-specific hardware, software and service-based products and are used in applications such as:</w:t>
      </w:r>
    </w:p>
    <w:p>
      <w:pPr>
        <w:sectPr>
          <w:pgSz w:w="11900" w:h="16838" w:orient="portrait"/>
          <w:cols w:equalWidth="0" w:num="1">
            <w:col w:w="11240"/>
          </w:cols>
          <w:pgMar w:left="320" w:top="1012" w:right="33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Ultrasound, PET and MRI systems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X-Ray equipment (CT and DX-Ray)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Image guided therapy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Multi-parameter vital signs monitors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Remote patient monitoring and wellness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Anesthesia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Lab and point of care diagnostic equipment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Robotic surgery, surgical tools and instruments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Blood analyzers and infusion pumps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Renal therapy and organ transplant systems</w:t>
      </w:r>
    </w:p>
    <w:p>
      <w:pPr>
        <w:spacing w:after="0" w:line="45" w:lineRule="exact"/>
        <w:rPr>
          <w:sz w:val="20"/>
          <w:szCs w:val="20"/>
          <w:color w:val="auto"/>
        </w:rPr>
      </w:pPr>
    </w:p>
    <w:p>
      <w:pPr>
        <w:sectPr>
          <w:pgSz w:w="11900" w:h="16838" w:orient="portrait"/>
          <w:cols w:equalWidth="0" w:num="2">
            <w:col w:w="5120" w:space="720"/>
            <w:col w:w="5400"/>
          </w:cols>
          <w:pgMar w:left="320" w:top="101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 Continuous glucose monitoring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Insulin pumps</w:t>
      </w:r>
    </w:p>
    <w:p>
      <w:pPr>
        <w:spacing w:after="0" w:line="211" w:lineRule="exact"/>
        <w:rPr>
          <w:sz w:val="20"/>
          <w:szCs w:val="20"/>
          <w:color w:val="auto"/>
        </w:rPr>
      </w:pPr>
    </w:p>
    <w:p>
      <w:pPr>
        <w:sectPr>
          <w:pgSz w:w="11900" w:h="16838" w:orient="portrait"/>
          <w:cols w:equalWidth="0" w:num="2">
            <w:col w:w="5120" w:space="720"/>
            <w:col w:w="5400"/>
          </w:cols>
          <w:pgMar w:left="320" w:top="1012" w:right="339" w:bottom="1440" w:gutter="0" w:footer="0" w:header="0"/>
          <w:type w:val="continuous"/>
        </w:sectPr>
      </w:pPr>
    </w:p>
    <w:p>
      <w:pPr>
        <w:spacing w:after="0" w:line="50"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Energy Management </w:t>
      </w:r>
      <w:r>
        <w:rPr>
          <w:rFonts w:ascii="Times New Roman" w:cs="Times New Roman" w:eastAsia="Times New Roman" w:hAnsi="Times New Roman"/>
          <w:sz w:val="18"/>
          <w:szCs w:val="18"/>
          <w:color w:val="auto"/>
        </w:rPr>
        <w:t>— The global drive towards improved energy efficiency, conservation, reliability and clean energy is driving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electrification across many different application areas, including electric vehicle charging infrastructure, renewable energy, 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240"/>
          </w:cols>
          <w:pgMar w:left="320" w:top="1012" w:right="33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Utility meters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Electric vehicle charging infrastructure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Substation relays and automation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Wind turbines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Solar inverters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Building energy automation/control</w:t>
      </w:r>
    </w:p>
    <w:p>
      <w:pPr>
        <w:spacing w:after="0" w:line="211" w:lineRule="exact"/>
        <w:rPr>
          <w:sz w:val="20"/>
          <w:szCs w:val="20"/>
          <w:color w:val="auto"/>
        </w:rPr>
      </w:pPr>
    </w:p>
    <w:p>
      <w:pPr>
        <w:sectPr>
          <w:pgSz w:w="11900" w:h="16838" w:orient="portrait"/>
          <w:cols w:equalWidth="0" w:num="2">
            <w:col w:w="5120" w:space="720"/>
            <w:col w:w="5400"/>
          </w:cols>
          <w:pgMar w:left="320" w:top="1012" w:right="339" w:bottom="1440" w:gutter="0" w:footer="0" w:header="0"/>
          <w:type w:val="continuous"/>
        </w:sectPr>
      </w:pPr>
    </w:p>
    <w:p>
      <w:pPr>
        <w:spacing w:after="0" w:line="16"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 We develop differentiated, high-performance signal processing technologies that enable intelligent, efficient and immersive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across electrification, digital cabin systems and autonomous platforms. Collaborating with global mobility solution providers, we deliver a comprehensive portfolio of analog, digital, power and sensor ICs engineered to meet the complex demands of modern mobility systems. Our innovations in precision sensing, edge processing and connectivity empower real-time insights and system-level intelligence, helping transform mobility platforms into dynamic, software-defined environments. These technologies support immersive user experiences, optimize energy efficiency and enable mission-critical perception and navigation capabilities across a wide range of mobility applications. Our solutions are deployed in applications such as: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Audio, voice processing and connectivity</w:t>
            </w:r>
          </w:p>
        </w:tc>
        <w:tc>
          <w:tcPr>
            <w:tcW w:w="68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Battery monitoring and management systems</w:t>
            </w:r>
          </w:p>
        </w:tc>
      </w:tr>
      <w:tr>
        <w:trPr>
          <w:trHeight w:val="23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Video processing and networking</w:t>
            </w:r>
          </w:p>
        </w:tc>
        <w:tc>
          <w:tcPr>
            <w:tcW w:w="68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Intelligent power solutions</w:t>
            </w:r>
          </w:p>
        </w:tc>
      </w:tr>
      <w:tr>
        <w:trPr>
          <w:trHeight w:val="864"/>
        </w:trPr>
        <w:tc>
          <w:tcPr>
            <w:tcW w:w="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84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1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6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Communications </w:t>
      </w:r>
      <w:r>
        <w:rPr>
          <w:rFonts w:ascii="Times New Roman" w:cs="Times New Roman" w:eastAsia="Times New Roman" w:hAnsi="Times New Roman"/>
          <w:sz w:val="18"/>
          <w:szCs w:val="18"/>
          <w:color w:val="auto"/>
        </w:rPr>
        <w:t>— Our communications market includes the following sectors:</w:t>
      </w:r>
    </w:p>
    <w:p>
      <w:pPr>
        <w:spacing w:after="0" w:line="146"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Wireless Communications </w:t>
      </w:r>
      <w:r>
        <w:rPr>
          <w:rFonts w:ascii="Times New Roman" w:cs="Times New Roman" w:eastAsia="Times New Roman" w:hAnsi="Times New Roman"/>
          <w:sz w:val="18"/>
          <w:szCs w:val="18"/>
          <w:color w:val="auto"/>
        </w:rPr>
        <w:t>— The demand for ubiquitous global connectivity continues to drive the need for wireless network infrastructure.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requires a range of high-performance RF communications ICs and solutions. Wireless technology relies on the conversion and processing of signals in both analog and digital domains to transmit and receive data over the air. Our high-performance RF and mixed-signal products are designed to deliver higher speed connectivity with lower latency and improved energy efficiency to mobile operators and network providers. In addition, we enable signal chains and advanced processing across the wireless spectrum supporting a diverse range of end systems. In wireless communication applications, our products are incorporated into:</w:t>
      </w:r>
    </w:p>
    <w:p>
      <w:pPr>
        <w:sectPr>
          <w:pgSz w:w="11900" w:h="16838" w:orient="portrait"/>
          <w:cols w:equalWidth="0" w:num="1">
            <w:col w:w="11200"/>
          </w:cols>
          <w:pgMar w:left="320" w:top="1008" w:right="37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Cellular base station equipment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Microwave backhaul systems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Fixed wireless access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Satellite and terrestrial broadband access equipment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Two-way radio communication devices</w:t>
      </w:r>
    </w:p>
    <w:p>
      <w:pPr>
        <w:spacing w:after="0" w:line="465" w:lineRule="exact"/>
        <w:rPr>
          <w:sz w:val="20"/>
          <w:szCs w:val="20"/>
          <w:color w:val="auto"/>
        </w:rPr>
      </w:pPr>
    </w:p>
    <w:p>
      <w:pPr>
        <w:sectPr>
          <w:pgSz w:w="11900" w:h="16838" w:orient="portrait"/>
          <w:cols w:equalWidth="0" w:num="2">
            <w:col w:w="5120" w:space="720"/>
            <w:col w:w="5360"/>
          </w:cols>
          <w:pgMar w:left="320" w:top="1008" w:right="379" w:bottom="1440" w:gutter="0" w:footer="0" w:header="0"/>
          <w:type w:val="continuous"/>
        </w:sectPr>
      </w:pPr>
    </w:p>
    <w:p>
      <w:pPr>
        <w:spacing w:after="0" w:line="64" w:lineRule="exact"/>
        <w:rPr>
          <w:sz w:val="20"/>
          <w:szCs w:val="20"/>
          <w:color w:val="auto"/>
        </w:rPr>
      </w:pPr>
    </w:p>
    <w:p>
      <w:pPr>
        <w:ind w:right="580" w:firstLine="445"/>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Data Center </w:t>
      </w:r>
      <w:r>
        <w:rPr>
          <w:rFonts w:ascii="Times New Roman" w:cs="Times New Roman" w:eastAsia="Times New Roman" w:hAnsi="Times New Roman"/>
          <w:sz w:val="18"/>
          <w:szCs w:val="18"/>
          <w:color w:val="auto"/>
        </w:rPr>
        <w:t>— This market is driven by rapid adoption of AI, machine learning and hyperscale architectures, which require advanced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thermal management and high-speed connectivity solutions to address the growing demand for high-performance computing and cloud infrastructure. Our offerings in this space include:</w:t>
      </w:r>
    </w:p>
    <w:p>
      <w:pPr>
        <w:sectPr>
          <w:pgSz w:w="11900" w:h="16838" w:orient="portrait"/>
          <w:cols w:equalWidth="0" w:num="1">
            <w:col w:w="11200"/>
          </w:cols>
          <w:pgMar w:left="320" w:top="1008" w:right="37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Power management solutions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Energy optimization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Optical and high-speed connectivity</w:t>
      </w:r>
    </w:p>
    <w:p>
      <w:pPr>
        <w:spacing w:after="0" w:line="445" w:lineRule="exact"/>
        <w:rPr>
          <w:sz w:val="20"/>
          <w:szCs w:val="20"/>
          <w:color w:val="auto"/>
        </w:rPr>
      </w:pPr>
    </w:p>
    <w:p>
      <w:pPr>
        <w:sectPr>
          <w:pgSz w:w="11900" w:h="16838" w:orient="portrait"/>
          <w:cols w:equalWidth="0" w:num="2">
            <w:col w:w="5120" w:space="720"/>
            <w:col w:w="5360"/>
          </w:cols>
          <w:pgMar w:left="320" w:top="1008" w:right="379" w:bottom="1440" w:gutter="0" w:footer="0" w:header="0"/>
          <w:type w:val="continuous"/>
        </w:sectPr>
      </w:pPr>
    </w:p>
    <w:p>
      <w:pPr>
        <w:spacing w:after="0" w:line="16" w:lineRule="exact"/>
        <w:rPr>
          <w:sz w:val="20"/>
          <w:szCs w:val="20"/>
          <w:color w:val="auto"/>
        </w:rPr>
      </w:pPr>
    </w:p>
    <w:p>
      <w:pPr>
        <w:ind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w:t>
      </w:r>
      <w:r>
        <w:rPr>
          <w:rFonts w:ascii="Times New Roman" w:cs="Times New Roman" w:eastAsia="Times New Roman" w:hAnsi="Times New Roman"/>
          <w:sz w:val="18"/>
          <w:szCs w:val="18"/>
          <w:color w:val="auto"/>
        </w:rPr>
        <w:t>— To address the market demand for state of the art personal and professional entertainment systems and the consumer demand for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user interfaces, music, movies and photographs, we have developed analog, digital and mixed-signal and power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and battery management. These products include:</w:t>
      </w:r>
    </w:p>
    <w:p>
      <w:pPr>
        <w:sectPr>
          <w:pgSz w:w="11900" w:h="16838" w:orient="portrait"/>
          <w:cols w:equalWidth="0" w:num="1">
            <w:col w:w="11200"/>
          </w:cols>
          <w:pgMar w:left="320" w:top="1008" w:right="379" w:bottom="1440" w:gutter="0" w:footer="0" w:header="0"/>
          <w:type w:val="continuous"/>
        </w:sectPr>
      </w:pPr>
    </w:p>
    <w:p>
      <w:pPr>
        <w:spacing w:after="0" w:line="8"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 Portable devices (smartphones, tablets, handheld gaming and wearable technology) for media and vital signs monitoring applications • Hearable devices (headphones, earbuds and hearing health)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Prosumer audio/video equipment</w:t>
      </w:r>
    </w:p>
    <w:p>
      <w:pPr>
        <w:spacing w:after="0" w:line="653" w:lineRule="exact"/>
        <w:rPr>
          <w:sz w:val="20"/>
          <w:szCs w:val="20"/>
          <w:color w:val="auto"/>
        </w:rPr>
      </w:pPr>
    </w:p>
    <w:p>
      <w:pPr>
        <w:sectPr>
          <w:pgSz w:w="11900" w:h="16838" w:orient="portrait"/>
          <w:cols w:equalWidth="0" w:num="2">
            <w:col w:w="5220" w:space="620"/>
            <w:col w:w="5360"/>
          </w:cols>
          <w:pgMar w:left="320" w:top="1008" w:right="379" w:bottom="1440" w:gutter="0" w:footer="0" w:header="0"/>
          <w:type w:val="continuous"/>
        </w:sectPr>
      </w:pPr>
    </w:p>
    <w:p>
      <w:pPr>
        <w:ind w:right="28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Industry, Segment and Geographic Information</w:t>
      </w:r>
      <w:r>
        <w:rPr>
          <w:rFonts w:ascii="Times New Roman" w:cs="Times New Roman" w:eastAsia="Times New Roman" w:hAnsi="Times New Roman"/>
          <w:sz w:val="18"/>
          <w:szCs w:val="18"/>
          <w:color w:val="auto"/>
        </w:rPr>
        <w:t>, of the Notes to Consolidated Financial Statements contained in Part II, Item 8 of this Annual Report on Form 10-K for further information about our products by end market.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believe that competitive performance in the marketplace for integrated circuits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 We compete with a number of semiconductor companies in markets that are highly competitive.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w:t>
      </w:r>
    </w:p>
    <w:p>
      <w:pPr>
        <w:spacing w:after="0" w:line="111"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5"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Our sales are subject to a varying degree of seasonality. Historically, sales to customers during our first fiscal quarter have been lower than other quarters due to plant shutdowns at some of our customers. In addition, as explained in our risk factors contained in Item 1A of this Annual Report on Form 10-K, our revenue is more likely to be influenced on a quarter-to-quarter basis by cyclicality in the semiconductor industry.</w:t>
      </w:r>
    </w:p>
    <w:p>
      <w:pPr>
        <w:spacing w:after="0" w:line="95"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believe that a number of factors should be used to assess future customer demand, including backlog, macroeconomic trends, customer insights and current customer bookings as compared to billings (book-to-bill) ratio. We define backlog to mean firm orders from a customer or distributor with a requested delivery date within thirteen weeks. However, backlog may be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10" w:name="page11"/>
    <w:bookmarkEnd w:id="10"/>
    <w:p>
      <w:pPr>
        <w:ind w:right="120"/>
        <w:spacing w:after="0" w:line="256" w:lineRule="auto"/>
        <w:rPr>
          <w:sz w:val="20"/>
          <w:szCs w:val="20"/>
          <w:color w:val="auto"/>
        </w:rPr>
      </w:pPr>
      <w:r>
        <w:rPr>
          <w:rFonts w:ascii="Times New Roman" w:cs="Times New Roman" w:eastAsia="Times New Roman" w:hAnsi="Times New Roman"/>
          <w:sz w:val="18"/>
          <w:szCs w:val="18"/>
          <w:color w:val="auto"/>
        </w:rPr>
        <w:t>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within a reasonable notification period or deliveries to be delayed by customers without significant penalty, while also allowing certain distributors to receive price adjustment credits and to return qualifying products for credit, typically as determined by us, in order to reduce the amounts of slow-moving, discontinued or obsolete product from their inventory.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Resources</w:t>
      </w:r>
    </w:p>
    <w:p>
      <w:pPr>
        <w:spacing w:after="0" w:line="13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Monolithic IC components are manufactured in a sequence of semiconductor production steps that include wafer fabrication, wafer testing, dicing the wafer into individual “chips,” or dice, assembly of the dice into packages and electrical testing of the devices in final packaged form. The raw materials used to manufacture these devices include silicon wafers, processing chemicals (including liquefied gases), precious metals laminates, ceramic and plastic used for packaging. We utilize, develop and employ a wide variety of manufacturing processes, primarily based on bipolar and complementary metal-oxide semiconductor (CMOS) transistors, which are specifically tailored for use in fabricating high-performance analog, DSP and mixed-signal ICs. Devices such as MEMS,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Coupler® isolators and various sensors are fabricated using specialized processes, which typically use substantially similar equipment as bipolar and CMOS processes.</w:t>
      </w:r>
    </w:p>
    <w:p>
      <w:pPr>
        <w:spacing w:after="0" w:line="94"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 xml:space="preserve">Our IC products are fabricated on proprietary processes at our internal production facilities in Wilmington, Massachusetts; Camas, Washington; Beaverton, Oregon; and Limerick, Ireland and also on a mix of proprietary and non-proprietary processes at third-party wafer fabricators. We currently source more than half of our wafer requirements annually from third-party wafer fabrication foundries, such as Taiwan Semiconductor Manufacturing Company (TSMC) and others, and the remainder is sourced internally. In addition, we operate an assembly, wafer sort and testing facility in Penang, Malaysia and wafer sort and test facilities in the Philippines and Thailand. We also make extensive use of third-party subcontractors for the assembly and testing of our products. See Note 2e,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of the Notes to Consolidated Financial Statements contained in Part II, Item 8 of this Annual Report on Form 10-K for further information about our held for sale facility in Penang, Malaysia.</w:t>
      </w:r>
    </w:p>
    <w:p>
      <w:pPr>
        <w:spacing w:after="0" w:line="108" w:lineRule="exact"/>
        <w:rPr>
          <w:sz w:val="20"/>
          <w:szCs w:val="20"/>
          <w:color w:val="auto"/>
        </w:rPr>
      </w:pPr>
    </w:p>
    <w:p>
      <w:pPr>
        <w:ind w:right="320" w:firstLine="445"/>
        <w:spacing w:after="0" w:line="256" w:lineRule="auto"/>
        <w:rPr>
          <w:sz w:val="20"/>
          <w:szCs w:val="20"/>
          <w:color w:val="auto"/>
        </w:rPr>
      </w:pPr>
      <w:r>
        <w:rPr>
          <w:rFonts w:ascii="Times New Roman" w:cs="Times New Roman" w:eastAsia="Times New Roman" w:hAnsi="Times New Roman"/>
          <w:sz w:val="18"/>
          <w:szCs w:val="18"/>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If any of our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we work to balance these constraints by shifting global resources and capacity where appropriate.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Intellectual Property Rights</w:t>
      </w:r>
    </w:p>
    <w:p>
      <w:pPr>
        <w:spacing w:after="0" w:line="135"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seek to establish and maintain our proprietary rights in our technology and products through the use of patents, copyrights, trademarks and trade secrets. We have a program to file applications for and obtain patents, copyrights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November 1, 2025, we held approximately 4,780 U.S. patents and approximately 500 published pending U.S. patent applications. There can be no assurance, however, that the rights obtained can be successfully enforced against infringing products in every jurisdiction. While our patents, copyrights,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Although it is generally our policy to seek patent protection for significant inventions that may be patented,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Our business activities are subject to various federal, state, local and foreign laws and regulations, including those related to financial and other disclosures, accounting standards, corporate governance, intellectual property, tax, trade, including import, export and customs, antitrust, environment, health and safety, employment, immigration and travel, cybersecurity, privacy, data protection and localization and anti-corruption. These laws and regulations may differ among jurisdictions, and compliance with them may have a materially adverse impact on our business and results of operations. For more information about these potential impacts, see the section titled “Risk Factors—Risks Related to Cyber, Artificial Intelligence, Intellectual Property, Legal and Regulatory” of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 Social and Governance</w:t>
      </w:r>
    </w:p>
    <w:p>
      <w:pPr>
        <w:spacing w:after="0" w:line="135"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are a signatory to the United Nations Global Compact and the Business Ambition for 1.5°C campaign, as well as a member of the Responsible Business Alliance. Our Environment, Social and Governance (ESG) aspirations and programs, including our climate targets and our approach to ethical business conduct and ethics and applying fair labor standards, are communicated in our 2024 ESG Report. The ESG Report is available on our website at www.analog.com/corporate-responsibility. The contents of our website and the information contained in our ESG Report are not incorporated by reference into this Annual Report on Form 10-K.</w:t>
      </w:r>
    </w:p>
    <w:p>
      <w:pPr>
        <w:spacing w:after="0" w:line="10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To support our commitment to ESG, we have implemented an oversight structure which includes a quarterly reporting cadence both to senior management and the Nominating and Corporate Governance Committee of the Board of Directors. These quarterly reports include updates on programs, as well as updates on topics such as stakeholder value, risks and opportunities, regulatory preparedness and key ESG focus areas.</w:t>
      </w:r>
    </w:p>
    <w:p>
      <w:pPr>
        <w:spacing w:after="0" w:line="81" w:lineRule="exact"/>
        <w:rPr>
          <w:sz w:val="20"/>
          <w:szCs w:val="20"/>
          <w:color w:val="auto"/>
        </w:rPr>
      </w:pPr>
    </w:p>
    <w:p>
      <w:pPr>
        <w:jc w:val="both"/>
        <w:ind w:right="380" w:firstLine="445"/>
        <w:spacing w:after="0" w:line="261" w:lineRule="auto"/>
        <w:rPr>
          <w:sz w:val="20"/>
          <w:szCs w:val="20"/>
          <w:color w:val="auto"/>
        </w:rPr>
      </w:pPr>
      <w:r>
        <w:rPr>
          <w:rFonts w:ascii="Times New Roman" w:cs="Times New Roman" w:eastAsia="Times New Roman" w:hAnsi="Times New Roman"/>
          <w:sz w:val="18"/>
          <w:szCs w:val="18"/>
          <w:color w:val="auto"/>
        </w:rPr>
        <w:t>We have programs and management systems in place to protect the environment and the health and safety of our employees, customers and the public. We endeavor to adhere to applicable environment, health and safety (EHS) regulatory and industry standards across all of our facilities, and to encourage pollution prevention, manage our water and energy consumption, control waste streams to divert from landfills and strive towards continual improvement. We endeavor to achieve excellence in EHS management practices as an integral part of our total quality management system.</w:t>
      </w:r>
    </w:p>
    <w:p>
      <w:pPr>
        <w:spacing w:after="0" w:line="8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Our EHS management systems in all of our manufacturing facilities are certified to ISO 14001:2015 for environmental management and ISO 45001:2018 for occupation health and safety. Our industrial hygiene surveillance program is designed to minimize and prevent exposures in the workplace. We use two industry standard metrics to assess injury performance and trends worldwide. In fiscal 2025 and fiscal 2024, our global injury rates were lower than the U.S. semiconductor industry benchmark.</w:t>
      </w:r>
    </w:p>
    <w:p>
      <w:pPr>
        <w:spacing w:after="0" w:line="9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manufacturing facilities are subject to numerous and increasingly strict federal, state, local and foreign laws and regulations, particularly with respect to the transportation, storage, handling, use, emission, discharge and disposal of certain chemicals used or produced in the semiconductor manufacturing process. Our products are subject to increasingly stringent regulations regarding substance content in jurisdictions where we do business. Contracts with many of our customers reflect these and additional compliance standards. Substance content of our products includes materials that are subject to reporting requirements, including conflict minerals. Compliance with these laws and regulations has not had a material impact on our capital expenditures, earnings, financial condition or competitive position. There can be no assurance, however, that current or future ESG laws and regulations will not impose costly requirements upon us. Any failure by us to comply with applicable laws, regulations and contractual obligations could result in fines, suspension of production, the need to alter manufacturing processes and legal liability.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and Empowerment</w:t>
      </w:r>
    </w:p>
    <w:p>
      <w:pPr>
        <w:spacing w:after="0" w:line="13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company was founded on the principle that people are our greatest asset. Our future success depends in large part on the continued service of our key technical and senior management personnel, and on our ability to continue to attract, retain and motivate qualified employees, particularly highly-skilled engineers involved in the design, development, support and manufacture of new and existing products and processes. In order for us to attract the best talent, we aim to offer challenging work in an environment that enables our employees to learn, grow and reach their full potential.</w:t>
      </w:r>
    </w:p>
    <w:p>
      <w:pPr>
        <w:spacing w:after="0" w:line="99"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Core to our empowerment strategy is building a culture of inclusion across the organization. We are working to achieve this by expanding the diversity of our workforce, creating growth and development opportunities for our employees, embracing different perspectives and fostering an inclusive work environment for all. In addition, we encourage employees to develop different networks open to all employees, which contribute to our broader diversity and inclusion initiatives. Our current employee networks include the Analog Veterans Network, Neurodiversity Network, People of Color and Allies Network, Pride Network, Women’s Leadership Network and Young Professionals Network. As noted in “Environment, Social and Governance” above, we published our 2024 ESG Report which details our sustainability efforts, operations efficiency,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ind w:right="640"/>
        <w:spacing w:after="0" w:line="282" w:lineRule="auto"/>
        <w:rPr>
          <w:sz w:val="20"/>
          <w:szCs w:val="20"/>
          <w:color w:val="auto"/>
        </w:rPr>
      </w:pPr>
      <w:r>
        <w:rPr>
          <w:rFonts w:ascii="Times New Roman" w:cs="Times New Roman" w:eastAsia="Times New Roman" w:hAnsi="Times New Roman"/>
          <w:sz w:val="18"/>
          <w:szCs w:val="18"/>
          <w:color w:val="auto"/>
        </w:rPr>
        <w:t>employee engagement and governance, and also provides a look at the state of our organization and an overview of some of the initiatives we have launched to drive continuous improvements across inclusion, opportunity for all and equitable practices.</w:t>
      </w:r>
    </w:p>
    <w:p>
      <w:pPr>
        <w:spacing w:after="0" w:line="81" w:lineRule="exact"/>
        <w:rPr>
          <w:sz w:val="20"/>
          <w:szCs w:val="20"/>
          <w:color w:val="auto"/>
        </w:rPr>
      </w:pPr>
    </w:p>
    <w:p>
      <w:pPr>
        <w:ind w:right="100" w:firstLine="445"/>
        <w:spacing w:after="0" w:line="289" w:lineRule="auto"/>
        <w:rPr>
          <w:sz w:val="20"/>
          <w:szCs w:val="20"/>
          <w:color w:val="auto"/>
        </w:rPr>
      </w:pPr>
      <w:r>
        <w:rPr>
          <w:rFonts w:ascii="Times New Roman" w:cs="Times New Roman" w:eastAsia="Times New Roman" w:hAnsi="Times New Roman"/>
          <w:sz w:val="17"/>
          <w:szCs w:val="17"/>
          <w:color w:val="auto"/>
        </w:rPr>
        <w:t>As of November 1, 2025, we had approximately 24,500 employees, of whom approximately 13,000 are in engineering roles. Approximately 60% of our workforce is male and 40% female. Our senior leadership team is 73% male and 27% female, while manager roles are approximately 75% male and 25% female. 40% of the members of our Board of Directors are female. For fiscal 2025, our voluntary employee turnover rate was approximately 7.2%.</w:t>
      </w:r>
    </w:p>
    <w:p>
      <w:pPr>
        <w:spacing w:after="0" w:line="63"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and striving to achieve equal pay for equal work regardless of gender, race or ethnicity. We use a combination of fixed and variable pay including base salary, bonuses, performance awards and equity compensation. The principal purposes of our equity incentive plans are to attract, retain and motivate selected employees and directors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education assistance; paid counseling assistance; backup child and adult care; adoption support; and family college planning. For further information concerning our equity incentive plans, see Note 3, </w:t>
      </w:r>
      <w:r>
        <w:rPr>
          <w:rFonts w:ascii="Times New Roman" w:cs="Times New Roman" w:eastAsia="Times New Roman" w:hAnsi="Times New Roman"/>
          <w:sz w:val="18"/>
          <w:szCs w:val="18"/>
          <w:i w:val="1"/>
          <w:iCs w:val="1"/>
          <w:color w:val="auto"/>
        </w:rPr>
        <w:t>Stock-based Compensation and Shareholders’ Equity,</w:t>
      </w:r>
      <w:r>
        <w:rPr>
          <w:rFonts w:ascii="Times New Roman" w:cs="Times New Roman" w:eastAsia="Times New Roman" w:hAnsi="Times New Roman"/>
          <w:sz w:val="18"/>
          <w:szCs w:val="18"/>
          <w:color w:val="auto"/>
        </w:rPr>
        <w:t xml:space="preserve"> of the Notes to Consolidated Financial Statements contained in Part II, Item 8 of this Annual Report on Form 10-K.</w:t>
      </w:r>
    </w:p>
    <w:p>
      <w:pPr>
        <w:spacing w:after="0" w:line="97"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 xml:space="preserve">In order to ensure that we are meeting our human capital objectives, we regularly conduct employee surveys to evaluate the effectiveness of our employee and compensation programs and to identify opportunities for improvement across the company. Our latest survey, completed in fiscal 2025, reflected a strong participation rate among employees, and the results indicated employee satisfaction in areas such as teamwork, collaboration, leadership support, manager availability and skill development, while also supporting communication, decision speed and removing barriers to execution. Our dual focus of being a great place to work and providing industry-leading benefits and work culture has led to strong employee satisfaction and pride that has been recognized across the globe, as evidenced with the following awards: </w:t>
      </w:r>
      <w:r>
        <w:rPr>
          <w:rFonts w:ascii="Times New Roman" w:cs="Times New Roman" w:eastAsia="Times New Roman" w:hAnsi="Times New Roman"/>
          <w:sz w:val="18"/>
          <w:szCs w:val="18"/>
          <w:i w:val="1"/>
          <w:iCs w:val="1"/>
          <w:color w:val="auto"/>
        </w:rPr>
        <w:t>TIME</w:t>
      </w:r>
      <w:r>
        <w:rPr>
          <w:rFonts w:ascii="Times New Roman" w:cs="Times New Roman" w:eastAsia="Times New Roman" w:hAnsi="Times New Roman"/>
          <w:sz w:val="18"/>
          <w:szCs w:val="18"/>
          <w:color w:val="auto"/>
        </w:rPr>
        <w:t xml:space="preserve"> World’s Most Sustainable Companies (2025), </w:t>
      </w:r>
      <w:r>
        <w:rPr>
          <w:rFonts w:ascii="Times New Roman" w:cs="Times New Roman" w:eastAsia="Times New Roman" w:hAnsi="Times New Roman"/>
          <w:sz w:val="18"/>
          <w:szCs w:val="18"/>
          <w:i w:val="1"/>
          <w:iCs w:val="1"/>
          <w:color w:val="auto"/>
        </w:rPr>
        <w:t>TIME</w:t>
      </w:r>
      <w:r>
        <w:rPr>
          <w:rFonts w:ascii="Times New Roman" w:cs="Times New Roman" w:eastAsia="Times New Roman" w:hAnsi="Times New Roman"/>
          <w:sz w:val="18"/>
          <w:szCs w:val="18"/>
          <w:color w:val="auto"/>
        </w:rPr>
        <w:t xml:space="preserve"> World’s Best Companies (2024, 2023),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America’s Best Employers for Company Culture (2025),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color w:val="auto"/>
        </w:rPr>
        <w:t xml:space="preserve"> America’s Best Large Employers (2024) and </w:t>
      </w:r>
      <w:r>
        <w:rPr>
          <w:rFonts w:ascii="Times New Roman" w:cs="Times New Roman" w:eastAsia="Times New Roman" w:hAnsi="Times New Roman"/>
          <w:sz w:val="18"/>
          <w:szCs w:val="18"/>
          <w:i w:val="1"/>
          <w:iCs w:val="1"/>
          <w:color w:val="auto"/>
        </w:rPr>
        <w:t>Newsweek</w:t>
      </w:r>
      <w:r>
        <w:rPr>
          <w:rFonts w:ascii="Times New Roman" w:cs="Times New Roman" w:eastAsia="Times New Roman" w:hAnsi="Times New Roman"/>
          <w:sz w:val="18"/>
          <w:szCs w:val="18"/>
          <w:color w:val="auto"/>
        </w:rPr>
        <w:t xml:space="preserve"> America’s Most Responsible Companies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3" w:name="page14"/>
    <w:bookmarkEnd w:id="1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Set forth below and elsewhere in this report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For more information, see the section titled “Note About Forward-Looking Statements” of this Annual Report on Form 10-K.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Industry and Partners</w:t>
      </w:r>
    </w:p>
    <w:p>
      <w:pPr>
        <w:spacing w:after="0" w:line="13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Global political and economic uncertainty and adverse conditions related to our international operations could materially and adversely affect our business, financial condition and results of operations.</w:t>
      </w:r>
    </w:p>
    <w:p>
      <w:pPr>
        <w:spacing w:after="0" w:line="6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significant operations and manufacturing facilities outside the United States, including in Ireland, the Philippines, Thailand and Malaysia. A significant portion of our revenue is derived from customers in international markets, and we expect that international sales will continue to account for a significant portion of our revenue in the future. As a result of our international operations, our business, financial condition and results of operations could be negatively impacted by, among others, the following factors:</w:t>
      </w:r>
    </w:p>
    <w:p>
      <w:pPr>
        <w:spacing w:after="0" w:line="45" w:lineRule="exact"/>
        <w:rPr>
          <w:sz w:val="20"/>
          <w:szCs w:val="20"/>
          <w:color w:val="auto"/>
        </w:rPr>
      </w:pPr>
    </w:p>
    <w:p>
      <w:pPr>
        <w:ind w:left="660" w:right="8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that may impact markets in which we do business, such as macroeconomic weakness related to trade and political disputes between the United States and Europe or China, tensions across the Taiwan Strait that may adversely affect our operations in Taiwan, our customers and the technology industry supply chain, and the ongoing conflict between Russia and Ukraine and tensions in Israel and the Middle East;</w:t>
      </w:r>
    </w:p>
    <w:p>
      <w:pPr>
        <w:spacing w:after="0" w:line="31"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policy, commercial, travel, export or taxation disputes or restrictions, import, export or sector-based tariffs, changes to export classifications or other restrictions imposed by the U.S. government or by the governments of the countries in which we do business, particularly with respect to China;</w:t>
      </w:r>
    </w:p>
    <w:p>
      <w:pPr>
        <w:spacing w:after="0" w:line="2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customs and export regulations, including the Export Administration Regulations and the International Traffic and Arms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and interest rate fluctuations and uncertainty;</w:t>
      </w:r>
    </w:p>
    <w:p>
      <w:pPr>
        <w:spacing w:after="0" w:line="76"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of global credit and financial markets due to uncertainty and adverse macroeconomic conditions such as inflation, tariffs and trade restrictions, high interest rates, bank failures and slower economic growth or recession that could, among other impacts, affect our ability to timely access external financing sources on acceptable terms or lead to financial difficulties or uncertainty of our customers, suppliers and distributors exposing us to late payments, cancelled orders and inventory challenges;</w:t>
      </w:r>
    </w:p>
    <w:p>
      <w:pPr>
        <w:spacing w:after="0" w:line="3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the U.S. government or by the governments in countries in which we do business, which could adversely impact our business by preventing us from performing existing contracts, recognizing revenue, pursuing new business opportunities or receiving payment for products already supplied to customers;</w:t>
      </w:r>
    </w:p>
    <w:p>
      <w:pPr>
        <w:spacing w:after="0" w:line="40"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varying and changing government regulations and legal standards and requirements, particularly with respect to tax, price protection, competition practices, export control, customs, immigration, anti-boycott, AI, data privacy, cyber and product security, sustainability, climate and other ESG matters, intellectual property, anti-corruption, including the Foreign Corrupt Practices Act, and environmental compliance;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from terrorism and threats of terrorism and the response to them by the United States and its allies;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managerial complexities, including different employment practices and labor issues;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regulations and procedures and enforcement practices of various government agencies;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such rights;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emergencies or other catastrophic events;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disruptions and delays and increases in labor and transportation costs;</w:t>
      </w:r>
    </w:p>
    <w:p>
      <w:pPr>
        <w:spacing w:after="0" w:line="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raw material costs and energy costs due to general market factors and conditions such as inflationary pressures and supply chain constraints;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collections and longer collection periods;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our foreign defined benefit pension plans.</w:t>
      </w:r>
    </w:p>
    <w:p>
      <w:pPr>
        <w:spacing w:after="0" w:line="131"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Many of these factors and risks are present and may be exacerbated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additional import or export duties and tariffs, restrictions on imports or exports, currency revaluations or retaliatory actions, which have had and may continue to have an adverse effect on our business plans and operating results. In addition, export restrictions limit our ability to sell to certain Chinese companies and to third parties that do business with those companies. These restrictions, which have continued to expand over the past several years, have impacted our revenues and results of operations in China and elsewhere. These and similar restrictions have created, and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continue to evaluate the impact of these restrictions on our business as they are updated and expanded, and we expect that they may continue to have direct and indirect adverse impacts on our revenues and results of operations in China and elsewhere. In addition, our success may be adversely affected by China’s continuously evolving policies, laws and regulations, including those relating to imports and exports, rare earth materials, antitrust, AI, cybersecurity, data protection and data privacy, the environment, indigenous innovation, the promotion of a domestic semiconductor industry, intellectual property rights and enforcement and protection of those rights.</w:t>
      </w:r>
    </w:p>
    <w:p>
      <w:pPr>
        <w:spacing w:after="0" w:line="10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Recently announced and future tariffs and other trade restrictions could materially and adversely affect our business, financial condition and results of operations.</w:t>
      </w:r>
    </w:p>
    <w:p>
      <w:pPr>
        <w:spacing w:after="0" w:line="6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2025, the U.S. government announced a series of tariffs, including tariffs targeting a broad range of imports and targeted tariffs on goods from specific countries and industries. In response, many countries imposed reciprocal tariffs and other trade restrictions on the United States. Although many of these tariffs, countermeasures and other trade restrictions have since been eased or paused, their initial announcements triggered considerable volatility in global markets and heightened economic uncertainty, and the global trade situation, particularly between the United States and China, continues to be highly dynamic. Further, throughout 2025 the U.S. government has initiated numerous investigations into products and industries under Section 232 of the Trade Expansion Act of 1962. For example, in April 2025, the Department of Commerce launched an investigation into the national security impacts of imported semiconductors and semiconductor manufacturing equipment. While the results of this investigation remain unknown, it is expected to result in additional tariffs and trade restrictions that may adversely impact our business. Similar investigations on other industries or products, including automotive, copper, steel, aluminum, critical minerals and aircraft, may also adversely impact the semiconductor industry and our business. These changes have, and similar changes in the future may continue to, increase the cost or reduce the availability of raw materials and supplies we need to operate, cause customers to advance, delay, reduce, or cancel orders, shift buying patterns, impact demand in our end markets, complicate demand forecasting for us and our customers, increase supply chain complexity and contribute to volatility, a broader economic slowdown or recession. Any of these impacts or changes could materially and adversely affect our business, financial condition and results of operations.</w:t>
      </w:r>
    </w:p>
    <w:p>
      <w:pPr>
        <w:spacing w:after="0" w:line="9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79"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periods when demand for our products has increased or decreased rapidly. The demand for our products may vary based on market conditions in our major end markets. Demand in these end markets can fluctuate significantly based upon, for example, consumer spending, consumer preferences, the development of new technologies and macroeconomic conditions, including impacts related to tariffs and other trade restrictions. If we overbuild inventory in a period of decreased demand, or we expand our operations and workforce too rapidly or procure excessive resources in anticipation of increased demand for our products, and that demand does not materialize at the pace at which we expect, or declines, our operating results may be adversely affected as a result of underutilization of capacity, charges related to obsolete inventory, asset impairment or inventory write-downs, increased operating expenses or reduced margins. For example, we have experienced, and may in the future experience, periods of customer inventory adjustments and other customer behaviors that may adversely affect our operating results. Further, any capacity expansions by us or other semiconductor manufacturers could also lead to overcapacity in our target markets which could lead to price erosion that could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results are dependent on the performance of independent distributors.</w:t>
      </w:r>
    </w:p>
    <w:p>
      <w:pPr>
        <w:spacing w:after="0" w:line="133"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Sales to third-party distributors accounted for approximately 56% of our revenue in the year ended November 1, 2025. These independent distributors generally represent product lines offered by several companies and thus could reduce their sales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p>
      <w:pPr>
        <w:ind w:right="80"/>
        <w:spacing w:after="0" w:line="254" w:lineRule="auto"/>
        <w:rPr>
          <w:sz w:val="20"/>
          <w:szCs w:val="20"/>
          <w:color w:val="auto"/>
        </w:rPr>
      </w:pPr>
      <w:r>
        <w:rPr>
          <w:rFonts w:ascii="Times New Roman" w:cs="Times New Roman" w:eastAsia="Times New Roman" w:hAnsi="Times New Roman"/>
          <w:sz w:val="18"/>
          <w:szCs w:val="18"/>
          <w:color w:val="auto"/>
        </w:rPr>
        <w:t>efforts for our products. Further, our distributors could terminate their representation of us with little advance notice or their representation of us could be negatively affected for other reasons. For example, our distributors could be adversely impacted by additional tariffs or export controls, which could limit our ability to conduct business with such distributors, increase our costs and adversely affect our reputation and operating results. In addition,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or the inability of a distributor to perform its obligations, could divert management’s attention and resources, result in disputes, litigation and settlement costs, increase risk that our products may be diverted from authorized distribution channels and sold on the “gray market” and disrupt our business. Further, if we are unable to find suitable replacements with the appropriate scale and resources, our operating results could be adversely affected.</w:t>
      </w:r>
    </w:p>
    <w:p>
      <w:pPr>
        <w:spacing w:after="0" w:line="107"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estimate the effects of variable consideration including price protection and stock rotation provided to distributors and record revenue at the time of sale to the distributor. If our estimates of such liabilities are materially understated, it could cause subsequent adjustments that negatively impact our revenues and gross profits in a future period.</w:t>
      </w:r>
    </w:p>
    <w:p>
      <w:pPr>
        <w:spacing w:after="0" w:line="7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6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rely, and plan to continue to rely, on third-party suppliers and service providers, including raw material and components suppliers, semiconductor wafer foundries, assembly and test contractors and freight carriers (collectively, vendors), in manufacturing and shipping our products. This reliance involves several risks, including reduced control over availability, pricing, capacity utilization, delivery schedules, manufacturing yields, costs and supply chain allocations. We currently source more than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With respect to TSMC in particular, tensions across the Taiwan Strait or other geopolitical events could disrupt TSMC’s operations, which would adversely affect our ability to manufacture certain products and as a result, could adversely affect our business and results of operations.</w:t>
      </w:r>
    </w:p>
    <w:p>
      <w:pPr>
        <w:spacing w:after="0" w:line="11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manufacturing processes require availability of certain raw materials and supplies. Limited or delayed access to these items, including as a result of global trade issues, supply chain constraints, difficulties obtaining import or export licenses, natural disasters, public health emergencies or changes in or new laws or regulations, could adversely affect our results of operations. Further, the imposition of tariffs or other trade restrictions may significantly increase the costs, and otherwise adversely impact the availability, of certain raw materials and supplies that we need to operate.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reputational harm or the temporary or permanent loss of customers, and as a result could adversely affect our business and results of operations.</w:t>
      </w:r>
    </w:p>
    <w:p>
      <w:pPr>
        <w:spacing w:after="0" w:line="9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 prolonged disruption of our or our third parties’ manufacturing operations could have a material adverse effect on our business, financial condition and results of operations.</w:t>
      </w:r>
    </w:p>
    <w:p>
      <w:pPr>
        <w:spacing w:after="0" w:line="6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addition to leveraging an outsourcing model for certain manufacturing operations, we also rely on our internal manufacturing operations located in the United States, Ireland, the Philippines, Thailand and Malaysia. A prolonged disruption, shut-down or inability to utilize one or more of our or our third parties’ manufacturing facilities due to natural or man-made disasters, cybersecurity incidents, civil unrest or other events outside of our control, such as loss of raw materials or damage to our or our third parties’ manufacturing equipment,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reputation, financial condition and results of operations.</w:t>
      </w:r>
    </w:p>
    <w:p>
      <w:pPr>
        <w:spacing w:after="0" w:line="10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Our industry faces challenges associated with products diverted from authorized distribution channels, which could result in reputational harm and have a material adverse effect on our business and results of operations.</w:t>
      </w:r>
    </w:p>
    <w:p>
      <w:pPr>
        <w:spacing w:after="0" w:line="6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market and sell our products directly and through third-party distributors. In the past, certain of our products have been, and there is a risk that our products may continue to be, diverted from our authorized distribution channels and sold on the “gray market” in ways that are not in accordance with our established agreements, controls, policies and procedures. Purchasers that acquire our products via the gray market or through other unauthorized channels may resell or otherwise use our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ind w:right="100"/>
        <w:spacing w:after="0" w:line="255" w:lineRule="auto"/>
        <w:rPr>
          <w:sz w:val="20"/>
          <w:szCs w:val="20"/>
          <w:color w:val="auto"/>
        </w:rPr>
      </w:pPr>
      <w:r>
        <w:rPr>
          <w:rFonts w:ascii="Times New Roman" w:cs="Times New Roman" w:eastAsia="Times New Roman" w:hAnsi="Times New Roman"/>
          <w:sz w:val="18"/>
          <w:szCs w:val="18"/>
          <w:color w:val="auto"/>
        </w:rPr>
        <w:t>for purposes for which they were not intended or that may be contrary to our ethical, legal and regulatory obligations. Organizations may also purchase counterfeit or substandard products, including products that have been altered, mishandled or damaged, or purchase used products presented as new, each of which could result in damage to property or persons and adversely affect our reputation and customer satisfaction. In addition, governments and regulatory bodies may inquire into our processes to mitigate risks related to product diversion. As new challenges and information arise, our processes and policies will evolve, and we may be required to incur additional costs to continue to enhance our compliance efforts, which may include costs associated with distributor audits or responding to inquiries from governments and regulatory bodies. These situations could have a material adverse effect on our reputation and business and operating results.</w:t>
      </w:r>
    </w:p>
    <w:p>
      <w:pPr>
        <w:spacing w:after="0" w:line="10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6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significantly depends on our ability to execute our business strategy, continue to innovate, improve our existing products and design, develop, produce and market innovative new products and system-level solutions, including those that may incorporate, or are based upon, software or AI technology.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and regulatory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and regulatory standards and technical requirements may adversely affect demand for our products and our results of operations.</w:t>
      </w:r>
    </w:p>
    <w:p>
      <w:pPr>
        <w:spacing w:after="0" w:line="9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Further, there can be no assurance that the markets we serve and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markets within the semiconductor industry in the future.</w:t>
      </w:r>
    </w:p>
    <w:p>
      <w:pPr>
        <w:spacing w:after="0" w:line="133"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United States, including entities associated with well-funded efforts by foreign governments to create indigenous semiconductor industries. 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Further, such programs typically require companies to adhere to various performance obligations, which we may not achieve. If our competitors can benefit from such government incentives and we cannot, it could strengthen our competitors’ relative position and have a material adverse effect on our reputation and business. Existing or new competitors may develop products or technologies that more effectively address the demands of our customers and markets with enhanced performance, features and functionality, lower power requirements, greater levels of integration or lower cost, which may increase our obsolete or excess inventory and result in inventory write-offs. In addition, as we seek to expand our business, including the design and production of products and services for developing and emerging markets, we may encounter increased competition from our current and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Our future revenue, gross margins, operating results, net income and earnings per share are difficult to predict and may materially fluctuate.</w:t>
      </w:r>
    </w:p>
    <w:p>
      <w:pPr>
        <w:spacing w:after="0" w:line="146"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Our future revenue, gross margins, operating results, net income and earnings per share are difficult to predict and may be materially affected by a number of factors, including:</w:t>
      </w:r>
    </w:p>
    <w:p>
      <w:pPr>
        <w:spacing w:after="0" w:line="13"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economic or geopolitical conditions in the markets in which we sell our products, including inflationary pressures, which has resulted, and may continue to result, in increased interest rates, fuel prices, wages and other costs;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or order patterns for our products or for end products that incorporate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delay, reduction or cancellation of significant customer orders and our ability to manage inventory;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distributor demand for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distributor pricing credits or stock rotation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 structure in both the short term and over a longer duration;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product or customer mix;</w:t>
      </w:r>
    </w:p>
    <w:p>
      <w:pPr>
        <w:spacing w:after="0" w:line="76"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adverse tax decisions or new or revised tax legislation in the United States, Ireland or worldwide, including changes related to the One Big Beautiful Bill Act;</w:t>
      </w:r>
    </w:p>
    <w:p>
      <w:pPr>
        <w:spacing w:after="0" w:line="2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issued, threatened or retaliatory government sanctions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tariffs, duties or trade barriers, including with respect to China;</w:t>
      </w:r>
    </w:p>
    <w:p>
      <w:pPr>
        <w:spacing w:after="0" w:line="2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or introductions, including products that may incorporate, or are based upon, software or AI technology, by us, our customers or our competitors and the market acceptance of such products;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decisions and competitive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 adequate availability of wafers and other raw materials, and manufacturing, assembly and test capacity;</w:t>
      </w:r>
    </w:p>
    <w:p>
      <w:pPr>
        <w:spacing w:after="0" w:line="7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suppliers, subcontractors and manufacturers to supply us with sufficient quantities of raw materials, products and components;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infrastructure spending by foreign governments, including China;</w:t>
      </w:r>
    </w:p>
    <w:p>
      <w:pPr>
        <w:spacing w:after="0" w:line="90"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in the United States, including those related to the current U.S. administration and executive offices of the U.S. government, a decline in the U.S. government defense budget, changes in spending or budgetary priorities, a prolonged U.S. government shutdown or delays in contract awards;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backlog;</w:t>
      </w:r>
    </w:p>
    <w:p>
      <w:pPr>
        <w:spacing w:after="0" w:line="76"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retain and motivate adequate numbers of engineers and other qualified employees to meet the demands of our customers;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new design opportunities and win competitive bid selection processes;</w:t>
      </w:r>
    </w:p>
    <w:p>
      <w:pPr>
        <w:spacing w:after="0" w:line="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of providing employee benefits worldwide, including health insurance, retirement and pension plan contributions and other retirement benefits;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manufacturing facilities at efficient levels;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litigation-related costs or product liability, warranty and indemnity claims, including those not covered by our suppliers or insurers;</w:t>
      </w:r>
    </w:p>
    <w:p>
      <w:pPr>
        <w:spacing w:after="0" w:line="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inherent in forecasting future operating expense levels, including with respect to costs associated with labor, utilities, transportation and raw materials;</w:t>
      </w:r>
    </w:p>
    <w:p>
      <w:pPr>
        <w:spacing w:after="0" w:line="2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compliance with increasing worldwide complex government regulations and legal standards and requirements, including those related to ESG matters;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 practices; and</w:t>
      </w:r>
    </w:p>
    <w:p>
      <w:pPr>
        <w:spacing w:after="0" w:line="7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emergencies, civil unrest, natural disasters or other severe weather events, widespread travel disruptions, security risks, terrorist activities, international conflicts and other events beyond our control.</w:t>
      </w:r>
    </w:p>
    <w:p>
      <w:pPr>
        <w:spacing w:after="0" w:line="8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18" w:name="page19"/>
    <w:bookmarkEnd w:id="18"/>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fluctuations in demand based on end-user preferences. There can be no assurance that products stocked in our inventory will not be rendered obsolete before we ship them or that we will be able to design, develop and produce products in a timely fashion to accommodate changing customer demand.</w:t>
      </w:r>
    </w:p>
    <w:p>
      <w:pPr>
        <w:spacing w:after="0" w:line="8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recruit or retain our key personnel, our ability to execute our business strategy will be adversely affected.</w:t>
      </w:r>
    </w:p>
    <w:p>
      <w:pPr>
        <w:spacing w:after="0" w:line="13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and the labor market is tight, which may be exacerbated by changes to U.S. immigration policies. The loss of key personnel or the inability to attract, timely hire and retain key employees with critical technical skills to achieve our strategy, including as a result of changes to immigration policies, could cause business disruptions, increased expenses to comply with such policies and address any disruptions and could have a material adverse effect on our business. We do not maintain any key person life insurance policy on any of our officers or other employees. The loss of members of our leadership team, and failure to successfully execute succession plans for our leadership team, could also harm our business and results of operations.</w:t>
      </w:r>
    </w:p>
    <w:p>
      <w:pPr>
        <w:spacing w:after="0" w:line="10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believe that a critical contributor to our success to date has been our corporate culture, which we have built to foster innovation, teamwork and employee satisfaction. As we grow, including from the integration of employees and businesses acquired in connection with previous or future acquisitions, we may find it difficult to maintain important aspects of our corporate culture, which could negatively affect our ability to retain and recruit personnel who are essential to our future success.</w:t>
      </w:r>
    </w:p>
    <w:p>
      <w:pPr>
        <w:spacing w:after="0" w:line="8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66"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products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of these and other factors, we often incur inventory and manufacturing costs in advance of anticipated sales, and we are subject to the risk of lower-than-expected orders or cancellations of orders, leading to a sharp reduction in sales and backlog. Further, if orders or forecasts for products that meet a customer’s unique requirements are canceled or unrealized, we may be left with an inventory of unsaleable products, causing potential inventory write-offs, and hindering our ability to recover our costs. The foregoing risks may be exacerbated in times of macroeconomic uncertainty, including as a result of tariffs, elevated inflation, high interest rates, bank failures and slower economic growth or recession. Incorrect forecasts, or reductions, cancellations or delays in orders for our products, could adversely affect our operating results.</w:t>
      </w:r>
    </w:p>
    <w:p>
      <w:pPr>
        <w:spacing w:after="0" w:line="10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Our products are complex and we may be subject to warranty, indemnity or product liability claims, which could result in significant costs and damage to our reputation and adversely affect customer relationships, the market acceptance of our products and our operating results.</w:t>
      </w:r>
    </w:p>
    <w:p>
      <w:pPr>
        <w:spacing w:after="0" w:line="6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Semiconductor products are highly complex and may contain defects that affect their quality or performance. Failures in our products and services or in the products of our customers could result in damage to our reputation for reliability and increase our legal or financial exposure to third parties. Certain of our products and services, including those that may incorporate, or are based upon, software or AI technology, could also contain security vulnerabilities, defects, bugs and errors, which could also result in significant data losses, security 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security vulnerabilities, defects, bugs or errors,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reputation and operating results. We may also be subject to customer intellectual</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 w:name="page20"/>
    <w:bookmarkEnd w:id="1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9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Further, we sell to customers in industries such as automotive (including autonomous vehicles), aerospace, defense, healthcare and industrial, where failure of the systems in which our products are integrated could cause damage to property or persons. We may be subject to product liability claims if our products, 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w:t>
      </w:r>
    </w:p>
    <w:p>
      <w:pPr>
        <w:spacing w:after="0" w:line="93"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Acquisitions and Strategic Transactions</w:t>
      </w:r>
    </w:p>
    <w:p>
      <w:pPr>
        <w:spacing w:after="0" w:line="14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6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identify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risk of a partial or total loss of our investment. Both in the United States and abroad, governmental regulation of acquisitions, including antitrust and other regulatory reviews and approvals, has become more complex, increasing the costs and risks of undertaking, and may prevent us from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Acquisitions also involve a number of challenges and risks, including:</w:t>
      </w:r>
    </w:p>
    <w:p>
      <w:pPr>
        <w:spacing w:after="0" w:line="9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in connection with both negotiating the transaction and integrating the acquired assets and businesses;</w:t>
      </w:r>
    </w:p>
    <w:p>
      <w:pPr>
        <w:spacing w:after="0" w:line="76"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delay integrating acquired technologies, operations, processes, policies, procedures, systems, technologies, infrastructure and personnel with our existing businesses;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managerial and operational resources as management oversees larger or more complex operations;</w:t>
      </w:r>
    </w:p>
    <w:p>
      <w:pPr>
        <w:spacing w:after="0" w:line="9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funding requirements for acquired companies, including research and development costs, employee compensation and benefits, and operating expenses, which may be significant;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significant debt that may be incurred in connection with acquisitions;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unforeseen liabilities or regulatory compliance issues of acquired companies;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or unexpected acquisition or integration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realizing expected cost savings, operating synergies and growth prospects of an acquisition in a timely manner or at all;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costly and time-consuming legal proceedings.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 Artificial Intelligence, Intellectual Property, Legal and Regulatory</w:t>
      </w:r>
    </w:p>
    <w:p>
      <w:pPr>
        <w:spacing w:after="0" w:line="13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Our computer systems and networks are subject to attempted security breaches and other cyber incidents and a significant disruption in, or breach in security of, our information technology systems or certain products could materially and adversely affect our business or reputation.</w:t>
      </w:r>
    </w:p>
    <w:p>
      <w:pPr>
        <w:spacing w:after="0" w:line="66"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In addition, we provide our confidential and proprietary information to our strategic partners in certain cases, who may maintain such information on their information technology systems. While in the past we have experienced cybersecurity attacks and incidents, we believe that they have not had a material impact on our business. Our security measures or those of our third-party service providers or strategic partners may not detect or prevent security breaches, cyberattacks, defects, bugs or errors. Further, geopolitical tensions and conflicts have escalated the volume and sophistication of cyberattacks. Because the tactics and techniques used by threat actors to obtain unauthorized access to or sabotage systems change frequently and, in some cases, are not recognized until they are launched or even later, we may be unable to anticipate these techniques or to implement adequate preventative measures in advance, and security breaches may remain undetected for an extended period of time. Our use of AI may also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 We and our third-party service providers or strategic partners are susceptible to security breaches of information technology systems or certain products and other incidents such as unauthorized access, supply-chain attacks, exfiltration or destruction of data, disruption of service, viruses or other malicious code, illegal break-ins or hacking, sabotage, phishing attempts and other forms of social engineering, malware, ransomware and other forms of cyber extortion and similar events. These threats may come from cybercriminals, cyberterrorists and hacktivists, nation-state and nation-state-supported actors (including advanced persistent threat intrusions) and computer hackers. They also may result from the malicious or accidental acts of our employees, contractors or third-party providers. In the event of unauthorized access to, or a security breach of, our systems or those of our third-party service providers or strategic partners, our operations may be disrupted and our proprietary information or that of our employees, contractors, partners, customers, suppliers or other third parties may be misappropriated. In the event of a cybersecurity attack or incident, we could be exposed to potential liability, litigation, and regulatory action, as well as the loss of existing or potential customers, damage to our reputation and other financial loss. In addition, the cost and operational consequences of responding to breaches and implementing remediation measures could be significant. Furthermore, the continuing and evolving threat of cyberattacks has resulted in increased regulatory focus and we may be required to invest significant additional resources to comply with evolving cybersecurity regulations. For example, the SEC adopted rules requiring the disclosure of cybersecurity incidents that we determine to be “material,” to be made within four business days of such determination, which can be complex, requiring a number of assumptions based on several factors. It is possible that the SEC may not agree with our determinations, which could result in fines, civil litigation or damage to our reputation.</w:t>
      </w:r>
    </w:p>
    <w:p>
      <w:pPr>
        <w:spacing w:after="0" w:line="12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information technology systems and those of our third-party service providers and strategic partners may also be susceptible to damage, disruptions or shutdowns due to power outages, hardware failures, telecommunication failures, user errors, catastrophes or other unforeseen events. A prolonged disruption in the information technology systems that involve our internal communications or our interactions with customers or suppliers could result in the loss of sales and customers and significant incremental costs, which could adversely affect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risks related to the use of AI in our business operations, products and services.</w:t>
      </w:r>
    </w:p>
    <w:p>
      <w:pPr>
        <w:spacing w:after="0" w:line="13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incorporate AI capabilities across our technologies, business operations, products and services to enhance performance and drive smarter, more efficient solutions. The development and deployment of AI involves significant competitive, legal, regulatory and other risks. The implementation of AI is costly, requires a significant amount of data and there can be no assurance that AI will enhance our products or services or be beneficial to our business, including our efficiency or profitability. In addition, we face significant competition from other companies that are incorporating AI into their products and technologies. These other companies may incorporate AI in products or technologies that are similar to, or that customers perceive as superior to, our technologies or are more cost-effective to develop and deploy. AI technology is complex and rapidly evolving, and if we are unable to innovate quickly enough to keep pace with these rapid technological developments, our business could be harmed.</w:t>
      </w:r>
    </w:p>
    <w:p>
      <w:pPr>
        <w:spacing w:after="0" w:line="10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AI technology may also give rise to significant legal and regulatory compliance risk. Evolving rules, regulations and industry standards governing AI may require us to incur greater compliance costs and restrict the use of AI in our products 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 w:name="page22"/>
    <w:bookmarkEnd w:id="21"/>
    <w:p>
      <w:pPr>
        <w:ind w:right="40"/>
        <w:spacing w:after="0" w:line="253" w:lineRule="auto"/>
        <w:rPr>
          <w:sz w:val="20"/>
          <w:szCs w:val="20"/>
          <w:color w:val="auto"/>
        </w:rPr>
      </w:pPr>
      <w:r>
        <w:rPr>
          <w:rFonts w:ascii="Times New Roman" w:cs="Times New Roman" w:eastAsia="Times New Roman" w:hAnsi="Times New Roman"/>
          <w:sz w:val="18"/>
          <w:szCs w:val="18"/>
          <w:color w:val="auto"/>
        </w:rPr>
        <w:t>technologies. Several jurisdictions where we operate are considering or have proposed or enacted legislation and policies regulating AI, including the European Union’s AI Act, and lack of consistency among different regulatory regimes may increase our regulatory and compliance burdens. Investigations and enforcement efforts related to the use of AI technology could increase our compliance costs and restrict our ability to use AI in the development of our products and services. As the use of AI in our products, technologies or our business operations changes, we may become subject to new rules, regulations and industry standards, which may exacerbate these risks. In addition, the use of AI in the development of our products and services, in our business operations or by our customers in end products that incorporate our products, could cause loss of intellectual property, or subject us to risks related to intellectual property infringement or misappropriation, data privacy or cybersecurity. AI algorithms or training methodologies may also be flawed, and datasets may contain irrelevant, insufficient or biased information. Further, AI technology has many applications, and our products could be used in applications that are not in accordance with our controls, policies and procedures. Any failure or perceived failure by us to comply with any legal or regulatory requirement could subject us to legal liabilities, damage our reputation or otherwise adversely affect our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intellectual property rights, which may limit our ability to compete effectively.</w:t>
      </w:r>
    </w:p>
    <w:p>
      <w:pPr>
        <w:spacing w:after="0" w:line="13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protect our intellectual property. We primarily rely on patent,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parties may obtain or disclose our confidential information, reverse engineer or copy our technologies, products or processes, make unlicensed copies or engage in unapproved distributions of our technology for unauthorized uses, or otherwise misappropriate our intellectual property. Moreover, the laws of foreign countries in which we design, manufacture, market and sell our products may afford little or no effective protection of our intellectual property.</w:t>
      </w:r>
    </w:p>
    <w:p>
      <w:pPr>
        <w:spacing w:after="0" w:line="9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106"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may improperly use our proprietary information at their employer.</w:t>
      </w:r>
    </w:p>
    <w:p>
      <w:pPr>
        <w:spacing w:after="0" w:line="8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comply with U.S. and foreign laws related to privacy, data security and data protection, it could adversely affect our operating results and financial condition.</w:t>
      </w:r>
    </w:p>
    <w:p>
      <w:pPr>
        <w:spacing w:after="0" w:line="6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or may become subject to a variety of laws and regulations such as the European Union’s General Data Protection Regulation (GDPR), China’s Personal Information Protection Law (PIPL), or California’s Consumer Privacy Act (CCPA) regarding privacy, data protection and data security. These laws and regulations are continuously evolving and developing. The scope and interpretation of the laws that are or may be applicable to us are often uncertain and may be conflicting, particularly with respect to foreign laws.</w:t>
      </w:r>
    </w:p>
    <w:p>
      <w:pPr>
        <w:spacing w:after="0" w:line="9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particular,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For example, the GDPR and PIPL include operational requirements for companies that receive or process personal data of residents of the European Union or China, as applicable, that are broader and more stringent than those in many other jurisdictions around the world. The GDPR includes significant penalties for non-compliance, and China’s PIPL imposes additional operational requirements relating to processing personal information and provides comprehensive penalty and enforcement mechanisms. In the United States, California enacted the CCPA that requires covered companies to provide additional disclosures and data rights to data subjects, including employees. The California Privacy Rights Act expands the CCPA and establishes the California Privacy Protection Agency to enforce Californians’ privacy rights under the CCPA. Since the CCPA was enacted, several other states, including Oregon and Texas, have enacted or are in the process of enacting comprehensive privacy schemes.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2" w:name="page23"/>
    <w:bookmarkEnd w:id="22"/>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costs of compliance with, and other burdens imposed by, the GDPR, CCPA and similar laws may limit the use and adoption of our products and services and require us to incur substantial compliance costs, which could have an adverse impact on our business. Further, our product offerings in the digital healthcare solutions space, which include the collection and processing of sensitive personal information, subject us to heightened requirements under data privacy laws, such as the Health Insurance Portability and Accountability Act.</w:t>
      </w:r>
    </w:p>
    <w:p>
      <w:pPr>
        <w:spacing w:after="0" w:line="9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Given that the scope, interpretation and application of these laws and regulations are often uncertain and may be in conflict across jurisdictions, it is possible that these obligations may be interpreted and applied in a manner that is inconsistent from one jurisdiction to another and may conflict with other rules or our practices. Any failure or perceived failure by us or third-party service providers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spacing w:after="0" w:line="8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are occasionally involved in litigation, administrative proceedings, and regulatory proceedings, which could be costly to resolve and could require us to redesign products, pay significant royalties or fines or refrain from engaging in specific conduct.</w:t>
      </w:r>
    </w:p>
    <w:p>
      <w:pPr>
        <w:spacing w:after="0" w:line="66"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various legal, administrative and regulatory proceedings, claims, demands and investigations relating to our business, including inquiries from and discussions with government entities regarding the compliance of our contracting and sales practices with laws and regulations, which may result in claims, fines or penalties with respect to commercial, trade, product liability, intellectual property, AI, cybersecurity, privacy, data protection, antitrust, breach of contract, employment, class action, whistleblower, mergers and acquisitions and other matters. We could also be subject to litigation or arbitration disputes arising under our contractual obligations, customer indemnity, warranty or product liability claims, or other matters that could lead to significant costs and expenses as we defend those claims or pay damage awards.</w:t>
      </w:r>
    </w:p>
    <w:p>
      <w:pPr>
        <w:spacing w:after="0" w:line="106"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Further, 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w:t>
      </w:r>
    </w:p>
    <w:p>
      <w:pPr>
        <w:spacing w:after="0" w:line="9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These matters can be time-consuming, divert management’s attention and resources and cause us to incur significant expenses. Allegations made in the course of regulatory or legal proceedings may also harm our reputation, regardless of whether there is merit to such claims. Because litigation and the outcome of regulatory proceedings are inherently unpredictable, our business, financial condition or operating results could be materially affected by one or more of these proceedings, claims, demands or investigations.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w:t>
      </w:r>
    </w:p>
    <w:p>
      <w:pPr>
        <w:spacing w:after="0" w:line="9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Expectations, requirements and attention to environmental, social and governance matters may have an adverse effect on our business, financial condition and results of operations, and damage our brand and reputation.</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ESG matters, including climate change and sustainability, human rights, support for local communities, workforce diversity, human capital management, employee health and safety practices, product quality, workers’ rights, supply chain management and corporate governance and transparency, continue to receive significant attention from a wide range of stakeholders, including regulators, investors, customers, employees and potential talent. If our ESG practices fail to meet our or the evolving and sometimes differing expectations of investors, customers, employees or other stakeholders, our reputation, brand and employee retention may be negatively impacted, and our customers and suppliers may not continue to do business with us. Certain current and prospective investors continue to utilize ESG data to inform their strategies, including investment and voting decisions, using a multitude of evolving scoring and rating frameworks. Further, certain customers utilize ESG data to inform their purchasing decisions. Additionally, public interest and legislative and regulatory pressure related to companies’ ESG practices continue to evolve. This may require us to align our programs to such expectations and disclose specific qualitative and quantitative information to demonstrate our position and progress and support our customers’ regulatory compliance. If we do not adapt our strategy or execute quickly enough to meet changing regulatory requirements or the expectations of our investors, customers, employees, regulators or other stakeholders, or if our ESG disclosures, including data input, processing and reporting, are incomplete or inaccurate, our business, financial condition, results of operations, brand and reputation could be adversely affected.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3" w:name="page24"/>
    <w:bookmarkEnd w:id="23"/>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environment, health and safety standards and hazards which have the potential to adversely affect our business, increase our expenses and adversely affect our reputation.</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industry is subject to EHS requirements and laws, particularly those that control and restrict the sourcing, use, transportation, emission, discharge, storage and disposal of certain substances and materials and those that help promote the health and safety of our employees and the communities in which we operate. For certain facilities, we are required to obtain environmental permits from governmental authorities for our operations, which may limit or restrict our operations. In addition, our operations may be interrupted or restricted by the phase-out or ban of certain substances, materials or processes, which may impact the sourcing, supply and pricing of materials used in manufacturing our products. For example, several jurisdictions have sought or may seek to restrict the use of per- and polyfluoroalkyl substances (PFAS), which may be found in process chemicals, parts, components and other materials used in semiconductor manufacturing and have limited technically and commercially feasible alternatives. Any such restriction in our ability to access supplies may adversely affect our results of operations. Further, public attention to environmental and social responsibility remains high, and our customers routinely include stringent environmental and other standards in their contracts with us. Changes in EHS laws or regulations, uncertainties about those laws or regulations, or customer requirements may require us to invest in equipment, make manufacturing process or material changes or re-assess current and planned expenditures and initiatives, any of which could adversely affect our business, financial condition and results of operations.</w:t>
      </w:r>
    </w:p>
    <w:p>
      <w:pPr>
        <w:spacing w:after="0" w:line="95"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In addition, we use hazardous and other regulated materials that subject us to risks of liability for damages caused by potential or actual releases of such materials. Any failure to control these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damages and remediation;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penalties and civil and criminal fines;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the development, manufacture, sale or use of certain of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processes or a need to substitute materials that may cost more or be less available;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 and our ability to generate revenues;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compliance.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comply with government contracting regulations, we could suffer a loss of revenue or incur price adjustments or other penalties.</w:t>
      </w:r>
    </w:p>
    <w:p>
      <w:pPr>
        <w:spacing w:after="0" w:line="133"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 Further, United States government contracts contain provisions and are subject to laws and regulations that may give the United States government rights and remedies not typically found in commercial contracts, including certain intellectual property rights and restrictions on future business.</w:t>
      </w:r>
    </w:p>
    <w:p>
      <w:pPr>
        <w:spacing w:after="0" w:line="9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our United States government business, we are subject to evolving procurement rules and regulations, as well as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 and reputation.</w:t>
      </w:r>
    </w:p>
    <w:p>
      <w:pPr>
        <w:spacing w:after="0" w:line="10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Under some of our government subcontracts, we are required to maintain secure facilities and to obtain security clearances for personnel involved in performance of the contract, which can be time-consuming and costly. If we are unable to comply with these requirements, or if personnel critical to our performance of these contracts are unable to obtain or maintain their security clearances, we may be unable to perform these contracts or compete for other projects of this nature, which could adversely affect our revenue.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Damage to our reputation can damage our business.</w:t>
      </w:r>
    </w:p>
    <w:p>
      <w:pPr>
        <w:spacing w:after="0" w:line="14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262626"/>
        </w:rPr>
        <w:t>Our reputation is a critical factor in our relationships with customers, employees, governments, suppliers and other stakeholders. Our failure to address, or the appearance of our failure to address, issues that give rise to reputational risk, including those described in this Risk Factors section, could significantly harm our reputation and our brands. We may be subject to reputational risks and our brand loyalty may decline if others adopt the same or confusingly similar marks in an effort to misappropriate and profit on our brand name and do not provide the same level of quality as is delivered by our solutions and services. It may also limit our ability to be seen as an employer of choice when competing for highly skilled employees and repairing our reputation and brands may be difficult, time-consuming, and expensive. To the extent we fail to respond quickly and effectively to address corporate and brand crises, the ensuing negative public reaction could significantly harm our reputation and our brands, which could lead to increases in litigation claims and asserted damages or subject us to regulatory actions or restrictions. If we fail to maintain, enhance and protect our brands, if we incur excessive expenses in this effort or if customers or potential customers are confused by others’ trademarks, our business, operating results and financial condition may be materially and adversely affected.</w:t>
      </w:r>
    </w:p>
    <w:p>
      <w:pPr>
        <w:spacing w:after="0" w:line="98"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Increases in our effective tax rate, exposure to additional tax liabilities, or substantial changes in domestic or international corporate tax policies, regulations or guidance may adversely impact our results of operations.</w:t>
      </w:r>
    </w:p>
    <w:p>
      <w:pPr>
        <w:spacing w:after="0" w:line="6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 reflects the applicable tax rate in effect in the various tax jurisdictions around the world where our income is earned. Our effective tax rate for the fiscal year ended November 1, 2025 was below the U.S. federal statutory rate of 21%. This is primarily due to lower statutory tax rates applicable to our operations in the foreign jurisdictions in which we earn income.</w:t>
      </w:r>
    </w:p>
    <w:p>
      <w:pPr>
        <w:spacing w:after="0" w:line="9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 could adversely impact our net income during future periods.</w:t>
      </w:r>
    </w:p>
    <w:p>
      <w:pPr>
        <w:spacing w:after="0" w:line="97"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Tax legislation and regulation may require the collection of information not regularly produced by us, and therefore necessitate the use of estimates in our Consolidated Financial Statements and the exercise of significant judgment in accounting for its provisions, which may subject us to additional tax liability, tax examination and other risks. As regulations and guidance evolve with respect to tax legislation and regulation, and as more information is gathered and analyzed, our results may differ from previous estimates and may materially affect our Consolidated Financial Statements. Further, we are subject to, and are under tax examination and audit in various jurisdictions, including an IRS income tax audit for the fiscal years ended October 30, 2021, November 2, 2019 (fiscal 2019) and November 3, 2018; an IRS income tax audit for Maxim Integrated Products, Inc.’s fiscal years ended June 27, 2015 through August 26, 2021; and various U.S. state and local tax audits and international audits, including an Irish corporate tax audit for fiscal 2021. Such jurisdictions may assess additional income tax against us. The final determination of tax audits or any administrative appeals relating thereto could be materially different from our income tax provisions and accruals. The ultimate result of any current or future audit could have a material adverse effect on our results of operations and cash flows in the period or periods for which that determination is made.</w:t>
      </w:r>
    </w:p>
    <w:p>
      <w:pPr>
        <w:spacing w:after="0" w:line="10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also subject to laws and regulations in various jurisdictions that determine how much profit has been earned and when it is subject to taxation in that jurisdiction. In the United States, for example, the Inflation Reduction Act (IRA) imposes a 15% book minimum tax on corporations with three-year average annual adjusted financial statement income exceeding $1 billion. We do not believe that the minimum tax provided by the IRA will materially impact our effective tax rate. Corporate tax reform, anti-base-erosion rules and tax transparency continue to be high legislative or regulatory priorities in many jurisdictions. Changes in laws and regulations regarding these matters could impact the jurisdictions where we are deemed to earn income, which could in turn adversely affect our tax liability and results of operations. For example, the Organization for Economic Cooperation and Development’s (OECD) Base Erosion and Profit Sharing Plans, which implement a minimum global effective tax rate of 15%, applied to us beginning in fiscal year 2025. We continue to monitor potential impacts related to this legislation as countries implement it and the OECD provides additional guidance. As additional jurisdictions enact such legislation, our effective tax rate and cash tax payments could increase.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Indebtedness, Financial Markets and Capital Return</w:t>
      </w:r>
    </w:p>
    <w:p>
      <w:pPr>
        <w:spacing w:after="0" w:line="14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have substantial existing indebtedness and the ability to incur significant additional indebtedness, which could limit our operations and our use of our cash flow and negatively impact our credit ratings.</w:t>
      </w:r>
    </w:p>
    <w:p>
      <w:pPr>
        <w:spacing w:after="0" w:line="66"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As of November 1, 2025, we had approximately $8.6 billion in outstanding indebtedness, including $446.6 million of short-term commercial paper. In addition, we had the ability to incur approximately $2.6 billion of additional indebtedness in direct borrowings under our outstanding commercial paper facility based on amounts available under our unsecured revolving credit facility that were not being used to backstop our outstanding commercial paper balance. Our leverage could have negative consequences, including increasing our vulnerability to adverse economic and industry conditions, limiting our ability to obtain additional financing and limiting our ability to acquire new products and technologies through strategic acquisitions. Further, our net interest expense is exposed to changes in market interest rates. We may also incur additional debt, including debt with variable interest rates, in the future, which would exacerbate these risks.</w:t>
      </w:r>
    </w:p>
    <w:p>
      <w:pPr>
        <w:spacing w:after="0" w:line="9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when due depends upon our future operating performance, which may be impacted by general economic conditions, industry cycles and other factors beyond our control. If we are unable to service or refinance our debt, we may be required to divert funds that would otherwise be invested in growing our business operations or returned to shareholders, repatriate earnings as dividends from foreign locations with potential negative tax consequences, or sell selected assets. 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 In addition, if our credit ratings are downgraded or put on watch for a potential downgrade, the applicable interest rate on borrowings under our current revolving credit facility and commercial paper issuances may rise and our ability to obtain additional financing or refinance our existing debt may be negatively affected.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in our revolving credit facility and outstanding debt instruments may limit our activities.</w:t>
      </w:r>
    </w:p>
    <w:p>
      <w:pPr>
        <w:spacing w:after="0" w:line="13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current revolving credit facility and outstanding debt instruments impose, and future debt instruments to which we may become subject may impose, restrictions that limit our ability to engage in activities that could otherwise benefit us,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requires us to maintain compliance with specified financial ratios. If we breach any of the covenants under our revolving credit facility, the indentures governing our outstanding senior unsecured notes, or any future debt instruments to which we may become subject and do not obtain appropriate waivers, then, subject to applicable cure periods, our outstanding indebtedness thereunder could be declared immediately due and payable and we may be restricted from further borrowing under our revolving credit facility.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meet expectations or targets in connection with our “green” financing arrangements, which could harm our reputation and business.</w:t>
      </w:r>
    </w:p>
    <w:p>
      <w:pPr>
        <w:spacing w:after="0" w:line="146"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enter into “green” financing arrangements that require us to use proceeds for environmental sustainability purposes or have targets related to environmental sustainability. For example, on October 5, 2021, we issued $750 million sustainability-linked senior notes (Sustainability-Linked Senior Notes). Our Sustainability-Linked Senior Notes initially bear interest at a rate of 1.7% per annum and are subject to an increase of an additional 30 basis points per annum from April 1, 2026 to their maturity on October 1, 2028 unless the Sustainability Performance Target (as defined in the Sustainability-Linked Senior Notes) has been satisfied. Failing to use the net proceeds under green financing arrangements that satisfies investor criteria and expectations regarding environmental impact or achieve targets related to environmental sustainability under such financing arrangements could result in reputational harm and our business and operating results could be negatively impacted.</w:t>
      </w:r>
    </w:p>
    <w:p>
      <w:pPr>
        <w:spacing w:after="0" w:line="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If we are not able to meet our U.S. cash requirements, it may be necessary for us to consider repatriation of foreign earnings, which could have a material adverse effect on our results of operations and financial condition.</w:t>
      </w:r>
    </w:p>
    <w:p>
      <w:pPr>
        <w:spacing w:after="0" w:line="6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carry outside basis differences in certain of our subsidiaries, primarily arising from acquisition accounting adjustments and certain undistributed earnings that are considered indefinitely reinvested. We intend to reinvest these funds in our international operations, and our current plans do not demonstrate a need to repatriate these earnings to fund our U.S. cash requirements. However, we require a substantial amount of cash in the United States for operating requirements, stock repurchases, cash dividends and acquisitions. If we are not able to meet our U.S. cash requirements through operations, borrowings under our current revolving credit facility, issuances under our commercial paper program,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results of operations could be affected by natural disasters or other catastrophic events in the locations in which we or our key partners operate.</w:t>
      </w:r>
    </w:p>
    <w:p>
      <w:pPr>
        <w:spacing w:after="0" w:line="13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like many companies in the semiconductor industry, rely on supplies, services, internal manufacturing capacity, wafer fabrication foundries and other subcontractors in locations around the world that are susceptible to natural disasters and other significant disruptions. Earthquakes, fires, tsunamis, extreme precipitation and flooding, public health emergencies or other catastrophic events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or to access key raw materials, utilities and equipment as a result of fire, flood, natural disaster, unavailability of utilities or otherwise, could result in a temporary or permanent loss of customers for affected products, which could have a material adverse effect on our results of operations, financial condition and reputation. In addition, global climate change may result in certain natural disasters or other severe weather events occurring more frequently or with greater intensity, such as drought, wildfires, storms, sea-level rise, extreme temperatures and flooding, and could disrupt the availability of water necessary for the operation of our fabrication facilities and otherwise adversely impact our results of operations. The long-term effects of climate change on the global economy and the semiconductor industry in particular are unclear, but could be severe.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may be volatile.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market price of our common stock may be volatile, as it may be significantly affected by factors including:</w:t>
      </w:r>
    </w:p>
    <w:p>
      <w:pPr>
        <w:spacing w:after="0" w:line="7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generally;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government actions, including with respect to trade, travel, export and taxation;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crises in global credit, debt and financial markets;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operating results;</w:t>
      </w:r>
    </w:p>
    <w:p>
      <w:pPr>
        <w:spacing w:after="0" w:line="7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prospects of our customers;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semiconductor companies;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speculation in the press, investment community or on social media about us, our customers or other companies in our industry;</w:t>
      </w:r>
    </w:p>
    <w:p>
      <w:pPr>
        <w:spacing w:after="0" w:line="9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noncompliance with laws, regulations or ethics standards by us or any of our employees, officers or directors;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publicity targeting us or our suppliers, customers or competitors.</w:t>
      </w:r>
    </w:p>
    <w:p>
      <w:pPr>
        <w:spacing w:after="0" w:line="13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stock market has historically experienced volatility, especially within the semiconductor industry, that often has been unrelated to the performance of particular companies, such as the response to recently announced tariffs and other trade restrictions. These market fluctuations have, and may in the future, cause our stock price to fall regardless of our operating results.</w:t>
      </w:r>
    </w:p>
    <w:p>
      <w:pPr>
        <w:spacing w:after="0" w:line="8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35"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As part of our enterprise security program, we perform risk assessments relating to cybersecurity and technology risks. Our enterprise security program has been developed based on industry standards, including those published by the International Organization for Standardization (ISO) and the National Institute of Standards and Technology. The program includes a comprehensive set of enterprise security policies and procedures that guide our protection strategy. Our policies, procedures and practices include, but are not limited to:</w:t>
      </w:r>
    </w:p>
    <w:p>
      <w:pPr>
        <w:spacing w:after="0" w:line="18" w:lineRule="exact"/>
        <w:rPr>
          <w:sz w:val="20"/>
          <w:szCs w:val="20"/>
          <w:color w:val="auto"/>
        </w:rPr>
      </w:pPr>
    </w:p>
    <w:p>
      <w:pPr>
        <w:ind w:left="660" w:right="6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critical assets and high-risk threats and analyzing identified risks to determine the potential impact on the organization and the likelihood of occurrence;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detection, controls and remediation practices, including vulnerability assessments, penetration testing and tabletop exercises;</w:t>
      </w:r>
    </w:p>
    <w:p>
      <w:pPr>
        <w:spacing w:after="0" w:line="63" w:lineRule="exact"/>
        <w:rPr>
          <w:rFonts w:ascii="Times New Roman" w:cs="Times New Roman" w:eastAsia="Times New Roman" w:hAnsi="Times New Roman"/>
          <w:sz w:val="18"/>
          <w:szCs w:val="18"/>
          <w:color w:val="auto"/>
        </w:rPr>
      </w:pPr>
    </w:p>
    <w:p>
      <w:pPr>
        <w:ind w:left="660" w:right="74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incident response and recovery plan that includes escalation protocols, procedures for containment of incidents and investigation and remediation procedures;</w:t>
      </w:r>
    </w:p>
    <w:p>
      <w:pPr>
        <w:spacing w:after="0" w:line="1"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and regular updates to antivirus software on all company managed systems and workstations to detect and prevent malicious code from impacting our systems;</w:t>
      </w:r>
    </w:p>
    <w:p>
      <w:pPr>
        <w:spacing w:after="0" w:line="1" w:lineRule="exact"/>
        <w:rPr>
          <w:rFonts w:ascii="Times New Roman" w:cs="Times New Roman" w:eastAsia="Times New Roman" w:hAnsi="Times New Roman"/>
          <w:sz w:val="18"/>
          <w:szCs w:val="18"/>
          <w:color w:val="auto"/>
        </w:rPr>
      </w:pPr>
    </w:p>
    <w:p>
      <w:pPr>
        <w:ind w:left="660" w:right="5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workforce trainings for employees to identify cybersecurity concerns and educate employees on potential risks and best practices;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effectiveness of our program by performing internal assessments;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external audits by an independent third party to test for the adequacy of, and compliance with, controls and standards; and</w:t>
      </w:r>
    </w:p>
    <w:p>
      <w:pPr>
        <w:spacing w:after="0" w:line="6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collaboration with leading global security providers, intelligence and law enforcement communities and industry peers to exchange information on trends and best practices in order to address new and evolving cybersecurity risks.</w:t>
      </w:r>
    </w:p>
    <w:p>
      <w:pPr>
        <w:spacing w:after="0" w:line="67"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We have in place a third-party risk management program to evaluate the cyber postures of our critical partners who handle the Company’s sensitive data in order to identify, monitor and address material cybersecurity risks that may arise from such third-party relationships.</w:t>
      </w:r>
    </w:p>
    <w:p>
      <w:pPr>
        <w:spacing w:after="0" w:line="8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While we have experienced cybersecurity incidents in the past, in the last three years we have not experienced any cybersecurity incidents that have materially affected or are currently viewed as reasonably likely to materially affect us, including our business strategy, results of operations or financial condition. However, the scope and impact of any future incidents cannot be predicted and there can be no assurance that our enterprise security program will be effective in preventing material cybersecurity incidents in the future.</w:t>
      </w:r>
    </w:p>
    <w:p>
      <w:pPr>
        <w:spacing w:after="0" w:line="85"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See the risk factor titled “Our computer systems and networks are subject to attempted security breaches and other cyber incidents and a significant disruption in, or breach in security of, our information technology systems or certain products could materially and adversely affect our business or reputation.” in Risk Factors in Part I, Item 1A of this Annual Report on Form 10-K for further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Management is responsible for assessing and managing our day-to-day risks and control systems, and our Board is responsible for overseeing our enterprise risk management programs as a whole. The Board has delegated the oversight of cybersecurity risk assessment and management to the audit committee. As reflected in its charter, the audit committee is responsible for overseeing and reviewing the Company’s cybersecurity and information security programs, practices and risk mitigation efforts. The audit committee receives quarterly reports on cybersecurity risks, or more frequent reports if circumstances dictate.</w:t>
      </w:r>
    </w:p>
    <w:p>
      <w:pPr>
        <w:spacing w:after="0" w:line="8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have established a cross-functional Cybersecurity Steering Committee, comprised of our Chief Information Officer (CIO), our Chief Information Security Officer (CISO) and other senior management. The Cybersecurity Steering Committee is charged with overseeing the management of our enterprise security program, including reviewing and prioritizing cybersecurity risks, monitoring potential incidents, establishing key mitigation initiatives, overseeing cybersecurity governance and promoting and supporting cybersecurity best practices. The Cybersecurity Steering Committee is chaired by our CISO. Both our CISO and our CIO have extensive experience in assessing and managing cybersecurity programs and risk management through serving in various senior roles in information technology and cybersecurity and holding multiple industry-recognized certifications.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28" w:name="page29"/>
    <w:bookmarkEnd w:id="28"/>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prevention, detection, mitigation and remediation of cybersecurity incidents is accomplished pursuant to various policies, procedures and processes, including our incident response and recovery plan and the other elements of our enterprise security program described above under “Risk Management and Strategy.” These measures include escalation protocols through which the Cybersecurity Steering Committee is informed about cybersecurity and incidents by our CISO. As part of our enterprise security program, we have communication processes enabled for employees to identify and report threats or potential vulnerabilities.</w:t>
      </w:r>
    </w:p>
    <w:p>
      <w:pPr>
        <w:spacing w:after="0" w:line="10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Our CIO and CISO provide regular updates to the full Board on the performance of, and enhancements to, key information technology projects, our enterprise security program and risk mitigation efforts, including relevant findings of the Cybersecurity Steering Committee. The full Board also receives updates from the audit committee. In addition, there are protocols in place for immediate escalation in the event of any cybersecurity issues or developments that may require consideration between regularly scheduled audit committee or Board meetings. Our internal audit team also provides regular updates to the audit committee on the performance of our enterprise security program from an internal audit perspective. In addition, our Chief Compliance and Risk Officer, who oversees our overall enterprise risk management and compliance programs and chairs our Enterprise Risk Management Committee, provides regular reports to the full Board, including periodic updates on risk management.</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sectPr>
      </w:pPr>
    </w:p>
    <w:bookmarkStart w:id="29" w:name="page30"/>
    <w:bookmarkEnd w:id="2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ind w:right="620" w:firstLine="405"/>
        <w:spacing w:after="0" w:line="270" w:lineRule="auto"/>
        <w:rPr>
          <w:sz w:val="20"/>
          <w:szCs w:val="20"/>
          <w:color w:val="auto"/>
        </w:rPr>
      </w:pPr>
      <w:r>
        <w:rPr>
          <w:rFonts w:ascii="Times New Roman" w:cs="Times New Roman" w:eastAsia="Times New Roman" w:hAnsi="Times New Roman"/>
          <w:sz w:val="18"/>
          <w:szCs w:val="18"/>
          <w:color w:val="auto"/>
        </w:rPr>
        <w:t>Manufacturing and other operations are conducted in several locations worldwide. The following tables provide certain information about our significant general offices and manufacturing facilities:</w:t>
      </w:r>
    </w:p>
    <w:tbl>
      <w:tblPr>
        <w:tblLayout w:type="fixed"/>
        <w:tblInd w:w="0" w:type="dxa"/>
        <w:tblCellMar>
          <w:top w:w="0" w:type="dxa"/>
          <w:left w:w="0" w:type="dxa"/>
          <w:bottom w:w="0" w:type="dxa"/>
          <w:right w:w="0" w:type="dxa"/>
        </w:tblCellMar>
      </w:tblPr>
      <w:tr>
        <w:trPr>
          <w:trHeight w:val="190"/>
        </w:trPr>
        <w:tc>
          <w:tcPr>
            <w:tcW w:w="23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203"/>
        </w:trPr>
        <w:tc>
          <w:tcPr>
            <w:tcW w:w="232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7"/>
                <w:szCs w:val="17"/>
                <w:color w:val="auto"/>
              </w:rPr>
            </w:pPr>
          </w:p>
        </w:tc>
        <w:tc>
          <w:tcPr>
            <w:tcW w:w="4480" w:type="dxa"/>
            <w:vAlign w:val="bottom"/>
            <w:gridSpan w:val="2"/>
          </w:tcPr>
          <w:p>
            <w:pPr>
              <w:ind w:left="346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Sq. Ft.</w:t>
            </w:r>
          </w:p>
        </w:tc>
        <w:tc>
          <w:tcPr>
            <w:tcW w:w="0" w:type="dxa"/>
            <w:vAlign w:val="bottom"/>
          </w:tcPr>
          <w:p>
            <w:pPr>
              <w:spacing w:after="0"/>
              <w:rPr>
                <w:sz w:val="1"/>
                <w:szCs w:val="1"/>
                <w:color w:val="auto"/>
              </w:rPr>
            </w:pPr>
          </w:p>
        </w:tc>
      </w:tr>
      <w:tr>
        <w:trPr>
          <w:trHeight w:val="23"/>
        </w:trPr>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Cavite, Philippines</w:t>
            </w:r>
          </w:p>
        </w:tc>
        <w:tc>
          <w:tcPr>
            <w:tcW w:w="100" w:type="dxa"/>
            <w:vAlign w:val="bottom"/>
            <w:shd w:val="clear" w:color="auto" w:fill="CCEEFF"/>
          </w:tcPr>
          <w:p>
            <w:pPr>
              <w:spacing w:after="0"/>
              <w:rPr>
                <w:sz w:val="19"/>
                <w:szCs w:val="19"/>
                <w:color w:val="auto"/>
              </w:rPr>
            </w:pPr>
          </w:p>
        </w:tc>
        <w:tc>
          <w:tcPr>
            <w:tcW w:w="62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probe and testing, warehouse, engineering and administrative offices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1,486,000 sq. ft.</w:t>
            </w:r>
          </w:p>
        </w:tc>
        <w:tc>
          <w:tcPr>
            <w:tcW w:w="0" w:type="dxa"/>
            <w:vAlign w:val="bottom"/>
          </w:tcPr>
          <w:p>
            <w:pPr>
              <w:spacing w:after="0"/>
              <w:rPr>
                <w:sz w:val="1"/>
                <w:szCs w:val="1"/>
                <w:color w:val="auto"/>
              </w:rPr>
            </w:pPr>
          </w:p>
        </w:tc>
      </w:tr>
      <w:tr>
        <w:trPr>
          <w:trHeight w:val="175"/>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Wilmington, MA</w:t>
            </w:r>
          </w:p>
        </w:tc>
        <w:tc>
          <w:tcPr>
            <w:tcW w:w="100" w:type="dxa"/>
            <w:vAlign w:val="bottom"/>
          </w:tcPr>
          <w:p>
            <w:pPr>
              <w:spacing w:after="0"/>
              <w:rPr>
                <w:sz w:val="15"/>
                <w:szCs w:val="15"/>
                <w:color w:val="auto"/>
              </w:rPr>
            </w:pPr>
          </w:p>
        </w:tc>
        <w:tc>
          <w:tcPr>
            <w:tcW w:w="622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headquarters, wafer fabrication, testing, engineering, sales, marketing and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300"/>
              <w:spacing w:after="0" w:line="176" w:lineRule="exact"/>
              <w:rPr>
                <w:sz w:val="20"/>
                <w:szCs w:val="20"/>
                <w:color w:val="auto"/>
              </w:rPr>
            </w:pPr>
            <w:r>
              <w:rPr>
                <w:rFonts w:ascii="Times New Roman" w:cs="Times New Roman" w:eastAsia="Times New Roman" w:hAnsi="Times New Roman"/>
                <w:sz w:val="18"/>
                <w:szCs w:val="18"/>
                <w:color w:val="auto"/>
              </w:rPr>
              <w:t>826,000 sq. ft.</w:t>
            </w:r>
          </w:p>
        </w:tc>
        <w:tc>
          <w:tcPr>
            <w:tcW w:w="0" w:type="dxa"/>
            <w:vAlign w:val="bottom"/>
          </w:tcPr>
          <w:p>
            <w:pPr>
              <w:spacing w:after="0"/>
              <w:rPr>
                <w:sz w:val="1"/>
                <w:szCs w:val="1"/>
                <w:color w:val="auto"/>
              </w:rPr>
            </w:pPr>
          </w:p>
        </w:tc>
      </w:tr>
      <w:tr>
        <w:trPr>
          <w:trHeight w:val="239"/>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Chonburi Province, Thailand</w:t>
            </w:r>
          </w:p>
        </w:tc>
        <w:tc>
          <w:tcPr>
            <w:tcW w:w="100" w:type="dxa"/>
            <w:vAlign w:val="bottom"/>
            <w:shd w:val="clear" w:color="auto" w:fill="CCEEFF"/>
          </w:tcPr>
          <w:p>
            <w:pPr>
              <w:spacing w:after="0"/>
              <w:rPr>
                <w:sz w:val="20"/>
                <w:szCs w:val="20"/>
                <w:color w:val="auto"/>
              </w:rPr>
            </w:pPr>
          </w:p>
        </w:tc>
        <w:tc>
          <w:tcPr>
            <w:tcW w:w="62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probe and testing, warehouse, engineering and administrative offices</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744,000 sq. ft.</w:t>
            </w:r>
          </w:p>
        </w:tc>
        <w:tc>
          <w:tcPr>
            <w:tcW w:w="0" w:type="dxa"/>
            <w:vAlign w:val="bottom"/>
          </w:tcPr>
          <w:p>
            <w:pPr>
              <w:spacing w:after="0"/>
              <w:rPr>
                <w:sz w:val="1"/>
                <w:szCs w:val="1"/>
                <w:color w:val="auto"/>
              </w:rPr>
            </w:pPr>
          </w:p>
        </w:tc>
      </w:tr>
      <w:tr>
        <w:trPr>
          <w:trHeight w:val="176"/>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Limerick, Ireland</w:t>
            </w:r>
          </w:p>
        </w:tc>
        <w:tc>
          <w:tcPr>
            <w:tcW w:w="100" w:type="dxa"/>
            <w:vAlign w:val="bottom"/>
          </w:tcPr>
          <w:p>
            <w:pPr>
              <w:spacing w:after="0"/>
              <w:rPr>
                <w:sz w:val="15"/>
                <w:szCs w:val="15"/>
                <w:color w:val="auto"/>
              </w:rPr>
            </w:pPr>
          </w:p>
        </w:tc>
        <w:tc>
          <w:tcPr>
            <w:tcW w:w="72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auto"/>
              </w:rPr>
              <w:t>Wafer fabrication, wafer probe and testing, warehouse and distribution, engineering and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300"/>
              <w:spacing w:after="0" w:line="176" w:lineRule="exact"/>
              <w:rPr>
                <w:sz w:val="20"/>
                <w:szCs w:val="20"/>
                <w:color w:val="auto"/>
              </w:rPr>
            </w:pPr>
            <w:r>
              <w:rPr>
                <w:rFonts w:ascii="Times New Roman" w:cs="Times New Roman" w:eastAsia="Times New Roman" w:hAnsi="Times New Roman"/>
                <w:sz w:val="18"/>
                <w:szCs w:val="18"/>
                <w:color w:val="auto"/>
              </w:rPr>
              <w:t>708,500 sq. ft.</w:t>
            </w:r>
          </w:p>
        </w:tc>
        <w:tc>
          <w:tcPr>
            <w:tcW w:w="0" w:type="dxa"/>
            <w:vAlign w:val="bottom"/>
          </w:tcPr>
          <w:p>
            <w:pPr>
              <w:spacing w:after="0"/>
              <w:rPr>
                <w:sz w:val="1"/>
                <w:szCs w:val="1"/>
                <w:color w:val="auto"/>
              </w:rPr>
            </w:pPr>
          </w:p>
        </w:tc>
      </w:tr>
      <w:tr>
        <w:trPr>
          <w:trHeight w:val="239"/>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Penang, Malaysia </w:t>
            </w:r>
            <w:r>
              <w:rPr>
                <w:rFonts w:ascii="Times New Roman" w:cs="Times New Roman" w:eastAsia="Times New Roman" w:hAnsi="Times New Roman"/>
                <w:sz w:val="16"/>
                <w:szCs w:val="16"/>
                <w:color w:val="auto"/>
              </w:rPr>
              <w:t>(1) (2)</w:t>
            </w:r>
          </w:p>
        </w:tc>
        <w:tc>
          <w:tcPr>
            <w:tcW w:w="100" w:type="dxa"/>
            <w:vAlign w:val="bottom"/>
            <w:shd w:val="clear" w:color="auto" w:fill="CCEEFF"/>
          </w:tcPr>
          <w:p>
            <w:pPr>
              <w:spacing w:after="0"/>
              <w:rPr>
                <w:sz w:val="20"/>
                <w:szCs w:val="20"/>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Wafer probe and testing, assembly and engineering offices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697,000 sq. ft.</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Beaverton, OR</w:t>
            </w:r>
          </w:p>
        </w:tc>
        <w:tc>
          <w:tcPr>
            <w:tcW w:w="10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Wafer fabrication, engineering and administrative offices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458,000 sq. ft.</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Jose, CA</w:t>
            </w:r>
          </w:p>
        </w:tc>
        <w:tc>
          <w:tcPr>
            <w:tcW w:w="10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sales, marketing and administrative offices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441,000 sq. ft.</w:t>
            </w:r>
          </w:p>
        </w:tc>
        <w:tc>
          <w:tcPr>
            <w:tcW w:w="0" w:type="dxa"/>
            <w:vAlign w:val="bottom"/>
          </w:tcPr>
          <w:p>
            <w:pPr>
              <w:spacing w:after="0"/>
              <w:rPr>
                <w:sz w:val="1"/>
                <w:szCs w:val="1"/>
                <w:color w:val="auto"/>
              </w:rPr>
            </w:pPr>
          </w:p>
        </w:tc>
      </w:tr>
      <w:tr>
        <w:trPr>
          <w:trHeight w:val="175"/>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Chelmsford, MA</w:t>
            </w:r>
          </w:p>
        </w:tc>
        <w:tc>
          <w:tcPr>
            <w:tcW w:w="100" w:type="dxa"/>
            <w:vAlign w:val="bottom"/>
          </w:tcPr>
          <w:p>
            <w:pPr>
              <w:spacing w:after="0"/>
              <w:rPr>
                <w:sz w:val="15"/>
                <w:szCs w:val="15"/>
                <w:color w:val="auto"/>
              </w:rPr>
            </w:pPr>
          </w:p>
        </w:tc>
        <w:tc>
          <w:tcPr>
            <w:tcW w:w="72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auto"/>
              </w:rPr>
              <w:t>Final assembly of certain module and subsystem-level products, testing, engineering and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300"/>
              <w:spacing w:after="0" w:line="176" w:lineRule="exact"/>
              <w:rPr>
                <w:sz w:val="20"/>
                <w:szCs w:val="20"/>
                <w:color w:val="auto"/>
              </w:rPr>
            </w:pPr>
            <w:r>
              <w:rPr>
                <w:rFonts w:ascii="Times New Roman" w:cs="Times New Roman" w:eastAsia="Times New Roman" w:hAnsi="Times New Roman"/>
                <w:sz w:val="18"/>
                <w:szCs w:val="18"/>
                <w:color w:val="auto"/>
              </w:rPr>
              <w:t>237,000 sq. ft.</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offices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00" w:type="dxa"/>
            <w:vAlign w:val="bottom"/>
          </w:tcPr>
          <w:p>
            <w:pPr>
              <w:spacing w:after="0"/>
              <w:rPr>
                <w:sz w:val="17"/>
                <w:szCs w:val="17"/>
                <w:color w:val="auto"/>
              </w:rPr>
            </w:pPr>
          </w:p>
        </w:tc>
        <w:tc>
          <w:tcPr>
            <w:tcW w:w="44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Use</w:t>
            </w: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Sq. Ft.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Renewals</w:t>
            </w:r>
          </w:p>
        </w:tc>
        <w:tc>
          <w:tcPr>
            <w:tcW w:w="0" w:type="dxa"/>
            <w:vAlign w:val="bottom"/>
          </w:tcPr>
          <w:p>
            <w:pPr>
              <w:spacing w:after="0"/>
              <w:rPr>
                <w:sz w:val="1"/>
                <w:szCs w:val="1"/>
                <w:color w:val="auto"/>
              </w:rPr>
            </w:pPr>
          </w:p>
        </w:tc>
      </w:tr>
      <w:tr>
        <w:trPr>
          <w:trHeight w:val="23"/>
        </w:trPr>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Bangalore, India</w:t>
            </w:r>
          </w:p>
        </w:tc>
        <w:tc>
          <w:tcPr>
            <w:tcW w:w="45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Engineering and administrative offices</w:t>
            </w:r>
          </w:p>
        </w:tc>
        <w:tc>
          <w:tcPr>
            <w:tcW w:w="1740" w:type="dxa"/>
            <w:vAlign w:val="bottom"/>
            <w:gridSpan w:val="3"/>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175,000 sq. ft.</w:t>
            </w:r>
          </w:p>
        </w:tc>
        <w:tc>
          <w:tcPr>
            <w:tcW w:w="900" w:type="dxa"/>
            <w:vAlign w:val="bottom"/>
            <w:shd w:val="clear" w:color="auto" w:fill="CCEEFF"/>
          </w:tcPr>
          <w:p>
            <w:pPr>
              <w:jc w:val="center"/>
              <w:ind w:left="21"/>
              <w:spacing w:after="0" w:line="176" w:lineRule="exact"/>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1, five-yr.</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period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Durham, NC</w:t>
            </w:r>
          </w:p>
        </w:tc>
        <w:tc>
          <w:tcPr>
            <w:tcW w:w="45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Testing, engineering, and administrative offices</w:t>
            </w:r>
          </w:p>
        </w:tc>
        <w:tc>
          <w:tcPr>
            <w:tcW w:w="174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156,000 sq. ft.</w:t>
            </w:r>
          </w:p>
        </w:tc>
        <w:tc>
          <w:tcPr>
            <w:tcW w:w="900" w:type="dxa"/>
            <w:vAlign w:val="bottom"/>
          </w:tcPr>
          <w:p>
            <w:pPr>
              <w:jc w:val="center"/>
              <w:ind w:left="21"/>
              <w:spacing w:after="0" w:line="176" w:lineRule="exact"/>
              <w:rPr>
                <w:sz w:val="20"/>
                <w:szCs w:val="20"/>
                <w:color w:val="auto"/>
              </w:rPr>
            </w:pPr>
            <w:r>
              <w:rPr>
                <w:rFonts w:ascii="Times New Roman" w:cs="Times New Roman" w:eastAsia="Times New Roman" w:hAnsi="Times New Roman"/>
                <w:sz w:val="18"/>
                <w:szCs w:val="18"/>
                <w:color w:val="auto"/>
                <w:w w:val="99"/>
              </w:rPr>
              <w:t>2035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2, five-yr.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periods</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Leases on the land used for this owned facility expire in 2054 through 2057.</w:t>
      </w:r>
    </w:p>
    <w:p>
      <w:pPr>
        <w:spacing w:after="0" w:line="26" w:lineRule="exact"/>
        <w:rPr>
          <w:rFonts w:ascii="Times New Roman" w:cs="Times New Roman" w:eastAsia="Times New Roman" w:hAnsi="Times New Roman"/>
          <w:sz w:val="16"/>
          <w:szCs w:val="16"/>
          <w:color w:val="auto"/>
        </w:rPr>
      </w:pPr>
    </w:p>
    <w:p>
      <w:pPr>
        <w:ind w:left="340" w:right="180" w:hanging="332"/>
        <w:spacing w:after="0" w:line="270"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further information concerning our held for sale assets at the Penang, Malaysia facility, see Note 2e,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xml:space="preserve"> of the Notes to Consolidated Financial Statements contained in Part II, Item 8 of this Annual Report on Form 10-K.</w:t>
      </w:r>
    </w:p>
    <w:p>
      <w:pPr>
        <w:spacing w:after="0" w:line="87"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properties listed in the above tables, we also own or lease a number of other facilities in various locations in the United States and internationally that are used for manufacturing, engineering, sales and marketing and administration activities. Leases for these leased facilities expire at various dates through the year 2039. We do not anticipate experiencing significant difficulty in retaining occupancy of any of our facilities through lease renewals prior to expiration or through month-to-month occupancy, or in replacing them with equivalent facilities. For information concerning our obligations under all operating leases, 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Notes to Consolidated Financial Statements contained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3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are involved in various claims, charges and litigation arising from, or related to, among other things, contractual matters, patents, trademarks, personal injury, environmental matters, product liability, insurance coverage, employment or employee benefits. As to such claims and litigation, we can give no assurance that we will prevail. We do not believe that any current legal matters will have a material adverse effect on our financial position, results of operations or cash flows.</w:t>
      </w:r>
    </w:p>
    <w:p>
      <w:pPr>
        <w:spacing w:after="0" w:line="3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840" w:right="220" w:hanging="1133"/>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64"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ADI. The number of holders of record of our common stock at November 21, 2025 was 2,142. This number does not include shareholders for whom shares are held in a “nominee” or “street” name. On October 31, 2025, the last reported sales price of our common stock on The Nasdaq Global Select Market was $234.13 per share.</w:t>
      </w:r>
    </w:p>
    <w:p>
      <w:pPr>
        <w:spacing w:after="0" w:line="54"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On November 24, 2025, our Board of Directors declared a cash dividend of $0.99 per outstanding share of common stock. The dividend will be paid on December 22, 2025 to all shareholders of record at the close of business on December 8, 2025 and is expected to total approximately $484.8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85"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in Item 12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table below summarizes the activity related to stock repurchases for the three months ended November 1, 2025. We have an ongoing authorization, originally approved by our Board of Directors in 2004, and subsequently amended, to repurchase shares of our common stock in open market or negotiated transactions. As of November 1, 2025, the Company had repurchased a total of approximately 216.5 million shares of its common stock for approximately $17.0 billion under our share repurchase program. An additional $9.7 billion remains available for repurchase of shares under the current authorized program. Future repurchases of common stock will be dependent upon our financial position, results of operations, outlook, liquidity and other factors we deem relevant.</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3, 2025 through August 30,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31, 2025 through September 27,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28, 2025 through November 1, 2025</w:t>
      </w:r>
    </w:p>
    <w:p>
      <w:pPr>
        <w:spacing w:after="0" w:line="7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ind w:right="78"/>
              <w:spacing w:after="0" w:line="154"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13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8"/>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23"/>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1,019,618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235.55</w:t>
            </w:r>
          </w:p>
        </w:tc>
        <w:tc>
          <w:tcPr>
            <w:tcW w:w="120" w:type="dxa"/>
            <w:vAlign w:val="bottom"/>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911,058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10,079,668,663</w:t>
            </w: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9,895,164,780</w:t>
            </w: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120" w:type="dxa"/>
            <w:vAlign w:val="bottom"/>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9,652,678,988</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2,815,547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240.20</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2,668,772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9,652,678,988</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-333375</wp:posOffset>
            </wp:positionV>
            <wp:extent cx="71062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-633730</wp:posOffset>
            </wp:positionV>
            <wp:extent cx="710628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23" w:lineRule="exact"/>
        <w:rPr>
          <w:sz w:val="20"/>
          <w:szCs w:val="20"/>
          <w:color w:val="auto"/>
        </w:rPr>
      </w:pPr>
    </w:p>
    <w:p>
      <w:pPr>
        <w:sectPr>
          <w:pgSz w:w="11900" w:h="16838" w:orient="portrait"/>
          <w:cols w:equalWidth="0" w:num="2">
            <w:col w:w="3820" w:space="720"/>
            <w:col w:w="6700"/>
          </w:cols>
          <w:pgMar w:left="320" w:top="887" w:right="339" w:bottom="1440" w:gutter="0" w:footer="0" w:header="0"/>
          <w:type w:val="continuous"/>
        </w:sectPr>
      </w:pPr>
    </w:p>
    <w:p>
      <w:pPr>
        <w:ind w:left="460" w:right="180" w:hanging="412"/>
        <w:spacing w:after="0" w:line="280"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aggregate of 146,775 shares withheld by us from employees to satisfy employee tax obligations upon vesting of restricted stock units/awards granted to our employees under our equity compensation plans.</w:t>
      </w:r>
    </w:p>
    <w:p>
      <w:pPr>
        <w:spacing w:after="0" w:line="16" w:lineRule="exact"/>
        <w:rPr>
          <w:rFonts w:ascii="Times New Roman" w:cs="Times New Roman" w:eastAsia="Times New Roman" w:hAnsi="Times New Roman"/>
          <w:sz w:val="16"/>
          <w:szCs w:val="16"/>
          <w:color w:val="auto"/>
        </w:rPr>
      </w:pPr>
    </w:p>
    <w:p>
      <w:pPr>
        <w:ind w:left="460" w:right="280" w:hanging="412"/>
        <w:spacing w:after="0" w:line="280"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for shares in connection with vesting of restricted stock units/awards are averages of the closing stock prices at the vesting dates which are used to calculate the number of shares to be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14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graph compares cumulative total shareholder return on our common stock since October 31, 2020 with the cumulative total return of the Standard &amp; Poor’s (S&amp;P) 500 Index and the S&amp;P Semiconductors Index. This graph assumes the investment of $100 on October 31, 2020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65405</wp:posOffset>
            </wp:positionV>
            <wp:extent cx="5863590" cy="4886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63590" cy="488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16" w:right="519" w:bottom="1440" w:gutter="0" w:footer="0" w:header="0"/>
        </w:sectPr>
      </w:pPr>
    </w:p>
    <w:bookmarkStart w:id="33" w:name="page34"/>
    <w:bookmarkEnd w:id="33"/>
    <w:p>
      <w:pPr>
        <w:ind w:left="900" w:right="140" w:hanging="1133"/>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 (all tabular amounts in thousands except per share amounts)</w:t>
      </w:r>
    </w:p>
    <w:p>
      <w:pPr>
        <w:spacing w:after="0" w:line="7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following discussion includes results of operations and financial condition for the fiscal year ended November 1, 2025 (fiscal 2025) and the fiscal year ended November 2, 2024 (fiscal 2024) and year-over-year comparisons between fiscal 2025 and fiscal 2024. For discussion on results of operations and financial condition for fiscal 2024 and the fiscal year ended October 28, 2023 (fiscal 2023) and year-over-year comparisons between fiscal 2024 and fiscal 2023, please refer to Management’s Discussion and Analysis of Financial Condition and Results of Operations in Part II, Item 7 of our Annual Report on Form 10-K for fiscal 2024 filed with the Securities and Exchange Commission on November 26, 2024. Our fiscal year is the 52-week or 53-week period ending on the Saturday closest to the last day in October. Fiscal 2025 was a 52-week fiscal period, while fiscal 2024 was a 53-week fiscal period. The additional week in fiscal 2024 was included in the first quarter ended February 3, 2024. Therefore, fiscal 2025 includes one less week of operations as compared to fiscal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9,427,157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1,592,550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2,267,342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1,635,273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4,929,409</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4,290,324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3,277,865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1,434,568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1,377,865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hanging="332"/>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w:t>
      </w:r>
      <w:r>
        <w:rPr>
          <w:rFonts w:ascii="Times New Roman" w:cs="Times New Roman" w:eastAsia="Times New Roman" w:hAnsi="Times New Roman"/>
          <w:sz w:val="17"/>
          <w:szCs w:val="17"/>
          <w:color w:val="auto"/>
        </w:rPr>
        <w:t>m of the individual percentages may not equal the total due to rounding.</w:t>
      </w:r>
    </w:p>
    <w:p>
      <w:pPr>
        <w:spacing w:after="0" w:line="13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Revenue increased 17% in fiscal 2025 as compared to fiscal 2024 as a result of broad-based increase in demand for our products. In addition to increased demand, the increase in the Industrial end market was primarily due to customer inventory balances normalizing and growth in the test equipment and aerospace and defense sub-markets. In the Automotive end market, the increase was primarily driven by increases from connectivity solutions. The increase in the Consumer end market was primarily related to portable consumer products and the increase in the Communications end market was primarily driven by growth in the wireline sub-market from data center infrastructure expansion in support of AI applications. These increases were partially offset by the impact of an additional week of operations in fiscal 2024 as compared to fiscal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customers for which revenue is recorded over time.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9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9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8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8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32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128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6,144,819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5,505,779</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4,718,993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3,772,945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The sum of the individual percentages may not equal the total due to rounding.</w:t>
      </w:r>
    </w:p>
    <w:p>
      <w:pPr>
        <w:spacing w:after="0" w:line="118"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market revenue trends. As a percentage of total revenue, the decrease in the distributor channel is primarily due to the decrease in the percentage of revenue from our Industrial end market.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Geographic Region</w:t>
      </w:r>
    </w:p>
    <w:p>
      <w:pPr>
        <w:spacing w:after="0" w:line="92" w:lineRule="exact"/>
        <w:rPr>
          <w:sz w:val="20"/>
          <w:szCs w:val="20"/>
          <w:color w:val="auto"/>
        </w:rPr>
      </w:pPr>
    </w:p>
    <w:p>
      <w:pPr>
        <w:ind w:right="340" w:firstLine="445"/>
        <w:spacing w:after="0" w:line="263" w:lineRule="auto"/>
        <w:rPr>
          <w:sz w:val="20"/>
          <w:szCs w:val="20"/>
          <w:color w:val="auto"/>
        </w:rPr>
      </w:pPr>
      <w:r>
        <w:rPr>
          <w:rFonts w:ascii="Times New Roman" w:cs="Times New Roman" w:eastAsia="Times New Roman" w:hAnsi="Times New Roman"/>
          <w:sz w:val="18"/>
          <w:szCs w:val="18"/>
          <w:color w:val="auto"/>
        </w:rPr>
        <w:t>Geographic revenue information for fiscal 2025 and fiscal 2024 reflects the geographic location of the distributors or OEMs who purchased the Company’s products. This may differ from the geographic location of the end customers particularly in cases where a third-party contract manufacturer purchases the Company’s products through distributors.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 (1)</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3,238,145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397,719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North and South America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176,069</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729,446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1,485,292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284,879</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8"/>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1,592,550</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The sum of the individual percentages may not equal the total due to rounding.</w:t>
      </w:r>
    </w:p>
    <w:p>
      <w:pPr>
        <w:spacing w:after="0" w:line="132"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In all periods presented, the predominant regions comprising “Rest of North and South America” are Mexico and Canada; the predominant regions comprising “Europe” are Germany, the Netherlands, France and Israel; and the predominant regions comprising “Rest of Asia” are Taiwan, South Korea, Malaysia and Singapore.</w:t>
      </w:r>
    </w:p>
    <w:p>
      <w:pPr>
        <w:spacing w:after="0" w:line="8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 xml:space="preserve">Total revenue increased in fiscal 2025 as compared to fiscal 2024 in most regions due to broad-based demand increases as discussed above under the heading </w:t>
      </w: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6,773,478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5,381,343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1,392,135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193"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Gross margin percentage in fiscal 2025 increased by 440 basis points compared to fiscal 2024, primarily due to higher utilization of our factories due to increased customer demand as well as a decrease in amortization expense related to acquired intangible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1,766,001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1,487,863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expenses as a % of revenue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33"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R&amp;D expenses increased in fiscal 2025 as compared to fiscal 2024, primarily as a result of higher R&amp;D employee related variable compensation expenses and higher salary and benefit expenses, partially offset by the impact of an additional week of operations in fiscal 2024 as compared to fiscal 2025.</w:t>
      </w:r>
    </w:p>
    <w:p>
      <w:pPr>
        <w:spacing w:after="0" w:line="8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1,255,339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1,068,640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SMG&amp;A expenses as a % of revenue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33" w:lineRule="exact"/>
        <w:rPr>
          <w:sz w:val="20"/>
          <w:szCs w:val="20"/>
          <w:color w:val="auto"/>
        </w:rPr>
      </w:pPr>
    </w:p>
    <w:p>
      <w:pPr>
        <w:ind w:right="420" w:firstLine="405"/>
        <w:spacing w:after="0" w:line="312" w:lineRule="auto"/>
        <w:rPr>
          <w:sz w:val="20"/>
          <w:szCs w:val="20"/>
          <w:color w:val="auto"/>
        </w:rPr>
      </w:pPr>
      <w:r>
        <w:rPr>
          <w:rFonts w:ascii="Times New Roman" w:cs="Times New Roman" w:eastAsia="Times New Roman" w:hAnsi="Times New Roman"/>
          <w:sz w:val="17"/>
          <w:szCs w:val="17"/>
          <w:color w:val="auto"/>
        </w:rPr>
        <w:t>SMG&amp;A expenses increased in fiscal 2025 as compared to fiscal 2024, primarily as a result of higher SMG&amp;A employee related variable compensation expenses and salary and benefit expenses, partially offset by an additional week of operations in fiscal 2024 as compared to fiscal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expenses</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749,662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754,784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expenses as a % of revenue</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33"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expenses decreased in fiscal 2025 as compared to fiscal 2024, primarily as a result of a portion of our acquired intangible assets becoming fully amortized.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charges, net as a % of revenue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3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Special charges, net increased in fiscal 2025 as compared to fiscal 2024, primarily due to increased charges related to our Global Repositioning Actions. 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of the Notes to Consolidated Financial Statements included in Item 8 of this Annual Report on Form 10-K for more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220,384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year-over-year decrease in nonoperating expense in fiscal 2025 as compared to fiscal 2024 was primarily the result of higher interest income from higher cash, cash equivalents and short-term investments balances during fiscal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444,770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142,067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302,703</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9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Our effective tax rates for fiscal 2025 and fiscal 2024 were below the U.S. statutory rate of 21% due to lower statutory tax rates applicable to our operations in the foreign jurisdictions in which we earn income. For fiscal 2025 and fiscal 2024 our pretax income was primarily generated in Ireland at a tax rate of 12.5%. Our effective tax rate for fiscal 2025 was impacted by a net deferred tax expense of $153.8 million related to the remeasurement of our Global Intangible Low-Taxed Income related deferred tax assets and liabilities attributable to the passage of the One Big Beautiful Bill Act.</w:t>
      </w:r>
    </w:p>
    <w:p>
      <w:pPr>
        <w:spacing w:after="0" w:line="124"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contained in Part II, Item 8 of this Annual Report on Form 10-K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2,267,342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1,635,273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632,069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98"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increase in net income in fiscal 2025 as compared to fiscal 2024 was a result of a $899.7 million increase in operating income and a $35.1 million decrease in nonoperating expense, partially offset by a $302.7 million increase in provision for income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At November 1, 2025, our principal source of liquidity was $3.7 billion of cash, cash equivalents and short-term investments, of which approximately $2.4 billion was held in the United States, with the balance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spacing w:after="0" w:line="54" w:lineRule="exact"/>
        <w:rPr>
          <w:sz w:val="20"/>
          <w:szCs w:val="20"/>
          <w:color w:val="auto"/>
        </w:rPr>
      </w:pPr>
    </w:p>
    <w:p>
      <w:pPr>
        <w:ind w:right="38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6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4,812,202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3,852,529</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as a % of revenue</w:t>
            </w:r>
          </w:p>
        </w:tc>
        <w:tc>
          <w:tcPr>
            <w:tcW w:w="5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(1,321,521)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(1,104,858)</w:t>
            </w: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(2,982,617)</w:t>
            </w:r>
          </w:p>
        </w:tc>
        <w:tc>
          <w:tcPr>
            <w:tcW w:w="1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(1,714,390)</w:t>
            </w:r>
          </w:p>
        </w:tc>
      </w:tr>
    </w:tbl>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from fiscal 2024 to fiscal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180" w:firstLine="405"/>
        <w:spacing w:after="0" w:line="274"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assets and liabilities. The increase in cash provided by operating activities during fiscal 2025 as compared to fiscal 2024 was primarily a result of higher net income adjusted for noncash items and changes in working capital.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Investing cash flows generally consist of purchases of property, plant and equipment, available-for-sale investments and acquisitions of other businesses. The change in cash used for investing activities during fiscal 2025 as compared to fiscal 2024 was primarily the result of the net impact of purchases and maturities of available-for-sale investments, partially offset by a decrease in cash used for capital expenditures.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Financing cash flows generally consist of payments of dividends to shareholders, repurchases of common stock, issuance and repayment of debt and</w:t>
      </w:r>
    </w:p>
    <w:p>
      <w:pPr>
        <w:spacing w:after="0" w:line="5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proceeds from the sale of shares of common stock pursuant to employee equity incentive plans. The increase in cash used for financing activities during fiscal 2025 as compared to fiscal 2024 was primarily the result of increased common stock repurchases and dividend payments to shareholders, partially offset by the net proceeds from our debt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99,744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Days sales outstanding </w:t>
            </w: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208,636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Days cost of sales in inventory </w:t>
            </w:r>
            <w:r>
              <w:rPr>
                <w:rFonts w:ascii="Times New Roman" w:cs="Times New Roman" w:eastAsia="Times New Roman" w:hAnsi="Times New Roman"/>
                <w:sz w:val="16"/>
                <w:szCs w:val="16"/>
                <w:color w:val="auto"/>
              </w:rPr>
              <w:t>(1)</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320" w:hanging="332"/>
        <w:spacing w:after="0" w:line="275"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year and prior year ending net accounts receivable and ending inventory balance in our calculation of days sales outstanding and days cost of sales in inventory, respectively.</w:t>
      </w:r>
    </w:p>
    <w:p>
      <w:pPr>
        <w:spacing w:after="0" w:line="83"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 for fiscal 2025 compared to fiscal 2024 was primarily the result of variations in the timing of collections and billings and increased revenue levels in the fourth quarter of fiscal 2025 as compared to the fourth quarter of fiscal 2024.</w:t>
      </w:r>
    </w:p>
    <w:p>
      <w:pPr>
        <w:spacing w:after="0" w:line="67"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Inventory increased in fiscal 2025 as compared to fiscal 2024, primarily as a result of our efforts to balance manufacturing production, demand and inventory levels. Our inventory levels are impacted by our need to support forecasted sales demand and variations between those forecasts and actual demand.</w:t>
      </w:r>
    </w:p>
    <w:p>
      <w:pPr>
        <w:spacing w:after="0" w:line="95"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increased to $3.2 billion at November 1, 2025 from $3.0 billion recorded at the end of fiscal 2024, primarily due to increases in accrued liabilities and income taxes payable, partially offset by a decrease in current debt.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Our Fourth Amended and Restated Revolving Credit Agreement, dated as of April 11, 2025, with Bank of America N.A. as administrative agent and the other banks identified therein as lenders (the Revolving Credit Agreement) provides for a five year unsecured revolving credit facility in an aggregate principal amount not to exceed $3.0 billion (subject to certain terms and conditions).</w:t>
      </w:r>
    </w:p>
    <w:p>
      <w:pPr>
        <w:spacing w:after="0" w:line="68"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may borrow under the Revolving Credit Agreement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an interest coverage covenant which requires the ratio of consolidated earnings before interest, taxes, depreciation and amortization (EBITDA) to consolidated interest charges to be greater than 3.0 to 1.0. As of November 1, 2025, we were in compliance with these covenants. See Note 11, Revolving Credit Facility, of the Notes to Consolidated Financial Statements contained in Part II, Item 8 of this Annual Report on Form 10-K for further information on our revolving credit facility.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46"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 xml:space="preserve">As of November 1, 2025, we had approximately $8.1 billion of carrying value outstanding on our senior notes. The difference in the carrying value of the debt and the principal is due to the unamortized discount and issuance fees and other adjustments on these instruments. The indentures governing certain of our debt instruments contain covenants that may limit our ability to: incur, create, assume or guarantee any debt or borrowed money secured by a lien upon a principal property; enter into sale and lease-back transactions with respect to a principal property; and consolidate with or merge into, or transfer or lease all or substantially all of our assets to, any other party. As of November 1, 2025, we were compliant with these covenants. See Note 12,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of the Notes to Consolidated Financial Statements contained in Part II, Item 8 of this Annual Report on Form 10-K for further information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9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$3.0 billion outstanding at any time, with maturities of up to 397 days from the date of issuance. As of November 1, 2025, we had $446.6 million of outstanding borrowings under the commercial paper program recorded in the Consolidated Balance Sheet. We intend to use the net proceeds of the commercial paper program for general corporate purposes, including without limitation, repayment of indebtedness, stock repurchases, acquisitions, capital expenditures and working capital.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As of November 1, 2025, our Board of Directors had authorized us to repurchase $26.7 billion of our common stock under our common stock repurchase program and $9.7 billion remained available for repurchases under the current authorized program. Repurchased shares are held as authorized but unissued shares of common stock. Unless terminated earlier by resolution of our Board of Directors, the repurchase program will expire when the full dollar amount of the authorization has been used to repurchase shares under the program. Future repurchases of common stock will be dependent upon our financial position, results of operations, outlook, liquidity and other factors we deem relevant.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Net additions to property, plant and equipment were $533.6 million in fiscal 2025. We expect capital expenditures for fiscal 2026 to be between approximately 4% and 6% of fiscal 2026 revenue. These capital expenditures will be funded with a combination of cash on hand and cash expected to be generated from future operations, together with existing and anticipated available short- and long-term financing.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On November 24, 2025, our Board of Directors declared a cash dividend of $0.99 per outstanding share of common stock. The dividend will be paid on December 22, 2025 to all shareholders of record at the close of business on December 8, 2025 and is expected to total approximately $484.8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material contractual obligations in specified periods as of November 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91"/>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6"/>
                <w:szCs w:val="16"/>
                <w:color w:val="auto"/>
              </w:rPr>
            </w:pPr>
          </w:p>
        </w:tc>
        <w:tc>
          <w:tcPr>
            <w:tcW w:w="9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3"/>
        </w:trPr>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4,626,865</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payments associated with debt obligations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1,994,659</w:t>
            </w:r>
          </w:p>
        </w:tc>
      </w:tr>
      <w:tr>
        <w:trPr>
          <w:trHeight w:val="23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Investment-related commitments </w:t>
            </w: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Transition tax </w:t>
            </w: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w:t>
            </w: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56,894</w:t>
            </w:r>
          </w:p>
        </w:tc>
      </w:tr>
      <w:tr>
        <w:trPr>
          <w:trHeight w:val="230"/>
        </w:trPr>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Inventory-related purchase commitments (5)</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48"/>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6,681,751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obligations are assumed to be held to maturity.</w:t>
      </w:r>
    </w:p>
    <w:p>
      <w:pPr>
        <w:spacing w:after="0" w:line="19" w:lineRule="exact"/>
        <w:rPr>
          <w:rFonts w:ascii="Times New Roman" w:cs="Times New Roman" w:eastAsia="Times New Roman" w:hAnsi="Times New Roman"/>
          <w:sz w:val="16"/>
          <w:szCs w:val="16"/>
          <w:color w:val="auto"/>
        </w:rPr>
      </w:pPr>
    </w:p>
    <w:p>
      <w:pPr>
        <w:ind w:left="340" w:right="60" w:hanging="332"/>
        <w:spacing w:after="0" w:line="275"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Commitments related to certain investments in venture funds directed to our strategic areas of targeted growth in digital biology, life sciences and sustainability, among others.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9" w:name="page40"/>
    <w:bookmarkEnd w:id="39"/>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obligation relates to the one-time tax on deemed repatriated earnings under the Tax Cuts and Jobs Act.</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operating lease obligations include escalation clauses. These escalating payment requirements are reflected in the table.</w:t>
      </w:r>
    </w:p>
    <w:p>
      <w:pPr>
        <w:spacing w:after="0" w:line="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supplier commitments for the purchase of materials and supplies in advance or with minimum purchase quantities.</w:t>
      </w:r>
    </w:p>
    <w:p>
      <w:pPr>
        <w:spacing w:after="0" w:line="128"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As of November 1, 2025, our total liabilities associated with uncertain tax positions was $199.7 million, which are included in non-current income taxes payable in our Consolidated Balance Sheets contained in Part II, Item 8 of this Annual Report on Form 10-K. Due to the complexity associated with our tax uncertainties, we cannot make a reasonably reliable estimate of the period in which we expect to settle the non-current liabilities associated with these uncertain tax positions. Therefore, we have not included these uncertain tax positions in the above contractual obligations 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94"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2s,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of the Notes to Consolidated Financial Statements contained in Part II, Item 8 of this Annual Report on Form 10-K for a description of recently issued and adopted accounting pronouncements, including the dates of adoption and impact on our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however, the application of these policies does not require us to make significant estimates or judgments that are difficult or subjective.</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4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Recognition of revenue occurs when a customer obtains control of promised goods or services in an amount that reflects the consideration to which the providing entity expects to be entitled in exchange for those goods or services. We recognize revenue upon transfer of control of promised products or services to customers in an amount that reflects the consideration that we expect to receive in exchange for those products or services. We recognize revenue when all of the following criteria are met: (1) we have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our shipping terms permit us to recognize revenue at point of shipment or delivery. Certain shipping terms require the goods to be through customs or be received by the customer before title passes. In those instances, we defer the revenue recognized until title and control of the promised goods have passed to the customer. Shipping costs are charged to selling, marketing, general and administrative expense as incurred. Sales taxes are excluded from revenue.</w:t>
      </w:r>
    </w:p>
    <w:p>
      <w:pPr>
        <w:spacing w:after="0" w:line="9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95"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Substantially all of our contracts with customers contain a single performance obligation, the sale of mixed-signal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circuit (IC) 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We generally warrant that our products will meet their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right="420"/>
        <w:spacing w:after="0" w:line="282" w:lineRule="auto"/>
        <w:rPr>
          <w:sz w:val="20"/>
          <w:szCs w:val="20"/>
          <w:color w:val="auto"/>
        </w:rPr>
      </w:pPr>
      <w:r>
        <w:rPr>
          <w:rFonts w:ascii="Times New Roman" w:cs="Times New Roman" w:eastAsia="Times New Roman" w:hAnsi="Times New Roman"/>
          <w:sz w:val="18"/>
          <w:szCs w:val="18"/>
          <w:color w:val="auto"/>
        </w:rPr>
        <w:t>published specifications, and that we will repair or replace defective products, for one year from the date title passes from us to the customer. Specific accruals are recorded for known product warranty issues.</w:t>
      </w:r>
    </w:p>
    <w:p>
      <w:pPr>
        <w:spacing w:after="0" w:line="7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Transaction Price</w:t>
      </w:r>
      <w:r>
        <w:rPr>
          <w:rFonts w:ascii="Times New Roman" w:cs="Times New Roman" w:eastAsia="Times New Roman" w:hAnsi="Times New Roman"/>
          <w:sz w:val="18"/>
          <w:szCs w:val="18"/>
          <w:color w:val="auto"/>
        </w:rPr>
        <w:t>: The transaction price reflects our expectations about the consideration we will be entitled to receive from the customer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we will receive is unknown as of the end of a reporting period. The vast majority of such consideration are credits issued to the distributor due to price protection, but also include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management’s estimate of historical experience rates as well as considering economic conditions and contractual terms. To date, actual distributor claims activity has been materially consistent with the provisions we have made based on our historical estimates.</w:t>
      </w:r>
    </w:p>
    <w:p>
      <w:pPr>
        <w:spacing w:after="0" w:line="97" w:lineRule="exact"/>
        <w:rPr>
          <w:sz w:val="20"/>
          <w:szCs w:val="20"/>
          <w:color w:val="auto"/>
        </w:rPr>
      </w:pPr>
    </w:p>
    <w:p>
      <w:pPr>
        <w:ind w:firstLine="405"/>
        <w:spacing w:after="0" w:line="290"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Accounts receivable represents our unconditional right to receive consideration from our customers. Payments are typically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30 to 45 days of invoicing and do not include a significant financing component. To date, there have been no material impairment losses on accounts receivable. There were no material contract assets or contract liabilities recorded on the Consolidated Balance Sheets in any of the periods presented.</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46"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We value inventories at the lower of cost (first-in, first-out method) or net realizable value.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net realizable value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3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evaluate goodwill for impairment annually, as well as whenever events or changes in circumstances suggest that the carrying value of goodwill may not be recoverable, utilizing either the qualitative or quantitative method. We have determined that the business operates as a single operating segment and has a single reporting unit for the purpose of goodwill impairment testing. We test goodwill on an annual basis on the first day of the fourth quarter (August 3, 2025 in fiscal 2025) or more frequently if indicators of impairment exist or we reorganize our business.</w:t>
      </w:r>
    </w:p>
    <w:p>
      <w:pPr>
        <w:spacing w:after="0" w:line="9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more likely than not that the fair value of a reporting unit is less than its net book value. When using the qualitative method, we consider several factors, including the following:</w:t>
      </w:r>
    </w:p>
    <w:p>
      <w:pPr>
        <w:spacing w:after="0" w:line="67" w:lineRule="exact"/>
        <w:rPr>
          <w:sz w:val="20"/>
          <w:szCs w:val="20"/>
          <w:color w:val="auto"/>
        </w:rPr>
      </w:pPr>
    </w:p>
    <w:p>
      <w:pPr>
        <w:ind w:left="660" w:hanging="324"/>
        <w:spacing w:after="0" w:line="257" w:lineRule="auto"/>
        <w:rPr>
          <w:sz w:val="20"/>
          <w:szCs w:val="20"/>
          <w:color w:val="auto"/>
        </w:rPr>
      </w:pPr>
      <w:r>
        <w:rPr>
          <w:rFonts w:ascii="Times New Roman" w:cs="Times New Roman" w:eastAsia="Times New Roman" w:hAnsi="Times New Roman"/>
          <w:sz w:val="18"/>
          <w:szCs w:val="18"/>
          <w:color w:val="auto"/>
        </w:rPr>
        <w:t>– the amount by which the fair value of our reporting unit exceeded its carrying value as of the date of the most recent quantitative impairment analysis, which indicated there would need to be substantial negative developments in the markets in which our reporting unit operates in order for there to be potential impairment;</w:t>
      </w:r>
    </w:p>
    <w:p>
      <w:pPr>
        <w:spacing w:after="0" w:line="1" w:lineRule="exact"/>
        <w:rPr>
          <w:sz w:val="20"/>
          <w:szCs w:val="20"/>
          <w:color w:val="auto"/>
        </w:rPr>
      </w:pPr>
    </w:p>
    <w:p>
      <w:pPr>
        <w:ind w:left="660" w:right="60" w:hanging="324"/>
        <w:spacing w:after="0" w:line="250" w:lineRule="auto"/>
        <w:rPr>
          <w:sz w:val="20"/>
          <w:szCs w:val="20"/>
          <w:color w:val="auto"/>
        </w:rPr>
      </w:pPr>
      <w:r>
        <w:rPr>
          <w:rFonts w:ascii="Times New Roman" w:cs="Times New Roman" w:eastAsia="Times New Roman" w:hAnsi="Times New Roman"/>
          <w:sz w:val="18"/>
          <w:szCs w:val="18"/>
          <w:color w:val="auto"/>
        </w:rPr>
        <w:t>– the carrying value of our reporting unit as of the assessment date compared to the previously calculated fair value as of the date of the most recent quantitative impairment analysis;</w:t>
      </w:r>
    </w:p>
    <w:p>
      <w:pPr>
        <w:ind w:left="340"/>
        <w:spacing w:after="0"/>
        <w:rPr>
          <w:sz w:val="20"/>
          <w:szCs w:val="20"/>
          <w:color w:val="auto"/>
        </w:rPr>
      </w:pPr>
      <w:r>
        <w:rPr>
          <w:rFonts w:ascii="Times New Roman" w:cs="Times New Roman" w:eastAsia="Times New Roman" w:hAnsi="Times New Roman"/>
          <w:sz w:val="18"/>
          <w:szCs w:val="18"/>
          <w:color w:val="auto"/>
        </w:rPr>
        <w:t>–   the current forecasts as compared to the forecasts included in the most recent quantitative impairment analysis;</w:t>
      </w:r>
    </w:p>
    <w:p>
      <w:pPr>
        <w:spacing w:after="0" w:line="9" w:lineRule="exact"/>
        <w:rPr>
          <w:sz w:val="20"/>
          <w:szCs w:val="20"/>
          <w:color w:val="auto"/>
        </w:rPr>
      </w:pPr>
    </w:p>
    <w:p>
      <w:pPr>
        <w:ind w:left="660" w:right="180" w:hanging="324"/>
        <w:spacing w:after="0" w:line="250" w:lineRule="auto"/>
        <w:rPr>
          <w:sz w:val="20"/>
          <w:szCs w:val="20"/>
          <w:color w:val="auto"/>
        </w:rPr>
      </w:pPr>
      <w:r>
        <w:rPr>
          <w:rFonts w:ascii="Times New Roman" w:cs="Times New Roman" w:eastAsia="Times New Roman" w:hAnsi="Times New Roman"/>
          <w:sz w:val="18"/>
          <w:szCs w:val="18"/>
          <w:color w:val="auto"/>
        </w:rPr>
        <w:t>– public information from competitors and other industry information to determine if there were any significant adverse trends in our competitors’ businesses;</w:t>
      </w:r>
    </w:p>
    <w:p>
      <w:pPr>
        <w:ind w:left="660" w:right="480" w:hanging="324"/>
        <w:spacing w:after="0" w:line="250" w:lineRule="auto"/>
        <w:rPr>
          <w:sz w:val="20"/>
          <w:szCs w:val="20"/>
          <w:color w:val="auto"/>
        </w:rPr>
      </w:pPr>
      <w:r>
        <w:rPr>
          <w:rFonts w:ascii="Times New Roman" w:cs="Times New Roman" w:eastAsia="Times New Roman" w:hAnsi="Times New Roman"/>
          <w:sz w:val="18"/>
          <w:szCs w:val="18"/>
          <w:color w:val="auto"/>
        </w:rPr>
        <w:t>– changes in the value of major U.S. stock indices that could suggest declines in overall market stability that could impact the valuation of our reporting unit;</w:t>
      </w:r>
    </w:p>
    <w:p>
      <w:pPr>
        <w:ind w:left="660" w:right="700" w:hanging="324"/>
        <w:spacing w:after="0" w:line="250" w:lineRule="auto"/>
        <w:rPr>
          <w:sz w:val="20"/>
          <w:szCs w:val="20"/>
          <w:color w:val="auto"/>
        </w:rPr>
      </w:pPr>
      <w:r>
        <w:rPr>
          <w:rFonts w:ascii="Times New Roman" w:cs="Times New Roman" w:eastAsia="Times New Roman" w:hAnsi="Times New Roman"/>
          <w:sz w:val="18"/>
          <w:szCs w:val="18"/>
          <w:color w:val="auto"/>
        </w:rPr>
        <w:t>– changes in our market capitalization and overall enterprise valuation to determine if there were any significant decreases that could be an indication that the valuation of our reporting unit had significantly decreased; and</w:t>
      </w:r>
    </w:p>
    <w:p>
      <w:pPr>
        <w:ind w:left="660" w:right="620" w:hanging="324"/>
        <w:spacing w:after="0" w:line="260" w:lineRule="auto"/>
        <w:rPr>
          <w:sz w:val="20"/>
          <w:szCs w:val="20"/>
          <w:color w:val="auto"/>
        </w:rPr>
      </w:pPr>
      <w:r>
        <w:rPr>
          <w:rFonts w:ascii="Times New Roman" w:cs="Times New Roman" w:eastAsia="Times New Roman" w:hAnsi="Times New Roman"/>
          <w:sz w:val="18"/>
          <w:szCs w:val="18"/>
          <w:color w:val="auto"/>
        </w:rPr>
        <w:t>– whether there had been any significant increases to the weighted-average cost of capital rates used, which could materially lower our prior valuation conclusions under a discounted cash flow approach.</w:t>
      </w:r>
    </w:p>
    <w:p>
      <w:pPr>
        <w:spacing w:after="0" w:line="87"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If we elect not to use this option, or we determine that it is more likely than not that the fair value of our reporting unit is less than its net book value, then we perform the quantitative goodwill impairment test. The quantitative goodwill impairment test requires us to compare the fair value of our reporting unit with its carrying amount. If fair value is determined to be less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1" w:name="page42"/>
    <w:bookmarkEnd w:id="41"/>
    <w:p>
      <w:pPr>
        <w:ind w:right="20"/>
        <w:spacing w:after="0" w:line="253" w:lineRule="auto"/>
        <w:rPr>
          <w:sz w:val="20"/>
          <w:szCs w:val="20"/>
          <w:color w:val="auto"/>
        </w:rPr>
      </w:pPr>
      <w:r>
        <w:rPr>
          <w:rFonts w:ascii="Times New Roman" w:cs="Times New Roman" w:eastAsia="Times New Roman" w:hAnsi="Times New Roman"/>
          <w:sz w:val="18"/>
          <w:szCs w:val="18"/>
          <w:color w:val="auto"/>
        </w:rPr>
        <w:t>than carrying value, an impairment loss is recognized for the amount of the carrying value that exceeds the amount of the reporting unit’s fair value, not to exceed the total amount of goodwill allocated to the reporting unit. Additionally, we consider income tax effects from any tax deductible goodwill on the carrying amount of our reporting unit when measuring the goodwill impairment loss, if applicable. We determine the fair value of our reporting unit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 to create valuation multiples that are applied to the operating performance of the reporting unit being tested, in order to obtain the respective fair value. In order to assess the reasonableness of the calculated reporting unit fair value, we reconcile the fair value of our reporting unit determined, as described above, to our total company market capitalization, allowing for a reasonable control premium.</w:t>
      </w:r>
    </w:p>
    <w:p>
      <w:pPr>
        <w:spacing w:after="0" w:line="140"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During fiscal 2025, we used a combination of the quantitative and qualitative methods of assessing goodwill. During fiscal 2024, we used the qualitative method of assessing goodwill. In all periods presented, we concluded the reporting unit fair values exceeded their carrying amounts as of the assessment dates and no risk of impairment existed.</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33" w:lineRule="exact"/>
        <w:rPr>
          <w:sz w:val="20"/>
          <w:szCs w:val="20"/>
          <w:color w:val="auto"/>
        </w:rPr>
      </w:pPr>
    </w:p>
    <w:p>
      <w:pPr>
        <w:ind w:right="80" w:firstLine="445"/>
        <w:spacing w:after="0" w:line="271" w:lineRule="auto"/>
        <w:rPr>
          <w:sz w:val="20"/>
          <w:szCs w:val="20"/>
          <w:color w:val="auto"/>
        </w:rPr>
      </w:pPr>
      <w:r>
        <w:rPr>
          <w:rFonts w:ascii="Times New Roman" w:cs="Times New Roman" w:eastAsia="Times New Roman" w:hAnsi="Times New Roman"/>
          <w:sz w:val="17"/>
          <w:szCs w:val="17"/>
          <w:color w:val="auto"/>
        </w:rPr>
        <w:t>We make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We assess the likelihood of the realization of deferred tax assets and record a corresponding valuation allowance as necessary if we determine those deferred tax assets may not be realized due to the uncertainty of the timing and amount to be realized of certain state and international tax credit carryovers. In reaching our conclusion, we evaluate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which may result in an increase or decrease to our income tax provision in future periods.</w:t>
      </w:r>
    </w:p>
    <w:p>
      <w:pPr>
        <w:spacing w:after="0" w:line="79"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color w:val="auto"/>
        </w:rPr>
        <w:t>We account for uncertain tax positions by first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position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classify interest and penalties related to uncertain tax positions within the provision for income taxes line of the Consolidated Statements of Income. We reevaluate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result in the recognition of an increase or decrease to our income tax provision, which could materially impact our consolidated financial position and results of operations.</w:t>
      </w:r>
    </w:p>
    <w:p>
      <w:pPr>
        <w:spacing w:after="0" w:line="113"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income tax liabilities.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91"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contained in Part II, Item 8 of this Annual Report on Form 10-K for further discussion.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2" w:name="page43"/>
    <w:bookmarkEnd w:id="4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Exposure</w:t>
      </w:r>
    </w:p>
    <w:p>
      <w:pPr>
        <w:spacing w:after="0" w:line="146"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Our interest income and expense are sensitive to changes in the general level of interest rates. In this regard, changes in interest rates affect the interest earned or paid on our marketable securities and debt, as well as the fair value of our investments and debt.</w:t>
      </w:r>
    </w:p>
    <w:p>
      <w:pPr>
        <w:spacing w:after="0" w:line="6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Based on our floating rate debt outstanding as of November 1, 2025 and November 2, 2024, inclusive of our commercial paper notes and interest rate swap outstanding, as applicable, our annual interest expense would change by approximately $14.5 million and $15.5 million, respectively, for each 100-basis point increase in interest rates.</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Based on our cash and marketable securities outstanding as of November 1, 2025 and November 2, 2024, our annual interest income would change by approximately $36.5 million and $19.9 million, respectively, for each 100-basis point increase in interest rates.</w:t>
      </w:r>
    </w:p>
    <w:p>
      <w:pPr>
        <w:spacing w:after="0" w:line="8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To provide a meaningful assessment of the interest rate risk associated with our investment portfolio, we performed a sensitivity analysis to determine the impact a change in interest rates would have on the value of our investment portfolio assuming an immediate 100-basis point parallel shift in the yield curve. Based on investment positions as of November 1, 2025 and November 2, 2024, a hypothetical 100-basis point increase in interest rates across all maturities would not materially impact the fair market value of the portfolio in either period. Any losses would only be realized if we sold the investments prior to maturity.</w:t>
      </w:r>
    </w:p>
    <w:p>
      <w:pPr>
        <w:spacing w:after="0" w:line="8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As of November 1, 2025 we had $1.0 billion notional of fixed for floating interest rate swaps outstanding, with the swap payable having a fair value of $12.6 million. A hypothetical 100-basis point increase in interest rates would increase the swap payable by approximately $45.9 million with a corresponding adjustment to the carrying value of the related debt.</w:t>
      </w:r>
    </w:p>
    <w:p>
      <w:pPr>
        <w:spacing w:after="0" w:line="8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November 1, 2025, we had $8.2 billion in principal amount of senior unsecured notes outstanding, with a fair value of $7.5 billion. We also had $446.6 million of commercial paper notes outstanding. As commercial paper notes issuances are at then-current rates and with very short maturities, the carrying value will approximate the fair value. The fair value of our notes is subject to interest rate risk, market risk and other factors. Generally, the fair value of our notes will increase as interest rates fall and decrease as interest rates rise. The fair values of our notes as of November 1, 2025 and November 2, 2024, assuming a hypothetical 100 basis point increase in market interest rates,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Fair Value given an</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Fair Value given 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increase in interest</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increase in interest</w:t>
            </w:r>
          </w:p>
        </w:tc>
        <w:tc>
          <w:tcPr>
            <w:tcW w:w="0" w:type="dxa"/>
            <w:vAlign w:val="bottom"/>
          </w:tcPr>
          <w:p>
            <w:pPr>
              <w:spacing w:after="0"/>
              <w:rPr>
                <w:sz w:val="1"/>
                <w:szCs w:val="1"/>
                <w:color w:val="auto"/>
              </w:rPr>
            </w:pPr>
          </w:p>
        </w:tc>
      </w:tr>
      <w:tr>
        <w:trPr>
          <w:trHeight w:val="160"/>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3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rates of 100 basis</w:t>
            </w:r>
          </w:p>
        </w:tc>
        <w:tc>
          <w:tcPr>
            <w:tcW w:w="13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3"/>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rates of 100 basis</w:t>
            </w:r>
          </w:p>
        </w:tc>
        <w:tc>
          <w:tcPr>
            <w:tcW w:w="0" w:type="dxa"/>
            <w:vAlign w:val="bottom"/>
          </w:tcPr>
          <w:p>
            <w:pPr>
              <w:spacing w:after="0"/>
              <w:rPr>
                <w:sz w:val="1"/>
                <w:szCs w:val="1"/>
                <w:color w:val="auto"/>
              </w:rPr>
            </w:pPr>
          </w:p>
        </w:tc>
      </w:tr>
      <w:tr>
        <w:trPr>
          <w:trHeight w:val="196"/>
        </w:trPr>
        <w:tc>
          <w:tcPr>
            <w:tcW w:w="3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0" w:type="dxa"/>
            <w:vAlign w:val="bottom"/>
          </w:tcPr>
          <w:p>
            <w:pPr>
              <w:spacing w:after="0"/>
              <w:rPr>
                <w:sz w:val="1"/>
                <w:szCs w:val="1"/>
                <w:color w:val="auto"/>
              </w:rPr>
            </w:pPr>
          </w:p>
        </w:tc>
      </w:tr>
      <w:tr>
        <w:trPr>
          <w:trHeight w:val="229"/>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 due June 2028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 due June 2030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Foreign Currency Exposure</w:t>
      </w:r>
    </w:p>
    <w:p>
      <w:pPr>
        <w:spacing w:after="0" w:line="144"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 xml:space="preserve">As more fully described in Note 2i, </w:t>
      </w:r>
      <w:r>
        <w:rPr>
          <w:rFonts w:ascii="Times New Roman" w:cs="Times New Roman" w:eastAsia="Times New Roman" w:hAnsi="Times New Roman"/>
          <w:sz w:val="18"/>
          <w:szCs w:val="18"/>
          <w:i w:val="1"/>
          <w:iCs w:val="1"/>
          <w:color w:val="auto"/>
        </w:rPr>
        <w:t>Derivative and Hedging Agreements</w:t>
      </w:r>
      <w:r>
        <w:rPr>
          <w:rFonts w:ascii="Times New Roman" w:cs="Times New Roman" w:eastAsia="Times New Roman" w:hAnsi="Times New Roman"/>
          <w:sz w:val="18"/>
          <w:szCs w:val="18"/>
          <w:color w:val="auto"/>
        </w:rPr>
        <w:t>, of the Notes to Consolidated Financial Statements contained in Part II,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the net unhedged foreign currency exposures existing at November 1, 2025 and November 2, 2024, an immediate 10% unfavorable movement in foreign currency exchange rates would result in approximately $89.6 million of losses and $32.2 million of losses, respectively, in changes in earnings or cash flows over the course of the year.</w:t>
      </w:r>
    </w:p>
    <w:p>
      <w:pPr>
        <w:spacing w:after="0" w:line="90"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November 1, 2025,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94" w:lineRule="exact"/>
        <w:rPr>
          <w:sz w:val="20"/>
          <w:szCs w:val="20"/>
          <w:color w:val="auto"/>
        </w:rPr>
      </w:pPr>
    </w:p>
    <w:p>
      <w:pPr>
        <w:ind w:right="20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illustrates the effect that an immediate 10% unfavorable or favorable movement in foreign currency exchange rates, relative to the U.S. dollar, would have on the fair value of our forward exchange contracts as of November 1, 2025 and November 2, 2024:</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40" w:type="dxa"/>
            <w:vAlign w:val="bottom"/>
          </w:tcPr>
          <w:p>
            <w:pPr>
              <w:spacing w:after="0"/>
              <w:rPr>
                <w:sz w:val="16"/>
                <w:szCs w:val="16"/>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forward exchange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r>
      <w:tr>
        <w:trPr>
          <w:trHeight w:val="184"/>
        </w:trPr>
        <w:tc>
          <w:tcPr>
            <w:tcW w:w="8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Fair value of forward exchange contracts after a 10% unfavorable movement in foreign currency exchange</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 asset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w:t>
            </w:r>
          </w:p>
        </w:tc>
      </w:tr>
      <w:tr>
        <w:trPr>
          <w:trHeight w:val="184"/>
        </w:trPr>
        <w:tc>
          <w:tcPr>
            <w:tcW w:w="8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Fair value of forward exchange contracts after a 10% favorable movement in foreign currency exchange rates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w:t>
            </w:r>
          </w:p>
        </w:tc>
      </w:tr>
    </w:tbl>
    <w:p>
      <w:pPr>
        <w:spacing w:after="0" w:line="198"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44" w:name="page45"/>
    <w:bookmarkEnd w:id="4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Analog Devices,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Analog Devices, Inc. (the Company) as of November 1, 2025 and November 2, 2024, the related consolidated statements of income, comprehensive income, shareholders’ equity and cash flows for each of the three years in the period ended November 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1, 2025 and November 2, 2024, and the results of its operations and its cash flows for each of the three years in the period ended November 1, 2025, in conformity with U.S. generally accepted accounting principles.</w:t>
      </w:r>
    </w:p>
    <w:p>
      <w:pPr>
        <w:spacing w:after="0" w:line="203"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November 1, 2025, based on criteria established in Internal Control</w:t>
      </w:r>
      <w:r>
        <w:rPr>
          <w:rFonts w:ascii="Arial" w:cs="Arial" w:eastAsia="Arial" w:hAnsi="Arial"/>
          <w:sz w:val="18"/>
          <w:szCs w:val="18"/>
          <w:color w:val="auto"/>
        </w:rPr>
        <w:t>—</w:t>
      </w:r>
      <w:r>
        <w:rPr>
          <w:rFonts w:ascii="Times New Roman" w:cs="Times New Roman" w:eastAsia="Times New Roman" w:hAnsi="Times New Roman"/>
          <w:sz w:val="18"/>
          <w:szCs w:val="18"/>
          <w:color w:val="auto"/>
        </w:rPr>
        <w:t>Integrated Framework issued by the Committee of Sponsoring Organizations of the Treadway Commission (2013 framework), and our report dated November 25, 2025 expressed an unqualified opinion thereon.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Measuring Price Protection Credits</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described in Note 2n to the consolidated financial statements, the Company’s sales contracts provide certain distributors with credits for price protection and rights of return, which results in variable consideration. During 2025, sales to distributors were $6.1 billion net of expected price protection credits and rights of return for which the liability balance as of November 1, 2025 was $785 million, of which the vast majority relates to the price protection credits.</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Auditing the Company’s measurement for price protection credits under distributor contracts involved especially challenging judgment because the calculation involves subjective management assumptions about estimates of expected price protection credits. For example, estimated price protection credits included in the transaction price reflects management’s evaluation of contractual terms, historical experience and assumptions about future economic conditions. Changes in those assumptions can have a material effect on the amount recognized for price protection credits.</w:t>
      </w:r>
    </w:p>
    <w:p>
      <w:pPr>
        <w:spacing w:after="0" w:line="200" w:lineRule="exact"/>
        <w:rPr>
          <w:sz w:val="20"/>
          <w:szCs w:val="20"/>
          <w:color w:val="auto"/>
        </w:rPr>
      </w:pPr>
    </w:p>
    <w:p>
      <w:pPr>
        <w:sectPr>
          <w:pgSz w:w="11900" w:h="16838" w:orient="portrait"/>
          <w:cols w:equalWidth="0" w:num="2">
            <w:col w:w="1320" w:space="280"/>
            <w:col w:w="9640"/>
          </w:cols>
          <w:pgMar w:left="320" w:top="887" w:right="3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5" w:name="page46"/>
    <w:bookmarkEnd w:id="45"/>
    <w:p>
      <w:pPr>
        <w:ind w:left="2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calculate the price protection credits. For example, we tested controls over the appropriateness of assumptions management used as well as controls over the completeness and accuracy of the data underlying estimates of expected price protection credits.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inspecting contractual terms in distributor agreements and testing the underlying data used in management’s calculation for completeness and accuracy as well as evaluating the significant assumptions used in the estimation of the price protection credits. We evaluated the Company’s methods and assumptions used in the estimates, which included comparing the assumptions to historical trends. We inspected and tested the results of the Company’s retrospective review analysis of actual price protection credits claimed by distributors, evaluated the estimates made based on historical experience and performed sensitivity analyses of the Company’s significant assumptions to assess the impact on the price protection credits. We also evaluated whether the Company appropriately considered new information that could significantly change the estimated future price protection credits.</w:t>
      </w:r>
    </w:p>
    <w:p>
      <w:pPr>
        <w:spacing w:after="0" w:line="200" w:lineRule="exact"/>
        <w:rPr>
          <w:sz w:val="20"/>
          <w:szCs w:val="20"/>
          <w:color w:val="auto"/>
        </w:rPr>
      </w:pPr>
    </w:p>
    <w:p>
      <w:pPr>
        <w:sectPr>
          <w:pgSz w:w="11900" w:h="16838" w:orient="portrait"/>
          <w:cols w:equalWidth="0" w:num="2">
            <w:col w:w="1420" w:space="180"/>
            <w:col w:w="9560"/>
          </w:cols>
          <w:pgMar w:left="320" w:top="1037" w:right="419"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7" w:right="419" w:bottom="1440" w:gutter="0" w:footer="0" w:header="0"/>
          <w:type w:val="continuous"/>
        </w:sectPr>
      </w:pPr>
    </w:p>
    <w:bookmarkStart w:id="46" w:name="page47"/>
    <w:bookmarkEnd w:id="4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3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November 1, 2025, November 2, 2024 and October 28, 2023</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11,019,707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9,427,157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12,305,539</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4,246,229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4,045,814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4,428,321</w:t>
            </w:r>
          </w:p>
        </w:tc>
      </w:tr>
      <w:tr>
        <w:trPr>
          <w:trHeight w:val="21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6,773,478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5,381,343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7,877,218</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1,766,001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1,487,863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1,660,194</w:t>
            </w: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marketing, general and administrative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1,255,339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1,273,584</w:t>
            </w: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959,618</w:t>
            </w:r>
          </w:p>
        </w:tc>
      </w:tr>
      <w:tr>
        <w:trPr>
          <w:trHeight w:val="21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Special charges, net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160,710</w:t>
            </w:r>
          </w:p>
        </w:tc>
      </w:tr>
      <w:tr>
        <w:trPr>
          <w:trHeight w:val="212"/>
        </w:trPr>
        <w:tc>
          <w:tcPr>
            <w:tcW w:w="6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3,840,982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3,348,545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4,054,106</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2,932,496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2,032,798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3,823,112</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264,641</w:t>
            </w:r>
          </w:p>
        </w:tc>
      </w:tr>
      <w:tr>
        <w:trPr>
          <w:trHeight w:val="219"/>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(41,287)</w:t>
            </w:r>
          </w:p>
        </w:tc>
      </w:tr>
      <w:tr>
        <w:trPr>
          <w:trHeight w:val="213"/>
        </w:trPr>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(8,245)</w:t>
            </w:r>
          </w:p>
        </w:tc>
      </w:tr>
      <w:tr>
        <w:trPr>
          <w:trHeight w:val="212"/>
        </w:trPr>
        <w:tc>
          <w:tcPr>
            <w:tcW w:w="6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nonoperating expense (income)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220,384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215,109</w:t>
            </w:r>
          </w:p>
        </w:tc>
      </w:tr>
      <w:tr>
        <w:trPr>
          <w:trHeight w:val="20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3,608,003</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444,770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142,067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293,424</w:t>
            </w:r>
          </w:p>
        </w:tc>
      </w:tr>
      <w:tr>
        <w:trPr>
          <w:trHeight w:val="237"/>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2,267,342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3,314,579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used to compute earnings per common share — basic</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496,166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502,232</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earnings per common share — diluted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498,697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505,959</w:t>
            </w:r>
          </w:p>
        </w:tc>
      </w:tr>
      <w:tr>
        <w:trPr>
          <w:trHeight w:val="259"/>
        </w:trPr>
        <w:tc>
          <w:tcPr>
            <w:tcW w:w="6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7" w:name="page48"/>
    <w:bookmarkEnd w:id="47"/>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November 1, 2025, November 2, 2024 and October 28,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2,267,342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3,314,579</w:t>
            </w:r>
          </w:p>
        </w:tc>
        <w:tc>
          <w:tcPr>
            <w:tcW w:w="0" w:type="dxa"/>
            <w:vAlign w:val="bottom"/>
          </w:tcPr>
          <w:p>
            <w:pPr>
              <w:spacing w:after="0"/>
              <w:rPr>
                <w:sz w:val="1"/>
                <w:szCs w:val="1"/>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unrecognized gains/losses on derivative instruments designated as cash flow hedges: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derivatives (net of tax of $6,747 in 2025, $5,948 in 2024 and $486 in 2023)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0" w:type="dxa"/>
            <w:vAlign w:val="bottom"/>
          </w:tcPr>
          <w:p>
            <w:pPr>
              <w:spacing w:after="0"/>
              <w:rPr>
                <w:sz w:val="1"/>
                <w:szCs w:val="1"/>
                <w:color w:val="auto"/>
              </w:rPr>
            </w:pPr>
          </w:p>
        </w:tc>
      </w:tr>
      <w:tr>
        <w:trPr>
          <w:trHeight w:val="165"/>
        </w:trPr>
        <w:tc>
          <w:tcPr>
            <w:tcW w:w="6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Adjustment for realized loss reclassified into earnings (net of tax of $3,228 in 2025, $2,140 in 2024</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$3,311 in 2023)</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change in derivative instruments designated as cash flow hedges, net of tax</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17,570</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accumulated other comprehensive loss —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 in actuarial (loss)/gain (net of tax of $1,828 in 2025, $1,198 in 2024 and $312 in 2023)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0" w:type="dxa"/>
            <w:vAlign w:val="bottom"/>
          </w:tcPr>
          <w:p>
            <w:pPr>
              <w:spacing w:after="0"/>
              <w:rPr>
                <w:sz w:val="1"/>
                <w:szCs w:val="1"/>
                <w:color w:val="auto"/>
              </w:rPr>
            </w:pPr>
          </w:p>
        </w:tc>
      </w:tr>
      <w:tr>
        <w:trPr>
          <w:trHeight w:val="212"/>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2,298,016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1,638,319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3,324,429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ind w:left="45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1, 2025 and November 2,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2,499,406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1,991,342</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1,152,915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371,822</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less allowances of $5,441 ($7,160 in 2024)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1,436,075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1,336,331</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1,656,323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1,447,687</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337,472</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7,108,061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5,484,654</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3,315,696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3,415,550</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26,945,180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26,909,775</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8,013,815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9,585,464</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1,867,102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2,083,752</w:t>
            </w:r>
          </w:p>
        </w:tc>
      </w:tr>
      <w:tr>
        <w:trPr>
          <w:trHeight w:val="19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742,858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749,082</w:t>
            </w:r>
          </w:p>
        </w:tc>
      </w:tr>
      <w:tr>
        <w:trPr>
          <w:trHeight w:val="19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40,884,651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42,743,623</w:t>
            </w:r>
          </w:p>
        </w:tc>
      </w:tr>
      <w:tr>
        <w:trPr>
          <w:trHeight w:val="203"/>
        </w:trPr>
        <w:tc>
          <w:tcPr>
            <w:tcW w:w="8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47,992,712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48,228,277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487,457</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447,379</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current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399,636</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paper notes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547,738</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1,645,032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1,106,070</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3,245,801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2,988,280</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8,145,066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6,634,313</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2,163,281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2,624,392</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260,486</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544,489</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10,931,156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10,063,680</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$1.00 par value, 471,934 shares authorized, none outstanding</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$0.16 2/3 par value, 1,200,000,000 shares authorized, 489,654,097 shares outstanding (496,296,854 on November 2, 2024)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82,718</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23,349,185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25,082,243</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10,539,541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10,196,612</w:t>
            </w:r>
          </w:p>
        </w:tc>
      </w:tr>
      <w:tr>
        <w:trPr>
          <w:trHeight w:val="19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(154,582)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(185,256)</w:t>
            </w:r>
          </w:p>
        </w:tc>
      </w:tr>
      <w:tr>
        <w:trPr>
          <w:trHeight w:val="19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33,815,755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35,176,317</w:t>
            </w:r>
          </w:p>
        </w:tc>
      </w:tr>
      <w:tr>
        <w:trPr>
          <w:trHeight w:val="203"/>
        </w:trPr>
        <w:tc>
          <w:tcPr>
            <w:tcW w:w="8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47,992,712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48,228,277</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84" w:right="359" w:bottom="1440" w:gutter="0" w:footer="0" w:header="0"/>
        </w:sectPr>
      </w:pPr>
    </w:p>
    <w:bookmarkStart w:id="49" w:name="page50"/>
    <w:bookmarkEnd w:id="49"/>
    <w:p>
      <w:pPr>
        <w:ind w:left="454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Years ended November 1, 2025, November 2, 2024 and October 28,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18"/>
                <w:szCs w:val="18"/>
                <w:color w:val="auto"/>
              </w:rPr>
            </w:pPr>
          </w:p>
        </w:tc>
        <w:tc>
          <w:tcPr>
            <w:tcW w:w="23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1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OCTOBER 29,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509,296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27,857,270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8,721,325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(198,152)</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Income — 2023</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and paid - $3.34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(1,679,106)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under stock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(2,961,213)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BALANCE, OCTOBER 28,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25,313,914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10,356,798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(188,302)</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 2024</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and paid - $3.62 per share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(1,795,459)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under stock plans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NOVEMBER 2,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25,082,243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10,196,612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(185,256)</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Net Income — 2025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and paid - $3.89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(1,924,413)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under stock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(2,163,063)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BALANCE, NOVEMBER 1, 2025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489,654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81,611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23,349,185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10,539,541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(154,582)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0" w:name="page51"/>
    <w:bookmarkEnd w:id="50"/>
    <w:p>
      <w:pPr>
        <w:ind w:left="45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November 1, 2025, November 2, 2024 and October 28,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2,267,342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1,635,273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3,314,579</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334,704</w:t>
            </w:r>
          </w:p>
        </w:tc>
      </w:tr>
      <w:tr>
        <w:trPr>
          <w:trHeight w:val="21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1,592,044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1,958,399</w:t>
            </w:r>
          </w:p>
        </w:tc>
      </w:tr>
      <w:tr>
        <w:trPr>
          <w:trHeight w:val="213"/>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299,823</w:t>
            </w:r>
          </w:p>
        </w:tc>
      </w:tr>
      <w:tr>
        <w:trPr>
          <w:trHeight w:val="21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(452,946)</w:t>
            </w:r>
          </w:p>
        </w:tc>
      </w:tr>
      <w:tr>
        <w:trPr>
          <w:trHeight w:val="213"/>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8,665</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330,728</w:t>
            </w:r>
          </w:p>
        </w:tc>
      </w:tr>
      <w:tr>
        <w:trPr>
          <w:trHeight w:val="21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(242,299)</w:t>
            </w:r>
          </w:p>
        </w:tc>
      </w:tr>
      <w:tr>
        <w:trPr>
          <w:trHeight w:val="213"/>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r>
      <w:tr>
        <w:trPr>
          <w:trHeight w:val="21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(499,316)</w:t>
            </w:r>
          </w:p>
        </w:tc>
      </w:tr>
      <w:tr>
        <w:trPr>
          <w:trHeight w:val="213"/>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(263,716)</w:t>
            </w:r>
          </w:p>
        </w:tc>
      </w:tr>
      <w:tr>
        <w:trPr>
          <w:trHeight w:val="219"/>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(25,819)</w:t>
            </w:r>
          </w:p>
        </w:tc>
      </w:tr>
      <w:tr>
        <w:trPr>
          <w:trHeight w:val="213"/>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50,289</w:t>
            </w:r>
          </w:p>
        </w:tc>
      </w:tr>
      <w:tr>
        <w:trPr>
          <w:trHeight w:val="212"/>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adjustments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2,544,860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2,217,256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1,503,055</w:t>
            </w:r>
          </w:p>
        </w:tc>
      </w:tr>
      <w:tr>
        <w:trPr>
          <w:trHeight w:val="207"/>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4,812,202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3,852,529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4,817,634</w:t>
            </w:r>
          </w:p>
        </w:tc>
      </w:tr>
      <w:tr>
        <w:trPr>
          <w:trHeight w:val="145"/>
        </w:trPr>
        <w:tc>
          <w:tcPr>
            <w:tcW w:w="7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short-term available-for-sale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of short-term available-for-sale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to property, plant and equipment,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(1,261,463)</w:t>
            </w: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plant and equipment,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(4,922)</w:t>
            </w:r>
          </w:p>
        </w:tc>
      </w:tr>
      <w:tr>
        <w:trPr>
          <w:trHeight w:val="20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(1,321,521)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(1,266,385)</w:t>
            </w:r>
          </w:p>
        </w:tc>
      </w:tr>
      <w:tr>
        <w:trPr>
          <w:trHeight w:val="145"/>
        </w:trPr>
        <w:tc>
          <w:tcPr>
            <w:tcW w:w="7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1,490,785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1,087,856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Early termination of debt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(65,688)</w:t>
            </w: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repayments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5,287,124</w:t>
            </w: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(9,563,790)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(10,183,925)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(4,739,900)</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(1,679,106)</w:t>
            </w:r>
          </w:p>
        </w:tc>
      </w:tr>
      <w:tr>
        <w:trPr>
          <w:trHeight w:val="213"/>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(2,963,955)</w:t>
            </w:r>
          </w:p>
        </w:tc>
      </w:tr>
      <w:tr>
        <w:trPr>
          <w:trHeight w:val="21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118,608</w:t>
            </w:r>
          </w:p>
        </w:tc>
      </w:tr>
      <w:tr>
        <w:trPr>
          <w:trHeight w:val="213"/>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(20,843)</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(2,982,617)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(1,714,390)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(4,063,760)</w:t>
            </w:r>
          </w:p>
        </w:tc>
      </w:tr>
      <w:tr>
        <w:trPr>
          <w:trHeight w:val="207"/>
        </w:trPr>
        <w:tc>
          <w:tcPr>
            <w:tcW w:w="7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1,033,281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(512,511)</w:t>
            </w: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958,061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1,470,572</w:t>
            </w: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2,499,406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1,991,342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958,061</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51" w:name="page52"/>
    <w:bookmarkEnd w:id="51"/>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November 1, 2025, November 2, 2024 and October 28, 2023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(all tabular amounts in thousands except per share amounts)</w:t>
      </w:r>
    </w:p>
    <w:p>
      <w:pPr>
        <w:spacing w:after="0" w:line="14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4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Analog Devices, Inc. (Analog Devices or the Company) is a global semiconductor leader dedicated to solving its customers’ most complex engineering challenges. Since its inception in 1965, the Company has played a critical role at the intersection of the physical and digital worlds by providing the building blocks to sense, measure, interpret, connect and power. The Company designs, manufactures, tests and markets a broad portfolio of solutions, including integrated circuits (ICs), software and subsystems that leverage high-performance analog, mixed-signal and digital signal processing technologies. The Company’s comprehensive product portfolio, deep domain expertise and advanced manufacturing capabilities extend across high-performance precision and high-speed mixed-signal, power management and processing technologies. The Intelligent Edge is characterized by ubiquitous sensing, hyper-scale and edge computing, artificial intelligence (AI) and pervasive connectivity. These technological trends drive new generations of applications that expand the demand for Analog Devices’ high-performance analog, mixed-signal, power and radio frequency ICs. The Company’s focus is largely on the business-to-business end markets of Industrial, Automotive and Communications and related applications, as well as Consumer applications, with the goal of driving sustainable and profitable growth over the long term.</w:t>
      </w:r>
    </w:p>
    <w:p>
      <w:pPr>
        <w:spacing w:after="0" w:line="136" w:lineRule="exact"/>
        <w:rPr>
          <w:sz w:val="20"/>
          <w:szCs w:val="20"/>
          <w:color w:val="auto"/>
        </w:rPr>
      </w:pPr>
    </w:p>
    <w:p>
      <w:pPr>
        <w:ind w:left="340" w:right="7640" w:hanging="332"/>
        <w:spacing w:after="0" w:line="393" w:lineRule="auto"/>
        <w:tabs>
          <w:tab w:leader="none" w:pos="19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a. Principles of Consolidation</w:t>
      </w:r>
    </w:p>
    <w:p>
      <w:pPr>
        <w:spacing w:after="0" w:line="1"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November 1, 2025 (fiscal 2025). Such reclassified amounts are immaterial.</w:t>
      </w:r>
    </w:p>
    <w:p>
      <w:pPr>
        <w:spacing w:after="0" w:line="9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Company’s fiscal year is the 52-week or 53-week period ending on the Saturday closest to the last day in October. Fiscal 2025 was a 52-week fiscal period, while the fiscal year ended November 2, 2024 (fiscal 2024) was a 53-week fiscal period and the fiscal year ended October 28, 2023 (fiscal 2023) was a 52-week fiscal period. The additional week in fiscal 2024 was included in the first quarter ended February 3, 2024. Therefore, fiscal 2025 and fiscal 2023 include one less week of operations as compared to fiscal 2024.</w:t>
      </w:r>
    </w:p>
    <w:p>
      <w:pPr>
        <w:spacing w:after="0" w:line="12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3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Cash and cash equivalents are highly liquid investments with insignificant interest rate risk and maturities of ninety days or less at the time of acquisition. Short-term investments have original maturities of greater than ninety days at the time of acquisition. Cash, cash equivalents and short-term investments consist primarily of government and institutional money market funds, corporate obligations such as commercial paper and floating rate notes, bonds, demand deposit accounts, money market deposit accounts and bank time deposits.</w:t>
      </w:r>
    </w:p>
    <w:p>
      <w:pPr>
        <w:spacing w:after="0" w:line="85" w:lineRule="exact"/>
        <w:rPr>
          <w:sz w:val="20"/>
          <w:szCs w:val="20"/>
          <w:color w:val="auto"/>
        </w:rPr>
      </w:pPr>
    </w:p>
    <w:p>
      <w:pPr>
        <w:ind w:right="20" w:firstLine="445"/>
        <w:spacing w:after="0" w:line="277" w:lineRule="auto"/>
        <w:rPr>
          <w:sz w:val="20"/>
          <w:szCs w:val="20"/>
          <w:color w:val="auto"/>
        </w:rPr>
      </w:pPr>
      <w:r>
        <w:rPr>
          <w:rFonts w:ascii="Times New Roman" w:cs="Times New Roman" w:eastAsia="Times New Roman" w:hAnsi="Times New Roman"/>
          <w:sz w:val="17"/>
          <w:szCs w:val="17"/>
          <w:color w:val="auto"/>
        </w:rPr>
        <w:t>The Company classifies its investments in readily marketable debt and equity securities as “held-to-maturity,” “available-for-sale” or “trading” at the time of purchase. The Company’s readily marketable cash equivalents and short-term investments are classified as available-for-sale. Available-for-sale securities are carried at fair value with unrealized gains and losses, net of related tax, reported in accumulated other comprehensive (loss) income (AOCI). Adjustments to the fair value of investments classified as available-for-sale are recorded as an increase or decrease in AOCI, unless the adjustment is considered an other-than-temporary impairment, in which case the adjustment is recorded as a charge in the Consolidated Statements of Income.</w:t>
      </w:r>
    </w:p>
    <w:p>
      <w:pPr>
        <w:spacing w:after="0" w:line="8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reviews available-for-sale securities and evaluates impairment whenever the fair value of the security is less than its amortized cost. If the Company intends to sell the security or if it is more likely than not that the Company will be required to sell the security before recovery of its amortized cost basis, the Company will write down the security to its fair value at the reporting date, recognizing the difference as a charge in the Consolidated Statements of Income. If the impairment is partially or wholly due to a credit loss, the Company will recognize the portion of the fair value adjustment due to credit loss in the Consolidated Statements of Income.</w:t>
      </w:r>
    </w:p>
    <w:p>
      <w:pPr>
        <w:spacing w:after="0" w:line="89" w:lineRule="exact"/>
        <w:rPr>
          <w:sz w:val="20"/>
          <w:szCs w:val="20"/>
          <w:color w:val="auto"/>
        </w:rPr>
      </w:pPr>
    </w:p>
    <w:p>
      <w:pPr>
        <w:ind w:right="360" w:firstLine="445"/>
        <w:spacing w:after="0" w:line="312" w:lineRule="auto"/>
        <w:rPr>
          <w:sz w:val="20"/>
          <w:szCs w:val="20"/>
          <w:color w:val="auto"/>
        </w:rPr>
      </w:pPr>
      <w:r>
        <w:rPr>
          <w:rFonts w:ascii="Times New Roman" w:cs="Times New Roman" w:eastAsia="Times New Roman" w:hAnsi="Times New Roman"/>
          <w:sz w:val="17"/>
          <w:szCs w:val="17"/>
          <w:color w:val="auto"/>
        </w:rPr>
        <w:t>Realized gains or losses on investments are determined based on the specific identification basis and are recognized in nonoperating (income) expense. There were no material net realized gains or losses from the sales of available-for-sale investments during any of the fiscal periods presented.</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40" w:firstLine="405"/>
        <w:spacing w:after="0" w:line="270" w:lineRule="auto"/>
        <w:rPr>
          <w:sz w:val="20"/>
          <w:szCs w:val="20"/>
          <w:color w:val="auto"/>
        </w:rPr>
      </w:pPr>
      <w:r>
        <w:rPr>
          <w:rFonts w:ascii="Times New Roman" w:cs="Times New Roman" w:eastAsia="Times New Roman" w:hAnsi="Times New Roman"/>
          <w:sz w:val="18"/>
          <w:szCs w:val="18"/>
          <w:color w:val="auto"/>
        </w:rPr>
        <w:t>The components of the Company’s cash and cash equivalents and short-term investments as of November 1, 2025 and November 2, 2024 were as follows:</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7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1,360,969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1,398,782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592,560</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2,499,406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1,991,342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1,152,915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371,822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371,822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2j,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of the Notes to Consolidated Financial Statements for additional information on the Company’s cash equivalents and short-term investments.</w:t>
      </w:r>
    </w:p>
    <w:p>
      <w:pPr>
        <w:spacing w:after="0" w:line="62"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Cash Flow Statement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fiscal year for: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987,225</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206,415</w:t>
            </w:r>
          </w:p>
        </w:tc>
      </w:tr>
    </w:tbl>
    <w:p>
      <w:pPr>
        <w:spacing w:after="0" w:line="19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3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method) or net realizable value.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net realizable value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net realizable value.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November 1, 2025 and November 2,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8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8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1,656,323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86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details of the Company’s property, plant and equipment (PP&amp;E), net of accumulated depreciation: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 (1)</w:t>
            </w:r>
          </w:p>
        </w:tc>
      </w:tr>
      <w:tr>
        <w:trPr>
          <w:trHeight w:val="2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2,077,384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4,441,293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477,884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191,427</w:t>
            </w:r>
          </w:p>
        </w:tc>
      </w:tr>
      <w:tr>
        <w:trPr>
          <w:trHeight w:val="223"/>
        </w:trPr>
        <w:tc>
          <w:tcPr>
            <w:tcW w:w="8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7,187,988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4,089,894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3,772,438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3,415,550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Certain amounts previously reported between land and buildings and machinery and equipment have been reclassified to conform to the current year presentation.</w:t>
      </w:r>
    </w:p>
    <w:p>
      <w:pPr>
        <w:spacing w:after="0" w:line="13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PP&amp;E is recorded at cost, less allowances for depreciation and amortization.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50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Up to 30 years</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550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4-10 years</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550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2-10 years</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5-20 years</w:t>
            </w:r>
          </w:p>
        </w:tc>
      </w:tr>
    </w:tbl>
    <w:p>
      <w:pPr>
        <w:spacing w:after="0" w:line="193"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Company reviews PP&amp;E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w:t>
      </w:r>
    </w:p>
    <w:p>
      <w:pPr>
        <w:spacing w:after="0" w:line="13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PP&amp;E is identified as held for sale when it meets the held for sale criteria of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(ASC 360). Depreciation is not recorded for assets that are classified as held for sale. When an asset meets the held for sale criteria, the lower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carrying value or fair value less costs to sell is reclassified from the relevant PP&amp;E line items and into current assets on the balance sheet, where it remains until it is either sold or it no longer meets the held for sale criteria. If the assets held for sale were carried at fair value, it would be considered a Level 3 fair value measurement, and determined based on the use of appraisals and input from market participants.</w:t>
      </w:r>
    </w:p>
    <w:p>
      <w:pPr>
        <w:spacing w:after="0" w:line="131"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2025, the Company determined its facility located in Penang, Malaysia met the held for sale criteria specified in ASC 360. No write-downs to fair value were required upon this determination as the fair value of the asset group, less costs to sell, was greater than the carrying value. As of November 1, 2025, prepaid expenses and other current assets includes the following assets held for sale: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60,890</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25,756</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equipment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0" w:type="dxa"/>
            <w:vAlign w:val="bottom"/>
          </w:tcPr>
          <w:p>
            <w:pPr>
              <w:spacing w:after="0"/>
              <w:rPr>
                <w:sz w:val="1"/>
                <w:szCs w:val="1"/>
                <w:color w:val="auto"/>
              </w:rPr>
            </w:pPr>
          </w:p>
        </w:tc>
      </w:tr>
      <w:tr>
        <w:trPr>
          <w:trHeight w:val="230"/>
        </w:trPr>
        <w:tc>
          <w:tcPr>
            <w:tcW w:w="9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property, plant and equipment reclassified to Prepaid expenses and other 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9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The Company evaluates goodwill for impairment annually, as well as whenever events or changes in circumstances suggest that the carrying value of goodwill may not be recoverable, utilizing either the qualitative or quantitative method. The Company has determined that its business operates as a single operating segment and has a single reporting unit for the purpose of goodwill impairment testing. The Company tests goodwill on an annual basis on the first day of the fourth quarter (August 3, 2025 in fiscal 2025) or more frequently if indicators of impairment exist or the Company reorganizes its business.</w:t>
      </w:r>
    </w:p>
    <w:p>
      <w:pPr>
        <w:spacing w:after="0" w:line="110"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Company has the option to first assess qualitative factors to determine whether it is more likely than not that the fair value of a reporting unit is less than its net book value. When using the qualitative method, the Company considers several factors, including the following:</w:t>
      </w:r>
    </w:p>
    <w:p>
      <w:pPr>
        <w:spacing w:after="0" w:line="67" w:lineRule="exact"/>
        <w:rPr>
          <w:sz w:val="20"/>
          <w:szCs w:val="20"/>
          <w:color w:val="auto"/>
        </w:rPr>
      </w:pPr>
    </w:p>
    <w:p>
      <w:pPr>
        <w:ind w:left="660" w:right="20" w:hanging="324"/>
        <w:spacing w:after="0" w:line="257" w:lineRule="auto"/>
        <w:rPr>
          <w:sz w:val="20"/>
          <w:szCs w:val="20"/>
          <w:color w:val="auto"/>
        </w:rPr>
      </w:pPr>
      <w:r>
        <w:rPr>
          <w:rFonts w:ascii="Times New Roman" w:cs="Times New Roman" w:eastAsia="Times New Roman" w:hAnsi="Times New Roman"/>
          <w:sz w:val="18"/>
          <w:szCs w:val="18"/>
          <w:color w:val="auto"/>
        </w:rPr>
        <w:t>– the amount by which the fair value of a reporting unit exceeded its carrying value as of the date of the most recent quantitative impairment analysis, which indicated there would need to be substantial negative developments in the markets in which the reporting unit operates in order for there to be potential impairment;</w:t>
      </w:r>
    </w:p>
    <w:p>
      <w:pPr>
        <w:spacing w:after="0" w:line="1" w:lineRule="exact"/>
        <w:rPr>
          <w:sz w:val="20"/>
          <w:szCs w:val="20"/>
          <w:color w:val="auto"/>
        </w:rPr>
      </w:pPr>
    </w:p>
    <w:p>
      <w:pPr>
        <w:ind w:left="660" w:right="80" w:hanging="324"/>
        <w:spacing w:after="0" w:line="250" w:lineRule="auto"/>
        <w:rPr>
          <w:sz w:val="20"/>
          <w:szCs w:val="20"/>
          <w:color w:val="auto"/>
        </w:rPr>
      </w:pPr>
      <w:r>
        <w:rPr>
          <w:rFonts w:ascii="Times New Roman" w:cs="Times New Roman" w:eastAsia="Times New Roman" w:hAnsi="Times New Roman"/>
          <w:sz w:val="18"/>
          <w:szCs w:val="18"/>
          <w:color w:val="auto"/>
        </w:rPr>
        <w:t>– the carrying value of the reporting unit as of the assessment date compared to the previously calculated fair value as of the date of the most recent quantitative impairment analysis;</w:t>
      </w:r>
    </w:p>
    <w:p>
      <w:pPr>
        <w:ind w:left="340"/>
        <w:spacing w:after="0"/>
        <w:rPr>
          <w:sz w:val="20"/>
          <w:szCs w:val="20"/>
          <w:color w:val="auto"/>
        </w:rPr>
      </w:pPr>
      <w:r>
        <w:rPr>
          <w:rFonts w:ascii="Times New Roman" w:cs="Times New Roman" w:eastAsia="Times New Roman" w:hAnsi="Times New Roman"/>
          <w:sz w:val="18"/>
          <w:szCs w:val="18"/>
          <w:color w:val="auto"/>
        </w:rPr>
        <w:t>–   the Company’s current forecasts as compared to the forecasts included in the most recent quantitative impairment analysis;</w:t>
      </w:r>
    </w:p>
    <w:p>
      <w:pPr>
        <w:spacing w:after="0" w:line="9" w:lineRule="exact"/>
        <w:rPr>
          <w:sz w:val="20"/>
          <w:szCs w:val="20"/>
          <w:color w:val="auto"/>
        </w:rPr>
      </w:pPr>
    </w:p>
    <w:p>
      <w:pPr>
        <w:ind w:left="660" w:right="280" w:hanging="324"/>
        <w:spacing w:after="0" w:line="250" w:lineRule="auto"/>
        <w:rPr>
          <w:sz w:val="20"/>
          <w:szCs w:val="20"/>
          <w:color w:val="auto"/>
        </w:rPr>
      </w:pPr>
      <w:r>
        <w:rPr>
          <w:rFonts w:ascii="Times New Roman" w:cs="Times New Roman" w:eastAsia="Times New Roman" w:hAnsi="Times New Roman"/>
          <w:sz w:val="18"/>
          <w:szCs w:val="18"/>
          <w:color w:val="auto"/>
        </w:rPr>
        <w:t>– public information from competitors and other industry information to determine if there were any significant adverse trends in the Company’s competitors’ businesses;</w:t>
      </w:r>
    </w:p>
    <w:p>
      <w:pPr>
        <w:ind w:left="660" w:right="500" w:hanging="324"/>
        <w:spacing w:after="0" w:line="250" w:lineRule="auto"/>
        <w:rPr>
          <w:sz w:val="20"/>
          <w:szCs w:val="20"/>
          <w:color w:val="auto"/>
        </w:rPr>
      </w:pPr>
      <w:r>
        <w:rPr>
          <w:rFonts w:ascii="Times New Roman" w:cs="Times New Roman" w:eastAsia="Times New Roman" w:hAnsi="Times New Roman"/>
          <w:sz w:val="18"/>
          <w:szCs w:val="18"/>
          <w:color w:val="auto"/>
        </w:rPr>
        <w:t>– changes in the value of major U.S. stock indices that could suggest declines in overall market stability that could impact the valuation of the Company’s reporting unit;</w:t>
      </w:r>
    </w:p>
    <w:p>
      <w:pPr>
        <w:ind w:left="660" w:right="80" w:hanging="324"/>
        <w:spacing w:after="0" w:line="250" w:lineRule="auto"/>
        <w:rPr>
          <w:sz w:val="20"/>
          <w:szCs w:val="20"/>
          <w:color w:val="auto"/>
        </w:rPr>
      </w:pPr>
      <w:r>
        <w:rPr>
          <w:rFonts w:ascii="Times New Roman" w:cs="Times New Roman" w:eastAsia="Times New Roman" w:hAnsi="Times New Roman"/>
          <w:sz w:val="18"/>
          <w:szCs w:val="18"/>
          <w:color w:val="auto"/>
        </w:rPr>
        <w:t>– changes in the Company’s market capitalization and overall enterprise valuation to determine if there were any significant decreases that could be an indication that the valuation of its reporting unit had significantly decreased; and</w:t>
      </w:r>
    </w:p>
    <w:p>
      <w:pPr>
        <w:ind w:left="660" w:right="160" w:hanging="324"/>
        <w:spacing w:after="0" w:line="260" w:lineRule="auto"/>
        <w:rPr>
          <w:sz w:val="20"/>
          <w:szCs w:val="20"/>
          <w:color w:val="auto"/>
        </w:rPr>
      </w:pPr>
      <w:r>
        <w:rPr>
          <w:rFonts w:ascii="Times New Roman" w:cs="Times New Roman" w:eastAsia="Times New Roman" w:hAnsi="Times New Roman"/>
          <w:sz w:val="18"/>
          <w:szCs w:val="18"/>
          <w:color w:val="auto"/>
        </w:rPr>
        <w:t>– whether there had been any significant increases to the weighted-average cost of capital rates used, which could materially lower the Company’s prior valuation conclusions under a discounted cash flow approach.</w:t>
      </w:r>
    </w:p>
    <w:p>
      <w:pPr>
        <w:spacing w:after="0" w:line="12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If the Company elects not to use this option, or it determines that it is more likely than not that the fair value of its reporting unit is less than its net book value, then the Company performs the quantitative goodwill impairment test. The quantitative goodwill impairment test requires the Company to compare the fair value of its reporting unit with its carrying amount. If fair value is determined to be less than carrying value, an impairment loss is recognized for the amount of the carrying value that exceeds the amount of its reporting unit’s fair value, not to exceed the total amount of goodwill allocated to its reporting unit. Additionally, the Company considers income tax effects from any tax deductible goodwill on the carrying amount of its reporting unit when measuring the goodwill impairment loss, if applicable. Management determines the fair value of its reporting unit using a weighting of the income and market approaches. Under the income approach, it uses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it uses the guideline public company method. Under this method management utilizes information from comparable publicly traded companies with similar operating and investment characteristics as the reporting unit, to create valuation multiples that are applied to the operating performance of its reporting unit being tested, in order to obtain its respective fair value. In order to assess the reasonableness of the calculated value, the fair value of the reporting unit is reconciled to the Company’s total market capitalization, allowing for a reasonable control premium.</w:t>
      </w:r>
    </w:p>
    <w:p>
      <w:pPr>
        <w:spacing w:after="0" w:line="133"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During fiscal 2025, the Company used a combination of the quantitative and qualitative methods of assessing goodwill. During fiscal 2024, the Company elected to use the qualitative method of assessing goodwill. In all periods presented, management concluded the reporting unit fair values exceeded their carrying amounts as of the assessment dates and no risk of impairment existed.</w:t>
      </w:r>
    </w:p>
    <w:p>
      <w:pPr>
        <w:spacing w:after="0" w:line="122"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Company’s next annual impairment assessment will be performed as of the first day of the fourth quarter of the fiscal year ending October 31, 2026 (fiscal 2026) unless indicators arise that would require the Company to reevaluate at an earlier date.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changes in goodwill during fiscal 2025 and fiscal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26,909,775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26,909,775</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(1)</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26,945,180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26,909,775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rPr>
          <w:sz w:val="20"/>
          <w:szCs w:val="20"/>
          <w:color w:val="auto"/>
        </w:rPr>
      </w:pPr>
      <w:r>
        <w:rPr>
          <w:rFonts w:ascii="Times New Roman" w:cs="Times New Roman" w:eastAsia="Times New Roman" w:hAnsi="Times New Roman"/>
          <w:sz w:val="18"/>
          <w:szCs w:val="18"/>
          <w:color w:val="auto"/>
        </w:rPr>
        <w:t>(1) The fiscal 2025 acquisition was not material to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reviews finite-lived intangible assets for impairment whenever events or changes in circumstances indicate that the carrying value of assets may not be recoverable. 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November 1, 2025 and November 2, 2024, the Company’s intangible assets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60" w:type="dxa"/>
            <w:vAlign w:val="bottom"/>
          </w:tcPr>
          <w:p>
            <w:pPr>
              <w:spacing w:after="0"/>
              <w:rPr>
                <w:sz w:val="16"/>
                <w:szCs w:val="16"/>
                <w:color w:val="auto"/>
              </w:rPr>
            </w:pPr>
          </w:p>
        </w:tc>
        <w:tc>
          <w:tcPr>
            <w:tcW w:w="3420" w:type="dxa"/>
            <w:vAlign w:val="bottom"/>
            <w:gridSpan w:val="4"/>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28"/>
        </w:trPr>
        <w:tc>
          <w:tcPr>
            <w:tcW w:w="3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4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10,335,903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5,311,189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10,335,903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4,561,856</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Technology-based</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7,617,866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7,597,471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3,786,054</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72,200</w:t>
            </w: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18,027,769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8,421,910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was $1.6 billion, $1.7 billion and $2.0 billion in fiscal 2025, 2024 and 2023, respectively, and is recorded in cost of sales and amortization of intangibles on the Consolidated Statements of Income. The remaining amortization expense will be recognized over the remaining weighted average life of approximately 3.4 years.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expects annual amortization expense for intangible assets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3"/>
                <w:szCs w:val="13"/>
                <w:color w:val="auto"/>
              </w:rPr>
            </w:pPr>
          </w:p>
        </w:tc>
        <w:tc>
          <w:tcPr>
            <w:tcW w:w="1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34"/>
        </w:trPr>
        <w:tc>
          <w:tcPr>
            <w:tcW w:w="20" w:type="dxa"/>
            <w:vAlign w:val="bottom"/>
            <w:tcBorders>
              <w:bottom w:val="single" w:sz="8" w:color="CCEEFF"/>
            </w:tcBorders>
          </w:tcPr>
          <w:p>
            <w:pPr>
              <w:spacing w:after="0"/>
              <w:rPr>
                <w:sz w:val="2"/>
                <w:szCs w:val="2"/>
                <w:color w:val="auto"/>
              </w:rPr>
            </w:pPr>
          </w:p>
        </w:tc>
        <w:tc>
          <w:tcPr>
            <w:tcW w:w="680" w:type="dxa"/>
            <w:vAlign w:val="bottom"/>
            <w:tcBorders>
              <w:top w:val="single" w:sz="8" w:color="auto"/>
              <w:bottom w:val="single" w:sz="8" w:color="CCEEFF"/>
            </w:tcBorders>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1,537,505</w:t>
            </w:r>
          </w:p>
        </w:tc>
      </w:tr>
      <w:tr>
        <w:trPr>
          <w:trHeight w:val="230"/>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1,533,013</w:t>
            </w:r>
          </w:p>
        </w:tc>
      </w:tr>
      <w:tr>
        <w:trPr>
          <w:trHeight w:val="230"/>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1,465,336</w:t>
            </w:r>
          </w:p>
        </w:tc>
      </w:tr>
      <w:tr>
        <w:trPr>
          <w:trHeight w:val="230"/>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1,128,237</w:t>
            </w:r>
          </w:p>
        </w:tc>
      </w:tr>
      <w:tr>
        <w:trPr>
          <w:trHeight w:val="22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6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404,189</w:t>
            </w:r>
          </w:p>
        </w:tc>
      </w:tr>
    </w:tbl>
    <w:p>
      <w:pPr>
        <w:spacing w:after="0" w:line="31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Grant Accounting</w:t>
      </w:r>
    </w:p>
    <w:p>
      <w:pPr>
        <w:spacing w:after="0" w:line="13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Certain of the Company’s subsidiaries have received grants from governmental agencies. These grants include capital, employment and research and development grants. Capital grants for the acquisition of property, plant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w:t>
      </w:r>
    </w:p>
    <w:p>
      <w:pPr>
        <w:spacing w:after="0" w:line="9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In August 2022, the U.S. government enacted the CHIPS and Science Act of 2022 (CHIPS Act), which provides funding for manufacturing grants and research investments and establishes an investment tax credit for certain investments in U.S. semiconductor manufacturing. As of November 1, 2025, the Company recorded $96.3 million and $167.2 million as offsets within current income taxes payable and in other assets, respectively, with corresponding reductions to the carrying amounts of the qualifying manufacturing assets on the Consolidated Balance Sheet. As of November 2, 2024, the Company recorded $106.3 million and $174.5 million as offsets within current income taxes payable and in other assets, respectively, with a corresponding reduction to the carrying amounts of the qualifying manufacturing assets on the Consolidated Balance Sheet.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Translation of Foreign Currencies</w:t>
      </w:r>
    </w:p>
    <w:p>
      <w:pPr>
        <w:spacing w:after="0" w:line="148" w:lineRule="exact"/>
        <w:rPr>
          <w:sz w:val="20"/>
          <w:szCs w:val="20"/>
          <w:color w:val="auto"/>
        </w:rPr>
      </w:pPr>
    </w:p>
    <w:p>
      <w:pPr>
        <w:ind w:right="340" w:firstLine="445"/>
        <w:spacing w:after="0" w:line="258" w:lineRule="auto"/>
        <w:rPr>
          <w:sz w:val="20"/>
          <w:szCs w:val="20"/>
          <w:color w:val="auto"/>
        </w:rPr>
      </w:pPr>
      <w:r>
        <w:rPr>
          <w:rFonts w:ascii="Times New Roman" w:cs="Times New Roman" w:eastAsia="Times New Roman" w:hAnsi="Times New Roman"/>
          <w:sz w:val="18"/>
          <w:szCs w:val="18"/>
          <w:color w:val="auto"/>
        </w:rPr>
        <w:t>Generally, the functional currency of the Company’s foreign operations is the U.S. dollar. In certain entities where that is not the case, gains and losses resulting from translation of the foreign currencies into U.S. dollars are recorded in AOCI.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are included in other, net in the Consolidated Statements of Income.</w:t>
      </w:r>
    </w:p>
    <w:p>
      <w:pPr>
        <w:spacing w:after="0" w:line="85"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Instruments and Hedging Agreements</w:t>
      </w:r>
    </w:p>
    <w:p>
      <w:pPr>
        <w:spacing w:after="0" w:line="13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Company enters into forward foreign currency exchange contracts to offset certain operational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Thai Baht, Malaysian Ringgit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derivatives are reported as a component of AOCI in shareholders’ equity and reclassified into earnings in the same line item on the Consolidated Statements of Income as the impact of the hedged transaction in the same period during which the hedged transaction affects earnings.</w:t>
      </w:r>
    </w:p>
    <w:p>
      <w:pPr>
        <w:spacing w:after="0" w:line="106" w:lineRule="exact"/>
        <w:rPr>
          <w:sz w:val="20"/>
          <w:szCs w:val="20"/>
          <w:color w:val="auto"/>
        </w:rPr>
      </w:pPr>
    </w:p>
    <w:p>
      <w:pPr>
        <w:ind w:right="340" w:firstLine="445"/>
        <w:spacing w:after="0" w:line="260" w:lineRule="auto"/>
        <w:rPr>
          <w:sz w:val="20"/>
          <w:szCs w:val="20"/>
          <w:color w:val="auto"/>
        </w:rPr>
      </w:pPr>
      <w:r>
        <w:rPr>
          <w:rFonts w:ascii="Times New Roman" w:cs="Times New Roman" w:eastAsia="Times New Roman" w:hAnsi="Times New Roman"/>
          <w:sz w:val="18"/>
          <w:szCs w:val="18"/>
          <w:color w:val="auto"/>
        </w:rPr>
        <w:t>The total notional amounts of forward foreign currency derivative instruments designated as hedging instruments of cash flow hedges as of November 1, 2025 and November 2, 2024 was $297.0 million and $257.0 million, respectively. The fair values of forward foreign currency derivative instruments designated as hedging instruments in the Company’s Consolidated Balance Sheets as of November 1, 2025 and November 2,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90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60" w:type="dxa"/>
            <w:vAlign w:val="bottom"/>
          </w:tcPr>
          <w:p>
            <w:pPr>
              <w:spacing w:after="0"/>
              <w:rPr>
                <w:sz w:val="16"/>
                <w:szCs w:val="16"/>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November 1, 2025 and November 2, 2024, the total notional amounts of undesignated hedges related to forward foreign currency exchange contracts were $207.3 million and $176.8 million, respectively.</w:t>
      </w:r>
    </w:p>
    <w:p>
      <w:pPr>
        <w:spacing w:after="0" w:line="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Fair Value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33655</wp:posOffset>
            </wp:positionV>
            <wp:extent cx="20059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35" w:lineRule="exact"/>
        <w:rPr>
          <w:sz w:val="20"/>
          <w:szCs w:val="20"/>
          <w:color w:val="auto"/>
        </w:rPr>
      </w:pPr>
    </w:p>
    <w:p>
      <w:pPr>
        <w:ind w:left="5340"/>
        <w:spacing w:after="0"/>
        <w:tabs>
          <w:tab w:leader="none" w:pos="8240" w:val="left"/>
          <w:tab w:leader="none" w:pos="9880" w:val="left"/>
        </w:tabs>
        <w:rPr>
          <w:sz w:val="20"/>
          <w:szCs w:val="20"/>
          <w:color w:val="auto"/>
        </w:rPr>
      </w:pPr>
      <w:r>
        <w:rPr>
          <w:rFonts w:ascii="Times New Roman" w:cs="Times New Roman" w:eastAsia="Times New Roman" w:hAnsi="Times New Roman"/>
          <w:sz w:val="14"/>
          <w:szCs w:val="14"/>
          <w:b w:val="1"/>
          <w:bCs w:val="1"/>
          <w:color w:val="auto"/>
        </w:rPr>
        <w:t>Balance Sheet Location</w:t>
      </w:r>
      <w:r>
        <w:rPr>
          <w:sz w:val="20"/>
          <w:szCs w:val="20"/>
          <w:color w:val="auto"/>
        </w:rPr>
        <w:tab/>
      </w:r>
      <w:r>
        <w:rPr>
          <w:rFonts w:ascii="Times New Roman" w:cs="Times New Roman" w:eastAsia="Times New Roman" w:hAnsi="Times New Roman"/>
          <w:sz w:val="14"/>
          <w:szCs w:val="14"/>
          <w:b w:val="1"/>
          <w:bCs w:val="1"/>
          <w:color w:val="auto"/>
        </w:rPr>
        <w:t>November 1, 2025</w:t>
      </w:r>
      <w:r>
        <w:rPr>
          <w:sz w:val="20"/>
          <w:szCs w:val="20"/>
          <w:color w:val="auto"/>
        </w:rPr>
        <w:tab/>
      </w:r>
      <w:r>
        <w:rPr>
          <w:rFonts w:ascii="Times New Roman" w:cs="Times New Roman" w:eastAsia="Times New Roman" w:hAnsi="Times New Roman"/>
          <w:sz w:val="14"/>
          <w:szCs w:val="14"/>
          <w:b w:val="1"/>
          <w:bCs w:val="1"/>
          <w:color w:val="auto"/>
        </w:rPr>
        <w:t>November 2, 2024</w:t>
      </w:r>
    </w:p>
    <w:p>
      <w:pPr>
        <w:sectPr>
          <w:pgSz w:w="11900" w:h="16838" w:orient="portrait"/>
          <w:cols w:equalWidth="0" w:num="1">
            <w:col w:w="11220"/>
          </w:cols>
          <w:pgMar w:left="320" w:top="117" w:right="359" w:bottom="1440" w:gutter="0" w:footer="0" w:header="0"/>
        </w:sectPr>
      </w:pPr>
    </w:p>
    <w:p>
      <w:pPr>
        <w:spacing w:after="0" w:line="4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2,305</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41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-530860</wp:posOffset>
            </wp:positionV>
            <wp:extent cx="7115175"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40" w:space="40"/>
            <w:col w:w="7040"/>
          </w:cols>
          <w:pgMar w:left="320" w:top="117" w:right="359" w:bottom="1440" w:gutter="0" w:footer="0" w:header="0"/>
          <w:type w:val="continuous"/>
        </w:sect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All of the Company’s derivative financial instruments are eligible for netting arrangements that allow the Company and its counterparties to net settle amounts owed to each other. As of November 1, 2025 and November 2, 2024, none of the netting arrangements involved collateral.</w:t>
      </w:r>
    </w:p>
    <w:p>
      <w:pPr>
        <w:spacing w:after="0" w:line="6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Company’s current and future debt may be subject to interest rate risk. The Company utilizes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derivatives to alter interest rate exposure in an attempt to reduce the effects of changes in interest rates. During fiscal 2023, the Company entered into interest rate swap transactions related to its outstanding $1.0 billion aggregate principal amount of 2.1% senior unsecured notes (the 2031 Notes) where the Company swapped the notional amount of its $1.0 billion of fixed rate debt at 2.1% into floating interest rate debt through April 1, 2031.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interest rate swaps were designated and qualified as fair value hedges. The Company does not consider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risk of counterparty default to be significant. The gain or loss on the hedged item attributable to the hedged benchmark interest rate risk and the offsetting gain or loss on the related interest rate swaps were recorded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20" w:type="dxa"/>
            <w:vAlign w:val="bottom"/>
          </w:tcPr>
          <w:p>
            <w:pPr>
              <w:spacing w:after="0"/>
              <w:rPr>
                <w:sz w:val="16"/>
                <w:szCs w:val="16"/>
                <w:color w:val="auto"/>
              </w:rPr>
            </w:pPr>
          </w:p>
        </w:tc>
        <w:tc>
          <w:tcPr>
            <w:tcW w:w="300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Gain on Note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36,855</w:t>
            </w:r>
          </w:p>
        </w:tc>
      </w:tr>
    </w:tbl>
    <w:p>
      <w:pPr>
        <w:spacing w:after="0" w:line="198"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November 1, 2025 and November 2, 2024,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00"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 records the fair value of its derivative financial instruments in its Consolidated Financial Statements in other current assets, other assets, accrued liabilities, other non-current liabilities and long-term debt, depending on their net position, regardless of the purpose or intent for holding the derivative contract. Changes in the fair value of designated cash flow hedges are recorded in AOCI and reclassified into earnings in the same line item on the Consolidated Statements of Income as the impact of the hedged transaction when the underlying contract matures. Changes in the fair value of designated fair value hedges are recorded on the Consolidated Balance Sheets as a swap asset or an accrued liability with an offsetting increment/decrement to the long-term debt balance, which is the underlying item being hedged. Changes in the fair values of derivatives not qualifying for hedge accounting are reported in earnings as they occur.</w:t>
      </w:r>
    </w:p>
    <w:p>
      <w:pPr>
        <w:spacing w:after="0" w:line="9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Consolidated Statements of Income related to forward foreign currency exchange contracts, see Note 2o,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of the Notes to Consolidated Financial Statements.</w:t>
      </w:r>
    </w:p>
    <w:p>
      <w:pPr>
        <w:spacing w:after="0" w:line="91"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w:t>
      </w:r>
    </w:p>
    <w:p>
      <w:pPr>
        <w:spacing w:after="0" w:line="13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7" w:lineRule="exact"/>
        <w:rPr>
          <w:sz w:val="20"/>
          <w:szCs w:val="20"/>
          <w:color w:val="auto"/>
        </w:rPr>
      </w:pPr>
    </w:p>
    <w:p>
      <w:pPr>
        <w:jc w:val="both"/>
        <w:ind w:right="2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Level 1 inputs are quoted prices (unadjusted) in active markets for identical assets or liabilities that the reporting entity has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77" w:lineRule="exact"/>
        <w:rPr>
          <w:sz w:val="20"/>
          <w:szCs w:val="20"/>
          <w:color w:val="auto"/>
        </w:rPr>
      </w:pPr>
    </w:p>
    <w:p>
      <w:pPr>
        <w:ind w:firstLine="44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Level 2 inputs are inputs other than quoted prices included within Level 1 that are observable for the asset or liability,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If the asset or liability has a specified (contractual) term, a Level 2 input must be observable for substantially the full term of the asset or liability.</w:t>
      </w:r>
    </w:p>
    <w:p>
      <w:pPr>
        <w:spacing w:after="0" w:line="40"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66"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presents the Company’s financial assets and liabilities, excluding accrued interest components, that were accounted for at fair value on a recurring basis as of November 1, 2025 and November 2, 2024. The tables exclude cash on hand and assets and liabilities that are measured at historical cost or any basis other than fair value. As of November 1, 2025 and November 2, 2024, the Company held $1.4 billion and $1.4 billion, respectively, of cash that was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from the tables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gridSpan w:val="5"/>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7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36"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740,730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656,839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105,188</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2,403,248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(4)</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1, 2025 was $1.6 billion.</w:t>
      </w:r>
    </w:p>
    <w:p>
      <w:pPr>
        <w:spacing w:after="0" w:line="27" w:lineRule="exact"/>
        <w:rPr>
          <w:rFonts w:ascii="Times New Roman" w:cs="Times New Roman" w:eastAsia="Times New Roman" w:hAnsi="Times New Roman"/>
          <w:sz w:val="18"/>
          <w:szCs w:val="18"/>
          <w:color w:val="auto"/>
        </w:rPr>
      </w:pPr>
    </w:p>
    <w:p>
      <w:pPr>
        <w:ind w:firstLine="8"/>
        <w:spacing w:after="0" w:line="250"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current assets on the Consolidated Balance Sheets if the securities are available to be converted into cash to fund current operations.</w:t>
      </w:r>
    </w:p>
    <w:p>
      <w:pPr>
        <w:ind w:right="180" w:firstLine="8"/>
        <w:spacing w:after="0" w:line="250"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2i, </w:t>
      </w:r>
      <w:r>
        <w:rPr>
          <w:rFonts w:ascii="Times New Roman" w:cs="Times New Roman" w:eastAsia="Times New Roman" w:hAnsi="Times New Roman"/>
          <w:sz w:val="18"/>
          <w:szCs w:val="18"/>
          <w:i w:val="1"/>
          <w:iCs w:val="1"/>
          <w:color w:val="auto"/>
        </w:rPr>
        <w:t>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of the Notes to Consolidated Financial Statements for more information related to the Company’s master netting arrangements.</w:t>
      </w:r>
    </w:p>
    <w:p>
      <w:pPr>
        <w:ind w:right="60" w:firstLine="8"/>
        <w:spacing w:after="0" w:line="255"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2i, </w:t>
      </w:r>
      <w:r>
        <w:rPr>
          <w:rFonts w:ascii="Times New Roman" w:cs="Times New Roman" w:eastAsia="Times New Roman" w:hAnsi="Times New Roman"/>
          <w:sz w:val="18"/>
          <w:szCs w:val="18"/>
          <w:i w:val="1"/>
          <w:iCs w:val="1"/>
          <w:color w:val="auto"/>
        </w:rPr>
        <w:t>Derivative Instruments and Hedging Agreements,</w:t>
      </w:r>
      <w:r>
        <w:rPr>
          <w:rFonts w:ascii="Times New Roman" w:cs="Times New Roman" w:eastAsia="Times New Roman" w:hAnsi="Times New Roman"/>
          <w:sz w:val="18"/>
          <w:szCs w:val="18"/>
          <w:color w:val="auto"/>
        </w:rPr>
        <w:t xml:space="preserv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gridSpan w:val="5"/>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obligations (1)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Bank obligations (1)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92,698</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2, 2024 was $382.9 million.</w:t>
      </w:r>
    </w:p>
    <w:p>
      <w:pPr>
        <w:spacing w:after="0" w:line="27" w:lineRule="exact"/>
        <w:rPr>
          <w:rFonts w:ascii="Times New Roman" w:cs="Times New Roman" w:eastAsia="Times New Roman" w:hAnsi="Times New Roman"/>
          <w:sz w:val="18"/>
          <w:szCs w:val="18"/>
          <w:color w:val="auto"/>
        </w:rPr>
      </w:pPr>
    </w:p>
    <w:p>
      <w:pPr>
        <w:ind w:right="180" w:firstLine="8"/>
        <w:spacing w:after="0" w:line="25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2i, </w:t>
      </w:r>
      <w:r>
        <w:rPr>
          <w:rFonts w:ascii="Times New Roman" w:cs="Times New Roman" w:eastAsia="Times New Roman" w:hAnsi="Times New Roman"/>
          <w:sz w:val="18"/>
          <w:szCs w:val="18"/>
          <w:i w:val="1"/>
          <w:iCs w:val="1"/>
          <w:color w:val="auto"/>
        </w:rPr>
        <w:t>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of the Notes to Consolidated Financial Statements for more information related to the Company’s master netting arrangements.</w:t>
      </w:r>
    </w:p>
    <w:p>
      <w:pPr>
        <w:ind w:right="60" w:firstLine="8"/>
        <w:spacing w:after="0" w:line="255"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2i, </w:t>
      </w:r>
      <w:r>
        <w:rPr>
          <w:rFonts w:ascii="Times New Roman" w:cs="Times New Roman" w:eastAsia="Times New Roman" w:hAnsi="Times New Roman"/>
          <w:sz w:val="18"/>
          <w:szCs w:val="18"/>
          <w:i w:val="1"/>
          <w:iCs w:val="1"/>
          <w:color w:val="auto"/>
        </w:rPr>
        <w:t>Derivative Instruments and Hedging Agreements,</w:t>
      </w:r>
      <w:r>
        <w:rPr>
          <w:rFonts w:ascii="Times New Roman" w:cs="Times New Roman" w:eastAsia="Times New Roman" w:hAnsi="Times New Roman"/>
          <w:sz w:val="18"/>
          <w:szCs w:val="18"/>
          <w:color w:val="auto"/>
        </w:rPr>
        <w:t xml:space="preserve"> of the Notes to Consolidated Financial Statements.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w:t>
      </w:r>
    </w:p>
    <w:p>
      <w:pPr>
        <w:spacing w:after="0" w:line="127" w:lineRule="exact"/>
        <w:rPr>
          <w:sz w:val="20"/>
          <w:szCs w:val="20"/>
          <w:color w:val="auto"/>
        </w:rPr>
      </w:pPr>
    </w:p>
    <w:p>
      <w:pPr>
        <w:ind w:right="4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and short-term investments </w:t>
      </w:r>
      <w:r>
        <w:rPr>
          <w:rFonts w:ascii="Times New Roman" w:cs="Times New Roman" w:eastAsia="Times New Roman" w:hAnsi="Times New Roman"/>
          <w:sz w:val="18"/>
          <w:szCs w:val="18"/>
          <w:color w:val="auto"/>
        </w:rPr>
        <w:t>— These investments are adjusted to fair value based on quoted market prices or are determined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yield curve model based on current market rates.</w:t>
      </w:r>
    </w:p>
    <w:p>
      <w:pPr>
        <w:spacing w:after="0" w:line="74" w:lineRule="exact"/>
        <w:rPr>
          <w:sz w:val="20"/>
          <w:szCs w:val="20"/>
          <w:color w:val="auto"/>
        </w:rPr>
      </w:pPr>
    </w:p>
    <w:p>
      <w:pPr>
        <w:ind w:right="2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investments </w:t>
      </w:r>
      <w:r>
        <w:rPr>
          <w:rFonts w:ascii="Times New Roman" w:cs="Times New Roman" w:eastAsia="Times New Roman" w:hAnsi="Times New Roman"/>
          <w:sz w:val="18"/>
          <w:szCs w:val="18"/>
          <w:color w:val="auto"/>
        </w:rPr>
        <w:t>— The fair value of these mutual fund, money market fund and equity investments are based on quoted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prices.</w:t>
      </w:r>
    </w:p>
    <w:p>
      <w:pPr>
        <w:spacing w:after="0" w:line="60" w:lineRule="exact"/>
        <w:rPr>
          <w:sz w:val="20"/>
          <w:szCs w:val="20"/>
          <w:color w:val="auto"/>
        </w:rPr>
      </w:pPr>
    </w:p>
    <w:p>
      <w:pPr>
        <w:ind w:right="120"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foreign currency exchange contracts </w:t>
      </w:r>
      <w:r>
        <w:rPr>
          <w:rFonts w:ascii="Times New Roman" w:cs="Times New Roman" w:eastAsia="Times New Roman" w:hAnsi="Times New Roman"/>
          <w:sz w:val="18"/>
          <w:szCs w:val="18"/>
          <w:color w:val="auto"/>
        </w:rPr>
        <w:t>— The estimated fair value of forward foreign currency exchange contracts,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that are accounted for as cash flow hedges and those that are not designated as cash flow hedges, is based on the estimated amount the Company would receive if it sold these agreements at the reporting date taking into consideration current exchange rates as well as the creditworthiness of the counterparty for assets and the Company’s creditworthiness for liabilities. The fair value of these instruments is based upon valuation models using current market information such as strike price, spot rate, forward points, and maturity date.</w:t>
      </w:r>
    </w:p>
    <w:p>
      <w:pPr>
        <w:spacing w:after="0" w:line="85" w:lineRule="exact"/>
        <w:rPr>
          <w:sz w:val="20"/>
          <w:szCs w:val="20"/>
          <w:color w:val="auto"/>
        </w:rPr>
      </w:pPr>
    </w:p>
    <w:p>
      <w:pPr>
        <w:ind w:right="4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derivative </w:t>
      </w:r>
      <w:r>
        <w:rPr>
          <w:rFonts w:ascii="Times New Roman" w:cs="Times New Roman" w:eastAsia="Times New Roman" w:hAnsi="Times New Roman"/>
          <w:sz w:val="18"/>
          <w:szCs w:val="18"/>
          <w:color w:val="auto"/>
        </w:rPr>
        <w:t>— The fair value of interest rate derivatives is estimated using a discounted cash flow analysis based on the contractual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derivatives.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Not Recorded at Fair Value on a Recurring Basis</w:t>
      </w:r>
    </w:p>
    <w:p>
      <w:pPr>
        <w:spacing w:after="0" w:line="169" w:lineRule="exact"/>
        <w:rPr>
          <w:sz w:val="20"/>
          <w:szCs w:val="20"/>
          <w:color w:val="auto"/>
        </w:rPr>
      </w:pPr>
    </w:p>
    <w:p>
      <w:pPr>
        <w:ind w:right="2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Held for sale assets </w:t>
      </w:r>
      <w:r>
        <w:rPr>
          <w:rFonts w:ascii="Times New Roman" w:cs="Times New Roman" w:eastAsia="Times New Roman" w:hAnsi="Times New Roman"/>
          <w:sz w:val="18"/>
          <w:szCs w:val="18"/>
          <w:color w:val="auto"/>
        </w:rPr>
        <w:t>— The Company has classified the assets held for sale at carrying value. However, if they were to be carried at fair value,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be considered a Level 3 fair value measurement and would be determined based on the use of appraisals and input from market participants.</w:t>
      </w:r>
    </w:p>
    <w:p>
      <w:pPr>
        <w:spacing w:after="0" w:line="74" w:lineRule="exact"/>
        <w:rPr>
          <w:sz w:val="20"/>
          <w:szCs w:val="20"/>
          <w:color w:val="auto"/>
        </w:rPr>
      </w:pPr>
    </w:p>
    <w:p>
      <w:pPr>
        <w:ind w:right="16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 The table below presents the estimated fair value of certain financial instruments not recorded at fair value on a recurring basis. Given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short tenure of the Company’s commercial paper notes, the carrying value of the outstanding commercial paper notes approximates the fair values, and therefore, are excluded from the table below ($446.6 million and $547.7 million as of November 1, 2025 and November 2, 2024, respectively). The fair values of the senior unsecured notes are obtained from broker prices and are classified as Level 1 measurements according to the fair value hierarchy. See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for further discussion related to outstanding debt.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20" w:type="dxa"/>
            <w:vAlign w:val="bottom"/>
          </w:tcPr>
          <w:p>
            <w:pPr>
              <w:spacing w:after="0"/>
              <w:rPr>
                <w:sz w:val="16"/>
                <w:szCs w:val="16"/>
                <w:color w:val="auto"/>
              </w:rPr>
            </w:pPr>
          </w:p>
        </w:tc>
        <w:tc>
          <w:tcPr>
            <w:tcW w:w="282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4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Pr>
          <w:p>
            <w:pPr>
              <w:spacing w:after="0"/>
              <w:rPr>
                <w:sz w:val="11"/>
                <w:szCs w:val="11"/>
                <w:color w:val="auto"/>
              </w:rPr>
            </w:pPr>
          </w:p>
        </w:tc>
        <w:tc>
          <w:tcPr>
            <w:tcW w:w="11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397,027</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882,795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436,916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421,077</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673,316</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2030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884,390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843,766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287,172</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571,370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553,375</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136,718</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534,435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322,942</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655,668</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541,087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541,912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8,217,077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7,536,579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7,117,077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6,250,203</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35"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including estimates of variable consideration related to distributor sales; accrued taxes; uncertain tax positions; deferred tax valuation allowances; assumptions pertaining to stock-based compensation payments and defined benefit plans; and fair value of acquired assets and liabilities, including inventory, property, plant and equipment, goodwill and acquired intangibles; and other reserves. Actual results could differ from those estimates and such differences may be material to the financial statements.</w:t>
      </w:r>
    </w:p>
    <w:p>
      <w:pPr>
        <w:spacing w:after="0" w:line="107"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35"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investments and trade accounts receivable.</w:t>
      </w:r>
    </w:p>
    <w:p>
      <w:pPr>
        <w:spacing w:after="0" w:line="6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maintains cash, cash equivalents and short-term investments with high credit quality counterparties, continuously monitors the amount of credit exposure to any one issuer and diversifies its investments in order to minimize its credit risk.</w:t>
      </w:r>
    </w:p>
    <w:p>
      <w:pPr>
        <w:spacing w:after="0" w:line="8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sells its products to distributors and original equipment manufacturers (OEMs) involved in a variety of industries including industrial, communications, automotive and consumer end markets. The Company has adopted credit policies and standards to accommodate growth in these markets. The Company performs continuing credit evaluations of 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81" w:lineRule="exact"/>
        <w:rPr>
          <w:sz w:val="20"/>
          <w:szCs w:val="20"/>
          <w:color w:val="auto"/>
        </w:rPr>
      </w:pPr>
    </w:p>
    <w:p>
      <w:pPr>
        <w:ind w:right="40" w:firstLine="445"/>
        <w:spacing w:after="0" w:line="270" w:lineRule="auto"/>
        <w:rPr>
          <w:sz w:val="20"/>
          <w:szCs w:val="20"/>
          <w:color w:val="auto"/>
        </w:rPr>
      </w:pPr>
      <w:r>
        <w:rPr>
          <w:rFonts w:ascii="Times New Roman" w:cs="Times New Roman" w:eastAsia="Times New Roman" w:hAnsi="Times New Roman"/>
          <w:sz w:val="18"/>
          <w:szCs w:val="18"/>
          <w:color w:val="auto"/>
        </w:rPr>
        <w:t>Revenue attributable to significant distributors whose revenue as a percentage of total revenue was 10% or greater of total revenue is presented in the following table:</w:t>
      </w: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14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1</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Distributor 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w:t>
      </w:r>
    </w:p>
    <w:p>
      <w:pPr>
        <w:spacing w:after="0" w:line="14" w:lineRule="exact"/>
        <w:rPr>
          <w:sz w:val="20"/>
          <w:szCs w:val="20"/>
          <w:color w:val="auto"/>
        </w:rPr>
      </w:pPr>
    </w:p>
    <w:p>
      <w:pPr>
        <w:ind w:right="4640" w:firstLine="8"/>
        <w:spacing w:after="0" w:line="391" w:lineRule="auto"/>
        <w:tabs>
          <w:tab w:leader="none" w:pos="1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this distributor was not greater than 10% of total revenue for this period. No other customer accounted for greater than 10% of total revenue in any period presented.</w:t>
      </w: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Concentration of Other Risks</w:t>
      </w:r>
    </w:p>
    <w:p>
      <w:pPr>
        <w:spacing w:after="0" w:line="135"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more than half of the Company’s purchases of external wafer and foundry services are from a limited number of suppliers, such as Taiwan Semiconductor Manufacturing Company (TSMC) and others. If these suppliers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w:t>
      </w:r>
    </w:p>
    <w:p>
      <w:pPr>
        <w:spacing w:after="0" w:line="9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17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Recognition of revenue occurs when a customer obtains control of promised goods or services in an amount that reflects the consideration to which the providing entity expects to be entitled in exchange for those goods or services. The Company recognizes revenue upon transfer of control of promised products or services to customers in an amount that reflects the consideration the Company expects to receive in exchange for those products or services.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and control of the promised goods have passed to the customer. Shipping costs are charged to selling, marketing, general and administrative expense as incurred. Sales taxes are excluded from revenue.</w:t>
      </w:r>
    </w:p>
    <w:p>
      <w:pPr>
        <w:spacing w:after="0" w:line="13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136"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Substantially all of the Company’s contracts with customers contain a single performance obligation, the sale of mixed-signal integrated circuit products. Such sales represent a single performance obligation because the sale is one type of good or includes multiple goods that are neither capable of being distinct nor separable from the other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The Company generally offers a twelve-month warranty for its products. The Company’s warranty policy provides for replacement of defective products. Specific accruals are recorded for known product warranty issues. Product warranty expenses during fiscal 2025, fiscal 2024 and fiscal 2023 were not material.</w:t>
      </w:r>
    </w:p>
    <w:p>
      <w:pPr>
        <w:spacing w:after="0" w:line="12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Transaction Price</w:t>
      </w:r>
      <w:r>
        <w:rPr>
          <w:rFonts w:ascii="Times New Roman" w:cs="Times New Roman" w:eastAsia="Times New Roman" w:hAnsi="Times New Roman"/>
          <w:sz w:val="18"/>
          <w:szCs w:val="18"/>
          <w:color w:val="auto"/>
        </w:rPr>
        <w:t>: The transaction price reflects the Company’s expectations about the consideration it will be entitled to receive from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include fixed or 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The vast majority of such consideration are credits issued to the distributor due to price protection, but also include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the Company’s estimate of historical experience rates as well as considering economic conditions and contractual terms. To date, actual distributor claims activity has been materially consistent with the provisions the Company has made based on its historical estimates. For fiscal 2025 and fiscal 2024, sales to distributors were approximately $6.1 billion and $5.5 billion, respectively, net of variable consideration for which the liability balances as of November 1, 2025 and November 2, 2024 were $785.1 million and $508.7 million, respectively, and were recorded in accrued liabilities on the Consolidated Balance Sheets.</w:t>
      </w:r>
    </w:p>
    <w:p>
      <w:pPr>
        <w:spacing w:after="0" w:line="133"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Contract Balances</w:t>
      </w:r>
      <w:r>
        <w:rPr>
          <w:rFonts w:ascii="Times New Roman" w:cs="Times New Roman" w:eastAsia="Times New Roman" w:hAnsi="Times New Roman"/>
          <w:sz w:val="18"/>
          <w:szCs w:val="18"/>
          <w:color w:val="auto"/>
        </w:rPr>
        <w:t>: Accounts receivable represents the Company’s unconditional right to receive consideration from its customers. Payments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due within 30 to 45 days of invoicing and do not include a significant financing component. To date, there have been no material credit losses on accounts receivable. There were no material contract assets or contract liabilities recorded on the Consolidated Balance Sheets in any of the periods presented.</w:t>
      </w:r>
    </w:p>
    <w:p>
      <w:pPr>
        <w:spacing w:after="0" w:line="8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Accumulated Other Comprehensive (Loss) Income</w:t>
      </w:r>
    </w:p>
    <w:p>
      <w:pPr>
        <w:spacing w:after="0" w:line="148" w:lineRule="exact"/>
        <w:rPr>
          <w:sz w:val="20"/>
          <w:szCs w:val="20"/>
          <w:color w:val="auto"/>
        </w:rPr>
      </w:pPr>
    </w:p>
    <w:p>
      <w:pPr>
        <w:ind w:right="680" w:firstLine="445"/>
        <w:spacing w:after="0" w:line="275" w:lineRule="auto"/>
        <w:rPr>
          <w:sz w:val="20"/>
          <w:szCs w:val="20"/>
          <w:color w:val="auto"/>
        </w:rPr>
      </w:pPr>
      <w:r>
        <w:rPr>
          <w:rFonts w:ascii="Times New Roman" w:cs="Times New Roman" w:eastAsia="Times New Roman" w:hAnsi="Times New Roman"/>
          <w:sz w:val="18"/>
          <w:szCs w:val="18"/>
          <w:color w:val="auto"/>
        </w:rPr>
        <w:t>AOCI includes certain transactions that have generally been reported in the Consolidated Statement of Shareholders’ Equity. The changes in components of AOCI at November 1, 2025 and November 2, 2024 consisted of the following:</w:t>
      </w:r>
    </w:p>
    <w:tbl>
      <w:tblPr>
        <w:tblLayout w:type="fixed"/>
        <w:tblInd w:w="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gains/losses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 2024</w:t>
            </w:r>
          </w:p>
        </w:tc>
        <w:tc>
          <w:tcPr>
            <w:tcW w:w="1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9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Consolidated Statements of Income, with presentation location during each period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Component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unrealized holding gains/losses on derivatives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242424"/>
              </w:rPr>
              <w:t>Currency 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4242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(775)</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Cost of sales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(219)</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Research and development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(3,762)</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Selling, marketing, general and administrative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242424"/>
              </w:rPr>
              <w:t>Interest rate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14,924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Interest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10,168</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Total before tax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(2,140)</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24242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8,028</w:t>
            </w:r>
          </w:p>
        </w:tc>
        <w:tc>
          <w:tcPr>
            <w:tcW w:w="10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242424"/>
              </w:rPr>
              <w:t>Amortization of pension components included in the computation of net periodic benefit cost</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Actuarial losses (1)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4242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1,032</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Total amounts reclassified out of AOCI, net of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4242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9,060</w:t>
            </w: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0" w:type="dxa"/>
            <w:vAlign w:val="bottom"/>
            <w:gridSpan w:val="2"/>
            <w:vMerge w:val="restart"/>
          </w:tcPr>
          <w:p>
            <w:pPr>
              <w:jc w:val="right"/>
              <w:ind w:right="1351"/>
              <w:spacing w:after="0"/>
              <w:rPr>
                <w:sz w:val="20"/>
                <w:szCs w:val="20"/>
                <w:color w:val="auto"/>
              </w:rPr>
            </w:pPr>
            <w:r>
              <w:rPr>
                <w:rFonts w:ascii="Times New Roman" w:cs="Times New Roman" w:eastAsia="Times New Roman" w:hAnsi="Times New Roman"/>
                <w:sz w:val="16"/>
                <w:szCs w:val="16"/>
                <w:color w:val="auto"/>
              </w:rPr>
              <w:t>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right="540" w:hanging="332"/>
        <w:spacing w:after="0" w:line="257"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amortization of pension components is included in the computation of net periodic benefit cost. See Note 9, </w:t>
      </w:r>
      <w:r>
        <w:rPr>
          <w:rFonts w:ascii="Times New Roman" w:cs="Times New Roman" w:eastAsia="Times New Roman" w:hAnsi="Times New Roman"/>
          <w:sz w:val="16"/>
          <w:szCs w:val="16"/>
          <w:i w:val="1"/>
          <w:iCs w:val="1"/>
          <w:color w:val="auto"/>
        </w:rPr>
        <w:t>Retirement Plans,</w:t>
      </w:r>
      <w:r>
        <w:rPr>
          <w:rFonts w:ascii="Times New Roman" w:cs="Times New Roman" w:eastAsia="Times New Roman" w:hAnsi="Times New Roman"/>
          <w:sz w:val="16"/>
          <w:szCs w:val="16"/>
          <w:color w:val="auto"/>
        </w:rPr>
        <w:t xml:space="preserve"> of the Notes to Consolidated Financial Statements for further information</w:t>
      </w:r>
      <w:r>
        <w:rPr>
          <w:rFonts w:ascii="Times New Roman" w:cs="Times New Roman" w:eastAsia="Times New Roman" w:hAnsi="Times New Roman"/>
          <w:sz w:val="16"/>
          <w:szCs w:val="16"/>
          <w:i w:val="1"/>
          <w:iCs w:val="1"/>
          <w:color w:val="auto"/>
        </w:rPr>
        <w:t>.</w:t>
      </w:r>
    </w:p>
    <w:p>
      <w:pPr>
        <w:spacing w:after="0" w:line="92"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p.  Income Taxes</w:t>
      </w:r>
    </w:p>
    <w:p>
      <w:pPr>
        <w:spacing w:after="0" w:line="135"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The Company makes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The likelihood of the realization of deferred tax assets is assessed and a corresponding valuation allowance is recorded as necessary if management determines those deferred tax assets may not be realized due to the uncertainty of the timing and amount to be realized of certain state and international tax credit carryovers. In reaching this conclusion, the Company evaluates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Judgments regarding future profitability may change due to future market conditions, changes in U.S. or international tax laws and other factors. These changes, if any, may require material adjustments to these deferred tax assets, which may result in an increase or decrease to the income tax provision in future periods.</w:t>
      </w:r>
    </w:p>
    <w:p>
      <w:pPr>
        <w:spacing w:after="0" w:line="113"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 accounts for uncertain tax positions by first determining if it is “more likely than not” that a tax position will be sustained by the appropriate taxing authorities prior to recording any benefit in the Consolidated Financial Statements. An uncertain income tax position is not recognized if it has less than a 50% likelihood of being sustained. For those tax positions where it is more likely than not that a tax position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Management classifies interest and penalties related to uncertain tax positions within the provision for income taxes line of the Consolidated Statements of Income. Management reevaluates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result in the recognition of an increase or decrease to the Company’s income tax provision which could materially impact its consolidated financial position and results of operations.</w:t>
      </w:r>
    </w:p>
    <w:p>
      <w:pPr>
        <w:spacing w:after="0" w:line="100"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the Company believes its estimates are reasonable, no assurance can be given that the final tax outcome of these matters will not be different than that which is reflected in the historical income tax provisions and income tax liabilities. In the event management’s assumptions are incorrect, the differences could have a material impact on its income tax provision and operating results in the period in which such determination is made. In addition to the factors described above, the current and expected effective tax rate is based on then-current tax law. Significant changes in enacted tax law could affect these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estimates. 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Consolidated Financial Statements for further information related to income taxes.</w:t>
      </w:r>
    </w:p>
    <w:p>
      <w:pPr>
        <w:spacing w:after="0" w:line="14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35"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periods, could be dilutive in the future.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3,314,579</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496,166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502,232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502,232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496,709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498,697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505,959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shares related to:</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grant-date fair value of the awards ultimately expected to vest and is recognized as an expense on a straight-line basis over the vesting period, which is generally four years for stock options and restricted stock units, or in annual installments of 25% on each of the first, second, third and fourth anniversaries of the date of grant. Restricted stock units with service and performance or market conditions generally vest in one installment on the third anniversary of the date of grant. The maximum contractual term of all stock options is ten years.</w:t>
      </w:r>
    </w:p>
    <w:p>
      <w:pPr>
        <w:spacing w:after="0" w:line="8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Determining the amount of stock-based compensation expense to be recorded requires the Company to develop estimates used in calculating the grant-date fair value of awards. These estimates may be based on different valuation models depending upon the type of award and may include assumptions, such as expected volatility, expected term, risk-free interest rate, expected dividend yield, forfeiture rate and others. The Company uses the Black-Scholes valuation model to calculate the grant-date fair value of stock option awards. The grant-date fair value of restricted stock units with a service condition and restricted stock units with both service and performance conditions is calculated using the value of the Company’s common stock on the date of grant, reduced by the present value of dividends expected to be paid on the Company’s common stock prior to vesting. For restricted stock units with both service and performance conditions, this grant-date fair value is also impacted by the number of units that are expected to vest during the performance period and is adjusted through the related stock-based compensation expense at each reporting period based on the probability of achievement of that performance condition. If the Company determines that an award is unlikely to vest, any previously recorded stock-based compensation expense is reversed in the period of that determination. The grant date fair value of restricted stock units and performance-based stock options with both service and market conditions is calculated using the Monte Carlo simulation model to estimate the probability of satisfying the performance condition stipulated in the award grant, including the possibility that the market condition may not be satisfied.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The fair value of shares issued under the Company’s employee stock purchase plan (ESPP) is computed using the Black-Scholes model at the commencement of an offering period in June and December of each year and the related expense is recorded over the offering period.</w:t>
      </w:r>
    </w:p>
    <w:p>
      <w:pPr>
        <w:spacing w:after="0" w:line="79" w:lineRule="exact"/>
        <w:rPr>
          <w:sz w:val="20"/>
          <w:szCs w:val="20"/>
          <w:color w:val="auto"/>
        </w:rPr>
      </w:pPr>
    </w:p>
    <w:p>
      <w:pPr>
        <w:ind w:right="4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Stock-Based Compensation and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of the Notes to Consolidated Financial Statements for additional information relating to stock-based compensation.</w:t>
      </w:r>
    </w:p>
    <w:p>
      <w:pPr>
        <w:spacing w:after="0" w:line="62"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Investments</w:t>
      </w:r>
    </w:p>
    <w:p>
      <w:pPr>
        <w:spacing w:after="0" w:line="13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Other investments consist of interests in venture capital funds and other long-term investments and are recorded in Other assets on the Consolidated Balance Sheets. Investments are accounted for using the equity method of accounting or cost, less any impairment, plus or minus changes resulting from observable price changes in orderly transactions for an identical or similar investment of the same issuer. For equity method investments, realized gains and losses are reflected in other, net based upon the Company’s ownership share of the investee’s financial results.</w:t>
      </w:r>
    </w:p>
    <w:p>
      <w:pPr>
        <w:spacing w:after="0" w:line="95"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9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enhances the disclosure requirements for reportable segments. ASU 2023-07 requires segment disclosure to include significant segment expense categories and amounts, and qualitative detail of other segment items. Disclosure of multiple measures of segment profit and loss may also be reported. The Company adopted ASU 2023-07 in fiscal 2025. See Note 4, </w:t>
      </w:r>
      <w:r>
        <w:rPr>
          <w:rFonts w:ascii="Times New Roman" w:cs="Times New Roman" w:eastAsia="Times New Roman" w:hAnsi="Times New Roman"/>
          <w:sz w:val="18"/>
          <w:szCs w:val="18"/>
          <w:i w:val="1"/>
          <w:iCs w:val="1"/>
          <w:color w:val="auto"/>
        </w:rPr>
        <w:t>Industry, Segment and Geographic Information,</w:t>
      </w:r>
      <w:r>
        <w:rPr>
          <w:rFonts w:ascii="Times New Roman" w:cs="Times New Roman" w:eastAsia="Times New Roman" w:hAnsi="Times New Roman"/>
          <w:sz w:val="18"/>
          <w:szCs w:val="18"/>
          <w:color w:val="auto"/>
        </w:rPr>
        <w:t xml:space="preserve"> of the Notes to Consolidated Financial Statements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is currently evaluating the impact, if any, adoption will have on its financial statement disclosures.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7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2026, and interim periods within fiscal years beginning after December 15, 2027, with early adoption permitted. The Company is currently evaluating the impact, if any, adoption will have on its financial statement disclosures.</w:t>
      </w:r>
    </w:p>
    <w:p>
      <w:pPr>
        <w:spacing w:after="0" w:line="127" w:lineRule="exact"/>
        <w:rPr>
          <w:sz w:val="20"/>
          <w:szCs w:val="20"/>
          <w:color w:val="auto"/>
        </w:rPr>
      </w:pPr>
    </w:p>
    <w:p>
      <w:pPr>
        <w:ind w:left="220" w:right="6900" w:hanging="212"/>
        <w:spacing w:after="0" w:line="401" w:lineRule="auto"/>
        <w:tabs>
          <w:tab w:leader="none" w:pos="19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and Shareholders’ Equity </w:t>
      </w:r>
      <w:r>
        <w:rPr>
          <w:rFonts w:ascii="Times New Roman" w:cs="Times New Roman" w:eastAsia="Times New Roman" w:hAnsi="Times New Roman"/>
          <w:sz w:val="18"/>
          <w:szCs w:val="18"/>
          <w:i w:val="1"/>
          <w:iCs w:val="1"/>
          <w:u w:val="single" w:color="auto"/>
          <w:color w:val="auto"/>
        </w:rPr>
        <w:t>Equity Compensation Plans</w:t>
      </w:r>
    </w:p>
    <w:p>
      <w:pPr>
        <w:spacing w:after="0" w:line="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Company grants, or has granted, stock options and other stock and stock-based awards under the Company’s 2020 Equity Incentive Plan (2020 Plan), which was approved by shareholders in March 2020. The 2020 Plan provides for the issuance of up to 21.2 million shares of the Company’s common stock, which includes shares that remained available or became available under the Company’s previous equity compensation plans, including the Amended and Restated 2006 Stock Incentive Plan and the Amended and Restated 2010 Equity Incentive Plan. The 2020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2020 Plan. No award may be made under the 2020 Plan after March 11, 2030, but awards previously granted may extend beyond that date. The Company does not intend to grant further equity awards under any previous legacy equity compensation plans. As of November 1, 2025, a total of 11.6 million shares of the Company’s common stock were available for future issuance under the 2020 Plan.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u w:val="single" w:color="auto"/>
          <w:color w:val="auto"/>
        </w:rPr>
        <w:t>Modification of Awards</w:t>
      </w:r>
    </w:p>
    <w:p>
      <w:pPr>
        <w:spacing w:after="0" w:line="14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has, from time to time, modified the terms of its equity awards to employees and directors. The modifications made to the Company’s equity awards in fiscal 2025, fiscal 2024 and fiscal 2023 did not result in significant incremental compensation costs, either individually or in the aggregate.</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133"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 offers an ESPP to eligible employees, providing the opportunity to purchase shares of the Company’s common stock at a discount through payroll deductions. Offering periods begin in June and December each year. U.S. employees are allowed to purchase the Company’s common stock at the lesser of 85% of the fair market value of the common stock at either the beginning or end of the offering period. Eligible employees outside of the U.S. are allowed to purchase the Company’s common stock at the lesser of 80% of the fair market value of the common stock at either the beginning or end of the offering period. As of November 1, 2025, a total of 3.7 million shares of the Company’s common stock were available for future grant under the ESPP.</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 Expense</w:t>
      </w:r>
    </w:p>
    <w:p>
      <w:pPr>
        <w:spacing w:after="0" w:line="14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5.0% to all unvested stock-based awards as of November 1, 2025. This analysis will be re-evaluated annually and the forfeiture rate will be adjusted as necessary. Ultimately, the actual expense recognized over the vesting period will only be for those awards that vest.</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 recognized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36,703</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143,789</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48"/>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20" w:firstLine="445"/>
        <w:spacing w:after="0" w:line="282" w:lineRule="auto"/>
        <w:rPr>
          <w:sz w:val="20"/>
          <w:szCs w:val="20"/>
          <w:color w:val="auto"/>
        </w:rPr>
      </w:pPr>
      <w:r>
        <w:rPr>
          <w:rFonts w:ascii="Times New Roman" w:cs="Times New Roman" w:eastAsia="Times New Roman" w:hAnsi="Times New Roman"/>
          <w:sz w:val="18"/>
          <w:szCs w:val="18"/>
          <w:color w:val="auto"/>
        </w:rPr>
        <w:t>As of November 1, 2025 and November 2, 2024, the Company capitalized $14.5 million and $10.4 million, respectively, of stock-based compensation in inventory.</w:t>
      </w:r>
    </w:p>
    <w:p>
      <w:pPr>
        <w:spacing w:after="0" w:line="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 Activity</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stock option activity as of November 1, 2025 and changes during the fiscal year then ended is presented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2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November 2,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and exercisable at November 1,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6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$142,441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(i.e., the difference between the market price at exercise and the price paid by the employee to exercise the options) during fiscal 2025, fiscal 2024 and fiscal 2023 was $64.2 million, $93.9 million and $95.0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500" w:firstLine="445"/>
        <w:spacing w:after="0" w:line="270" w:lineRule="auto"/>
        <w:rPr>
          <w:sz w:val="20"/>
          <w:szCs w:val="20"/>
          <w:color w:val="auto"/>
        </w:rPr>
      </w:pPr>
      <w:r>
        <w:rPr>
          <w:rFonts w:ascii="Times New Roman" w:cs="Times New Roman" w:eastAsia="Times New Roman" w:hAnsi="Times New Roman"/>
          <w:sz w:val="18"/>
          <w:szCs w:val="18"/>
          <w:color w:val="auto"/>
        </w:rPr>
        <w:t>A summary of the Company’s restricted stock unit and award activity as of November 1, 2025 and changes during the fiscal year then ended is presented below:</w:t>
      </w:r>
    </w:p>
    <w:tbl>
      <w:tblPr>
        <w:tblLayout w:type="fixed"/>
        <w:tblInd w:w="0" w:type="dxa"/>
        <w:tblCellMar>
          <w:top w:w="0" w:type="dxa"/>
          <w:left w:w="0" w:type="dxa"/>
          <w:bottom w:w="0" w:type="dxa"/>
          <w:right w:w="0" w:type="dxa"/>
        </w:tblCellMar>
      </w:tblPr>
      <w:tr>
        <w:trPr>
          <w:trHeight w:val="149"/>
        </w:trPr>
        <w:tc>
          <w:tcPr>
            <w:tcW w:w="8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8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Units/Awards</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46"/>
        </w:trPr>
        <w:tc>
          <w:tcPr>
            <w:tcW w:w="824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96"/>
        </w:trPr>
        <w:tc>
          <w:tcPr>
            <w:tcW w:w="82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units/awards outstanding at November 2,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$186.81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Units/Awards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5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$164.33</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Restrictions lapsed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5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$172.32</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540" w:type="dxa"/>
            <w:vAlign w:val="bottom"/>
            <w:tcBorders>
              <w:bottom w:val="single" w:sz="8" w:color="CCEEFF"/>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$191.82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units/awards outstanding at November 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540" w:type="dxa"/>
            <w:vAlign w:val="bottom"/>
            <w:tcBorders>
              <w:bottom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$180.59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As of November 1, 2025, there was $640.2 million of total unrecognized compensation cost related to unvested stock-based awards comprised of restricted stock unit awards. That cost is expected to be recognized over a weighted-average period of 1.5 years. The total grant-date fair value of awards that vested during fiscal 2025, fiscal 2024 and fiscal 2023 was approximately $345.1 million, $309.0 million and $298.2 million, respectively.</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33"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Company’s share repurchase program has been in place since August 2004. In the aggregate, the Board of Directors has authorized the Company to repurchase $26.7 billion of the Company’s common stock under the program, which includes the $10.0 billion authorization approved by the Board of Directors on February 18, 2025.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November 1, 2025, the Company had repurchased a total of approximately 216.5 million shares of its common stock for approximately $17.0 billion under this program. An additional $9.7 billion remains available for repurchase of shares under the current authorized program. The repurchased shares are held as authorized but unissued shares of common stock.</w:t>
      </w:r>
    </w:p>
    <w:p>
      <w:pPr>
        <w:spacing w:after="0" w:line="13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Company also, from time to time, repurchases shares in settlement of employee tax withholding obligations due upon the vesting of restricted stock units/awards or the exercise of stock options. The withholding amount is based on the employee’s minimum statutory withholding requirement.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133"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77"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Industry, Segment and Geographic Information</w:t>
      </w:r>
    </w:p>
    <w:p>
      <w:pPr>
        <w:spacing w:after="0" w:line="135"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The Company operates and tracks its results at the consolidated company level in one operating segment and one reportable segment. The Company designs, develops, manufactures and markets a broad range of ICs. The Company uses a highly-integrated approach in developing its products in that discrete technologies developed by the Company are frequently integrated across many of its products, and substantially all of the Company’s ICs are manufactured under similar processes with raw materials in either the Company’s own production facilities or by third-party wafer fabricators using proprietary processes. The ICs marketed by the Company are sold globally through a direct sales force, third-party distributors, independent sales representatives and via the Company’s website to the same types of customers spanning a wide range of applications. Accordingly, the Company operates under a single operating segment.</w:t>
      </w:r>
    </w:p>
    <w:p>
      <w:pPr>
        <w:spacing w:after="0" w:line="94"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Company’s Chair and Chief Executive Officer has been identified as its Chief Operating Decision Maker (CODM). The Company’s organizational structure is based along functional lines with each functional manager reporting to the CODM or to a direct report of the CODM. The CODM regularly reviews income and expense items at the consolidated company level. He primarily uses consolidated net income as reported on the Consolidated Statements of Operations to evaluate performance and allocate resources. This measure is utilized during the Company’s budgeting and forecasting process to assess profitability and inform strategic initiatives, capital allocation and other operating decisions. The measure of segment assets is reported on the Consolidated Balance Sheets as total assets.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640" w:firstLine="445"/>
        <w:spacing w:after="0" w:line="262" w:lineRule="auto"/>
        <w:rPr>
          <w:sz w:val="20"/>
          <w:szCs w:val="20"/>
          <w:color w:val="auto"/>
        </w:rPr>
      </w:pPr>
      <w:r>
        <w:rPr>
          <w:rFonts w:ascii="Times New Roman" w:cs="Times New Roman" w:eastAsia="Times New Roman" w:hAnsi="Times New Roman"/>
          <w:sz w:val="18"/>
          <w:szCs w:val="18"/>
          <w:color w:val="auto"/>
        </w:rPr>
        <w:t>The following table presents a summary of consolidated net income inclusive of significant segment expenses and other expense information provided to the CODM: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160" w:type="dxa"/>
            <w:vAlign w:val="bottom"/>
          </w:tcPr>
          <w:p>
            <w:pPr>
              <w:spacing w:after="0"/>
              <w:rPr>
                <w:sz w:val="16"/>
                <w:szCs w:val="16"/>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12,305,539</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including human capital expenses therein</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4,428,321</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Employee compensation costs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2,051,976</w:t>
            </w:r>
          </w:p>
        </w:tc>
      </w:tr>
      <w:tr>
        <w:trPr>
          <w:trHeight w:val="229"/>
        </w:trPr>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959,618</w:t>
            </w:r>
          </w:p>
        </w:tc>
      </w:tr>
      <w:tr>
        <w:trPr>
          <w:trHeight w:val="176"/>
        </w:trPr>
        <w:tc>
          <w:tcPr>
            <w:tcW w:w="640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Research and development related costs (excluding employee compensation</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6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costs)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498,281</w:t>
            </w:r>
          </w:p>
        </w:tc>
      </w:tr>
      <w:tr>
        <w:trPr>
          <w:trHeight w:val="229"/>
        </w:trPr>
        <w:tc>
          <w:tcPr>
            <w:tcW w:w="6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160,710</w:t>
            </w:r>
          </w:p>
        </w:tc>
      </w:tr>
      <w:tr>
        <w:trPr>
          <w:trHeight w:val="229"/>
        </w:trPr>
        <w:tc>
          <w:tcPr>
            <w:tcW w:w="6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operating expense (excluding employee compensation costs) (1)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383,521</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215,109</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293,424</w:t>
            </w: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2,267,342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3,314,579</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4"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Includes depreciation and amortization expenses, facilities expenses, legal expenses and other discretionary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4,929,409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4,290,324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6,565,376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3,277,865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2,903,979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1,434,568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1,207,880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1,377,865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1,091,431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1,591,586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12,305,539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The sum of the individual percentages may not equal the total due to rounding.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1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 by sales channel. The Company sells its products globally through a direct sales force, third-party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8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2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3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6,144,819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5,505,779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7,534,894</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4,718,993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3,772,945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4,603,166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167,479</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12,305,539</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4"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The sum of the individual percentages may not equal the total due to rounding.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Geographic revenue information for fiscal 2025, fiscal 2024 and fiscal 2023 reflects the geographic location of the distributors or OEMs who purchased the Company’s products. This may differ from the geographic location of the end customers particularly in cases where a third-party contract manufacturer purchases the Company’s products through distributors. In all periods presented, the predominant regions comprising “Rest of North and South America” are Mexico and Canada; the predominant regions comprising “Europe” are Germany, the Netherlands, France and Israel; and the predominant regions comprising “Rest of Asia” are Taiwan, South Korea, Malaysia and Singapore.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2,840,426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4,165,296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North and South America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88,579</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2,285,598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3,001,871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1,397,119</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2,229,631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Asia</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1,423,043</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Subtotal all foreign regions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6,586,731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8,140,243</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12,305,539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1,577,914</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573,684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Philippines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620,453</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123,574</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regions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113,872</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Subtotal all foreign regions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1,641,243</w:t>
            </w:r>
          </w:p>
        </w:tc>
        <w:tc>
          <w:tcPr>
            <w:tcW w:w="0" w:type="dxa"/>
            <w:vAlign w:val="bottom"/>
          </w:tcPr>
          <w:p>
            <w:pPr>
              <w:spacing w:after="0"/>
              <w:rPr>
                <w:sz w:val="1"/>
                <w:szCs w:val="1"/>
                <w:color w:val="auto"/>
              </w:rPr>
            </w:pP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3,415,550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3,219,157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Special Charges, Net</w:t>
      </w:r>
    </w:p>
    <w:p>
      <w:pPr>
        <w:spacing w:after="0" w:line="135"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actions resulting in special charges over the past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2" w:lineRule="exact"/>
        <w:rPr>
          <w:sz w:val="20"/>
          <w:szCs w:val="20"/>
          <w:color w:val="auto"/>
        </w:rPr>
      </w:pPr>
    </w:p>
    <w:p>
      <w:pPr>
        <w:ind w:right="80" w:firstLine="445"/>
        <w:spacing w:after="0" w:line="270" w:lineRule="auto"/>
        <w:rPr>
          <w:sz w:val="20"/>
          <w:szCs w:val="20"/>
          <w:color w:val="auto"/>
        </w:rPr>
      </w:pPr>
      <w:r>
        <w:rPr>
          <w:rFonts w:ascii="Times New Roman" w:cs="Times New Roman" w:eastAsia="Times New Roman" w:hAnsi="Times New Roman"/>
          <w:sz w:val="18"/>
          <w:szCs w:val="18"/>
          <w:color w:val="auto"/>
        </w:rPr>
        <w:t>Liabilities related to special charges, net are presented in accrued liabilities and other non-current liabilities on the Consolidated Balance Sheets. The activity is detailed below:</w:t>
      </w:r>
    </w:p>
    <w:tbl>
      <w:tblPr>
        <w:tblLayout w:type="fixed"/>
        <w:tblInd w:w="0" w:type="dxa"/>
        <w:tblCellMar>
          <w:top w:w="0" w:type="dxa"/>
          <w:left w:w="0" w:type="dxa"/>
          <w:bottom w:w="0" w:type="dxa"/>
          <w:right w:w="0" w:type="dxa"/>
        </w:tblCellMar>
      </w:tblPr>
      <w:tr>
        <w:trPr>
          <w:trHeight w:val="149"/>
        </w:trPr>
        <w:tc>
          <w:tcPr>
            <w:tcW w:w="7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Accrued Special Charges</w:t>
            </w:r>
          </w:p>
        </w:tc>
        <w:tc>
          <w:tcPr>
            <w:tcW w:w="140" w:type="dxa"/>
            <w:vAlign w:val="bottom"/>
          </w:tcPr>
          <w:p>
            <w:pPr>
              <w:spacing w:after="0"/>
              <w:rPr>
                <w:sz w:val="12"/>
                <w:szCs w:val="12"/>
                <w:color w:val="auto"/>
              </w:rPr>
            </w:pPr>
          </w:p>
        </w:tc>
        <w:tc>
          <w:tcPr>
            <w:tcW w:w="154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Global Repositioning</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Q4 2023 Plan</w:t>
            </w:r>
          </w:p>
        </w:tc>
        <w:tc>
          <w:tcPr>
            <w:tcW w:w="0" w:type="dxa"/>
            <w:vAlign w:val="bottom"/>
          </w:tcPr>
          <w:p>
            <w:pPr>
              <w:spacing w:after="0"/>
              <w:rPr>
                <w:sz w:val="1"/>
                <w:szCs w:val="1"/>
                <w:color w:val="auto"/>
              </w:rPr>
            </w:pPr>
          </w:p>
        </w:tc>
      </w:tr>
      <w:tr>
        <w:trPr>
          <w:trHeight w:val="195"/>
        </w:trPr>
        <w:tc>
          <w:tcPr>
            <w:tcW w:w="7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Actions</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29, 2022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52,070</w:t>
            </w:r>
          </w:p>
        </w:tc>
        <w:tc>
          <w:tcPr>
            <w:tcW w:w="3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113,995</w:t>
            </w: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 payments, net</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(60,153)</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3"/>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28,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36,981</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110,446</w:t>
            </w: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Severance and benefit payments, net</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(151,636)</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13,855</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 payments, net</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(73,708)</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196"/>
        </w:trPr>
        <w:tc>
          <w:tcPr>
            <w:tcW w:w="75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at November 1, 2025</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4,115</w:t>
            </w:r>
          </w:p>
        </w:tc>
        <w:tc>
          <w:tcPr>
            <w:tcW w:w="3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3" w:lineRule="exact"/>
        <w:rPr>
          <w:sz w:val="20"/>
          <w:szCs w:val="20"/>
          <w:color w:val="auto"/>
        </w:rPr>
      </w:pPr>
    </w:p>
    <w:p>
      <w:pPr>
        <w:ind w:right="120" w:firstLine="8"/>
        <w:spacing w:after="0" w:line="275" w:lineRule="auto"/>
        <w:tabs>
          <w:tab w:leader="none" w:pos="22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October 28, 2023, this balance was comprised of $13.8 million and $23.1 million recorded in Accrued liabilities and Other non-current liabilities, respectively, on the Consolidated Balance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Repositioning Actions</w:t>
      </w:r>
    </w:p>
    <w:p>
      <w:pPr>
        <w:spacing w:after="0" w:line="119" w:lineRule="exact"/>
        <w:rPr>
          <w:sz w:val="20"/>
          <w:szCs w:val="20"/>
          <w:color w:val="auto"/>
        </w:rPr>
      </w:pPr>
    </w:p>
    <w:p>
      <w:pPr>
        <w:ind w:right="160" w:firstLine="405"/>
        <w:spacing w:after="0" w:line="277" w:lineRule="auto"/>
        <w:rPr>
          <w:sz w:val="20"/>
          <w:szCs w:val="20"/>
          <w:color w:val="auto"/>
        </w:rPr>
      </w:pPr>
      <w:r>
        <w:rPr>
          <w:rFonts w:ascii="Times New Roman" w:cs="Times New Roman" w:eastAsia="Times New Roman" w:hAnsi="Times New Roman"/>
          <w:sz w:val="17"/>
          <w:szCs w:val="17"/>
          <w:color w:val="auto"/>
        </w:rPr>
        <w:t>The Company recorded net special charges of $591.6 million on a cumulative basis through November 1, 2025, as part of the integration of the acquisition of Maxim Integrated Products, Inc. (Maxim) and continued organizational initiatives to consolidate its global footprint related to certain manufacturing, engineering, sales, marketing and administrative offices and to better align its global workforce with the Company’s long-term strategic plan. The special charges include severance and fringe benefit costs, in accordance with the Company’s ongoing benefit plan or statutory requirements at foreign locations, and the write-off of acquired intellectual property due to the Company’s decision to discontinue certain product development strategies.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Q4 2023 Plan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fiscal 2023, the Company committed to a plan to reorganize its business (the Q4 2023 Plan). The Company recorded net special charges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$155.9 million on a cumulative basis through November 2, 2024 related to the Q4 2023 Plan. The Q4 2023 Plan, consisting of voluntary and involuntary reductions-in-force and other cost-savings initiatives, was commenced to adjust the Company’s cost structure and business activities to better align with then weaker market demand and continued economic uncertainty in its end markets, as well as to make certain strategic shifts in its workforce necessary to achieve its long-term vision. The reductions-in-force impacted positions in manufacturing, engineering and selling, marketing, general and administrative functions.</w:t>
      </w:r>
    </w:p>
    <w:p>
      <w:pPr>
        <w:spacing w:after="0" w:line="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at November 1, 2025 and November 2, 2024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price adjustments and other revenue reserves</w:t>
            </w:r>
          </w:p>
        </w:tc>
        <w:tc>
          <w:tcPr>
            <w:tcW w:w="3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withholdings related to ESPP</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special charges</w:t>
            </w:r>
          </w:p>
        </w:tc>
        <w:tc>
          <w:tcPr>
            <w:tcW w:w="3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4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42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8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148"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The Company enters into operating leases which primarily relate to certain facilities and, to a lesser extent, finance leases. The Company determines whether an arrangement is or contains a lease based on the unique facts and circumstances present at the inception of an arrangement. Lease assets represent the Company’s right to use underlying assets for the lease term, and lease liabilities represent the obligation to make lease payments over the lease term. At lease commencement, leases are evaluated for classification, and assets and liabilities are recognized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 such as construction allowances from landlords and/or rent abatements subsequent to taking possession of the leased property. The Company has agreements with lease and non-lease components, which are accounted for as a single lease component. Non-lease components may include real estate taxes, insurance, maintenance, parking and other operating costs. If these costs are variable costs they are not included in the measurement of the right-of-use assets and lease liabilities, but are expensed when the event determining the amount of variable consideration to be paid occurs. The Company’s leases have remaining lease terms of less than one year to approximately twenty years, some of which may include options to extend the initial term of the lease. These options are included in determining the initial lease term at lease commencement only if the Company is reasonably certain to exercise the option. Lease costs are recognized on a straight-line basis as lease expense over the lease term. For leases with terms of twelve months or less the Company recognizes the related lease payments as expense either on a straight-line basis over the lease term or as incurred depending on whether the lease payments are fixed or variable. The Company subleases certain properties that are not used in its core business operations. Sublease income was $15.0 million and $12.8 million in fiscal 2025 and fiscal 2024, respectively.</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the Company’s operating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340" w:type="dxa"/>
            <w:vAlign w:val="bottom"/>
          </w:tcPr>
          <w:p>
            <w:pPr>
              <w:spacing w:after="0"/>
              <w:rPr>
                <w:sz w:val="16"/>
                <w:szCs w:val="16"/>
                <w:color w:val="auto"/>
              </w:rPr>
            </w:pPr>
          </w:p>
        </w:tc>
        <w:tc>
          <w:tcPr>
            <w:tcW w:w="19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in Other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229,520</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242,548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in Accrued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68,130</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in Other non-current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283,904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318,570</w:t>
            </w: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Details of the Company’s operating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center"/>
              <w:ind w:left="1353"/>
              <w:spacing w:after="0"/>
              <w:rPr>
                <w:sz w:val="20"/>
                <w:szCs w:val="20"/>
                <w:color w:val="auto"/>
              </w:rPr>
            </w:pPr>
            <w:r>
              <w:rPr>
                <w:rFonts w:ascii="Times New Roman" w:cs="Times New Roman" w:eastAsia="Times New Roman" w:hAnsi="Times New Roman"/>
                <w:sz w:val="18"/>
                <w:szCs w:val="18"/>
                <w:color w:val="auto"/>
              </w:rPr>
              <w:t>67,340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68,331</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operating lease liabilities</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flows from operating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center"/>
              <w:ind w:left="1353"/>
              <w:spacing w:after="0"/>
              <w:rPr>
                <w:sz w:val="20"/>
                <w:szCs w:val="20"/>
                <w:color w:val="auto"/>
              </w:rPr>
            </w:pPr>
            <w:r>
              <w:rPr>
                <w:rFonts w:ascii="Times New Roman" w:cs="Times New Roman" w:eastAsia="Times New Roman" w:hAnsi="Times New Roman"/>
                <w:sz w:val="18"/>
                <w:szCs w:val="18"/>
                <w:color w:val="auto"/>
              </w:rPr>
              <w:t>83,556</w:t>
            </w:r>
          </w:p>
        </w:tc>
        <w:tc>
          <w:tcPr>
            <w:tcW w:w="5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center"/>
              <w:ind w:left="1353"/>
              <w:spacing w:after="0"/>
              <w:rPr>
                <w:sz w:val="20"/>
                <w:szCs w:val="20"/>
                <w:color w:val="auto"/>
              </w:rPr>
            </w:pPr>
            <w:r>
              <w:rPr>
                <w:rFonts w:ascii="Times New Roman" w:cs="Times New Roman" w:eastAsia="Times New Roman" w:hAnsi="Times New Roman"/>
                <w:sz w:val="18"/>
                <w:szCs w:val="18"/>
                <w:color w:val="auto"/>
              </w:rPr>
              <w:t>39,604</w:t>
            </w:r>
          </w:p>
        </w:tc>
        <w:tc>
          <w:tcPr>
            <w:tcW w:w="5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5.7 years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 years</w:t>
            </w: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Pr>
          <w:p>
            <w:pPr>
              <w:spacing w:after="0"/>
              <w:rPr>
                <w:sz w:val="20"/>
                <w:szCs w:val="20"/>
                <w:color w:val="auto"/>
              </w:rPr>
            </w:pPr>
          </w:p>
        </w:tc>
        <w:tc>
          <w:tcPr>
            <w:tcW w:w="1940" w:type="dxa"/>
            <w:vAlign w:val="bottom"/>
          </w:tcPr>
          <w:p>
            <w:pPr>
              <w:jc w:val="center"/>
              <w:ind w:left="1373"/>
              <w:spacing w:after="0"/>
              <w:rPr>
                <w:sz w:val="20"/>
                <w:szCs w:val="20"/>
                <w:color w:val="auto"/>
              </w:rPr>
            </w:pPr>
            <w:r>
              <w:rPr>
                <w:rFonts w:ascii="Times New Roman" w:cs="Times New Roman" w:eastAsia="Times New Roman" w:hAnsi="Times New Roman"/>
                <w:sz w:val="18"/>
                <w:szCs w:val="18"/>
                <w:color w:val="auto"/>
                <w:w w:val="95"/>
              </w:rPr>
              <w:t>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54"/>
        </w:trPr>
        <w:tc>
          <w:tcPr>
            <w:tcW w:w="8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maturities of the Company’s operating lease liabilities as of November 1, 2025: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85,606</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78,456</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64,504</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56,894</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operating lease payments</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394,961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(38,152)</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356,809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894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8"/>
        </w:trPr>
        <w:tc>
          <w:tcPr>
            <w:tcW w:w="894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96"/>
        </w:trPr>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future minimum cash receipts as a result of subleases as of November 1, 2025:</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9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w:t>
            </w:r>
          </w:p>
        </w:tc>
      </w:tr>
      <w:tr>
        <w:trPr>
          <w:trHeight w:val="223"/>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cash receipts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77,837</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35"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the Company’s business, the Company is involved in various claims, charges and litigation arising from, or related to, among other things, contractual matters, acquisitions, patents, trademarks, personal injury, environmental matters, product liability, insurance coverage, employment or employment benefits. As to such claims and litigation, the Company can give no assurance that it will prevail.</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Retirement Plans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have various savings and retirement plans covering substantially all employees.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3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plans for all eligible U.S. employees was $74.9 million in fiscal 2025, $74.3 million in fiscal 2024 and $76.0 million in fiscal 2023.</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Non-Qualified Deferred Compensation Plan</w:t>
      </w:r>
    </w:p>
    <w:p>
      <w:pPr>
        <w:spacing w:after="0" w:line="133"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Deferred Compensation Plan (DCP) allows certain members of management and other highly-compensated employees and non-employee directors to defer receipt of all or any portion of their compensation. The DCP was established to provide participants with the opportunity to defer receiving all or a portion of their compensation, which includes salary, bonus, commissions and director fees. Under the DCP, the Company provides all participants (other than non-employee directors) with Company contributions equal to 8% of eligible deferred contributions. The DCP is a non-qualified plan that is maintained in a rabbi trust. The fair value of the investments held in the rabbi trust are included within other investments, with the current portion of the investment included in prepaid expenses and other current assets in the Consolidated Balance Sheets. See Note 2j,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of the Notes to Consolidated Financial Statements for further information on these investments. The deferred compensation obligation represents DCP participant accumulated deferrals and earnings thereon since the inception of the DCP net of withdrawals. The deferred compensation obligation is included within other non-current liabilities, with the current portion of the obligation in accrued liabilities in the Consolidated Balance Sheets. The Company’s liability under the DCP is an unsecured general obligation of the Company.</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and Post Retirement Benefit Plans</w:t>
      </w:r>
    </w:p>
    <w:p>
      <w:pPr>
        <w:spacing w:after="0" w:line="146" w:lineRule="exact"/>
        <w:rPr>
          <w:sz w:val="20"/>
          <w:szCs w:val="20"/>
          <w:color w:val="auto"/>
        </w:rPr>
      </w:pPr>
    </w:p>
    <w:p>
      <w:pPr>
        <w:jc w:val="both"/>
        <w:ind w:right="500" w:firstLine="445"/>
        <w:spacing w:after="0" w:line="266" w:lineRule="auto"/>
        <w:rPr>
          <w:sz w:val="20"/>
          <w:szCs w:val="20"/>
          <w:color w:val="auto"/>
        </w:rPr>
      </w:pPr>
      <w:r>
        <w:rPr>
          <w:rFonts w:ascii="Times New Roman" w:cs="Times New Roman" w:eastAsia="Times New Roman" w:hAnsi="Times New Roman"/>
          <w:sz w:val="18"/>
          <w:szCs w:val="18"/>
          <w:color w:val="auto"/>
        </w:rPr>
        <w:t>The Company also has various defined benefit pension and other retirement plans for certain non-U.S. employees that are consistent with local statutory requirements and practices. The total expense related to these plans was $71.2 million in fiscal 2025, $66.4 million in fiscal 2024 and $64.0 million in fiscal 2023.</w:t>
      </w:r>
    </w:p>
    <w:p>
      <w:pPr>
        <w:spacing w:after="0" w:line="81"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Company’s funding policy for its foreign defined benefit pension plans is consistent with the local requirements of each country. The plans’ assets consist primarily of U.S. and non-U.S. equity securities, bonds, property and cash. The Company has elected to measure defined benefit plan assets and obligations as of October 31, which is the month-end that is closest to its fiscal year-ends, which were November 1, 2025 for fiscal 2025 and November 2, 2024 for fiscal 2024.</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Company has a postretirement plan that provides postretirement medical expenses to certain former Maxim executives in the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Cost</w:t>
      </w:r>
    </w:p>
    <w:p>
      <w:pPr>
        <w:spacing w:after="0" w:line="146" w:lineRule="exact"/>
        <w:rPr>
          <w:sz w:val="20"/>
          <w:szCs w:val="20"/>
          <w:color w:val="auto"/>
        </w:rPr>
      </w:pPr>
    </w:p>
    <w:p>
      <w:pPr>
        <w:ind w:right="180" w:firstLine="445"/>
        <w:spacing w:after="0" w:line="270" w:lineRule="auto"/>
        <w:rPr>
          <w:sz w:val="20"/>
          <w:szCs w:val="20"/>
          <w:color w:val="auto"/>
        </w:rPr>
      </w:pPr>
      <w:r>
        <w:rPr>
          <w:rFonts w:ascii="Times New Roman" w:cs="Times New Roman" w:eastAsia="Times New Roman" w:hAnsi="Times New Roman"/>
          <w:sz w:val="18"/>
          <w:szCs w:val="18"/>
          <w:color w:val="auto"/>
        </w:rPr>
        <w:t>Net annual periodic benefit cost of the Company’s pension and postretirement benefit plans for fiscal 2025, fiscal 2024 and fiscal 2023 is presented in the following table:</w:t>
      </w: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12,243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10,172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19,193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impact</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19,193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above is recorded in Cost of sales, Research and development, Selling, marketing, general and administrative expenses within the Consolidated Statements of Income, while the remaining components are recorded to Other, net.</w:t>
      </w:r>
    </w:p>
    <w:p>
      <w:pPr>
        <w:spacing w:after="0" w:line="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Benefit Obligations and Plan Assets</w:t>
      </w:r>
    </w:p>
    <w:p>
      <w:pPr>
        <w:spacing w:after="0" w:line="133" w:lineRule="exact"/>
        <w:rPr>
          <w:sz w:val="20"/>
          <w:szCs w:val="20"/>
          <w:color w:val="auto"/>
        </w:rPr>
      </w:pPr>
    </w:p>
    <w:p>
      <w:pPr>
        <w:ind w:right="120" w:firstLine="405"/>
        <w:spacing w:after="0" w:line="270" w:lineRule="auto"/>
        <w:rPr>
          <w:sz w:val="20"/>
          <w:szCs w:val="20"/>
          <w:color w:val="auto"/>
        </w:rPr>
      </w:pPr>
      <w:r>
        <w:rPr>
          <w:rFonts w:ascii="Times New Roman" w:cs="Times New Roman" w:eastAsia="Times New Roman" w:hAnsi="Times New Roman"/>
          <w:sz w:val="18"/>
          <w:szCs w:val="18"/>
          <w:color w:val="auto"/>
        </w:rPr>
        <w:t>Obligation and asset data of the Company’s pension and postretirement benefit plans at November 1, 2025 and November 2, 2024 is presented in the following table:</w:t>
      </w: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combinations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23,349</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202,779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combinations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Exchange rate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Funded Status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(106,988)</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(104,131)</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Recognized in the Statement of Financial Position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contributions less than net periodic benefit cost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(78,170)</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Recognized in 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Changes in plan assets and benefit obligations recognized in other 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gain/loss arising during the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combinations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amounts included in AOCI</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Amounts recognized as a component of net periodic benefit cost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or settlement recognition of net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recognized in other comprehensive gain/loss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recognized in net periodic cost and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amounts that will be amortized from AOCI over the next fiscal year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80" w:firstLine="445"/>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for the Company’s pension and postretirement benefit plans was $127.2 million and $132.7 million at November 1, 2025 and November 2, 2024, respectively.</w:t>
      </w:r>
    </w:p>
    <w:p>
      <w:pPr>
        <w:spacing w:after="0" w:line="67" w:lineRule="exact"/>
        <w:rPr>
          <w:sz w:val="20"/>
          <w:szCs w:val="20"/>
          <w:color w:val="auto"/>
        </w:rPr>
      </w:pPr>
    </w:p>
    <w:p>
      <w:pPr>
        <w:ind w:right="560" w:firstLine="445"/>
        <w:spacing w:after="0" w:line="270" w:lineRule="auto"/>
        <w:rPr>
          <w:sz w:val="20"/>
          <w:szCs w:val="20"/>
          <w:color w:val="auto"/>
        </w:rPr>
      </w:pPr>
      <w:r>
        <w:rPr>
          <w:rFonts w:ascii="Times New Roman" w:cs="Times New Roman" w:eastAsia="Times New Roman" w:hAnsi="Times New Roman"/>
          <w:sz w:val="18"/>
          <w:szCs w:val="18"/>
          <w:color w:val="auto"/>
        </w:rPr>
        <w:t>Information relating to the Company’s pension and postretirement benefit plans with projected benefit obligations in excess of plan assets and accumulated benefit obligations in excess of plan assets at November 1, 2025 and November 2, 2024 is presented in the following table:</w:t>
      </w: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projected benefit obligations in excess of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155,777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accumulated benefit obligations in excess of plan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33"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range of assumptions used for the Company’s pension and postretirement benefit plans reflects the different economic environments within the various countries as well as the differences in the attributes of the participants.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projected benefit obligation was determined using the following weighted-average assumptions: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6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3"/>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20" w:type="dxa"/>
            <w:vAlign w:val="bottom"/>
          </w:tcPr>
          <w:p>
            <w:pPr>
              <w:spacing w:after="0"/>
              <w:rPr>
                <w:sz w:val="19"/>
                <w:szCs w:val="19"/>
                <w:color w:val="auto"/>
              </w:rPr>
            </w:pPr>
          </w:p>
        </w:tc>
      </w:tr>
      <w:tr>
        <w:trPr>
          <w:trHeight w:val="234"/>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20" w:type="dxa"/>
            <w:vAlign w:val="bottom"/>
          </w:tcPr>
          <w:p>
            <w:pPr>
              <w:spacing w:after="0"/>
              <w:rPr>
                <w:sz w:val="20"/>
                <w:szCs w:val="20"/>
                <w:color w:val="auto"/>
              </w:rPr>
            </w:pPr>
          </w:p>
        </w:tc>
      </w:tr>
      <w:tr>
        <w:trPr>
          <w:trHeight w:val="468"/>
        </w:trPr>
        <w:tc>
          <w:tcPr>
            <w:tcW w:w="8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annual periodic benefit cost was determined using the following weighted average assumptions: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8960" w:type="dxa"/>
            <w:vAlign w:val="bottom"/>
            <w:gridSpan w:val="2"/>
          </w:tcPr>
          <w:p>
            <w:pPr>
              <w:ind w:left="8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23"/>
        </w:trPr>
        <w:tc>
          <w:tcPr>
            <w:tcW w:w="89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20" w:type="dxa"/>
            <w:vAlign w:val="bottom"/>
          </w:tcPr>
          <w:p>
            <w:pPr>
              <w:spacing w:after="0"/>
              <w:rPr>
                <w:sz w:val="19"/>
                <w:szCs w:val="19"/>
                <w:color w:val="auto"/>
              </w:rPr>
            </w:pP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20" w:type="dxa"/>
            <w:vAlign w:val="bottom"/>
          </w:tcPr>
          <w:p>
            <w:pPr>
              <w:spacing w:after="0"/>
              <w:rPr>
                <w:sz w:val="19"/>
                <w:szCs w:val="19"/>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20" w:type="dxa"/>
            <w:vAlign w:val="bottom"/>
          </w:tcPr>
          <w:p>
            <w:pPr>
              <w:spacing w:after="0"/>
              <w:rPr>
                <w:sz w:val="19"/>
                <w:szCs w:val="19"/>
                <w:color w:val="auto"/>
              </w:rPr>
            </w:pPr>
          </w:p>
        </w:tc>
      </w:tr>
      <w:tr>
        <w:trPr>
          <w:trHeight w:val="904"/>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10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Company’s investment strategy is based on an expectation that equity securities will outperform debt securities over the long term. Investments within each asset class are diversified to reduce the impact of losses in single investments. The use of derivative instruments is permitted where appropriate and necessary to achieve overall investment policy objectives and asset class targets. 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of plan assets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plan assets measured at fair value on a recurring basis by investment categories as of November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November 2, 2024 using the same three-level hierarchy described in Note 2j,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of the Notes to Consolidated Financial Statements:</w:t>
      </w:r>
    </w:p>
    <w:p>
      <w:pPr>
        <w:spacing w:after="0" w:line="25" w:lineRule="exact"/>
        <w:rPr>
          <w:sz w:val="20"/>
          <w:szCs w:val="20"/>
          <w:color w:val="auto"/>
        </w:rPr>
      </w:pPr>
    </w:p>
    <w:p>
      <w:pPr>
        <w:ind w:left="4500"/>
        <w:spacing w:after="0"/>
        <w:tabs>
          <w:tab w:leader="none" w:pos="8660" w:val="left"/>
        </w:tabs>
        <w:rPr>
          <w:sz w:val="20"/>
          <w:szCs w:val="20"/>
          <w:color w:val="auto"/>
        </w:rPr>
      </w:pPr>
      <w:r>
        <w:rPr>
          <w:rFonts w:ascii="Times New Roman" w:cs="Times New Roman" w:eastAsia="Times New Roman" w:hAnsi="Times New Roman"/>
          <w:sz w:val="14"/>
          <w:szCs w:val="14"/>
          <w:b w:val="1"/>
          <w:bCs w:val="1"/>
          <w:color w:val="auto"/>
        </w:rPr>
        <w:t>November 1, 2025</w:t>
      </w:r>
      <w:r>
        <w:rPr>
          <w:sz w:val="20"/>
          <w:szCs w:val="20"/>
          <w:color w:val="auto"/>
        </w:rPr>
        <w:tab/>
      </w:r>
      <w:r>
        <w:rPr>
          <w:rFonts w:ascii="Times New Roman" w:cs="Times New Roman" w:eastAsia="Times New Roman" w:hAnsi="Times New Roman"/>
          <w:sz w:val="14"/>
          <w:szCs w:val="14"/>
          <w:b w:val="1"/>
          <w:bCs w:val="1"/>
          <w:color w:val="auto"/>
        </w:rPr>
        <w:t>November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33655</wp:posOffset>
            </wp:positionV>
            <wp:extent cx="52374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55"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w:t>
      </w:r>
    </w:p>
    <w:p>
      <w:pPr>
        <w:spacing w:after="0" w:line="6"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4"/>
          <w:szCs w:val="14"/>
          <w:b w:val="1"/>
          <w:bCs w:val="1"/>
          <w:color w:val="auto"/>
        </w:rPr>
        <w:t>Using:</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w:t>
      </w:r>
    </w:p>
    <w:p>
      <w:pPr>
        <w:spacing w:after="0" w:line="6"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Using:</w:t>
      </w:r>
    </w:p>
    <w:p>
      <w:pPr>
        <w:spacing w:after="0" w:line="11" w:lineRule="exact"/>
        <w:rPr>
          <w:sz w:val="20"/>
          <w:szCs w:val="20"/>
          <w:color w:val="auto"/>
        </w:rPr>
      </w:pPr>
    </w:p>
    <w:p>
      <w:pPr>
        <w:sectPr>
          <w:pgSz w:w="11900" w:h="16838" w:orient="portrait"/>
          <w:cols w:equalWidth="0" w:num="2">
            <w:col w:w="6540" w:space="720"/>
            <w:col w:w="39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3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54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90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 trust funds(1)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7,264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Equities(1)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income securities(2)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27,822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24,013</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(3)</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Funds (4)</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46,921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47,282</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Pooled Funds (5)</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88,220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99,458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87,587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98,648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59" w:lineRule="exact"/>
        <w:rPr>
          <w:sz w:val="20"/>
          <w:szCs w:val="20"/>
          <w:color w:val="auto"/>
        </w:rPr>
      </w:pPr>
    </w:p>
    <w:p>
      <w:pPr>
        <w:ind w:left="380" w:right="140" w:hanging="332"/>
        <w:spacing w:after="0" w:line="260"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w:t>
      </w:r>
    </w:p>
    <w:p>
      <w:pPr>
        <w:spacing w:after="0" w:line="32" w:lineRule="exact"/>
        <w:rPr>
          <w:rFonts w:ascii="Times New Roman" w:cs="Times New Roman" w:eastAsia="Times New Roman" w:hAnsi="Times New Roman"/>
          <w:sz w:val="16"/>
          <w:szCs w:val="16"/>
          <w:color w:val="auto"/>
        </w:rPr>
      </w:pPr>
    </w:p>
    <w:p>
      <w:pPr>
        <w:ind w:left="380" w:right="60" w:hanging="332"/>
        <w:spacing w:after="0" w:line="280"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funds primarily concentrated in non-U.S. debt instruments. The funds are valued using the net asset value method in which an average of the market prices for underlying investments is used to value the fund.</w:t>
      </w:r>
    </w:p>
    <w:p>
      <w:pPr>
        <w:spacing w:after="0" w:line="2" w:lineRule="exact"/>
        <w:rPr>
          <w:rFonts w:ascii="Times New Roman" w:cs="Times New Roman" w:eastAsia="Times New Roman" w:hAnsi="Times New Roman"/>
          <w:sz w:val="16"/>
          <w:szCs w:val="16"/>
          <w:color w:val="auto"/>
        </w:rPr>
      </w:pPr>
    </w:p>
    <w:p>
      <w:pPr>
        <w:ind w:left="380" w:right="160" w:hanging="332"/>
        <w:spacing w:after="0" w:line="258"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funds that primarily invest in global real estate and infrastructure funds. The funds are valued using the net asset value method in which an average of the market prices for underlying investments is used to value the fund.</w:t>
      </w:r>
    </w:p>
    <w:p>
      <w:pPr>
        <w:ind w:left="380" w:right="180" w:hanging="332"/>
        <w:spacing w:after="0" w:line="246"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liability driven investment funds that may hold a range of low-risk hedging instruments including but not limited to government bonds, interest rate and inflation swaps, physical inflation-linked and nominal gilts, synthetic gilts, cash and money market instruments. The investment funds are valued at the closing price reported if traded on an active market or at yields currently available on comparable securities of issuers with similar credit ratings.</w:t>
      </w:r>
    </w:p>
    <w:p>
      <w:pPr>
        <w:spacing w:after="0" w:line="1" w:lineRule="exact"/>
        <w:rPr>
          <w:rFonts w:ascii="Times New Roman" w:cs="Times New Roman" w:eastAsia="Times New Roman" w:hAnsi="Times New Roman"/>
          <w:sz w:val="16"/>
          <w:szCs w:val="16"/>
          <w:color w:val="auto"/>
        </w:rPr>
      </w:pPr>
    </w:p>
    <w:p>
      <w:pPr>
        <w:ind w:left="380" w:right="380" w:hanging="332"/>
        <w:spacing w:after="0" w:line="239"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fund-based variable insurance policy that declares a fixed return on a quarterly or annual basis. The fair value is the estimated surrender value of the policy.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920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ANALOG DEVICES, INC.</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8"/>
        </w:trPr>
        <w:tc>
          <w:tcPr>
            <w:tcW w:w="920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56"/>
        </w:trPr>
        <w:tc>
          <w:tcPr>
            <w:tcW w:w="9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Estimated future cash flows</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9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Expected fiscal 2026 Company contributions and estimated future benefit payments are as follows:</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9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Company Contributions</w:t>
            </w: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w:t>
            </w: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Benefit Payments</w:t>
            </w: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29"/>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r>
      <w:tr>
        <w:trPr>
          <w:trHeight w:val="230"/>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r>
      <w:tr>
        <w:trPr>
          <w:trHeight w:val="229"/>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r>
      <w:tr>
        <w:trPr>
          <w:trHeight w:val="229"/>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r>
      <w:tr>
        <w:trPr>
          <w:trHeight w:val="230"/>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2030 through 2034</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77,411</w:t>
            </w:r>
          </w:p>
        </w:tc>
      </w:tr>
    </w:tbl>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48" w:lineRule="exact"/>
        <w:rPr>
          <w:sz w:val="20"/>
          <w:szCs w:val="20"/>
          <w:color w:val="auto"/>
        </w:rPr>
      </w:pPr>
    </w:p>
    <w:p>
      <w:pPr>
        <w:ind w:right="20" w:firstLine="445"/>
        <w:spacing w:after="0" w:line="263" w:lineRule="auto"/>
        <w:rPr>
          <w:sz w:val="20"/>
          <w:szCs w:val="20"/>
          <w:color w:val="auto"/>
        </w:rPr>
      </w:pPr>
      <w:r>
        <w:rPr>
          <w:rFonts w:ascii="Times New Roman" w:cs="Times New Roman" w:eastAsia="Times New Roman" w:hAnsi="Times New Roman"/>
          <w:sz w:val="18"/>
          <w:szCs w:val="18"/>
          <w:color w:val="auto"/>
        </w:rPr>
        <w:t>The Company’s effective tax rate reflects the applicable tax rate in effect in the various tax jurisdictions around the world where the Company’s income is earned. The reconciliation of income tax computed at the U.S. federal statutory rates to income tax expense for fiscal 2025, fiscal 2024 and fiscal 2023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 reconciliation: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at statutory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569,544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757,681</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foreign income subject to lower tax rate</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(391,616)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(219,294)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(358,944)</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(10,646)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4,453</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(6,641)</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(53,420)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(65,391)</w:t>
            </w: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(19,514)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17,985</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114,679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142,358</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attributable to the Tax Cuts and Jobs Act of 2017</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(81,695)</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attributable to the One Big Beautiful Bill Act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153,763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effects of international operations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51,314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(98,286)</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Windfalls (under ASU 2016-09)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(22,985)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(24,211)</w:t>
            </w: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(20,332)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6,115</w:t>
            </w:r>
          </w:p>
        </w:tc>
      </w:tr>
      <w:tr>
        <w:trPr>
          <w:trHeight w:val="248"/>
        </w:trPr>
        <w:tc>
          <w:tcPr>
            <w:tcW w:w="6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444,770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142,067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293,424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before income taxes for fiscal 2025, fiscal 2024 and fiscal 2023 includes the following components: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846,592</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2,191,924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1,259,785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2,761,411</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3,608,003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hanging="332"/>
        <w:spacing w:after="0"/>
        <w:tabs>
          <w:tab w:leader="none" w:pos="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reflects deemed intercompany royalties in all periods presented.</w:t>
      </w:r>
    </w:p>
    <w:p>
      <w:pPr>
        <w:spacing w:after="0" w:line="200" w:lineRule="exact"/>
        <w:rPr>
          <w:rFonts w:ascii="Times New Roman" w:cs="Times New Roman" w:eastAsia="Times New Roman" w:hAnsi="Times New Roman"/>
          <w:sz w:val="16"/>
          <w:szCs w:val="16"/>
          <w:color w:val="auto"/>
        </w:rPr>
      </w:pPr>
    </w:p>
    <w:p>
      <w:pPr>
        <w:spacing w:after="0" w:line="39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provision for income taxes for fiscal 2025, fiscal 2024 and fiscal 2023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tax</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431,452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746,370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(508,741)</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(452,946)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global intangible low-taxed income (GILTI) under the deferred method. In fiscal 2025, the One Big Beautiful Bill Act (OBBBA) was enacted, which revised the applicable GILTI tax rate for the Company’s fiscal years beginning in 2027. As a result, in fiscal 2025, the Company recorded a net deferred tax expense of $153.8 million related to the remeasurement of its GILTI-related deferred tax assets and liabilities.</w:t>
      </w:r>
    </w:p>
    <w:p>
      <w:pPr>
        <w:spacing w:after="0" w:line="122"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fiscal 2023 was impacted by a discrete income tax benefit recorded of $81.7 million resulting from the approval granted by the Joint Committee on Taxation of its federal corporate income tax relief claim which reduced the amount of transition tax owed under the Tax Cuts and Jobs Act.</w:t>
      </w:r>
    </w:p>
    <w:p>
      <w:pPr>
        <w:spacing w:after="0" w:line="12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carries other outside basis differences in its subsidiaries, primarily arising from acquisition accounting adjustments and certain undistributed earnings that are considered indefinitely reinvested. As of November 1, 2025, the Company has not recognized deferred income tax on $33.6 billion of outside basis differences because of its intent and ability to indefinitely reinvest these basis differences. These basis differences could be reversed through a sale of the subsidiaries or the receipt of dividends from the subsidiaries, as well as various other events, none of which are considered probable at this time. Determination of the amount of unrecognized deferred income tax liability related to these outside basis differences is not practicable.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for fiscal 2025 and fiscal 2024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reserves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48,801</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carryovers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318,469</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1,871,218</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R&amp;D expenses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624,682</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71,049</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3,101,703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(343,079)</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2,758,624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GILTI tax liabilities (2)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(2,442,068)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intangibles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(664,337)</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(3,299,264)</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(540,640)</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w:t>
      </w:r>
    </w:p>
    <w:p>
      <w:pPr>
        <w:spacing w:after="0" w:line="10" w:lineRule="exact"/>
        <w:rPr>
          <w:sz w:val="20"/>
          <w:szCs w:val="20"/>
          <w:color w:val="auto"/>
        </w:rPr>
      </w:pPr>
    </w:p>
    <w:p>
      <w:pPr>
        <w:ind w:left="380" w:right="220" w:hanging="332"/>
        <w:spacing w:after="0" w:line="259" w:lineRule="auto"/>
        <w:tabs>
          <w:tab w:leader="none" w:pos="2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t>
      </w:r>
      <w:r>
        <w:rPr>
          <w:rFonts w:ascii="Times New Roman" w:cs="Times New Roman" w:eastAsia="Times New Roman" w:hAnsi="Times New Roman"/>
          <w:sz w:val="17"/>
          <w:szCs w:val="17"/>
          <w:color w:val="auto"/>
        </w:rPr>
        <w:t>included</w:t>
      </w:r>
      <w:r>
        <w:rPr>
          <w:rFonts w:ascii="Times New Roman" w:cs="Times New Roman" w:eastAsia="Times New Roman" w:hAnsi="Times New Roman"/>
          <w:sz w:val="16"/>
          <w:szCs w:val="16"/>
          <w:color w:val="auto"/>
        </w:rPr>
        <w:t xml:space="preserve"> the effects of the mandatory capitalization and amortization of research and development expenses which began in fiscal 2023 under the Tax Cuts and Jobs Act.</w:t>
      </w:r>
    </w:p>
    <w:p>
      <w:pPr>
        <w:spacing w:after="0" w:line="1" w:lineRule="exact"/>
        <w:rPr>
          <w:rFonts w:ascii="Times New Roman" w:cs="Times New Roman" w:eastAsia="Times New Roman" w:hAnsi="Times New Roman"/>
          <w:sz w:val="16"/>
          <w:szCs w:val="16"/>
          <w:color w:val="auto"/>
        </w:rPr>
      </w:pPr>
    </w:p>
    <w:p>
      <w:pPr>
        <w:ind w:left="380" w:right="140" w:hanging="332"/>
        <w:spacing w:after="0" w:line="270" w:lineRule="auto"/>
        <w:tabs>
          <w:tab w:leader="none" w:pos="2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effective tax rate for fiscal 2025 was impacted by a net deferred tax expense of $153.8 million recorded in fiscal 2025 related to the remeasurement of our GILTI-related deferred tax assets and liabilities attributable to the passage of the OBBBA.</w:t>
      </w:r>
    </w:p>
    <w:p>
      <w:pPr>
        <w:spacing w:after="0" w:line="87"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The valuation allowances of $263.9 million and $343.1 million as of November 1, 2025 and November 2, 2024, respectively, are primarily for the Company’s state R&amp;D credit carryforwards, foreign net operating losses and international credit carryforwards. The Company believes that it is more-likely-than-not that these credit carryovers will not be realized and as a result has recorded a partial valuation allowance.</w:t>
      </w:r>
    </w:p>
    <w:p>
      <w:pPr>
        <w:spacing w:after="0" w:line="8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federal and state net operating losses of $21.0 million will begin to expire in fiscal 2027 while foreign net operating loss carryovers of</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$131.8 million have no expiration date. There are also $227.4 million of federal and state credit carryovers and $14.3 million of foreign investment tax credit carryovers that begin to expire in the fiscal year ending October 31, 2026.</w:t>
      </w:r>
    </w:p>
    <w:p>
      <w:pPr>
        <w:spacing w:after="0" w:line="87" w:lineRule="exact"/>
        <w:rPr>
          <w:sz w:val="20"/>
          <w:szCs w:val="20"/>
          <w:color w:val="auto"/>
        </w:rPr>
      </w:pPr>
    </w:p>
    <w:p>
      <w:pPr>
        <w:ind w:right="40" w:firstLine="445"/>
        <w:spacing w:after="0" w:line="277" w:lineRule="auto"/>
        <w:rPr>
          <w:sz w:val="20"/>
          <w:szCs w:val="20"/>
          <w:color w:val="auto"/>
        </w:rPr>
      </w:pPr>
      <w:r>
        <w:rPr>
          <w:rFonts w:ascii="Times New Roman" w:cs="Times New Roman" w:eastAsia="Times New Roman" w:hAnsi="Times New Roman"/>
          <w:sz w:val="17"/>
          <w:szCs w:val="17"/>
          <w:color w:val="auto"/>
        </w:rPr>
        <w:t>As of November 1, 2025 and November 2, 2024, the Company had unrealized tax benefits, net of indirect tax benefits, of $166.2 million and $162.7 million, respectively, which if settled in the Company’s favor, would lower the Company’s effective tax rate in the period recorded. Liabilities for unrealized tax benefits are primarily classified as non-current because the Company believes that the ultimate payment or settlement of these liabilities will not occur within the next twelve months. As of November 1, 2025 and November 2, 2024, the Company had liabilities of approximately $87.8 million and $73.7 million, respectively, for interest and penalties, which is included within the provision for income taxes in the Consolidated Statements of Income.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changes in the total amounts of unrealized tax benefits for fiscal 2023 through fiscal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Unrealized Tax Benefits</w:t>
            </w:r>
          </w:p>
        </w:tc>
      </w:tr>
      <w:tr>
        <w:trPr>
          <w:trHeight w:val="2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29,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165,327</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17,096</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due to lapse of applicable statute of limitations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28, 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187,415</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(27,499)</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due to lapse of applicable statute of limitations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2,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162,696</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due to lapse of applicable statute of limitations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1,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166,198</w:t>
            </w:r>
          </w:p>
        </w:tc>
      </w:tr>
    </w:tbl>
    <w:p>
      <w:pPr>
        <w:spacing w:after="0" w:line="23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fiscal 2025, the Company continued to engage in discussions with tax authorities regarding tax matters in various jurisdictions. It is reasonably possible that the balance of unrealized tax benefits, including accrued interest and penalties, could decrease by up to $150.0 million within the next twelve months due to the completion of federal tax audits, including any administrative appeals. The $150.0 million primarily relates to matters involving federal taxation of international income and cross-border transactions.</w:t>
      </w:r>
    </w:p>
    <w:p>
      <w:pPr>
        <w:spacing w:after="0" w:line="9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October 30, 2021 (fiscal 2021), November 2, 2019 (fiscal 2019) and November 3, 2018 (fiscal 2018); an IRS income tax audit for Maxim’s fiscal years ended June 27, 2015 through August 26, 2021; and various U.S. state and local audits and international audits, including Irish corporate tax audits for fiscal 2021. The Company’s U.S. federal income tax returns prior to fiscal 2018 are no longer subject to examination, except for the applicable Maxim fiscal years noted above.</w:t>
      </w:r>
    </w:p>
    <w:p>
      <w:pPr>
        <w:spacing w:after="0" w:line="8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During fiscal 2025, the Company received an assessment from the U.S. Internal Revenue Service (IRS) for fiscal 2018 and fiscal 2019, totaling approximately $267.0 million, excluding penalties and interest. The assessment pertains to transfer pricing arrangements between the Company and one of its wholly-owned foreign subsidiaries. The Company firmly disagrees with this assessment and maintains that its transfer pricing is appropriate. Consequently, the Company has not recorded any additional tax liability related to fiscal 2018 and fiscal 2019 in relation to this issue, nor to any other periods. The Company intends to vigorously defend its original tax return position and is currently preparing for an appeal with the IRS. Should the IRS ultimately prevail regarding its assessments for fiscal 2018 and fiscal 2019, such a resolution, along with any potential impact on subsequent fiscal years, could have a material adverse effect on the Company’s income tax expense and net earnings in future periods.</w:t>
      </w:r>
    </w:p>
    <w:p>
      <w:pPr>
        <w:spacing w:after="0" w:line="90"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 Credit Facility</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April 11, 2025, the Company entered into a Fourth Amended and Restated Credit Agreement with Bank of America, N.A. as administrative agent and the other banks identified therein as lenders (the Revolving Credit Agreement). The Revolving Credit Agreement provides for a five-year, unsecured, revolving credit facility in an aggregate principal amount not to exceed $3.0 billion (subject to certain terms and conditions).</w:t>
      </w:r>
    </w:p>
    <w:p>
      <w:pPr>
        <w:spacing w:after="0" w:line="5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Revolving loans under the Revolving Credit Agreement can be Term SOFR Loans or Base Rate Loans (each as defined in the Revolving Credit Agreement) at the Company’s option. Each Term SOFR Loan will bear interest at a rate per annum equal to the applicable adjusted term SOFR plus a margin based on the Company’s Debt Ratings (as defined in the Revolving Credit Agreement) from time to time of between 0.46% and 0.90%. As of November 1, 2025, the Company had no outstanding borrowings under this revolving credit facility but may borrow in the future and use the proceeds for repayment of existing indebtedness, stock repurchases, acquisitions, capital expenditures, working capital and other lawful corporate purposes.</w:t>
      </w:r>
    </w:p>
    <w:p>
      <w:pPr>
        <w:spacing w:after="0" w:line="4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to pay a facility fee based on the Company’s Debt Ratings from time to time of between 0.040% and 0.100% multiplied by the actual daily amount of the Commitments (as defined in the Revolving Credit Agreement) in effect. The Revolving Credit Agreement includes a multicurrency borrowing feature for certain specified foreign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currencies. The Company will guarantee the obligations of each subsidiary that is named a Designated Borrower under the Revolving Credit Agreement.</w:t>
      </w:r>
    </w:p>
    <w:p>
      <w:pPr>
        <w:spacing w:after="0" w:line="90"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Revolving Credit Agreement contains customary representations and warranties, and affirmative and negative covenants and events of default applicable to the Company and its subsidiaries. As of November 1, 2025, the Company was in compliance with these covenants.</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48"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On June 16, 2025, in an underwritten public offering, the Company issued $850.0 million aggregate principal amount of 4.250% senior notes due June 15, 2028 (the 2028 Notes) and $650.0 million aggregate principal amount of 4.500% senior notes due June 15, 2030 (the 2030 Notes), in each case with semi-annual fixed interest payments due on June 15 and December 15 of each year, commencing December 15, 2025. The aggregate net proceeds of the offering were $1.5 billion, after discounts and issuance costs. Prior to May 15, 2028 with respect to the 2028 Notes and May 15, 2030 with respect to the 2030 Notes (the date that is one month prior to the maturity date of each series of notes), the Company may, at its option, redeem the 2028 or 2030 Notes, as applicable, in whole or in part, at any time and from time to time, at a redemption price equal to the greater of: (1) (a) the sum of the present values of the remaining scheduled payments of principal and interest thereon discounted to the redemption date (assuming the 2028 Notes matured on June 15, 2028 and the 2030 Notes matured on June 15, 2030) on a semi-annual basis at the applicable treasury rate plus 10 basis points less (b) interest accrued to the date of redemption, and (2) 100% of the principal amount of the 2028 or 2030 Notes to be redeemed, plus, in either case, accrued and unpaid interest thereon to the redemption date. On or after May 15, 2028 with respect to the 2028 Notes or May 15, 2030 with respect to the 2030 Notes, the Company may, at its option, redeem the 2028 or 2030 Notes, as applicable, in whole or in part, at any time and from time to time, at a redemption price equal to 100% of the principal amount of the 2028 or 2030 Notes, as applicable, being redeemed plus accrued and unpaid interest thereon to the redemption date. The 2028 and 2030 Notes are unsecured and rank equally in right of payment with all of the Company’s other existing and future unsecured senior indebtedness.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debt consisted of the following as of November 1, 2025 and November 2,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60" w:type="dxa"/>
            <w:vAlign w:val="bottom"/>
          </w:tcPr>
          <w:p>
            <w:pPr>
              <w:spacing w:after="0"/>
              <w:rPr>
                <w:sz w:val="16"/>
                <w:szCs w:val="16"/>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3.500% Senior Notes due on December 5,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3.450% Senior Notes due on June 15,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4.250% Senior Notes due on June 15,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1.700% Sustainability-Linked Senior Notes due on October 1,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4.500% Senior Notes due on June 15, 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2.100% Senior Notes due on October 1, 2031 (1)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4.250% Senior Notes due on October 1, 2032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5.050% Senior Notes due on April 1, 2034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4.500% Senior Notes due on December 5,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2.800% Senior Notes due on October 1, 2041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5.300% Senior Notes due on December 15, 2045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Fixed-rate 2.950% Senior Notes due on October 1, 2051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5.300% Senior Notes due on April 1, 2054</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3"/>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6,717,077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Fixed-rate 2.950% Senior Notes due on April 1, 2025</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547,738</w:t>
            </w:r>
          </w:p>
        </w:tc>
      </w:tr>
      <w:tr>
        <w:trPr>
          <w:trHeight w:val="223"/>
        </w:trPr>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Short-Term Debt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947,738</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discounts, debt issuance costs and fair value adjustments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(83,128)</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7,581,687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Includes fair value adjustment related to interest rate swap related to outstanding debt. See Note 2i, </w:t>
      </w:r>
      <w:r>
        <w:rPr>
          <w:rFonts w:ascii="Times New Roman" w:cs="Times New Roman" w:eastAsia="Times New Roman" w:hAnsi="Times New Roman"/>
          <w:sz w:val="14"/>
          <w:szCs w:val="14"/>
          <w:i w:val="1"/>
          <w:iCs w:val="1"/>
          <w:color w:val="auto"/>
        </w:rPr>
        <w:t>Derivative Instruments and Hedge Agreements,</w:t>
      </w:r>
      <w:r>
        <w:rPr>
          <w:rFonts w:ascii="Times New Roman" w:cs="Times New Roman" w:eastAsia="Times New Roman" w:hAnsi="Times New Roman"/>
          <w:sz w:val="14"/>
          <w:szCs w:val="14"/>
          <w:color w:val="auto"/>
        </w:rPr>
        <w:t xml:space="preserve"> for more information.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covenants that, among other things, limit the Company’s ability to incur, create, assume or guarantee any debt for borrowed money secured by a lien upon a principal property; enter into certain sale and lease-back transactions with respect to a principal property; and consolidate with or merge into, or transfer or lease all or substantially all of its assets to, any other party. As of November 1, 2025, the Company was in compliance with all covenants under its debt agreements.</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48"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On November 24, 2025, the Board of Directors of the Company declared a cash dividend of $0.99 per outstanding share of common stock. The dividend will be paid on December 22, 2025 to all shareholders of record at the close of business on December 8, 2025 and is expected to total approximately $484.8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2" w:name="page83"/>
    <w:bookmarkEnd w:id="8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06" w:lineRule="exact"/>
        <w:rPr>
          <w:sz w:val="20"/>
          <w:szCs w:val="20"/>
          <w:color w:val="auto"/>
        </w:rPr>
      </w:pPr>
    </w:p>
    <w:p>
      <w:pPr>
        <w:ind w:firstLine="453"/>
        <w:spacing w:after="0" w:line="253" w:lineRule="auto"/>
        <w:tabs>
          <w:tab w:leader="none" w:pos="6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the effectiveness of Analog’s disclosure controls and procedures as of November 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November 1, 2025, our Chief Executive Officer and Chief Financial Officer concluded that, as of such date, our disclosure controls and procedures were effective at the reasonable assurance level.</w:t>
      </w:r>
    </w:p>
    <w:p>
      <w:pPr>
        <w:spacing w:after="0" w:line="68"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Report on Internal Control Over Financial Reporting.</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 w:lineRule="exact"/>
        <w:rPr>
          <w:sz w:val="20"/>
          <w:szCs w:val="20"/>
          <w:color w:val="auto"/>
        </w:rPr>
      </w:pPr>
    </w:p>
    <w:p>
      <w:pPr>
        <w:ind w:left="820" w:right="200" w:hanging="326"/>
        <w:spacing w:after="0" w:line="281"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 w:lineRule="exact"/>
        <w:rPr>
          <w:rFonts w:ascii="Times New Roman" w:cs="Times New Roman" w:eastAsia="Times New Roman" w:hAnsi="Times New Roman"/>
          <w:sz w:val="18"/>
          <w:szCs w:val="18"/>
          <w:color w:val="auto"/>
        </w:rPr>
      </w:pPr>
    </w:p>
    <w:p>
      <w:pPr>
        <w:ind w:left="820" w:right="560" w:hanging="326"/>
        <w:spacing w:after="0" w:line="266"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3"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November 1, 2025. In making this assessment, the company’s management used the criteria set forth by the Committee of Sponsoring Organizations of the Treadway Commission (COSO) in Internal Control-Integrated 2013 Framework.</w:t>
      </w:r>
    </w:p>
    <w:p>
      <w:pPr>
        <w:spacing w:after="0" w:line="5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as of November 1, 2025, our internal control over financial reporting is effective based on those criteria.</w:t>
      </w:r>
    </w:p>
    <w:p>
      <w:pPr>
        <w:spacing w:after="0" w:line="27"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3" w:name="page84"/>
    <w:bookmarkEnd w:id="83"/>
    <w:p>
      <w:pPr>
        <w:ind w:left="700" w:hanging="247"/>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25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Analog Devices,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Analog Devices, Inc.’s internal control over financial reporting as of November 1, 2025, based on criteria established in Internal Control —Integrated Framework issued by the Committee of Sponsoring Organizations of the Treadway Commission (2013 framework) (the COSO criteria). In our opinion, Analog Devices, Inc. (the Company) maintained, in all material respects, effective internal control over financial reporting as of November 1, 2025, based on the COSO criteria.</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November 1, 2025 and November 2, 2024, the related consolidated statements of income, comprehensive income, shareholders’ equity and cash flows for each of the three years in the period ended November 1, 2025, and the related notes and financial statement schedule listed in the Index at Item 15(a)(2) and our report dated November 25, 2025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4" w:name="page85"/>
    <w:bookmarkEnd w:id="84"/>
    <w:p>
      <w:pPr>
        <w:jc w:val="both"/>
        <w:ind w:firstLine="453"/>
        <w:spacing w:after="0" w:line="267"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15d-15(f) under the Securities Exchange Act) occurred during the fiscal quarter ended November 1, 2025 that has materially affected, or is reasonably likely to materially affect, our internal control over financial reporting.</w:t>
      </w:r>
    </w:p>
    <w:p>
      <w:pPr>
        <w:spacing w:after="0" w:line="3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adopted or terminated a Rule 10b5-1 trading arrangement or a non-Rule 10b5-1 trading arrangement (as defined in Item 408(c) of Regulation S-K) during the fourth quarter of fiscal 2025.</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9" w:right="459" w:bottom="1440" w:gutter="0" w:footer="0" w:header="0"/>
        </w:sectPr>
      </w:pPr>
    </w:p>
    <w:bookmarkStart w:id="85" w:name="page86"/>
    <w:bookmarkEnd w:id="8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3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2026 proxy statement to be filed with the SEC within 120 days after November 1, 2025 and is incorporated herein by reference.</w:t>
      </w:r>
    </w:p>
    <w:p>
      <w:pPr>
        <w:spacing w:after="0" w:line="81" w:lineRule="exact"/>
        <w:rPr>
          <w:sz w:val="20"/>
          <w:szCs w:val="20"/>
          <w:color w:val="auto"/>
        </w:rPr>
      </w:pPr>
    </w:p>
    <w:p>
      <w:pPr>
        <w:jc w:val="both"/>
        <w:ind w:right="2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Times New Roman" w:cs="Times New Roman" w:eastAsia="Times New Roman" w:hAnsi="Times New Roman"/>
          <w:sz w:val="18"/>
          <w:szCs w:val="18"/>
          <w:u w:val="single" w:color="auto"/>
          <w:color w:val="auto"/>
        </w:rPr>
        <w:t>www.analog.com</w:t>
      </w:r>
      <w:r>
        <w:rPr>
          <w:rFonts w:ascii="Times New Roman" w:cs="Times New Roman" w:eastAsia="Times New Roman" w:hAnsi="Times New Roman"/>
          <w:sz w:val="18"/>
          <w:szCs w:val="18"/>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Times New Roman" w:cs="Times New Roman" w:eastAsia="Times New Roman" w:hAnsi="Times New Roman"/>
          <w:sz w:val="18"/>
          <w:szCs w:val="18"/>
          <w:u w:val="single" w:color="auto"/>
          <w:color w:val="auto"/>
        </w:rPr>
        <w:t>www.analog.com.</w:t>
      </w:r>
    </w:p>
    <w:p>
      <w:pPr>
        <w:spacing w:after="0" w:line="89" w:lineRule="exact"/>
        <w:rPr>
          <w:sz w:val="20"/>
          <w:szCs w:val="20"/>
          <w:color w:val="auto"/>
        </w:rPr>
      </w:pPr>
    </w:p>
    <w:p>
      <w:pPr>
        <w:ind w:right="540" w:firstLine="445"/>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w:t>
      </w:r>
    </w:p>
    <w:p>
      <w:pPr>
        <w:spacing w:after="0" w:line="81"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During fiscal 2025, we made no material change to the procedures by which shareholders may recommend nominees to our Board of Directors, as described in our 2025 proxy statement.</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2026 proxy statement to be filed with the SEC within 120 days after November 1, 2025 and is incorporated herein by reference.</w:t>
      </w:r>
    </w:p>
    <w:p>
      <w:pPr>
        <w:spacing w:after="0" w:line="185" w:lineRule="exact"/>
        <w:rPr>
          <w:sz w:val="20"/>
          <w:szCs w:val="20"/>
          <w:color w:val="auto"/>
        </w:rPr>
      </w:pPr>
    </w:p>
    <w:p>
      <w:pPr>
        <w:ind w:left="940" w:right="360" w:hanging="1133"/>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6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2026 proxy statement to be filed with the SEC within 120 days after November 1, 2025 and is incorporated herein by reference.</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3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2026 proxy statement to be filed with the SEC within 120 days after November 1, 2025 and is incorporated herein by reference.</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independent registered accounting firm is Ernst &amp; Young, Boston, Massachusetts (PCAOB ID: 42).</w:t>
      </w:r>
    </w:p>
    <w:p>
      <w:pPr>
        <w:spacing w:after="0" w:line="13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2026 proxy statement to be filed with the SEC within 120 days after November 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86" w:name="page87"/>
    <w:bookmarkEnd w:id="8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35"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filed as part of this Annual Report on Form 10-K:</w:t>
      </w:r>
    </w:p>
    <w:p>
      <w:pPr>
        <w:spacing w:after="0" w:line="46" w:lineRule="exact"/>
        <w:rPr>
          <w:sz w:val="20"/>
          <w:szCs w:val="20"/>
          <w:color w:val="auto"/>
        </w:rPr>
      </w:pPr>
    </w:p>
    <w:p>
      <w:pPr>
        <w:ind w:left="560" w:hanging="534"/>
        <w:spacing w:after="0"/>
        <w:tabs>
          <w:tab w:leader="none" w:pos="5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 of this Annual Report on Form 10-K:</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Income for the years ended November 1, 2025, November 2, 2024 and October 28, 2023</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Comprehensive Income for the years ended November 1, 2025, November 2, 2024 and October 28, 2023</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Balance Sheets as of November 1, 2025 and November 2, 2024</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Shareholders’ Equity for the years ended November 1, 2025, November 2, 2024 and October 28, 2023</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Consolidated Statements of Cash Flows for the years ended November 1, 2025, November 2, 2024 and October 28, 2023</w:t>
      </w:r>
    </w:p>
    <w:p>
      <w:pPr>
        <w:spacing w:after="0" w:line="342"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4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47" w:lineRule="exact"/>
        <w:rPr>
          <w:sz w:val="20"/>
          <w:szCs w:val="20"/>
          <w:color w:val="auto"/>
        </w:rPr>
      </w:pPr>
    </w:p>
    <w:p>
      <w:pPr>
        <w:ind w:left="140"/>
        <w:spacing w:after="0"/>
        <w:tabs>
          <w:tab w:leader="none" w:pos="50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2147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1" w:lineRule="exact"/>
        <w:rPr>
          <w:sz w:val="20"/>
          <w:szCs w:val="20"/>
          <w:color w:val="auto"/>
        </w:rPr>
      </w:pPr>
    </w:p>
    <w:p>
      <w:pPr>
        <w:ind w:left="1080" w:right="1420" w:hanging="703"/>
        <w:spacing w:after="0" w:line="226"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14">
        <w:r>
          <w:rPr>
            <w:rFonts w:ascii="Times New Roman" w:cs="Times New Roman" w:eastAsia="Times New Roman" w:hAnsi="Times New Roman"/>
            <w:sz w:val="18"/>
            <w:szCs w:val="18"/>
            <w:u w:val="single" w:color="auto"/>
            <w:color w:val="0000FF"/>
          </w:rPr>
          <w:t>Amended and Restated Articles of Organization of Analog Devices, Inc., adopted as of March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3.1 to the Company’s Quarterly Report on Form 10-Q for the fiscal quarter ended May 3, 2025 as filed with the Commission on May 22, 2025 and incorporated herein by reference.</w:t>
      </w:r>
    </w:p>
    <w:p>
      <w:pPr>
        <w:spacing w:after="0" w:line="9" w:lineRule="exact"/>
        <w:rPr>
          <w:sz w:val="20"/>
          <w:szCs w:val="20"/>
          <w:color w:val="auto"/>
        </w:rPr>
      </w:pPr>
    </w:p>
    <w:p>
      <w:pPr>
        <w:ind w:left="1080" w:right="1460" w:hanging="703"/>
        <w:spacing w:after="0" w:line="237"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15">
        <w:r>
          <w:rPr>
            <w:rFonts w:ascii="Times New Roman" w:cs="Times New Roman" w:eastAsia="Times New Roman" w:hAnsi="Times New Roman"/>
            <w:sz w:val="18"/>
            <w:szCs w:val="18"/>
            <w:u w:val="single" w:color="auto"/>
            <w:color w:val="0000FF"/>
          </w:rPr>
          <w:t>Second Amended and Restated By-Laws of Analog Devices, Inc.</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3.1 to the Company’s Current Report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on Form 8-K as filed with the Commission on January 13, 2025 and incorporated herein by reference.</w:t>
      </w:r>
    </w:p>
    <w:p>
      <w:pPr>
        <w:spacing w:after="0" w:line="10" w:lineRule="exact"/>
        <w:rPr>
          <w:sz w:val="20"/>
          <w:szCs w:val="20"/>
          <w:color w:val="auto"/>
        </w:rPr>
      </w:pPr>
    </w:p>
    <w:p>
      <w:pPr>
        <w:ind w:left="1080" w:right="1720" w:hanging="703"/>
        <w:spacing w:after="0" w:line="226" w:lineRule="auto"/>
        <w:tabs>
          <w:tab w:leader="none" w:pos="10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4.1</w:t>
      </w:r>
      <w:r>
        <w:rPr>
          <w:sz w:val="20"/>
          <w:szCs w:val="20"/>
          <w:color w:val="auto"/>
        </w:rPr>
        <w:tab/>
      </w:r>
      <w:hyperlink r:id="rId116">
        <w:r>
          <w:rPr>
            <w:rFonts w:ascii="Times New Roman" w:cs="Times New Roman" w:eastAsia="Times New Roman" w:hAnsi="Times New Roman"/>
            <w:sz w:val="18"/>
            <w:szCs w:val="18"/>
            <w:u w:val="single" w:color="auto"/>
            <w:color w:val="0000FF"/>
          </w:rPr>
          <w:t>Indenture, dated as of June 3, 2013, by and between Analog Devices, Inc. and The Bank of New York Mellon Trust</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Company, N.A., as trustee</w:t>
        </w:r>
        <w:r>
          <w:rPr>
            <w:rFonts w:ascii="Times New Roman" w:cs="Times New Roman" w:eastAsia="Times New Roman" w:hAnsi="Times New Roman"/>
            <w:sz w:val="18"/>
            <w:szCs w:val="18"/>
            <w:color w:val="000000"/>
          </w:rPr>
          <w:t>, filed as exhibit 4.1 to the Company’s Current Report on Form 8-K as filed with the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Commission on June 3, 2013 and incorporated herein by reference.</w:t>
      </w:r>
    </w:p>
    <w:p>
      <w:pPr>
        <w:spacing w:after="0" w:line="9" w:lineRule="exact"/>
        <w:rPr>
          <w:sz w:val="20"/>
          <w:szCs w:val="20"/>
          <w:color w:val="auto"/>
        </w:rPr>
      </w:pPr>
    </w:p>
    <w:p>
      <w:pPr>
        <w:ind w:left="1080" w:right="1400" w:hanging="703"/>
        <w:spacing w:after="0" w:line="239" w:lineRule="auto"/>
        <w:tabs>
          <w:tab w:leader="none" w:pos="106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4.2</w:t>
      </w:r>
      <w:r>
        <w:rPr>
          <w:sz w:val="20"/>
          <w:szCs w:val="20"/>
          <w:color w:val="auto"/>
        </w:rPr>
        <w:tab/>
      </w:r>
      <w:hyperlink r:id="rId117">
        <w:r>
          <w:rPr>
            <w:rFonts w:ascii="Times New Roman" w:cs="Times New Roman" w:eastAsia="Times New Roman" w:hAnsi="Times New Roman"/>
            <w:sz w:val="17"/>
            <w:szCs w:val="17"/>
            <w:u w:val="single" w:color="auto"/>
            <w:color w:val="0000FF"/>
          </w:rPr>
          <w:t>Supplemental Indenture, dated December 14, 2015, between Analog Devices, Inc. and The Bank of New York Mellon</w:t>
        </w:r>
      </w:hyperlink>
      <w:r>
        <w:rPr>
          <w:rFonts w:ascii="Times New Roman" w:cs="Times New Roman" w:eastAsia="Times New Roman" w:hAnsi="Times New Roman"/>
          <w:sz w:val="17"/>
          <w:szCs w:val="17"/>
          <w:u w:val="single" w:color="auto"/>
          <w:color w:val="0000FF"/>
        </w:rPr>
        <w:t xml:space="preserve"> </w:t>
      </w:r>
      <w:hyperlink r:id="rId117">
        <w:r>
          <w:rPr>
            <w:rFonts w:ascii="Times New Roman" w:cs="Times New Roman" w:eastAsia="Times New Roman" w:hAnsi="Times New Roman"/>
            <w:sz w:val="17"/>
            <w:szCs w:val="17"/>
            <w:u w:val="single" w:color="auto"/>
            <w:color w:val="0000FF"/>
          </w:rPr>
          <w:t>Trust Company, N.A., as 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(including the forms of note contained therein), filed as exhibit 4.2 to the Company’s</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Current Report on Form 8-K as filed with the Commission on December 14, 2015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-135890</wp:posOffset>
            </wp:positionV>
            <wp:extent cx="285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left="1080" w:right="1480" w:hanging="703"/>
        <w:spacing w:after="0" w:line="226" w:lineRule="auto"/>
        <w:tabs>
          <w:tab w:leader="none" w:pos="10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4.3</w:t>
      </w:r>
      <w:r>
        <w:rPr>
          <w:sz w:val="20"/>
          <w:szCs w:val="20"/>
          <w:color w:val="auto"/>
        </w:rPr>
        <w:tab/>
      </w:r>
      <w:hyperlink r:id="rId119">
        <w:r>
          <w:rPr>
            <w:rFonts w:ascii="Times New Roman" w:cs="Times New Roman" w:eastAsia="Times New Roman" w:hAnsi="Times New Roman"/>
            <w:sz w:val="18"/>
            <w:szCs w:val="18"/>
            <w:u w:val="single" w:color="auto"/>
            <w:color w:val="0000FF"/>
          </w:rPr>
          <w:t>Supplemental Indenture, dated December 5, 2016, between Analog Devices, Inc. and The Bank of New York Mellon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Trust Company, N.A., as trustee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the forms of note contained therein), filed as exhibit 4.2 to the Company’s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Current Report on Form 8-K as filed with the Commission on December 5, 2016 and incorporated herein by reference.</w:t>
      </w:r>
    </w:p>
    <w:p>
      <w:pPr>
        <w:spacing w:after="0" w:line="9" w:lineRule="exact"/>
        <w:rPr>
          <w:sz w:val="20"/>
          <w:szCs w:val="20"/>
          <w:color w:val="auto"/>
        </w:rPr>
      </w:pPr>
    </w:p>
    <w:p>
      <w:pPr>
        <w:jc w:val="both"/>
        <w:ind w:left="1080" w:right="1360" w:hanging="703"/>
        <w:spacing w:after="0" w:line="226" w:lineRule="auto"/>
        <w:tabs>
          <w:tab w:leader="none" w:pos="10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4.4</w:t>
      </w:r>
      <w:r>
        <w:rPr>
          <w:sz w:val="20"/>
          <w:szCs w:val="20"/>
          <w:color w:val="auto"/>
        </w:rPr>
        <w:tab/>
      </w:r>
      <w:hyperlink r:id="rId120">
        <w:r>
          <w:rPr>
            <w:rFonts w:ascii="Times New Roman" w:cs="Times New Roman" w:eastAsia="Times New Roman" w:hAnsi="Times New Roman"/>
            <w:sz w:val="18"/>
            <w:szCs w:val="18"/>
            <w:u w:val="single" w:color="auto"/>
            <w:color w:val="0000FF"/>
          </w:rPr>
          <w:t>Supplemental Indenture, dated October 5, 2021, between Analog Devices, Inc. and The Bank of New York Mellon Trust</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Company, N.A., as trustee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the forms of note contained therein), filed as exhibit 4.2 to the Company’s Current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 on Form 8-K as filed with the Commission on October 5, 2021 and incorporated herein by reference.</w:t>
      </w:r>
    </w:p>
    <w:p>
      <w:pPr>
        <w:spacing w:after="0" w:line="9" w:lineRule="exact"/>
        <w:rPr>
          <w:sz w:val="20"/>
          <w:szCs w:val="20"/>
          <w:color w:val="auto"/>
        </w:rPr>
      </w:pPr>
    </w:p>
    <w:p>
      <w:pPr>
        <w:ind w:left="1080" w:right="1360" w:hanging="703"/>
        <w:spacing w:after="0" w:line="226" w:lineRule="auto"/>
        <w:tabs>
          <w:tab w:leader="none" w:pos="10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4.5</w:t>
      </w:r>
      <w:r>
        <w:rPr>
          <w:sz w:val="20"/>
          <w:szCs w:val="20"/>
          <w:color w:val="auto"/>
        </w:rPr>
        <w:tab/>
      </w:r>
      <w:hyperlink r:id="rId121">
        <w:r>
          <w:rPr>
            <w:rFonts w:ascii="Times New Roman" w:cs="Times New Roman" w:eastAsia="Times New Roman" w:hAnsi="Times New Roman"/>
            <w:sz w:val="18"/>
            <w:szCs w:val="18"/>
            <w:u w:val="single" w:color="auto"/>
            <w:color w:val="0000FF"/>
          </w:rPr>
          <w:t>Supplemental Indenture, dated September 15, 2022, between Analog Devices, Inc. and The Bank of New York Mellon</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Trust Company, N.A., as trustee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the form of note contained therein), filed as exhibit 4.2 to the Company’s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Current Report on Form 8-K as filed with the Commission on September 15, 2022 and incorporated herein by reference.</w:t>
      </w:r>
    </w:p>
    <w:p>
      <w:pPr>
        <w:spacing w:after="0" w:line="9" w:lineRule="exact"/>
        <w:rPr>
          <w:sz w:val="20"/>
          <w:szCs w:val="20"/>
          <w:color w:val="auto"/>
        </w:rPr>
      </w:pPr>
    </w:p>
    <w:p>
      <w:pPr>
        <w:ind w:left="1080" w:right="1380" w:hanging="703"/>
        <w:spacing w:after="0" w:line="239" w:lineRule="auto"/>
        <w:tabs>
          <w:tab w:leader="none" w:pos="106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4.6</w:t>
      </w:r>
      <w:r>
        <w:rPr>
          <w:sz w:val="20"/>
          <w:szCs w:val="20"/>
          <w:color w:val="auto"/>
        </w:rPr>
        <w:tab/>
      </w:r>
      <w:hyperlink r:id="rId122">
        <w:r>
          <w:rPr>
            <w:rFonts w:ascii="Times New Roman" w:cs="Times New Roman" w:eastAsia="Times New Roman" w:hAnsi="Times New Roman"/>
            <w:sz w:val="17"/>
            <w:szCs w:val="17"/>
            <w:u w:val="single" w:color="auto"/>
            <w:color w:val="0000FF"/>
          </w:rPr>
          <w:t>Supplemental Indenture, dated as of October 7, 2022, between Analog Devices, Inc. and The Bank of New York Mellon</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Trust Company, N.A., as 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(including the form of note contained therein), filed as exhibit 4.2 to the Company’s</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Current Report on Form 8-K as filed with the Commission on October 7, 2022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87" w:name="page88"/>
    <w:bookmarkEnd w:id="87"/>
    <w:p>
      <w:pPr>
        <w:spacing w:after="0"/>
        <w:tabs>
          <w:tab w:leader="none" w:pos="49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33655</wp:posOffset>
            </wp:positionV>
            <wp:extent cx="62147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41" w:lineRule="exact"/>
        <w:rPr>
          <w:sz w:val="20"/>
          <w:szCs w:val="20"/>
          <w:color w:val="auto"/>
        </w:rPr>
      </w:pPr>
    </w:p>
    <w:p>
      <w:pPr>
        <w:jc w:val="right"/>
        <w:ind w:left="240" w:right="599"/>
        <w:spacing w:after="0" w:line="22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4.7     </w:t>
      </w:r>
      <w:hyperlink r:id="rId125">
        <w:r>
          <w:rPr>
            <w:rFonts w:ascii="Times New Roman" w:cs="Times New Roman" w:eastAsia="Times New Roman" w:hAnsi="Times New Roman"/>
            <w:sz w:val="18"/>
            <w:szCs w:val="18"/>
            <w:u w:val="single" w:color="auto"/>
            <w:color w:val="0000FF"/>
          </w:rPr>
          <w:t>Supplemental Indenture, dated as of April 3, 2024, between Analog Devices, Inc. and The Bank of New York Mellon</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FF"/>
          </w:rPr>
          <w:t>Trust Company, N.A., as trustee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the form of note contained therein), filed as exhibit 4.2 to the Company’s</w:t>
        </w:r>
      </w:hyperlink>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Current Report on Form 8-K as filed with the Commission on April 3, 2024 and incorporated herein by reference.</w:t>
      </w:r>
    </w:p>
    <w:p>
      <w:pPr>
        <w:spacing w:after="0" w:line="7" w:lineRule="exact"/>
        <w:rPr>
          <w:sz w:val="20"/>
          <w:szCs w:val="20"/>
          <w:color w:val="auto"/>
        </w:rPr>
      </w:pPr>
    </w:p>
    <w:p>
      <w:pPr>
        <w:ind w:left="940" w:right="579" w:hanging="703"/>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4.8</w:t>
      </w:r>
      <w:r>
        <w:rPr>
          <w:sz w:val="20"/>
          <w:szCs w:val="20"/>
          <w:color w:val="auto"/>
        </w:rPr>
        <w:tab/>
      </w:r>
      <w:hyperlink r:id="rId126">
        <w:r>
          <w:rPr>
            <w:rFonts w:ascii="Times New Roman" w:cs="Times New Roman" w:eastAsia="Times New Roman" w:hAnsi="Times New Roman"/>
            <w:sz w:val="17"/>
            <w:szCs w:val="17"/>
            <w:u w:val="single" w:color="auto"/>
            <w:color w:val="0000FF"/>
          </w:rPr>
          <w:t>Supplemental Indenture, dated as of June 16, 2025, between Analog Devices, Inc. and The Bank of New York Mellon</w:t>
        </w:r>
      </w:hyperlink>
      <w:r>
        <w:rPr>
          <w:rFonts w:ascii="Times New Roman" w:cs="Times New Roman" w:eastAsia="Times New Roman" w:hAnsi="Times New Roman"/>
          <w:sz w:val="17"/>
          <w:szCs w:val="17"/>
          <w:u w:val="single" w:color="auto"/>
          <w:color w:val="0000FF"/>
        </w:rPr>
        <w:t xml:space="preserve"> </w:t>
      </w:r>
      <w:hyperlink r:id="rId126">
        <w:r>
          <w:rPr>
            <w:rFonts w:ascii="Times New Roman" w:cs="Times New Roman" w:eastAsia="Times New Roman" w:hAnsi="Times New Roman"/>
            <w:sz w:val="17"/>
            <w:szCs w:val="17"/>
            <w:u w:val="single" w:color="auto"/>
            <w:color w:val="0000FF"/>
          </w:rPr>
          <w:t>Trust Company, N.A., as trustee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(including the form of note contained therein), filed as exhibit 4.2 to the Company’s</w:t>
        </w:r>
      </w:hyperlink>
    </w:p>
    <w:p>
      <w:pPr>
        <w:ind w:left="940"/>
        <w:spacing w:after="0"/>
        <w:rPr>
          <w:sz w:val="20"/>
          <w:szCs w:val="20"/>
          <w:color w:val="auto"/>
        </w:rPr>
      </w:pPr>
      <w:r>
        <w:rPr>
          <w:rFonts w:ascii="Times New Roman" w:cs="Times New Roman" w:eastAsia="Times New Roman" w:hAnsi="Times New Roman"/>
          <w:sz w:val="18"/>
          <w:szCs w:val="18"/>
          <w:color w:val="auto"/>
        </w:rPr>
        <w:t>Current Report on Form 8-K as filed with the Commission on June 16, 2025 and incorporated herein by reference.</w:t>
      </w:r>
    </w:p>
    <w:p>
      <w:pPr>
        <w:spacing w:after="0" w:line="7"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0000FF"/>
        </w:rPr>
        <w:t>Description of the Registrant’s Securities</w:t>
      </w:r>
      <w:r>
        <w:rPr>
          <w:rFonts w:ascii="Times New Roman" w:cs="Times New Roman" w:eastAsia="Times New Roman" w:hAnsi="Times New Roman"/>
          <w:sz w:val="18"/>
          <w:szCs w:val="18"/>
          <w:color w:val="000000"/>
        </w:rPr>
        <w:t>.</w:t>
      </w:r>
    </w:p>
    <w:p>
      <w:pPr>
        <w:spacing w:after="0" w:line="23" w:lineRule="exact"/>
        <w:rPr>
          <w:sz w:val="20"/>
          <w:szCs w:val="20"/>
          <w:color w:val="auto"/>
        </w:rPr>
      </w:pPr>
    </w:p>
    <w:p>
      <w:pPr>
        <w:ind w:left="940" w:right="379" w:hanging="793"/>
        <w:spacing w:after="0" w:line="22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27">
        <w:r>
          <w:rPr>
            <w:rFonts w:ascii="Times New Roman" w:cs="Times New Roman" w:eastAsia="Times New Roman" w:hAnsi="Times New Roman"/>
            <w:sz w:val="18"/>
            <w:szCs w:val="18"/>
            <w:u w:val="single" w:color="auto"/>
            <w:color w:val="0000FF"/>
          </w:rPr>
          <w:t>Analog Devices, Inc. Amended and Restated Deferred Compensation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10.7 to the Company’s</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Annual Report on Form 10-K for the fiscal year ended October 28, 2023 as filed with the Commission on November 21,</w:t>
      </w:r>
    </w:p>
    <w:p>
      <w:pPr>
        <w:ind w:left="940"/>
        <w:spacing w:after="0"/>
        <w:rPr>
          <w:sz w:val="20"/>
          <w:szCs w:val="20"/>
          <w:color w:val="auto"/>
        </w:rPr>
      </w:pPr>
      <w:r>
        <w:rPr>
          <w:rFonts w:ascii="Times New Roman" w:cs="Times New Roman" w:eastAsia="Times New Roman" w:hAnsi="Times New Roman"/>
          <w:sz w:val="18"/>
          <w:szCs w:val="18"/>
          <w:color w:val="auto"/>
        </w:rPr>
        <w:t>2023 and incorporated herein by reference.</w:t>
      </w:r>
    </w:p>
    <w:p>
      <w:pPr>
        <w:spacing w:after="0" w:line="7" w:lineRule="exact"/>
        <w:rPr>
          <w:sz w:val="20"/>
          <w:szCs w:val="20"/>
          <w:color w:val="auto"/>
        </w:rPr>
      </w:pPr>
    </w:p>
    <w:p>
      <w:pPr>
        <w:ind w:left="940" w:right="719" w:hanging="793"/>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w:t>
      </w:r>
      <w:r>
        <w:rPr>
          <w:sz w:val="20"/>
          <w:szCs w:val="20"/>
          <w:color w:val="auto"/>
        </w:rPr>
        <w:tab/>
      </w:r>
      <w:hyperlink r:id="rId128">
        <w:r>
          <w:rPr>
            <w:rFonts w:ascii="Times New Roman" w:cs="Times New Roman" w:eastAsia="Times New Roman" w:hAnsi="Times New Roman"/>
            <w:sz w:val="17"/>
            <w:szCs w:val="17"/>
            <w:u w:val="single" w:color="auto"/>
            <w:color w:val="0000FF"/>
          </w:rPr>
          <w:t>Trust Agreement for Deferred Compensation Plan dated as of October 1, 2003 between Analog Devices, Inc. and</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Fidelity Management Trust Company</w:t>
        </w:r>
        <w:r>
          <w:rPr>
            <w:rFonts w:ascii="Times New Roman" w:cs="Times New Roman" w:eastAsia="Times New Roman" w:hAnsi="Times New Roman"/>
            <w:sz w:val="17"/>
            <w:szCs w:val="17"/>
            <w:color w:val="000000"/>
          </w:rPr>
          <w:t xml:space="preserve">, filed as exhibit 10.28 to the Company’s Annual Report on Form 10-K for </w:t>
        </w:r>
      </w:hyperlink>
      <w:r>
        <w:rPr>
          <w:rFonts w:ascii="Times New Roman" w:cs="Times New Roman" w:eastAsia="Times New Roman" w:hAnsi="Times New Roman"/>
          <w:sz w:val="17"/>
          <w:szCs w:val="17"/>
          <w:color w:val="0000FF"/>
        </w:rPr>
        <w:t>the</w:t>
      </w:r>
    </w:p>
    <w:p>
      <w:pPr>
        <w:ind w:left="940" w:right="639"/>
        <w:spacing w:after="0" w:line="226" w:lineRule="auto"/>
        <w:rPr>
          <w:sz w:val="20"/>
          <w:szCs w:val="20"/>
          <w:color w:val="auto"/>
        </w:rPr>
      </w:pPr>
      <w:r>
        <w:rPr>
          <w:rFonts w:ascii="Times New Roman" w:cs="Times New Roman" w:eastAsia="Times New Roman" w:hAnsi="Times New Roman"/>
          <w:sz w:val="18"/>
          <w:szCs w:val="18"/>
          <w:color w:val="auto"/>
        </w:rPr>
        <w:t>fiscal year ended November 1, 2003 as filed with the Commission on December 23, 2003 and incorporated herein by reference.</w:t>
      </w:r>
    </w:p>
    <w:p>
      <w:pPr>
        <w:ind w:left="940" w:right="779" w:hanging="793"/>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w:t>
      </w:r>
      <w:r>
        <w:rPr>
          <w:sz w:val="20"/>
          <w:szCs w:val="20"/>
          <w:color w:val="auto"/>
        </w:rPr>
        <w:tab/>
      </w:r>
      <w:hyperlink r:id="rId129">
        <w:r>
          <w:rPr>
            <w:rFonts w:ascii="Times New Roman" w:cs="Times New Roman" w:eastAsia="Times New Roman" w:hAnsi="Times New Roman"/>
            <w:sz w:val="17"/>
            <w:szCs w:val="17"/>
            <w:u w:val="single" w:color="auto"/>
            <w:color w:val="0000FF"/>
          </w:rPr>
          <w:t>First Amendment to Trust Agreement for Deferred Compensation Plan between Analog Devices, Inc. and Fidelity</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Management Trust Company dated as of January 1, 2005</w:t>
        </w:r>
        <w:r>
          <w:rPr>
            <w:rFonts w:ascii="Times New Roman" w:cs="Times New Roman" w:eastAsia="Times New Roman" w:hAnsi="Times New Roman"/>
            <w:sz w:val="17"/>
            <w:szCs w:val="17"/>
            <w:color w:val="000000"/>
          </w:rPr>
          <w:t>, filed as exhibit 10.3 to the Company’s Annual Report on</w:t>
        </w:r>
      </w:hyperlink>
    </w:p>
    <w:p>
      <w:pPr>
        <w:ind w:left="940" w:right="1019"/>
        <w:spacing w:after="0" w:line="226" w:lineRule="auto"/>
        <w:rPr>
          <w:sz w:val="20"/>
          <w:szCs w:val="20"/>
          <w:color w:val="auto"/>
        </w:rPr>
      </w:pPr>
      <w:r>
        <w:rPr>
          <w:rFonts w:ascii="Times New Roman" w:cs="Times New Roman" w:eastAsia="Times New Roman" w:hAnsi="Times New Roman"/>
          <w:sz w:val="18"/>
          <w:szCs w:val="18"/>
          <w:color w:val="auto"/>
        </w:rPr>
        <w:t>Form 10-K for the fiscal year ended October 28, 2006 as filed with the Commission on November 20, 2006 and incorporated herein by reference.</w:t>
      </w:r>
    </w:p>
    <w:p>
      <w:pPr>
        <w:ind w:left="940" w:right="419" w:hanging="793"/>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*10.4</w:t>
      </w:r>
      <w:r>
        <w:rPr>
          <w:sz w:val="20"/>
          <w:szCs w:val="20"/>
          <w:color w:val="auto"/>
        </w:rPr>
        <w:tab/>
      </w:r>
      <w:hyperlink r:id="rId130">
        <w:r>
          <w:rPr>
            <w:rFonts w:ascii="Times New Roman" w:cs="Times New Roman" w:eastAsia="Times New Roman" w:hAnsi="Times New Roman"/>
            <w:sz w:val="17"/>
            <w:szCs w:val="17"/>
            <w:u w:val="single" w:color="auto"/>
            <w:color w:val="0000FF"/>
          </w:rPr>
          <w:t>Second Amendment to Trust Agreement for Deferred Compensation Plan between Analog Devices, Inc. and Fidelity</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Management Trust Company dated as of December 10, 2007</w:t>
        </w:r>
        <w:r>
          <w:rPr>
            <w:rFonts w:ascii="Times New Roman" w:cs="Times New Roman" w:eastAsia="Times New Roman" w:hAnsi="Times New Roman"/>
            <w:sz w:val="17"/>
            <w:szCs w:val="17"/>
            <w:color w:val="000000"/>
          </w:rPr>
          <w:t xml:space="preserve">, filed as exhibit 10.41 to the Company’s Annual Report </w:t>
        </w:r>
      </w:hyperlink>
      <w:r>
        <w:rPr>
          <w:rFonts w:ascii="Times New Roman" w:cs="Times New Roman" w:eastAsia="Times New Roman" w:hAnsi="Times New Roman"/>
          <w:sz w:val="17"/>
          <w:szCs w:val="17"/>
          <w:color w:val="0000FF"/>
        </w:rPr>
        <w:t>on</w:t>
      </w:r>
    </w:p>
    <w:p>
      <w:pPr>
        <w:ind w:left="940" w:right="919"/>
        <w:spacing w:after="0" w:line="226" w:lineRule="auto"/>
        <w:rPr>
          <w:sz w:val="20"/>
          <w:szCs w:val="20"/>
          <w:color w:val="auto"/>
        </w:rPr>
      </w:pPr>
      <w:r>
        <w:rPr>
          <w:rFonts w:ascii="Times New Roman" w:cs="Times New Roman" w:eastAsia="Times New Roman" w:hAnsi="Times New Roman"/>
          <w:sz w:val="18"/>
          <w:szCs w:val="18"/>
          <w:color w:val="auto"/>
        </w:rPr>
        <w:t>Form 10-K for the fiscal year ended November 1, 2008 as filed with the Commission on November 25, 2008 and incorporated herein by reference.</w:t>
      </w:r>
    </w:p>
    <w:p>
      <w:pPr>
        <w:ind w:left="940" w:right="419" w:hanging="793"/>
        <w:spacing w:after="0" w:line="22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31">
        <w:r>
          <w:rPr>
            <w:rFonts w:ascii="Times New Roman" w:cs="Times New Roman" w:eastAsia="Times New Roman" w:hAnsi="Times New Roman"/>
            <w:sz w:val="18"/>
            <w:szCs w:val="18"/>
            <w:u w:val="single" w:color="auto"/>
            <w:color w:val="0000FF"/>
          </w:rPr>
          <w:t>Amended and Restated 2006 Stock Incentive Plan of Analog Devices, Inc.</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10.1 to the Company’s</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Quarterly Report on Form 10-Q for the fiscal quarter ended February 1, 2014 as filed with the Commission on February</w:t>
      </w:r>
    </w:p>
    <w:p>
      <w:pPr>
        <w:ind w:left="940"/>
        <w:spacing w:after="0"/>
        <w:rPr>
          <w:sz w:val="20"/>
          <w:szCs w:val="20"/>
          <w:color w:val="auto"/>
        </w:rPr>
      </w:pPr>
      <w:r>
        <w:rPr>
          <w:rFonts w:ascii="Times New Roman" w:cs="Times New Roman" w:eastAsia="Times New Roman" w:hAnsi="Times New Roman"/>
          <w:sz w:val="18"/>
          <w:szCs w:val="18"/>
          <w:color w:val="auto"/>
        </w:rPr>
        <w:t>18, 2014 and incorporated herein by reference.</w:t>
      </w:r>
    </w:p>
    <w:p>
      <w:pPr>
        <w:spacing w:after="0" w:line="7" w:lineRule="exact"/>
        <w:rPr>
          <w:sz w:val="20"/>
          <w:szCs w:val="20"/>
          <w:color w:val="auto"/>
        </w:rPr>
      </w:pPr>
    </w:p>
    <w:p>
      <w:pPr>
        <w:ind w:left="940" w:right="379" w:hanging="793"/>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*10.6</w:t>
      </w:r>
      <w:r>
        <w:rPr>
          <w:sz w:val="20"/>
          <w:szCs w:val="20"/>
          <w:color w:val="auto"/>
        </w:rPr>
        <w:tab/>
      </w:r>
      <w:hyperlink r:id="rId132">
        <w:r>
          <w:rPr>
            <w:rFonts w:ascii="Times New Roman" w:cs="Times New Roman" w:eastAsia="Times New Roman" w:hAnsi="Times New Roman"/>
            <w:sz w:val="17"/>
            <w:szCs w:val="17"/>
            <w:u w:val="single" w:color="auto"/>
            <w:color w:val="0000FF"/>
          </w:rPr>
          <w:t>Form of Global Non-Qualified Stock Option Agreement for Employees for usage under the Company’s Amended and</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Restated 2006 Stock Incentive Plan</w:t>
        </w:r>
        <w:r>
          <w:rPr>
            <w:rFonts w:ascii="Times New Roman" w:cs="Times New Roman" w:eastAsia="Times New Roman" w:hAnsi="Times New Roman"/>
            <w:sz w:val="17"/>
            <w:szCs w:val="17"/>
            <w:color w:val="000000"/>
          </w:rPr>
          <w:t xml:space="preserve">, filed as exhibit 10.1 to the Company’s Quarterly Report on Form 10-Q for the </w:t>
        </w:r>
      </w:hyperlink>
      <w:r>
        <w:rPr>
          <w:rFonts w:ascii="Times New Roman" w:cs="Times New Roman" w:eastAsia="Times New Roman" w:hAnsi="Times New Roman"/>
          <w:sz w:val="17"/>
          <w:szCs w:val="17"/>
          <w:color w:val="0000FF"/>
        </w:rPr>
        <w:t>fiscal</w:t>
      </w:r>
    </w:p>
    <w:p>
      <w:pPr>
        <w:ind w:left="940" w:right="1079"/>
        <w:spacing w:after="0" w:line="226" w:lineRule="auto"/>
        <w:rPr>
          <w:sz w:val="20"/>
          <w:szCs w:val="20"/>
          <w:color w:val="auto"/>
        </w:rPr>
      </w:pPr>
      <w:r>
        <w:rPr>
          <w:rFonts w:ascii="Times New Roman" w:cs="Times New Roman" w:eastAsia="Times New Roman" w:hAnsi="Times New Roman"/>
          <w:sz w:val="18"/>
          <w:szCs w:val="18"/>
          <w:color w:val="auto"/>
        </w:rPr>
        <w:t>quarter ended February 2, 2019 as filed with the Commission on February 20, 2019 and incorporated herein by reference.</w:t>
      </w:r>
    </w:p>
    <w:p>
      <w:pPr>
        <w:ind w:left="140"/>
        <w:spacing w:after="0" w:line="234"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3">
        <w:r>
          <w:rPr>
            <w:rFonts w:ascii="Times New Roman" w:cs="Times New Roman" w:eastAsia="Times New Roman" w:hAnsi="Times New Roman"/>
            <w:sz w:val="17"/>
            <w:szCs w:val="17"/>
            <w:u w:val="single" w:color="auto"/>
            <w:color w:val="0000FF"/>
          </w:rPr>
          <w:t>Form of Non-Qualified Stock Option Agreement for Directors for usage under the Company’s Amended and Restated</w:t>
        </w:r>
      </w:hyperlink>
    </w:p>
    <w:p>
      <w:pPr>
        <w:ind w:left="940"/>
        <w:spacing w:after="0" w:line="219" w:lineRule="auto"/>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u w:val="single" w:color="auto"/>
            <w:color w:val="0000FF"/>
          </w:rPr>
          <w:t>2006 Stock Incentive Plan</w:t>
        </w:r>
        <w:r>
          <w:rPr>
            <w:rFonts w:ascii="Times New Roman" w:cs="Times New Roman" w:eastAsia="Times New Roman" w:hAnsi="Times New Roman"/>
            <w:sz w:val="18"/>
            <w:szCs w:val="18"/>
            <w:color w:val="000000"/>
          </w:rPr>
          <w:t>, filed as exhibit 10.4 to the Company’s Quarterly Report on Form 10-Q for the fiscal quarter</w:t>
        </w:r>
      </w:hyperlink>
    </w:p>
    <w:p>
      <w:pPr>
        <w:jc w:val="center"/>
        <w:ind w:right="-60"/>
        <w:spacing w:after="0"/>
        <w:rPr>
          <w:sz w:val="20"/>
          <w:szCs w:val="20"/>
          <w:color w:val="auto"/>
        </w:rPr>
      </w:pPr>
      <w:r>
        <w:rPr>
          <w:rFonts w:ascii="Times New Roman" w:cs="Times New Roman" w:eastAsia="Times New Roman" w:hAnsi="Times New Roman"/>
          <w:sz w:val="18"/>
          <w:szCs w:val="18"/>
          <w:color w:val="auto"/>
        </w:rPr>
        <w:t>ended January 28, 2017 as filed with the Commission on February 15, 2017 and incorporated herein by reference.</w:t>
      </w:r>
    </w:p>
    <w:p>
      <w:pPr>
        <w:spacing w:after="0" w:line="7" w:lineRule="exact"/>
        <w:rPr>
          <w:sz w:val="20"/>
          <w:szCs w:val="20"/>
          <w:color w:val="auto"/>
        </w:rPr>
      </w:pPr>
    </w:p>
    <w:p>
      <w:pPr>
        <w:ind w:left="940" w:right="439" w:hanging="793"/>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4">
        <w:r>
          <w:rPr>
            <w:rFonts w:ascii="Times New Roman" w:cs="Times New Roman" w:eastAsia="Times New Roman" w:hAnsi="Times New Roman"/>
            <w:sz w:val="18"/>
            <w:szCs w:val="18"/>
            <w:u w:val="single" w:color="auto"/>
            <w:color w:val="0000FF"/>
          </w:rPr>
          <w:t>Analog Devices, Inc. 2020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Appendix B to the Company’s Definitive Proxy Statement on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Schedule 14A, as filed with the Commission on January 24, 2020 and incorporated herein by reference.</w:t>
      </w:r>
    </w:p>
    <w:p>
      <w:pPr>
        <w:spacing w:after="0" w:line="10" w:lineRule="exact"/>
        <w:rPr>
          <w:sz w:val="20"/>
          <w:szCs w:val="20"/>
          <w:color w:val="auto"/>
        </w:rPr>
      </w:pPr>
    </w:p>
    <w:p>
      <w:pPr>
        <w:ind w:left="940" w:right="679" w:hanging="793"/>
        <w:spacing w:after="0" w:line="236"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*10.9</w:t>
      </w:r>
      <w:r>
        <w:rPr>
          <w:sz w:val="20"/>
          <w:szCs w:val="20"/>
          <w:color w:val="auto"/>
        </w:rPr>
        <w:tab/>
      </w:r>
      <w:hyperlink r:id="rId135">
        <w:r>
          <w:rPr>
            <w:rFonts w:ascii="Times New Roman" w:cs="Times New Roman" w:eastAsia="Times New Roman" w:hAnsi="Times New Roman"/>
            <w:sz w:val="17"/>
            <w:szCs w:val="17"/>
            <w:u w:val="single" w:color="auto"/>
            <w:color w:val="0000FF"/>
          </w:rPr>
          <w:t>Form of Global Non-Qualified Stock Option Agreement for Employees for usage under the Company’s 2020 Equity</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 filed as exhibit 10.2 to the Company’s Quarterly Report on Form 10-Q for the fiscal quarter ended</w:t>
        </w:r>
      </w:hyperlink>
    </w:p>
    <w:p>
      <w:pPr>
        <w:jc w:val="center"/>
        <w:ind w:right="399"/>
        <w:spacing w:after="0"/>
        <w:rPr>
          <w:sz w:val="20"/>
          <w:szCs w:val="20"/>
          <w:color w:val="auto"/>
        </w:rPr>
      </w:pPr>
      <w:r>
        <w:rPr>
          <w:rFonts w:ascii="Times New Roman" w:cs="Times New Roman" w:eastAsia="Times New Roman" w:hAnsi="Times New Roman"/>
          <w:sz w:val="18"/>
          <w:szCs w:val="18"/>
          <w:color w:val="auto"/>
        </w:rPr>
        <w:t>February 1, 2020 as filed with the Commission on February 19, 2020 and incorporated herein by reference.</w:t>
      </w:r>
    </w:p>
    <w:p>
      <w:pPr>
        <w:spacing w:after="0" w:line="7" w:lineRule="exact"/>
        <w:rPr>
          <w:sz w:val="20"/>
          <w:szCs w:val="20"/>
          <w:color w:val="auto"/>
        </w:rPr>
      </w:pPr>
    </w:p>
    <w:p>
      <w:pPr>
        <w:ind w:left="940" w:right="439" w:hanging="838"/>
        <w:spacing w:after="0" w:line="22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36">
        <w:r>
          <w:rPr>
            <w:rFonts w:ascii="Times New Roman" w:cs="Times New Roman" w:eastAsia="Times New Roman" w:hAnsi="Times New Roman"/>
            <w:sz w:val="18"/>
            <w:szCs w:val="18"/>
            <w:u w:val="single" w:color="auto"/>
            <w:color w:val="0000FF"/>
          </w:rPr>
          <w:t>Non-Qualified Performance Stock Option Agreement – CEO Performance Stock Option Award</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10.1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the Company’s Current Report on Form 8-K as filed with the Commission on December 17, 2020 and incorporated</w:t>
      </w:r>
    </w:p>
    <w:p>
      <w:pPr>
        <w:ind w:left="940"/>
        <w:spacing w:after="0"/>
        <w:rPr>
          <w:sz w:val="20"/>
          <w:szCs w:val="20"/>
          <w:color w:val="auto"/>
        </w:rPr>
      </w:pPr>
      <w:r>
        <w:rPr>
          <w:rFonts w:ascii="Times New Roman" w:cs="Times New Roman" w:eastAsia="Times New Roman" w:hAnsi="Times New Roman"/>
          <w:sz w:val="18"/>
          <w:szCs w:val="18"/>
          <w:color w:val="auto"/>
        </w:rPr>
        <w:t>herein by reference.</w:t>
      </w:r>
    </w:p>
    <w:p>
      <w:pPr>
        <w:spacing w:after="0" w:line="7" w:lineRule="exact"/>
        <w:rPr>
          <w:sz w:val="20"/>
          <w:szCs w:val="20"/>
          <w:color w:val="auto"/>
        </w:rPr>
      </w:pPr>
    </w:p>
    <w:p>
      <w:pPr>
        <w:ind w:left="940" w:right="619" w:hanging="835"/>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*10.11</w:t>
      </w:r>
      <w:r>
        <w:rPr>
          <w:sz w:val="20"/>
          <w:szCs w:val="20"/>
          <w:color w:val="auto"/>
        </w:rPr>
        <w:tab/>
      </w:r>
      <w:hyperlink r:id="rId137">
        <w:r>
          <w:rPr>
            <w:rFonts w:ascii="Times New Roman" w:cs="Times New Roman" w:eastAsia="Times New Roman" w:hAnsi="Times New Roman"/>
            <w:sz w:val="17"/>
            <w:szCs w:val="17"/>
            <w:u w:val="single" w:color="auto"/>
            <w:color w:val="0000FF"/>
          </w:rPr>
          <w:t>Form of Global Non-Qualified Stock Option Agreement for Employees for usage under the Company’s 2020 Equity</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Incentive Plan adopted December 8, 2020</w:t>
        </w:r>
        <w:r>
          <w:rPr>
            <w:rFonts w:ascii="Times New Roman" w:cs="Times New Roman" w:eastAsia="Times New Roman" w:hAnsi="Times New Roman"/>
            <w:sz w:val="17"/>
            <w:szCs w:val="17"/>
            <w:color w:val="000000"/>
          </w:rPr>
          <w:t>, filed as exhibit 10.4 to the Company’s Quarterly Report on Form 10-Q for</w:t>
        </w:r>
      </w:hyperlink>
    </w:p>
    <w:p>
      <w:pPr>
        <w:ind w:left="940" w:right="379"/>
        <w:spacing w:after="0" w:line="226" w:lineRule="auto"/>
        <w:rPr>
          <w:sz w:val="20"/>
          <w:szCs w:val="20"/>
          <w:color w:val="auto"/>
        </w:rPr>
      </w:pPr>
      <w:r>
        <w:rPr>
          <w:rFonts w:ascii="Times New Roman" w:cs="Times New Roman" w:eastAsia="Times New Roman" w:hAnsi="Times New Roman"/>
          <w:sz w:val="18"/>
          <w:szCs w:val="18"/>
          <w:color w:val="auto"/>
        </w:rPr>
        <w:t>the fiscal quarter ended January 30, 2021 as filed with the Commission on February 17, 2021 and incorporated herein by reference.</w:t>
      </w:r>
    </w:p>
    <w:p>
      <w:pPr>
        <w:ind w:left="940" w:right="4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*10.12</w:t>
      </w:r>
      <w:r>
        <w:rPr>
          <w:sz w:val="20"/>
          <w:szCs w:val="20"/>
          <w:color w:val="auto"/>
        </w:rPr>
        <w:tab/>
      </w:r>
      <w:hyperlink r:id="rId138">
        <w:r>
          <w:rPr>
            <w:rFonts w:ascii="Times New Roman" w:cs="Times New Roman" w:eastAsia="Times New Roman" w:hAnsi="Times New Roman"/>
            <w:sz w:val="17"/>
            <w:szCs w:val="17"/>
            <w:u w:val="single" w:color="auto"/>
            <w:color w:val="0000FF"/>
          </w:rPr>
          <w:t>Form of Global Restricted Stock Unit Agreement for Employees for usage under the Company’s 2020 Equity Incentive</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Plan adopted December 7, 2021</w:t>
        </w:r>
        <w:r>
          <w:rPr>
            <w:rFonts w:ascii="Times New Roman" w:cs="Times New Roman" w:eastAsia="Times New Roman" w:hAnsi="Times New Roman"/>
            <w:sz w:val="17"/>
            <w:szCs w:val="17"/>
            <w:color w:val="000000"/>
          </w:rPr>
          <w:t>, filed as exhibit 10.2 to the Company’s Quarterly Report on Form 10-Q for the fiscal</w:t>
        </w:r>
      </w:hyperlink>
    </w:p>
    <w:p>
      <w:pPr>
        <w:ind w:left="940" w:right="1079"/>
        <w:spacing w:after="0" w:line="226" w:lineRule="auto"/>
        <w:rPr>
          <w:sz w:val="20"/>
          <w:szCs w:val="20"/>
          <w:color w:val="auto"/>
        </w:rPr>
      </w:pPr>
      <w:r>
        <w:rPr>
          <w:rFonts w:ascii="Times New Roman" w:cs="Times New Roman" w:eastAsia="Times New Roman" w:hAnsi="Times New Roman"/>
          <w:sz w:val="18"/>
          <w:szCs w:val="18"/>
          <w:color w:val="auto"/>
        </w:rPr>
        <w:t>quarter ended January 29, 2022 as filed with the Commission on February 16, 2022 and incorporated herein by reference.</w:t>
      </w:r>
    </w:p>
    <w:p>
      <w:pPr>
        <w:ind w:left="940" w:right="61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*10.13</w:t>
      </w:r>
      <w:r>
        <w:rPr>
          <w:sz w:val="20"/>
          <w:szCs w:val="20"/>
          <w:color w:val="auto"/>
        </w:rPr>
        <w:tab/>
      </w:r>
      <w:hyperlink r:id="rId139">
        <w:r>
          <w:rPr>
            <w:rFonts w:ascii="Times New Roman" w:cs="Times New Roman" w:eastAsia="Times New Roman" w:hAnsi="Times New Roman"/>
            <w:sz w:val="17"/>
            <w:szCs w:val="17"/>
            <w:u w:val="single" w:color="auto"/>
            <w:color w:val="0000FF"/>
          </w:rPr>
          <w:t>Form of EVP Global Restricted Stock Unit Agreement for Employees for usage under the Company’s 2020 Equity</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Incentive Plan adopted March 7, 2022</w:t>
        </w:r>
        <w:r>
          <w:rPr>
            <w:rFonts w:ascii="Times New Roman" w:cs="Times New Roman" w:eastAsia="Times New Roman" w:hAnsi="Times New Roman"/>
            <w:sz w:val="17"/>
            <w:szCs w:val="17"/>
            <w:color w:val="000000"/>
          </w:rPr>
          <w:t xml:space="preserve">, filed as exhibit 10.1 to the Company’s Quarterly Report on Form 10-Q for </w:t>
        </w:r>
      </w:hyperlink>
      <w:r>
        <w:rPr>
          <w:rFonts w:ascii="Times New Roman" w:cs="Times New Roman" w:eastAsia="Times New Roman" w:hAnsi="Times New Roman"/>
          <w:sz w:val="17"/>
          <w:szCs w:val="17"/>
          <w:color w:val="0000FF"/>
        </w:rPr>
        <w:t>the</w:t>
      </w:r>
    </w:p>
    <w:p>
      <w:pPr>
        <w:ind w:left="940"/>
        <w:spacing w:after="0"/>
        <w:rPr>
          <w:sz w:val="20"/>
          <w:szCs w:val="20"/>
          <w:color w:val="auto"/>
        </w:rPr>
      </w:pPr>
      <w:r>
        <w:rPr>
          <w:rFonts w:ascii="Times New Roman" w:cs="Times New Roman" w:eastAsia="Times New Roman" w:hAnsi="Times New Roman"/>
          <w:sz w:val="17"/>
          <w:szCs w:val="17"/>
          <w:color w:val="auto"/>
        </w:rPr>
        <w:t>fiscal quarter ended April 30, 2022 as filed with the Commission on May 18, 2022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616585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925" w:right="1440" w:bottom="1440" w:gutter="0" w:footer="0" w:header="0"/>
        </w:sectPr>
      </w:pPr>
    </w:p>
    <w:bookmarkStart w:id="88" w:name="page89"/>
    <w:bookmarkEnd w:id="88"/>
    <w:p>
      <w:pPr>
        <w:spacing w:after="0"/>
        <w:tabs>
          <w:tab w:leader="none" w:pos="49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33655</wp:posOffset>
            </wp:positionV>
            <wp:extent cx="62147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1" w:lineRule="exact"/>
        <w:rPr>
          <w:sz w:val="20"/>
          <w:szCs w:val="20"/>
          <w:color w:val="auto"/>
        </w:rPr>
      </w:pPr>
    </w:p>
    <w:p>
      <w:pPr>
        <w:ind w:left="940" w:right="359" w:hanging="838"/>
        <w:spacing w:after="0" w:line="236"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*10.14</w:t>
      </w:r>
      <w:r>
        <w:rPr>
          <w:sz w:val="20"/>
          <w:szCs w:val="20"/>
          <w:color w:val="auto"/>
        </w:rPr>
        <w:tab/>
      </w:r>
      <w:hyperlink r:id="rId142">
        <w:r>
          <w:rPr>
            <w:rFonts w:ascii="Times New Roman" w:cs="Times New Roman" w:eastAsia="Times New Roman" w:hAnsi="Times New Roman"/>
            <w:sz w:val="17"/>
            <w:szCs w:val="17"/>
            <w:u w:val="single" w:color="auto"/>
            <w:color w:val="0000FF"/>
          </w:rPr>
          <w:t>Form of EVP Performance Restricted Stock Unit Agreement for Employees for usage under the Company’s 2020 Equity</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Incentive Plan adopted March 7, 2022</w:t>
        </w:r>
        <w:r>
          <w:rPr>
            <w:rFonts w:ascii="Times New Roman" w:cs="Times New Roman" w:eastAsia="Times New Roman" w:hAnsi="Times New Roman"/>
            <w:sz w:val="17"/>
            <w:szCs w:val="17"/>
            <w:color w:val="000000"/>
          </w:rPr>
          <w:t>, filed as exhibit 10.2 to the Company’s Quarterly Report on Form 10-Q for the</w:t>
        </w:r>
      </w:hyperlink>
    </w:p>
    <w:p>
      <w:pPr>
        <w:ind w:left="940"/>
        <w:spacing w:after="0"/>
        <w:rPr>
          <w:sz w:val="20"/>
          <w:szCs w:val="20"/>
          <w:color w:val="auto"/>
        </w:rPr>
      </w:pPr>
      <w:r>
        <w:rPr>
          <w:rFonts w:ascii="Times New Roman" w:cs="Times New Roman" w:eastAsia="Times New Roman" w:hAnsi="Times New Roman"/>
          <w:sz w:val="18"/>
          <w:szCs w:val="18"/>
          <w:color w:val="auto"/>
        </w:rPr>
        <w:t>fiscal quarter ended April 30, 2022 as filed with the Commission on May 18, 2022 and incorporated herein by reference.</w:t>
      </w:r>
    </w:p>
    <w:p>
      <w:pPr>
        <w:spacing w:after="0" w:line="7" w:lineRule="exact"/>
        <w:rPr>
          <w:sz w:val="20"/>
          <w:szCs w:val="20"/>
          <w:color w:val="auto"/>
        </w:rPr>
      </w:pPr>
    </w:p>
    <w:p>
      <w:pPr>
        <w:ind w:left="940" w:right="7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*10.15</w:t>
      </w:r>
      <w:r>
        <w:rPr>
          <w:sz w:val="20"/>
          <w:szCs w:val="20"/>
          <w:color w:val="auto"/>
        </w:rPr>
        <w:tab/>
      </w:r>
      <w:hyperlink r:id="rId143">
        <w:r>
          <w:rPr>
            <w:rFonts w:ascii="Times New Roman" w:cs="Times New Roman" w:eastAsia="Times New Roman" w:hAnsi="Times New Roman"/>
            <w:sz w:val="17"/>
            <w:szCs w:val="17"/>
            <w:u w:val="single" w:color="auto"/>
            <w:color w:val="0000FF"/>
          </w:rPr>
          <w:t>Form of Relative Total Shareholder Return Performance Restricted Stock Unit Agreement for Employees for usage</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under the Company’s 2020 Equity Incentive Plan adopted April 4, 2022</w:t>
        </w:r>
        <w:r>
          <w:rPr>
            <w:rFonts w:ascii="Times New Roman" w:cs="Times New Roman" w:eastAsia="Times New Roman" w:hAnsi="Times New Roman"/>
            <w:sz w:val="17"/>
            <w:szCs w:val="17"/>
            <w:color w:val="000000"/>
          </w:rPr>
          <w:t>, filed as exhibit 10.3 to the Company’s</w:t>
        </w:r>
      </w:hyperlink>
    </w:p>
    <w:p>
      <w:pPr>
        <w:ind w:left="940" w:right="659"/>
        <w:spacing w:after="0" w:line="226"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2022 as filed with the Commission on May 18, 2022 and incorporated herein by reference.</w:t>
      </w:r>
    </w:p>
    <w:p>
      <w:pPr>
        <w:ind w:left="940" w:right="43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*10.16</w:t>
      </w:r>
      <w:r>
        <w:rPr>
          <w:sz w:val="20"/>
          <w:szCs w:val="20"/>
          <w:color w:val="auto"/>
        </w:rPr>
        <w:tab/>
      </w:r>
      <w:hyperlink r:id="rId144">
        <w:r>
          <w:rPr>
            <w:rFonts w:ascii="Times New Roman" w:cs="Times New Roman" w:eastAsia="Times New Roman" w:hAnsi="Times New Roman"/>
            <w:sz w:val="17"/>
            <w:szCs w:val="17"/>
            <w:u w:val="single" w:color="auto"/>
            <w:color w:val="0000FF"/>
          </w:rPr>
          <w:t>Form of Executive Relative Total Shareholder Return Performance Restricted Stock Unit Agreement for Employees for</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usage under the Company’s 2020 Equity Incentive Plan adopted June 6, 2022</w:t>
        </w:r>
        <w:r>
          <w:rPr>
            <w:rFonts w:ascii="Times New Roman" w:cs="Times New Roman" w:eastAsia="Times New Roman" w:hAnsi="Times New Roman"/>
            <w:sz w:val="17"/>
            <w:szCs w:val="17"/>
            <w:color w:val="000000"/>
          </w:rPr>
          <w:t>, filed as exhibit 10.1 to the Company’s</w:t>
        </w:r>
      </w:hyperlink>
    </w:p>
    <w:p>
      <w:pPr>
        <w:ind w:left="940" w:right="539"/>
        <w:spacing w:after="0" w:line="226" w:lineRule="auto"/>
        <w:rPr>
          <w:sz w:val="20"/>
          <w:szCs w:val="20"/>
          <w:color w:val="auto"/>
        </w:rPr>
      </w:pPr>
      <w:r>
        <w:rPr>
          <w:rFonts w:ascii="Times New Roman" w:cs="Times New Roman" w:eastAsia="Times New Roman" w:hAnsi="Times New Roman"/>
          <w:sz w:val="18"/>
          <w:szCs w:val="18"/>
          <w:color w:val="auto"/>
        </w:rPr>
        <w:t>Quarterly Report on Form 10-Q for the fiscal quarter ended July 30, 2022 as filed with the Commission on August 17, 2022 and incorporated herein by reference.</w:t>
      </w:r>
    </w:p>
    <w:p>
      <w:pPr>
        <w:ind w:left="940" w:right="5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*10.17</w:t>
      </w:r>
      <w:r>
        <w:rPr>
          <w:sz w:val="20"/>
          <w:szCs w:val="20"/>
          <w:color w:val="auto"/>
        </w:rPr>
        <w:tab/>
      </w:r>
      <w:hyperlink r:id="rId145">
        <w:r>
          <w:rPr>
            <w:rFonts w:ascii="Times New Roman" w:cs="Times New Roman" w:eastAsia="Times New Roman" w:hAnsi="Times New Roman"/>
            <w:sz w:val="17"/>
            <w:szCs w:val="17"/>
            <w:u w:val="single" w:color="auto"/>
            <w:color w:val="0000FF"/>
          </w:rPr>
          <w:t>Form of Executive Financial Performance Restricted Stock Unit Agreement for Employees for usage under the</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Company’s 2020 Equity Incentive Plan adopted June 6, 2022</w:t>
        </w:r>
        <w:r>
          <w:rPr>
            <w:rFonts w:ascii="Times New Roman" w:cs="Times New Roman" w:eastAsia="Times New Roman" w:hAnsi="Times New Roman"/>
            <w:sz w:val="17"/>
            <w:szCs w:val="17"/>
            <w:color w:val="000000"/>
          </w:rPr>
          <w:t xml:space="preserve">, filed as exhibit 10.2 to the Company’s Quarterly </w:t>
        </w:r>
      </w:hyperlink>
      <w:r>
        <w:rPr>
          <w:rFonts w:ascii="Times New Roman" w:cs="Times New Roman" w:eastAsia="Times New Roman" w:hAnsi="Times New Roman"/>
          <w:sz w:val="17"/>
          <w:szCs w:val="17"/>
          <w:color w:val="0000FF"/>
        </w:rPr>
        <w:t>Report</w:t>
      </w:r>
    </w:p>
    <w:p>
      <w:pPr>
        <w:ind w:left="940" w:right="1099"/>
        <w:spacing w:after="0" w:line="226" w:lineRule="auto"/>
        <w:rPr>
          <w:sz w:val="20"/>
          <w:szCs w:val="20"/>
          <w:color w:val="auto"/>
        </w:rPr>
      </w:pPr>
      <w:r>
        <w:rPr>
          <w:rFonts w:ascii="Times New Roman" w:cs="Times New Roman" w:eastAsia="Times New Roman" w:hAnsi="Times New Roman"/>
          <w:sz w:val="18"/>
          <w:szCs w:val="18"/>
          <w:color w:val="auto"/>
        </w:rPr>
        <w:t>on Form 10-Q for the fiscal quarter ended July 30, 2022 as filed with the Commission on August 17, 2022 and incorporated herein by reference.</w:t>
      </w:r>
    </w:p>
    <w:p>
      <w:pPr>
        <w:ind w:left="940" w:right="61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*10.18</w:t>
      </w:r>
      <w:r>
        <w:rPr>
          <w:sz w:val="20"/>
          <w:szCs w:val="20"/>
          <w:color w:val="auto"/>
        </w:rPr>
        <w:tab/>
      </w:r>
      <w:hyperlink r:id="rId146">
        <w:r>
          <w:rPr>
            <w:rFonts w:ascii="Times New Roman" w:cs="Times New Roman" w:eastAsia="Times New Roman" w:hAnsi="Times New Roman"/>
            <w:sz w:val="17"/>
            <w:szCs w:val="17"/>
            <w:u w:val="single" w:color="auto"/>
            <w:color w:val="0000FF"/>
          </w:rPr>
          <w:t>Form of Global Non-Qualified Stock Option Agreement for Employees for usage under the Company’s 2020 Equity</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Incentive Plan adopted December 5, 2022</w:t>
        </w:r>
        <w:r>
          <w:rPr>
            <w:rFonts w:ascii="Times New Roman" w:cs="Times New Roman" w:eastAsia="Times New Roman" w:hAnsi="Times New Roman"/>
            <w:sz w:val="17"/>
            <w:szCs w:val="17"/>
            <w:color w:val="000000"/>
          </w:rPr>
          <w:t>, filed as exhibit 10.4 to the Company’s Quarterly Report on Form 10-Q for</w:t>
        </w:r>
      </w:hyperlink>
    </w:p>
    <w:p>
      <w:pPr>
        <w:ind w:left="940" w:right="379"/>
        <w:spacing w:after="0" w:line="226" w:lineRule="auto"/>
        <w:rPr>
          <w:sz w:val="20"/>
          <w:szCs w:val="20"/>
          <w:color w:val="auto"/>
        </w:rPr>
      </w:pPr>
      <w:r>
        <w:rPr>
          <w:rFonts w:ascii="Times New Roman" w:cs="Times New Roman" w:eastAsia="Times New Roman" w:hAnsi="Times New Roman"/>
          <w:sz w:val="18"/>
          <w:szCs w:val="18"/>
          <w:color w:val="auto"/>
        </w:rPr>
        <w:t>the fiscal quarter ended January 28, 2023 as filed with the Commission on February 15, 2023 and incorporated herein by reference.</w:t>
      </w:r>
    </w:p>
    <w:p>
      <w:pPr>
        <w:ind w:left="940" w:right="4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*10.19</w:t>
      </w:r>
      <w:r>
        <w:rPr>
          <w:sz w:val="20"/>
          <w:szCs w:val="20"/>
          <w:color w:val="auto"/>
        </w:rPr>
        <w:tab/>
      </w:r>
      <w:hyperlink r:id="rId147">
        <w:r>
          <w:rPr>
            <w:rFonts w:ascii="Times New Roman" w:cs="Times New Roman" w:eastAsia="Times New Roman" w:hAnsi="Times New Roman"/>
            <w:sz w:val="17"/>
            <w:szCs w:val="17"/>
            <w:u w:val="single" w:color="auto"/>
            <w:color w:val="0000FF"/>
          </w:rPr>
          <w:t>Form of Global Restricted Stock Unit Agreement for Employees for usage under the Company’s 2020 Equity Incentive</w:t>
        </w:r>
      </w:hyperlink>
      <w:r>
        <w:rPr>
          <w:rFonts w:ascii="Times New Roman" w:cs="Times New Roman" w:eastAsia="Times New Roman" w:hAnsi="Times New Roman"/>
          <w:sz w:val="17"/>
          <w:szCs w:val="17"/>
          <w:u w:val="single" w:color="auto"/>
          <w:color w:val="0000FF"/>
        </w:rPr>
        <w:t xml:space="preserve"> </w:t>
      </w:r>
      <w:hyperlink r:id="rId147">
        <w:r>
          <w:rPr>
            <w:rFonts w:ascii="Times New Roman" w:cs="Times New Roman" w:eastAsia="Times New Roman" w:hAnsi="Times New Roman"/>
            <w:sz w:val="17"/>
            <w:szCs w:val="17"/>
            <w:u w:val="single" w:color="auto"/>
            <w:color w:val="0000FF"/>
          </w:rPr>
          <w:t>Plan adopted December 5, 2022</w:t>
        </w:r>
        <w:r>
          <w:rPr>
            <w:rFonts w:ascii="Times New Roman" w:cs="Times New Roman" w:eastAsia="Times New Roman" w:hAnsi="Times New Roman"/>
            <w:sz w:val="17"/>
            <w:szCs w:val="17"/>
            <w:color w:val="000000"/>
          </w:rPr>
          <w:t>, filed as exhibit 10.5 to the Company’s Quarterly Report on Form 10-Q for the fiscal</w:t>
        </w:r>
      </w:hyperlink>
    </w:p>
    <w:p>
      <w:pPr>
        <w:ind w:left="940" w:right="1079"/>
        <w:spacing w:after="0" w:line="226" w:lineRule="auto"/>
        <w:rPr>
          <w:sz w:val="20"/>
          <w:szCs w:val="20"/>
          <w:color w:val="auto"/>
        </w:rPr>
      </w:pPr>
      <w:r>
        <w:rPr>
          <w:rFonts w:ascii="Times New Roman" w:cs="Times New Roman" w:eastAsia="Times New Roman" w:hAnsi="Times New Roman"/>
          <w:sz w:val="18"/>
          <w:szCs w:val="18"/>
          <w:color w:val="auto"/>
        </w:rPr>
        <w:t>quarter ended January 28, 2023 as filed with the Commission on February 15, 2023 and incorporated herein by reference.</w:t>
      </w:r>
    </w:p>
    <w:p>
      <w:pPr>
        <w:ind w:left="100"/>
        <w:spacing w:after="0" w:line="234"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48">
        <w:r>
          <w:rPr>
            <w:rFonts w:ascii="Times New Roman" w:cs="Times New Roman" w:eastAsia="Times New Roman" w:hAnsi="Times New Roman"/>
            <w:sz w:val="17"/>
            <w:szCs w:val="17"/>
            <w:u w:val="single" w:color="auto"/>
            <w:color w:val="0000FF"/>
          </w:rPr>
          <w:t>Form of Financial Metric Performance Restricted Stock Unit Agreement for Employees for usage under the Company’s</w:t>
        </w:r>
      </w:hyperlink>
    </w:p>
    <w:p>
      <w:pPr>
        <w:ind w:left="940"/>
        <w:spacing w:after="0" w:line="219" w:lineRule="auto"/>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u w:val="single" w:color="auto"/>
            <w:color w:val="0000FF"/>
          </w:rPr>
          <w:t>2020 Equity Incentive Plan adopted December 5, 2022</w:t>
        </w:r>
        <w:r>
          <w:rPr>
            <w:rFonts w:ascii="Times New Roman" w:cs="Times New Roman" w:eastAsia="Times New Roman" w:hAnsi="Times New Roman"/>
            <w:sz w:val="18"/>
            <w:szCs w:val="18"/>
            <w:color w:val="000000"/>
          </w:rPr>
          <w:t>, filed as exhibit 10.7 to the Company’s Quarterly Report on</w:t>
        </w:r>
      </w:hyperlink>
    </w:p>
    <w:p>
      <w:pPr>
        <w:ind w:left="940" w:right="939"/>
        <w:spacing w:after="0" w:line="226" w:lineRule="auto"/>
        <w:rPr>
          <w:sz w:val="20"/>
          <w:szCs w:val="20"/>
          <w:color w:val="auto"/>
        </w:rPr>
      </w:pPr>
      <w:r>
        <w:rPr>
          <w:rFonts w:ascii="Times New Roman" w:cs="Times New Roman" w:eastAsia="Times New Roman" w:hAnsi="Times New Roman"/>
          <w:sz w:val="18"/>
          <w:szCs w:val="18"/>
          <w:color w:val="auto"/>
        </w:rPr>
        <w:t>Form 10-Q for the fiscal quarter ended January 28, 2023 as filed with the Commission on February 15, 2023 and incorporated herein by reference.</w:t>
      </w:r>
    </w:p>
    <w:p>
      <w:pPr>
        <w:jc w:val="right"/>
        <w:ind w:left="100" w:right="699"/>
        <w:spacing w:after="0" w:line="220"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*10.21    </w:t>
      </w:r>
      <w:hyperlink r:id="rId149">
        <w:r>
          <w:rPr>
            <w:rFonts w:ascii="Times New Roman" w:cs="Times New Roman" w:eastAsia="Times New Roman" w:hAnsi="Times New Roman"/>
            <w:sz w:val="18"/>
            <w:szCs w:val="18"/>
            <w:u w:val="single" w:color="auto"/>
            <w:color w:val="0000FF"/>
          </w:rPr>
          <w:t>Form of Relative Total Shareholder Return Performance Restricted Stock Unit Agreement for Employees for usage</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under the Company’s 2020 Equity Incentive Plan adopted December 5, 2022</w:t>
        </w:r>
        <w:r>
          <w:rPr>
            <w:rFonts w:ascii="Times New Roman" w:cs="Times New Roman" w:eastAsia="Times New Roman" w:hAnsi="Times New Roman"/>
            <w:sz w:val="18"/>
            <w:szCs w:val="18"/>
            <w:color w:val="000000"/>
          </w:rPr>
          <w:t>, filed as exhibit 10.8 to the Company’s</w:t>
        </w:r>
      </w:hyperlink>
    </w:p>
    <w:p>
      <w:pPr>
        <w:ind w:left="940" w:right="419"/>
        <w:spacing w:after="0" w:line="226" w:lineRule="auto"/>
        <w:rPr>
          <w:sz w:val="20"/>
          <w:szCs w:val="20"/>
          <w:color w:val="auto"/>
        </w:rPr>
      </w:pPr>
      <w:r>
        <w:rPr>
          <w:rFonts w:ascii="Times New Roman" w:cs="Times New Roman" w:eastAsia="Times New Roman" w:hAnsi="Times New Roman"/>
          <w:sz w:val="18"/>
          <w:szCs w:val="18"/>
          <w:color w:val="auto"/>
        </w:rPr>
        <w:t>Quarterly Report on Form 10-Q for the fiscal quarter ended January 28, 2023 as filed with the Commission on February 15, 2023 and incorporated herein by reference.</w:t>
      </w:r>
    </w:p>
    <w:p>
      <w:pPr>
        <w:ind w:left="940" w:right="7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*10.22</w:t>
      </w:r>
      <w:r>
        <w:rPr>
          <w:sz w:val="20"/>
          <w:szCs w:val="20"/>
          <w:color w:val="auto"/>
        </w:rPr>
        <w:tab/>
      </w:r>
      <w:hyperlink r:id="rId150">
        <w:r>
          <w:rPr>
            <w:rFonts w:ascii="Times New Roman" w:cs="Times New Roman" w:eastAsia="Times New Roman" w:hAnsi="Times New Roman"/>
            <w:sz w:val="17"/>
            <w:szCs w:val="17"/>
            <w:u w:val="single" w:color="auto"/>
            <w:color w:val="0000FF"/>
          </w:rPr>
          <w:t>Form of Relative Total Shareholder Return Performance Restricted Stock Unit Agreement for Employees for usage</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under the Company’s 2020 Equity Incentive Plan adopted April 3, 2023</w:t>
        </w:r>
        <w:r>
          <w:rPr>
            <w:rFonts w:ascii="Times New Roman" w:cs="Times New Roman" w:eastAsia="Times New Roman" w:hAnsi="Times New Roman"/>
            <w:sz w:val="17"/>
            <w:szCs w:val="17"/>
            <w:color w:val="000000"/>
          </w:rPr>
          <w:t>, filed as exhibit 10.1 to the Company’s</w:t>
        </w:r>
      </w:hyperlink>
    </w:p>
    <w:p>
      <w:pPr>
        <w:ind w:left="940" w:right="659"/>
        <w:spacing w:after="0" w:line="226"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29, 2023 as filed with the Commission on May 24, 2023 and incorporated herein by reference.</w:t>
      </w:r>
    </w:p>
    <w:p>
      <w:pPr>
        <w:ind w:left="940" w:right="51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*10.23</w:t>
      </w:r>
      <w:r>
        <w:rPr>
          <w:sz w:val="20"/>
          <w:szCs w:val="20"/>
          <w:color w:val="auto"/>
        </w:rPr>
        <w:tab/>
      </w:r>
      <w:hyperlink r:id="rId151">
        <w:r>
          <w:rPr>
            <w:rFonts w:ascii="Times New Roman" w:cs="Times New Roman" w:eastAsia="Times New Roman" w:hAnsi="Times New Roman"/>
            <w:sz w:val="17"/>
            <w:szCs w:val="17"/>
            <w:u w:val="single" w:color="auto"/>
            <w:color w:val="0000FF"/>
          </w:rPr>
          <w:t>Form of Global Non-Qualified Stock Option Agreement for Employees for usage under the Company’s 2020 Equity</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Incentive Plan adopted December 11, 2023</w:t>
        </w:r>
        <w:r>
          <w:rPr>
            <w:rFonts w:ascii="Times New Roman" w:cs="Times New Roman" w:eastAsia="Times New Roman" w:hAnsi="Times New Roman"/>
            <w:sz w:val="17"/>
            <w:szCs w:val="17"/>
            <w:color w:val="000000"/>
          </w:rPr>
          <w:t xml:space="preserve">, filed as exhibit 10.3 to the Company’s Quarterly Report on Form 10-Q </w:t>
        </w:r>
      </w:hyperlink>
      <w:r>
        <w:rPr>
          <w:rFonts w:ascii="Times New Roman" w:cs="Times New Roman" w:eastAsia="Times New Roman" w:hAnsi="Times New Roman"/>
          <w:sz w:val="17"/>
          <w:szCs w:val="17"/>
          <w:color w:val="0000FF"/>
        </w:rPr>
        <w:t>for</w:t>
      </w:r>
    </w:p>
    <w:p>
      <w:pPr>
        <w:ind w:left="940" w:right="379"/>
        <w:spacing w:after="0" w:line="226" w:lineRule="auto"/>
        <w:rPr>
          <w:sz w:val="20"/>
          <w:szCs w:val="20"/>
          <w:color w:val="auto"/>
        </w:rPr>
      </w:pPr>
      <w:r>
        <w:rPr>
          <w:rFonts w:ascii="Times New Roman" w:cs="Times New Roman" w:eastAsia="Times New Roman" w:hAnsi="Times New Roman"/>
          <w:sz w:val="18"/>
          <w:szCs w:val="18"/>
          <w:color w:val="auto"/>
        </w:rPr>
        <w:t>the fiscal quarter ended February 3, 2024 as filed with the Commission on February 21, 2024 and incorporated herein by reference.</w:t>
      </w:r>
    </w:p>
    <w:p>
      <w:pPr>
        <w:ind w:left="940" w:right="4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*10.24</w:t>
      </w:r>
      <w:r>
        <w:rPr>
          <w:sz w:val="20"/>
          <w:szCs w:val="20"/>
          <w:color w:val="auto"/>
        </w:rPr>
        <w:tab/>
      </w:r>
      <w:hyperlink r:id="rId152">
        <w:r>
          <w:rPr>
            <w:rFonts w:ascii="Times New Roman" w:cs="Times New Roman" w:eastAsia="Times New Roman" w:hAnsi="Times New Roman"/>
            <w:sz w:val="17"/>
            <w:szCs w:val="17"/>
            <w:u w:val="single" w:color="auto"/>
            <w:color w:val="0000FF"/>
          </w:rPr>
          <w:t>Form of Global Restricted Stock Unit Agreement for Employees for usage under the Company’s 2020 Equity Incentive</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Plan adopted December 11, 2023</w:t>
        </w:r>
        <w:r>
          <w:rPr>
            <w:rFonts w:ascii="Times New Roman" w:cs="Times New Roman" w:eastAsia="Times New Roman" w:hAnsi="Times New Roman"/>
            <w:sz w:val="17"/>
            <w:szCs w:val="17"/>
            <w:color w:val="000000"/>
          </w:rPr>
          <w:t>, filed as exhibit 10.4 to the Company’s Quarterly Report on Form 10-Q for the fiscal</w:t>
        </w:r>
      </w:hyperlink>
    </w:p>
    <w:p>
      <w:pPr>
        <w:ind w:left="940" w:right="1079"/>
        <w:spacing w:after="0" w:line="226" w:lineRule="auto"/>
        <w:rPr>
          <w:sz w:val="20"/>
          <w:szCs w:val="20"/>
          <w:color w:val="auto"/>
        </w:rPr>
      </w:pPr>
      <w:r>
        <w:rPr>
          <w:rFonts w:ascii="Times New Roman" w:cs="Times New Roman" w:eastAsia="Times New Roman" w:hAnsi="Times New Roman"/>
          <w:sz w:val="18"/>
          <w:szCs w:val="18"/>
          <w:color w:val="auto"/>
        </w:rPr>
        <w:t>quarter ended February 3, 2024 as filed with the Commission on February 21, 2024 and incorporated herein by reference.</w:t>
      </w:r>
    </w:p>
    <w:p>
      <w:pPr>
        <w:ind w:left="100"/>
        <w:spacing w:after="0" w:line="234"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53">
        <w:r>
          <w:rPr>
            <w:rFonts w:ascii="Times New Roman" w:cs="Times New Roman" w:eastAsia="Times New Roman" w:hAnsi="Times New Roman"/>
            <w:sz w:val="17"/>
            <w:szCs w:val="17"/>
            <w:u w:val="single" w:color="auto"/>
            <w:color w:val="0000FF"/>
          </w:rPr>
          <w:t>Form of Financial Metric Performance Restricted Stock Unit Agreement for Employees for usage under the Company’s</w:t>
        </w:r>
      </w:hyperlink>
    </w:p>
    <w:p>
      <w:pPr>
        <w:ind w:left="940"/>
        <w:spacing w:after="0" w:line="219" w:lineRule="auto"/>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u w:val="single" w:color="auto"/>
            <w:color w:val="0000FF"/>
          </w:rPr>
          <w:t>2020 Equity Incentive Plan adopted December 11, 2023</w:t>
        </w:r>
        <w:r>
          <w:rPr>
            <w:rFonts w:ascii="Times New Roman" w:cs="Times New Roman" w:eastAsia="Times New Roman" w:hAnsi="Times New Roman"/>
            <w:sz w:val="18"/>
            <w:szCs w:val="18"/>
            <w:color w:val="000000"/>
          </w:rPr>
          <w:t>, filed as exhibit 10.6 to the Company’s Quarterly Report on</w:t>
        </w:r>
      </w:hyperlink>
    </w:p>
    <w:p>
      <w:pPr>
        <w:ind w:left="940" w:right="939"/>
        <w:spacing w:after="0" w:line="226" w:lineRule="auto"/>
        <w:rPr>
          <w:sz w:val="20"/>
          <w:szCs w:val="20"/>
          <w:color w:val="auto"/>
        </w:rPr>
      </w:pPr>
      <w:r>
        <w:rPr>
          <w:rFonts w:ascii="Times New Roman" w:cs="Times New Roman" w:eastAsia="Times New Roman" w:hAnsi="Times New Roman"/>
          <w:sz w:val="18"/>
          <w:szCs w:val="18"/>
          <w:color w:val="auto"/>
        </w:rPr>
        <w:t>Form 10-Q for the fiscal quarter ended February 3, 2024 as filed with the Commission on February 21, 2024 and incorporated herein by reference.</w:t>
      </w:r>
    </w:p>
    <w:p>
      <w:pPr>
        <w:ind w:left="940" w:right="61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*10.26</w:t>
      </w:r>
      <w:r>
        <w:rPr>
          <w:sz w:val="20"/>
          <w:szCs w:val="20"/>
          <w:color w:val="auto"/>
        </w:rPr>
        <w:tab/>
      </w:r>
      <w:hyperlink r:id="rId154">
        <w:r>
          <w:rPr>
            <w:rFonts w:ascii="Times New Roman" w:cs="Times New Roman" w:eastAsia="Times New Roman" w:hAnsi="Times New Roman"/>
            <w:sz w:val="17"/>
            <w:szCs w:val="17"/>
            <w:u w:val="single" w:color="auto"/>
            <w:color w:val="0000FF"/>
          </w:rPr>
          <w:t>Form of Relative Total Shareholder Return Performance Restricted Stock Unit Agreement for Employees for usage</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under the Company’s 2020 Equity Incentive Plan adopted December 11, 2023</w:t>
        </w:r>
        <w:r>
          <w:rPr>
            <w:rFonts w:ascii="Times New Roman" w:cs="Times New Roman" w:eastAsia="Times New Roman" w:hAnsi="Times New Roman"/>
            <w:sz w:val="17"/>
            <w:szCs w:val="17"/>
            <w:color w:val="000000"/>
          </w:rPr>
          <w:t>, filed as exhibit 10.7 to the Company’s</w:t>
        </w:r>
      </w:hyperlink>
    </w:p>
    <w:p>
      <w:pPr>
        <w:ind w:left="940" w:right="419"/>
        <w:spacing w:after="0" w:line="226" w:lineRule="auto"/>
        <w:rPr>
          <w:sz w:val="20"/>
          <w:szCs w:val="20"/>
          <w:color w:val="auto"/>
        </w:rPr>
      </w:pPr>
      <w:r>
        <w:rPr>
          <w:rFonts w:ascii="Times New Roman" w:cs="Times New Roman" w:eastAsia="Times New Roman" w:hAnsi="Times New Roman"/>
          <w:sz w:val="18"/>
          <w:szCs w:val="18"/>
          <w:color w:val="auto"/>
        </w:rPr>
        <w:t>Quarterly Report on Form 10-Q for the fiscal quarter ended February 3, 2024 as filed with the Commission on February 21, 2024 and incorporated herein by reference.</w:t>
      </w:r>
    </w:p>
    <w:p>
      <w:pPr>
        <w:ind w:left="100"/>
        <w:spacing w:after="0" w:line="234"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55">
        <w:r>
          <w:rPr>
            <w:rFonts w:ascii="Times New Roman" w:cs="Times New Roman" w:eastAsia="Times New Roman" w:hAnsi="Times New Roman"/>
            <w:sz w:val="17"/>
            <w:szCs w:val="17"/>
            <w:u w:val="single" w:color="auto"/>
            <w:color w:val="0000FF"/>
          </w:rPr>
          <w:t>Form of Financial Metric Performance Restricted Stock Unit Agreement for Employees for usage under the Company’s</w:t>
        </w:r>
      </w:hyperlink>
    </w:p>
    <w:p>
      <w:pPr>
        <w:ind w:left="940"/>
        <w:spacing w:after="0" w:line="219" w:lineRule="auto"/>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u w:val="single" w:color="auto"/>
            <w:color w:val="0000FF"/>
          </w:rPr>
          <w:t>2020 Equity Incentive Plan adopted September 10, 2024</w:t>
        </w:r>
        <w:r>
          <w:rPr>
            <w:rFonts w:ascii="Times New Roman" w:cs="Times New Roman" w:eastAsia="Times New Roman" w:hAnsi="Times New Roman"/>
            <w:sz w:val="18"/>
            <w:szCs w:val="18"/>
            <w:color w:val="000000"/>
          </w:rPr>
          <w:t>, filed as exhibit 10.57 to the Company’s Annual Report on</w:t>
        </w:r>
      </w:hyperlink>
    </w:p>
    <w:p>
      <w:pPr>
        <w:ind w:left="940" w:right="919"/>
        <w:spacing w:after="0" w:line="226" w:lineRule="auto"/>
        <w:rPr>
          <w:sz w:val="20"/>
          <w:szCs w:val="20"/>
          <w:color w:val="auto"/>
        </w:rPr>
      </w:pPr>
      <w:r>
        <w:rPr>
          <w:rFonts w:ascii="Times New Roman" w:cs="Times New Roman" w:eastAsia="Times New Roman" w:hAnsi="Times New Roman"/>
          <w:sz w:val="18"/>
          <w:szCs w:val="18"/>
          <w:color w:val="auto"/>
        </w:rPr>
        <w:t>Form 10-K for the fiscal year ended November 2, 2024 as filed with the Commission on November 26, 2024 and incorporated by reference herein</w:t>
      </w:r>
    </w:p>
    <w:p>
      <w:pPr>
        <w:ind w:left="940" w:right="51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*10.28</w:t>
      </w:r>
      <w:r>
        <w:rPr>
          <w:sz w:val="20"/>
          <w:szCs w:val="20"/>
          <w:color w:val="auto"/>
        </w:rPr>
        <w:tab/>
      </w:r>
      <w:hyperlink r:id="rId156">
        <w:r>
          <w:rPr>
            <w:rFonts w:ascii="Times New Roman" w:cs="Times New Roman" w:eastAsia="Times New Roman" w:hAnsi="Times New Roman"/>
            <w:sz w:val="17"/>
            <w:szCs w:val="17"/>
            <w:u w:val="single" w:color="auto"/>
            <w:color w:val="0000FF"/>
          </w:rPr>
          <w:t>Form of Restricted Stock Unit Agreement for Non-Employee Directors for usage under the Company’s 2020 Equity</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Incentive Plan adopted December 10, 2024</w:t>
        </w:r>
        <w:r>
          <w:rPr>
            <w:rFonts w:ascii="Times New Roman" w:cs="Times New Roman" w:eastAsia="Times New Roman" w:hAnsi="Times New Roman"/>
            <w:sz w:val="17"/>
            <w:szCs w:val="17"/>
            <w:color w:val="000000"/>
          </w:rPr>
          <w:t xml:space="preserve">, filed as exhibit 10.3 to the Company’s Quarterly Report on Form 10-Q </w:t>
        </w:r>
      </w:hyperlink>
      <w:r>
        <w:rPr>
          <w:rFonts w:ascii="Times New Roman" w:cs="Times New Roman" w:eastAsia="Times New Roman" w:hAnsi="Times New Roman"/>
          <w:sz w:val="17"/>
          <w:szCs w:val="17"/>
          <w:color w:val="0000FF"/>
        </w:rPr>
        <w:t>for</w:t>
      </w:r>
    </w:p>
    <w:p>
      <w:pPr>
        <w:ind w:left="940" w:right="379"/>
        <w:spacing w:after="0" w:line="226" w:lineRule="auto"/>
        <w:rPr>
          <w:sz w:val="20"/>
          <w:szCs w:val="20"/>
          <w:color w:val="auto"/>
        </w:rPr>
      </w:pPr>
      <w:r>
        <w:rPr>
          <w:rFonts w:ascii="Times New Roman" w:cs="Times New Roman" w:eastAsia="Times New Roman" w:hAnsi="Times New Roman"/>
          <w:sz w:val="18"/>
          <w:szCs w:val="18"/>
          <w:color w:val="auto"/>
        </w:rPr>
        <w:t>the fiscal quarter ended February 1, 2025 as filed with the Commission on February 19, 2025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604520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925" w:right="1440" w:bottom="1440" w:gutter="0" w:footer="0" w:header="0"/>
        </w:sectPr>
      </w:pPr>
    </w:p>
    <w:bookmarkStart w:id="89" w:name="page90"/>
    <w:bookmarkEnd w:id="89"/>
    <w:p>
      <w:pPr>
        <w:spacing w:after="0"/>
        <w:tabs>
          <w:tab w:leader="none" w:pos="49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33655</wp:posOffset>
            </wp:positionV>
            <wp:extent cx="62147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41" w:lineRule="exact"/>
        <w:rPr>
          <w:sz w:val="20"/>
          <w:szCs w:val="20"/>
          <w:color w:val="auto"/>
        </w:rPr>
      </w:pPr>
    </w:p>
    <w:p>
      <w:pPr>
        <w:ind w:left="940" w:right="519" w:hanging="838"/>
        <w:spacing w:after="0" w:line="236"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*10.29</w:t>
      </w:r>
      <w:r>
        <w:rPr>
          <w:sz w:val="20"/>
          <w:szCs w:val="20"/>
          <w:color w:val="auto"/>
        </w:rPr>
        <w:tab/>
      </w:r>
      <w:hyperlink r:id="rId159">
        <w:r>
          <w:rPr>
            <w:rFonts w:ascii="Times New Roman" w:cs="Times New Roman" w:eastAsia="Times New Roman" w:hAnsi="Times New Roman"/>
            <w:sz w:val="17"/>
            <w:szCs w:val="17"/>
            <w:u w:val="single" w:color="auto"/>
            <w:color w:val="0000FF"/>
          </w:rPr>
          <w:t>Form of Global Non-Qualified Stock Option Agreement for Employees for usage under the Company’s 2020 Equity</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Incentive Plan adopted December 10, 2024</w:t>
        </w:r>
        <w:r>
          <w:rPr>
            <w:rFonts w:ascii="Times New Roman" w:cs="Times New Roman" w:eastAsia="Times New Roman" w:hAnsi="Times New Roman"/>
            <w:sz w:val="17"/>
            <w:szCs w:val="17"/>
            <w:color w:val="000000"/>
          </w:rPr>
          <w:t xml:space="preserve">, filed as exhibit 10.1 to the Company’s Quarterly Report on Form 10-Q </w:t>
        </w:r>
      </w:hyperlink>
      <w:r>
        <w:rPr>
          <w:rFonts w:ascii="Times New Roman" w:cs="Times New Roman" w:eastAsia="Times New Roman" w:hAnsi="Times New Roman"/>
          <w:sz w:val="17"/>
          <w:szCs w:val="17"/>
          <w:color w:val="0000FF"/>
        </w:rPr>
        <w:t>for</w:t>
      </w:r>
    </w:p>
    <w:p>
      <w:pPr>
        <w:ind w:left="940" w:right="379"/>
        <w:spacing w:after="0" w:line="226" w:lineRule="auto"/>
        <w:rPr>
          <w:sz w:val="20"/>
          <w:szCs w:val="20"/>
          <w:color w:val="auto"/>
        </w:rPr>
      </w:pPr>
      <w:r>
        <w:rPr>
          <w:rFonts w:ascii="Times New Roman" w:cs="Times New Roman" w:eastAsia="Times New Roman" w:hAnsi="Times New Roman"/>
          <w:sz w:val="18"/>
          <w:szCs w:val="18"/>
          <w:color w:val="auto"/>
        </w:rPr>
        <w:t>the fiscal quarter ended February 1, 2025 as filed with the Commission on February 19, 2025 and incorporated herein by reference.</w:t>
      </w:r>
    </w:p>
    <w:p>
      <w:pPr>
        <w:ind w:left="940" w:right="4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*10.30</w:t>
      </w:r>
      <w:r>
        <w:rPr>
          <w:sz w:val="20"/>
          <w:szCs w:val="20"/>
          <w:color w:val="auto"/>
        </w:rPr>
        <w:tab/>
      </w:r>
      <w:hyperlink r:id="rId160">
        <w:r>
          <w:rPr>
            <w:rFonts w:ascii="Times New Roman" w:cs="Times New Roman" w:eastAsia="Times New Roman" w:hAnsi="Times New Roman"/>
            <w:sz w:val="17"/>
            <w:szCs w:val="17"/>
            <w:u w:val="single" w:color="auto"/>
            <w:color w:val="0000FF"/>
          </w:rPr>
          <w:t>Form of Global Restricted Stock Unit Agreement for Employees for usage under the Company’s 2020 Equity Incentive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Plan adopted December 10, 2024</w:t>
        </w:r>
        <w:r>
          <w:rPr>
            <w:rFonts w:ascii="Times New Roman" w:cs="Times New Roman" w:eastAsia="Times New Roman" w:hAnsi="Times New Roman"/>
            <w:sz w:val="17"/>
            <w:szCs w:val="17"/>
            <w:color w:val="000000"/>
          </w:rPr>
          <w:t>, filed as exhibit 10.2 to the Company’s Quarterly Report on Form 10-Q for the fiscal</w:t>
        </w:r>
      </w:hyperlink>
    </w:p>
    <w:p>
      <w:pPr>
        <w:ind w:left="940" w:right="1079"/>
        <w:spacing w:after="0" w:line="226" w:lineRule="auto"/>
        <w:rPr>
          <w:sz w:val="20"/>
          <w:szCs w:val="20"/>
          <w:color w:val="auto"/>
        </w:rPr>
      </w:pPr>
      <w:r>
        <w:rPr>
          <w:rFonts w:ascii="Times New Roman" w:cs="Times New Roman" w:eastAsia="Times New Roman" w:hAnsi="Times New Roman"/>
          <w:sz w:val="18"/>
          <w:szCs w:val="18"/>
          <w:color w:val="auto"/>
        </w:rPr>
        <w:t>quarter ended February 1, 2025 as filed with the Commission on February 19, 2025 and incorporated herein by reference.</w:t>
      </w:r>
    </w:p>
    <w:p>
      <w:pPr>
        <w:ind w:left="100"/>
        <w:spacing w:after="0" w:line="234"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61">
        <w:r>
          <w:rPr>
            <w:rFonts w:ascii="Times New Roman" w:cs="Times New Roman" w:eastAsia="Times New Roman" w:hAnsi="Times New Roman"/>
            <w:sz w:val="17"/>
            <w:szCs w:val="17"/>
            <w:u w:val="single" w:color="auto"/>
            <w:color w:val="0000FF"/>
          </w:rPr>
          <w:t>Form of Financial Metric Performance Restricted Stock Unit Agreement for Employees for usage under the Company’s</w:t>
        </w:r>
      </w:hyperlink>
    </w:p>
    <w:p>
      <w:pPr>
        <w:ind w:left="940"/>
        <w:spacing w:after="0" w:line="219" w:lineRule="auto"/>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2020 Equity Incentive Plan adopted December 10, 2024</w:t>
        </w:r>
        <w:r>
          <w:rPr>
            <w:rFonts w:ascii="Times New Roman" w:cs="Times New Roman" w:eastAsia="Times New Roman" w:hAnsi="Times New Roman"/>
            <w:sz w:val="18"/>
            <w:szCs w:val="18"/>
            <w:color w:val="000000"/>
          </w:rPr>
          <w:t>, filed as exhibit 10.4 to the Company’s Quarterly Report on</w:t>
        </w:r>
      </w:hyperlink>
    </w:p>
    <w:p>
      <w:pPr>
        <w:ind w:left="940" w:right="939"/>
        <w:spacing w:after="0" w:line="226" w:lineRule="auto"/>
        <w:rPr>
          <w:sz w:val="20"/>
          <w:szCs w:val="20"/>
          <w:color w:val="auto"/>
        </w:rPr>
      </w:pPr>
      <w:r>
        <w:rPr>
          <w:rFonts w:ascii="Times New Roman" w:cs="Times New Roman" w:eastAsia="Times New Roman" w:hAnsi="Times New Roman"/>
          <w:sz w:val="18"/>
          <w:szCs w:val="18"/>
          <w:color w:val="auto"/>
        </w:rPr>
        <w:t>Form 10-Q for the fiscal quarter ended February 1, 2025 as filed with the Commission on February 19, 2025 and incorporated herein by reference.</w:t>
      </w:r>
    </w:p>
    <w:p>
      <w:pPr>
        <w:ind w:left="940" w:right="59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*10.32</w:t>
      </w:r>
      <w:r>
        <w:rPr>
          <w:sz w:val="20"/>
          <w:szCs w:val="20"/>
          <w:color w:val="auto"/>
        </w:rPr>
        <w:tab/>
      </w:r>
      <w:hyperlink r:id="rId162">
        <w:r>
          <w:rPr>
            <w:rFonts w:ascii="Times New Roman" w:cs="Times New Roman" w:eastAsia="Times New Roman" w:hAnsi="Times New Roman"/>
            <w:sz w:val="17"/>
            <w:szCs w:val="17"/>
            <w:u w:val="single" w:color="auto"/>
            <w:color w:val="0000FF"/>
          </w:rPr>
          <w:t>Form of Relative Total Shareholder Return Performance Restricted Stock Unit Agreement for Employees for usage</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under the Company’s 2020 Equity Incentive Plan adopted December 10, 2024</w:t>
        </w:r>
        <w:r>
          <w:rPr>
            <w:rFonts w:ascii="Times New Roman" w:cs="Times New Roman" w:eastAsia="Times New Roman" w:hAnsi="Times New Roman"/>
            <w:sz w:val="17"/>
            <w:szCs w:val="17"/>
            <w:color w:val="000000"/>
          </w:rPr>
          <w:t>, filed as exhibit 10.5 to the Company’s</w:t>
        </w:r>
      </w:hyperlink>
    </w:p>
    <w:p>
      <w:pPr>
        <w:ind w:left="940" w:right="419"/>
        <w:spacing w:after="0" w:line="226" w:lineRule="auto"/>
        <w:rPr>
          <w:sz w:val="20"/>
          <w:szCs w:val="20"/>
          <w:color w:val="auto"/>
        </w:rPr>
      </w:pPr>
      <w:r>
        <w:rPr>
          <w:rFonts w:ascii="Times New Roman" w:cs="Times New Roman" w:eastAsia="Times New Roman" w:hAnsi="Times New Roman"/>
          <w:sz w:val="18"/>
          <w:szCs w:val="18"/>
          <w:color w:val="auto"/>
        </w:rPr>
        <w:t>Quarterly Report on Form 10-Q for the fiscal quarter ended February 1, 2025 as filed with the Commission on February 19, 2025 and incorporated herein by reference.</w:t>
      </w:r>
    </w:p>
    <w:p>
      <w:pPr>
        <w:ind w:left="940" w:right="479" w:hanging="838"/>
        <w:spacing w:after="0" w:line="22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63">
        <w:r>
          <w:rPr>
            <w:rFonts w:ascii="Times New Roman" w:cs="Times New Roman" w:eastAsia="Times New Roman" w:hAnsi="Times New Roman"/>
            <w:sz w:val="18"/>
            <w:szCs w:val="18"/>
            <w:u w:val="single" w:color="auto"/>
            <w:color w:val="0000FF"/>
          </w:rPr>
          <w:t>Amended and Restated 1996 Stock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filed as exhibit 10.36 to the Company’s Annual Report on Form 10-K for the fiscal year ended October 30, 2021 as filed with the Commission on December 3, 2021 and incorporated</w:t>
      </w:r>
    </w:p>
    <w:p>
      <w:pPr>
        <w:ind w:left="940"/>
        <w:spacing w:after="0"/>
        <w:rPr>
          <w:sz w:val="20"/>
          <w:szCs w:val="20"/>
          <w:color w:val="auto"/>
        </w:rPr>
      </w:pPr>
      <w:r>
        <w:rPr>
          <w:rFonts w:ascii="Times New Roman" w:cs="Times New Roman" w:eastAsia="Times New Roman" w:hAnsi="Times New Roman"/>
          <w:sz w:val="18"/>
          <w:szCs w:val="18"/>
          <w:color w:val="auto"/>
        </w:rPr>
        <w:t>herein by reference.</w:t>
      </w:r>
    </w:p>
    <w:p>
      <w:pPr>
        <w:spacing w:after="0" w:line="7" w:lineRule="exact"/>
        <w:rPr>
          <w:sz w:val="20"/>
          <w:szCs w:val="20"/>
          <w:color w:val="auto"/>
        </w:rPr>
      </w:pPr>
    </w:p>
    <w:p>
      <w:pPr>
        <w:jc w:val="right"/>
        <w:ind w:left="100" w:right="379"/>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164">
        <w:r>
          <w:rPr>
            <w:rFonts w:ascii="Times New Roman" w:cs="Times New Roman" w:eastAsia="Times New Roman" w:hAnsi="Times New Roman"/>
            <w:sz w:val="18"/>
            <w:szCs w:val="18"/>
            <w:u w:val="single" w:color="auto"/>
            <w:color w:val="0000FF"/>
          </w:rPr>
          <w:t>Form of Global Restricted Stock Unit Agreement for usage under the Amended and Restated 1996 Stock Incentive Plan</w:t>
        </w:r>
      </w:hyperlink>
      <w:r>
        <w:rPr>
          <w:rFonts w:ascii="Times New Roman" w:cs="Times New Roman" w:eastAsia="Times New Roman" w:hAnsi="Times New Roman"/>
          <w:sz w:val="18"/>
          <w:szCs w:val="18"/>
          <w:color w:val="auto"/>
        </w:rPr>
        <w:t>, filed as exhibit 10.37 to the Company’s Annual Report on Form 10-K for the fiscal year ended October 30, 2021 as filed</w:t>
      </w:r>
    </w:p>
    <w:p>
      <w:pPr>
        <w:ind w:left="940"/>
        <w:spacing w:after="0"/>
        <w:rPr>
          <w:sz w:val="20"/>
          <w:szCs w:val="20"/>
          <w:color w:val="auto"/>
        </w:rPr>
      </w:pPr>
      <w:r>
        <w:rPr>
          <w:rFonts w:ascii="Times New Roman" w:cs="Times New Roman" w:eastAsia="Times New Roman" w:hAnsi="Times New Roman"/>
          <w:sz w:val="18"/>
          <w:szCs w:val="18"/>
          <w:color w:val="auto"/>
        </w:rPr>
        <w:t>with the Commission on December 3, 2021 and incorporated herein by reference.</w:t>
      </w:r>
    </w:p>
    <w:p>
      <w:pPr>
        <w:spacing w:after="0" w:line="7" w:lineRule="exact"/>
        <w:rPr>
          <w:sz w:val="20"/>
          <w:szCs w:val="20"/>
          <w:color w:val="auto"/>
        </w:rPr>
      </w:pPr>
    </w:p>
    <w:p>
      <w:pPr>
        <w:ind w:left="940" w:right="51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*10.35</w:t>
      </w:r>
      <w:r>
        <w:rPr>
          <w:sz w:val="20"/>
          <w:szCs w:val="20"/>
          <w:color w:val="auto"/>
        </w:rPr>
        <w:tab/>
      </w:r>
      <w:hyperlink r:id="rId165">
        <w:r>
          <w:rPr>
            <w:rFonts w:ascii="Times New Roman" w:cs="Times New Roman" w:eastAsia="Times New Roman" w:hAnsi="Times New Roman"/>
            <w:sz w:val="17"/>
            <w:szCs w:val="17"/>
            <w:u w:val="single" w:color="auto"/>
            <w:color w:val="0000FF"/>
          </w:rPr>
          <w:t>Form of Global Non-Qualified Stock Option Agreement for usage under the Amended and Restated 1996 Stock</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Incentive Plan</w:t>
        </w:r>
        <w:r>
          <w:rPr>
            <w:rFonts w:ascii="Times New Roman" w:cs="Times New Roman" w:eastAsia="Times New Roman" w:hAnsi="Times New Roman"/>
            <w:sz w:val="17"/>
            <w:szCs w:val="17"/>
            <w:color w:val="000000"/>
          </w:rPr>
          <w:t xml:space="preserve">, filed as exhibit 10.38 to the Company’s Annual Report on Form 10-K for the fiscal year ended </w:t>
        </w:r>
      </w:hyperlink>
      <w:r>
        <w:rPr>
          <w:rFonts w:ascii="Times New Roman" w:cs="Times New Roman" w:eastAsia="Times New Roman" w:hAnsi="Times New Roman"/>
          <w:sz w:val="17"/>
          <w:szCs w:val="17"/>
          <w:color w:val="0000FF"/>
        </w:rPr>
        <w:t>October</w:t>
      </w:r>
    </w:p>
    <w:p>
      <w:pPr>
        <w:ind w:left="940"/>
        <w:spacing w:after="0"/>
        <w:rPr>
          <w:sz w:val="20"/>
          <w:szCs w:val="20"/>
          <w:color w:val="auto"/>
        </w:rPr>
      </w:pPr>
      <w:r>
        <w:rPr>
          <w:rFonts w:ascii="Times New Roman" w:cs="Times New Roman" w:eastAsia="Times New Roman" w:hAnsi="Times New Roman"/>
          <w:sz w:val="18"/>
          <w:szCs w:val="18"/>
          <w:color w:val="auto"/>
        </w:rPr>
        <w:t>30, 2021 as filed with the Commission on December 3, 2021 and incorporated herein by reference.</w:t>
      </w:r>
    </w:p>
    <w:p>
      <w:pPr>
        <w:spacing w:after="0" w:line="7" w:lineRule="exact"/>
        <w:rPr>
          <w:sz w:val="20"/>
          <w:szCs w:val="20"/>
          <w:color w:val="auto"/>
        </w:rPr>
      </w:pPr>
    </w:p>
    <w:p>
      <w:pPr>
        <w:ind w:left="940" w:right="53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*10.36</w:t>
      </w:r>
      <w:r>
        <w:rPr>
          <w:sz w:val="20"/>
          <w:szCs w:val="20"/>
          <w:color w:val="auto"/>
        </w:rPr>
        <w:tab/>
      </w:r>
      <w:hyperlink r:id="rId166">
        <w:r>
          <w:rPr>
            <w:rFonts w:ascii="Times New Roman" w:cs="Times New Roman" w:eastAsia="Times New Roman" w:hAnsi="Times New Roman"/>
            <w:sz w:val="17"/>
            <w:szCs w:val="17"/>
            <w:u w:val="single" w:color="auto"/>
            <w:color w:val="0000FF"/>
          </w:rPr>
          <w:t>Form of Global Restricted Stock Unit Agreement for Employees for usage under the Company’s 1996 Stock Incentive</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Plan adopted December 7, 2021</w:t>
        </w:r>
        <w:r>
          <w:rPr>
            <w:rFonts w:ascii="Times New Roman" w:cs="Times New Roman" w:eastAsia="Times New Roman" w:hAnsi="Times New Roman"/>
            <w:sz w:val="17"/>
            <w:szCs w:val="17"/>
            <w:color w:val="000000"/>
          </w:rPr>
          <w:t>, filed as exhibit 10.3 to the Company’s Quarterly Report on Form 10-Q for the fiscal</w:t>
        </w:r>
      </w:hyperlink>
    </w:p>
    <w:p>
      <w:pPr>
        <w:ind w:left="940" w:right="1079"/>
        <w:spacing w:after="0" w:line="226" w:lineRule="auto"/>
        <w:rPr>
          <w:sz w:val="20"/>
          <w:szCs w:val="20"/>
          <w:color w:val="auto"/>
        </w:rPr>
      </w:pPr>
      <w:r>
        <w:rPr>
          <w:rFonts w:ascii="Times New Roman" w:cs="Times New Roman" w:eastAsia="Times New Roman" w:hAnsi="Times New Roman"/>
          <w:sz w:val="18"/>
          <w:szCs w:val="18"/>
          <w:color w:val="auto"/>
        </w:rPr>
        <w:t>quarter ended January 29, 2022 as filed with the Commission on February 16, 2022 and incorporated herein by reference.</w:t>
      </w:r>
    </w:p>
    <w:p>
      <w:pPr>
        <w:ind w:left="940" w:right="41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*10.37</w:t>
      </w:r>
      <w:r>
        <w:rPr>
          <w:sz w:val="20"/>
          <w:szCs w:val="20"/>
          <w:color w:val="auto"/>
        </w:rPr>
        <w:tab/>
      </w:r>
      <w:hyperlink r:id="rId167">
        <w:r>
          <w:rPr>
            <w:rFonts w:ascii="Times New Roman" w:cs="Times New Roman" w:eastAsia="Times New Roman" w:hAnsi="Times New Roman"/>
            <w:sz w:val="17"/>
            <w:szCs w:val="17"/>
            <w:u w:val="single" w:color="auto"/>
            <w:color w:val="0000FF"/>
          </w:rPr>
          <w:t>Form of Global Non-Qualified Stock Option Agreement for usage under the Company’s Amended and Restated 1996</w:t>
        </w:r>
      </w:hyperlink>
      <w:r>
        <w:rPr>
          <w:rFonts w:ascii="Times New Roman" w:cs="Times New Roman" w:eastAsia="Times New Roman" w:hAnsi="Times New Roman"/>
          <w:sz w:val="17"/>
          <w:szCs w:val="17"/>
          <w:u w:val="single" w:color="auto"/>
          <w:color w:val="0000FF"/>
        </w:rPr>
        <w:t xml:space="preserve"> </w:t>
      </w:r>
      <w:hyperlink r:id="rId167">
        <w:r>
          <w:rPr>
            <w:rFonts w:ascii="Times New Roman" w:cs="Times New Roman" w:eastAsia="Times New Roman" w:hAnsi="Times New Roman"/>
            <w:sz w:val="17"/>
            <w:szCs w:val="17"/>
            <w:u w:val="single" w:color="auto"/>
            <w:color w:val="0000FF"/>
          </w:rPr>
          <w:t>Stock Incentive Plan adopted December 5, 2022</w:t>
        </w:r>
        <w:r>
          <w:rPr>
            <w:rFonts w:ascii="Times New Roman" w:cs="Times New Roman" w:eastAsia="Times New Roman" w:hAnsi="Times New Roman"/>
            <w:sz w:val="17"/>
            <w:szCs w:val="17"/>
            <w:color w:val="000000"/>
          </w:rPr>
          <w:t>, filed as exhibit 10.2 to the Company’s Quarterly Report on Form 10</w:t>
        </w:r>
      </w:hyperlink>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000000"/>
        </w:rPr>
        <w:t>Q</w:t>
      </w:r>
    </w:p>
    <w:p>
      <w:pPr>
        <w:ind w:left="940" w:right="839"/>
        <w:spacing w:after="0" w:line="226" w:lineRule="auto"/>
        <w:rPr>
          <w:sz w:val="20"/>
          <w:szCs w:val="20"/>
          <w:color w:val="auto"/>
        </w:rPr>
      </w:pPr>
      <w:r>
        <w:rPr>
          <w:rFonts w:ascii="Times New Roman" w:cs="Times New Roman" w:eastAsia="Times New Roman" w:hAnsi="Times New Roman"/>
          <w:sz w:val="18"/>
          <w:szCs w:val="18"/>
          <w:color w:val="auto"/>
        </w:rPr>
        <w:t>for the fiscal quarter ended January 28, 2023 as filed with the Commission on February 15, 2023 and incorporated herein by reference.</w:t>
      </w:r>
    </w:p>
    <w:p>
      <w:pPr>
        <w:jc w:val="right"/>
        <w:ind w:right="399"/>
        <w:spacing w:after="0" w:line="234" w:lineRule="auto"/>
        <w:tabs>
          <w:tab w:leader="none" w:pos="8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68">
        <w:r>
          <w:rPr>
            <w:rFonts w:ascii="Times New Roman" w:cs="Times New Roman" w:eastAsia="Times New Roman" w:hAnsi="Times New Roman"/>
            <w:sz w:val="17"/>
            <w:szCs w:val="17"/>
            <w:u w:val="single" w:color="auto"/>
            <w:color w:val="0000FF"/>
          </w:rPr>
          <w:t>Form of Global Restricted Stock Unit Agreement for Employees for usage under the Company’s Amended and Restated</w:t>
        </w:r>
      </w:hyperlink>
    </w:p>
    <w:p>
      <w:pPr>
        <w:jc w:val="right"/>
        <w:ind w:right="419"/>
        <w:spacing w:after="0" w:line="219" w:lineRule="auto"/>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u w:val="single" w:color="auto"/>
            <w:color w:val="0000FF"/>
          </w:rPr>
          <w:t>1996 Stock Incentive Plan adopted December 5, 2022</w:t>
        </w:r>
        <w:r>
          <w:rPr>
            <w:rFonts w:ascii="Times New Roman" w:cs="Times New Roman" w:eastAsia="Times New Roman" w:hAnsi="Times New Roman"/>
            <w:sz w:val="18"/>
            <w:szCs w:val="18"/>
            <w:color w:val="000000"/>
          </w:rPr>
          <w:t>, filed as exhibit 10.3 to the Company’s Quarterly Report on Form</w:t>
        </w:r>
      </w:hyperlink>
    </w:p>
    <w:p>
      <w:pPr>
        <w:ind w:left="940" w:right="419"/>
        <w:spacing w:after="0" w:line="226" w:lineRule="auto"/>
        <w:rPr>
          <w:sz w:val="20"/>
          <w:szCs w:val="20"/>
          <w:color w:val="auto"/>
        </w:rPr>
      </w:pPr>
      <w:r>
        <w:rPr>
          <w:rFonts w:ascii="Times New Roman" w:cs="Times New Roman" w:eastAsia="Times New Roman" w:hAnsi="Times New Roman"/>
          <w:sz w:val="18"/>
          <w:szCs w:val="18"/>
          <w:color w:val="auto"/>
        </w:rPr>
        <w:t>10-Q for the fiscal quarter ended January 28, 2023 as filed with the Commission on February 15, 2023 and incorporated herein by reference.</w:t>
      </w:r>
    </w:p>
    <w:p>
      <w:pPr>
        <w:ind w:left="940" w:right="459" w:hanging="838"/>
        <w:spacing w:after="0" w:line="233" w:lineRule="auto"/>
        <w:tabs>
          <w:tab w:leader="none" w:pos="92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*10.39</w:t>
      </w:r>
      <w:r>
        <w:rPr>
          <w:sz w:val="20"/>
          <w:szCs w:val="20"/>
          <w:color w:val="auto"/>
        </w:rPr>
        <w:tab/>
      </w:r>
      <w:hyperlink r:id="rId169">
        <w:r>
          <w:rPr>
            <w:rFonts w:ascii="Times New Roman" w:cs="Times New Roman" w:eastAsia="Times New Roman" w:hAnsi="Times New Roman"/>
            <w:sz w:val="17"/>
            <w:szCs w:val="17"/>
            <w:u w:val="single" w:color="auto"/>
            <w:color w:val="0000FF"/>
          </w:rPr>
          <w:t>Form of Global Non-Qualified Stock Option Agreement for usage under the Company’s Amended and Restated 1996</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Stock Incentive Plan adopted December 11, 2023</w:t>
        </w:r>
        <w:r>
          <w:rPr>
            <w:rFonts w:ascii="Times New Roman" w:cs="Times New Roman" w:eastAsia="Times New Roman" w:hAnsi="Times New Roman"/>
            <w:sz w:val="17"/>
            <w:szCs w:val="17"/>
            <w:color w:val="000000"/>
          </w:rPr>
          <w:t>, filed as exhibit 10.1 to the Company’s Quarterly Report on Form 10</w:t>
        </w:r>
      </w:hyperlink>
      <w:r>
        <w:rPr>
          <w:rFonts w:ascii="Times New Roman" w:cs="Times New Roman" w:eastAsia="Times New Roman" w:hAnsi="Times New Roman"/>
          <w:sz w:val="17"/>
          <w:szCs w:val="17"/>
          <w:color w:val="0000FF"/>
        </w:rPr>
        <w:t>-</w:t>
      </w:r>
    </w:p>
    <w:p>
      <w:pPr>
        <w:ind w:left="940" w:right="659"/>
        <w:spacing w:after="0" w:line="226" w:lineRule="auto"/>
        <w:rPr>
          <w:sz w:val="20"/>
          <w:szCs w:val="20"/>
          <w:color w:val="auto"/>
        </w:rPr>
      </w:pPr>
      <w:r>
        <w:rPr>
          <w:rFonts w:ascii="Times New Roman" w:cs="Times New Roman" w:eastAsia="Times New Roman" w:hAnsi="Times New Roman"/>
          <w:sz w:val="18"/>
          <w:szCs w:val="18"/>
          <w:color w:val="auto"/>
        </w:rPr>
        <w:t>Q for the fiscal quarter ended February 3, 2024 as filed with the Commission on February 21, 2024 and incorporated herein by reference.</w:t>
      </w:r>
    </w:p>
    <w:p>
      <w:pPr>
        <w:ind w:left="100"/>
        <w:spacing w:after="0" w:line="234"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70">
        <w:r>
          <w:rPr>
            <w:rFonts w:ascii="Times New Roman" w:cs="Times New Roman" w:eastAsia="Times New Roman" w:hAnsi="Times New Roman"/>
            <w:sz w:val="17"/>
            <w:szCs w:val="17"/>
            <w:u w:val="single" w:color="auto"/>
            <w:color w:val="0000FF"/>
          </w:rPr>
          <w:t>Form of Global Restricted Stock Unit Agreement for Employees for usage under the Company’s Amended and Restated</w:t>
        </w:r>
      </w:hyperlink>
    </w:p>
    <w:p>
      <w:pPr>
        <w:ind w:left="940"/>
        <w:spacing w:after="0" w:line="219" w:lineRule="auto"/>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u w:val="single" w:color="auto"/>
            <w:color w:val="0000FF"/>
          </w:rPr>
          <w:t>1996 Stock Incentive Plan adopted December 11, 2023</w:t>
        </w:r>
        <w:r>
          <w:rPr>
            <w:rFonts w:ascii="Times New Roman" w:cs="Times New Roman" w:eastAsia="Times New Roman" w:hAnsi="Times New Roman"/>
            <w:sz w:val="18"/>
            <w:szCs w:val="18"/>
            <w:color w:val="000000"/>
          </w:rPr>
          <w:t>, filed as exhibit 10.2 to the Company’s Quarterly Report on</w:t>
        </w:r>
      </w:hyperlink>
    </w:p>
    <w:p>
      <w:pPr>
        <w:ind w:left="940" w:right="939"/>
        <w:spacing w:after="0" w:line="226" w:lineRule="auto"/>
        <w:rPr>
          <w:sz w:val="20"/>
          <w:szCs w:val="20"/>
          <w:color w:val="auto"/>
        </w:rPr>
      </w:pPr>
      <w:r>
        <w:rPr>
          <w:rFonts w:ascii="Times New Roman" w:cs="Times New Roman" w:eastAsia="Times New Roman" w:hAnsi="Times New Roman"/>
          <w:sz w:val="18"/>
          <w:szCs w:val="18"/>
          <w:color w:val="auto"/>
        </w:rPr>
        <w:t>Form 10-Q for the fiscal quarter ended February 3, 2024 as filed with the Commission on February 21, 2024 and incorporated herein by reference.</w:t>
      </w:r>
    </w:p>
    <w:p>
      <w:pPr>
        <w:ind w:left="940" w:right="419" w:hanging="838"/>
        <w:spacing w:after="0" w:line="25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71">
        <w:r>
          <w:rPr>
            <w:rFonts w:ascii="Times New Roman" w:cs="Times New Roman" w:eastAsia="Times New Roman" w:hAnsi="Times New Roman"/>
            <w:sz w:val="17"/>
            <w:szCs w:val="17"/>
            <w:u w:val="single" w:color="auto"/>
            <w:color w:val="0000FF"/>
          </w:rPr>
          <w:t>Form of Employee Retention Agreement</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filed as exhibit 10.1 to the Company’s Quarterly Report on Form 10-Q for the</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fiscal quarter ended May 5, 2012 as filed with the Commission on May 22, 2012 and incorporated herein by reference.</w:t>
      </w:r>
    </w:p>
    <w:p>
      <w:pPr>
        <w:spacing w:after="0" w:line="2" w:lineRule="exact"/>
        <w:rPr>
          <w:sz w:val="20"/>
          <w:szCs w:val="20"/>
          <w:color w:val="auto"/>
        </w:rPr>
      </w:pPr>
    </w:p>
    <w:p>
      <w:pPr>
        <w:ind w:left="940" w:right="599" w:hanging="838"/>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172">
        <w:r>
          <w:rPr>
            <w:rFonts w:ascii="Times New Roman" w:cs="Times New Roman" w:eastAsia="Times New Roman" w:hAnsi="Times New Roman"/>
            <w:sz w:val="17"/>
            <w:szCs w:val="17"/>
            <w:u w:val="single" w:color="auto"/>
            <w:color w:val="0000FF"/>
          </w:rPr>
          <w:t>Employee Change in Control Severance Policy of Analog Devices, Inc., as amended</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filed as exhibit 10.20 to the</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Company’s Annual Report on Form 10-K for the fiscal year ended October 30, 1999 as filed with the Commission on</w:t>
      </w:r>
    </w:p>
    <w:p>
      <w:pPr>
        <w:ind w:left="940"/>
        <w:spacing w:after="0"/>
        <w:rPr>
          <w:sz w:val="20"/>
          <w:szCs w:val="20"/>
          <w:color w:val="auto"/>
        </w:rPr>
      </w:pPr>
      <w:r>
        <w:rPr>
          <w:rFonts w:ascii="Times New Roman" w:cs="Times New Roman" w:eastAsia="Times New Roman" w:hAnsi="Times New Roman"/>
          <w:sz w:val="18"/>
          <w:szCs w:val="18"/>
          <w:color w:val="auto"/>
        </w:rPr>
        <w:t>January 28, 2000 and incorporated herein by reference.</w:t>
      </w:r>
    </w:p>
    <w:p>
      <w:pPr>
        <w:spacing w:after="0" w:line="7" w:lineRule="exact"/>
        <w:rPr>
          <w:sz w:val="20"/>
          <w:szCs w:val="20"/>
          <w:color w:val="auto"/>
        </w:rPr>
      </w:pPr>
    </w:p>
    <w:p>
      <w:pPr>
        <w:ind w:left="940" w:right="459" w:hanging="838"/>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172">
        <w:r>
          <w:rPr>
            <w:rFonts w:ascii="Times New Roman" w:cs="Times New Roman" w:eastAsia="Times New Roman" w:hAnsi="Times New Roman"/>
            <w:sz w:val="17"/>
            <w:szCs w:val="17"/>
            <w:u w:val="single" w:color="auto"/>
            <w:color w:val="0000FF"/>
          </w:rPr>
          <w:t>Senior Management Change in Control Severance Policy of Analog Devices, Inc., as amended</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filed as exhibit 10.21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the Company’s Annual Report on Form 10-K for the fiscal year ended October 30, 1999 as filed with the Commission</w:t>
      </w:r>
    </w:p>
    <w:p>
      <w:pPr>
        <w:ind w:left="940"/>
        <w:spacing w:after="0"/>
        <w:rPr>
          <w:sz w:val="20"/>
          <w:szCs w:val="20"/>
          <w:color w:val="auto"/>
        </w:rPr>
      </w:pPr>
      <w:r>
        <w:rPr>
          <w:rFonts w:ascii="Times New Roman" w:cs="Times New Roman" w:eastAsia="Times New Roman" w:hAnsi="Times New Roman"/>
          <w:sz w:val="18"/>
          <w:szCs w:val="18"/>
          <w:color w:val="auto"/>
        </w:rPr>
        <w:t>on January 28, 2000 and incorporated herein by reference.</w:t>
      </w:r>
    </w:p>
    <w:p>
      <w:pPr>
        <w:spacing w:after="0" w:line="7" w:lineRule="exact"/>
        <w:rPr>
          <w:sz w:val="20"/>
          <w:szCs w:val="20"/>
          <w:color w:val="auto"/>
        </w:rPr>
      </w:pPr>
    </w:p>
    <w:p>
      <w:pPr>
        <w:ind w:left="940" w:right="499" w:hanging="838"/>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*10.44</w:t>
      </w:r>
      <w:r>
        <w:rPr>
          <w:sz w:val="20"/>
          <w:szCs w:val="20"/>
          <w:color w:val="auto"/>
        </w:rPr>
        <w:tab/>
      </w:r>
      <w:hyperlink r:id="rId173">
        <w:r>
          <w:rPr>
            <w:rFonts w:ascii="Times New Roman" w:cs="Times New Roman" w:eastAsia="Times New Roman" w:hAnsi="Times New Roman"/>
            <w:sz w:val="17"/>
            <w:szCs w:val="17"/>
            <w:u w:val="single" w:color="auto"/>
            <w:color w:val="0000FF"/>
          </w:rPr>
          <w:t>Form of Indemnification Agreement for Directors and Officers</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filed as exhibit 10.30 to the Company’s Annual Report</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on Form 10-K for the fiscal year ended November 1, 2008 as filed with the Commission on November 25, 2008 and</w:t>
      </w:r>
    </w:p>
    <w:p>
      <w:pPr>
        <w:ind w:left="940"/>
        <w:spacing w:after="0"/>
        <w:rPr>
          <w:sz w:val="20"/>
          <w:szCs w:val="20"/>
          <w:color w:val="auto"/>
        </w:rPr>
      </w:pPr>
      <w:r>
        <w:rPr>
          <w:rFonts w:ascii="Times New Roman" w:cs="Times New Roman" w:eastAsia="Times New Roman" w:hAnsi="Times New Roman"/>
          <w:sz w:val="18"/>
          <w:szCs w:val="18"/>
          <w:color w:val="auto"/>
        </w:rPr>
        <w:t>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608965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925"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0"/>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2"/>
        </w:trPr>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20" w:type="dxa"/>
            <w:vAlign w:val="bottom"/>
            <w:gridSpan w:val="18"/>
          </w:tcPr>
          <w:p>
            <w:pPr>
              <w:spacing w:after="0" w:line="182"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Fourth Amended and Restated Credit Agreement, dated as of April 11, 2025, among Analog Devices, Inc., as Borrower,</w:t>
              </w:r>
            </w:hyperlink>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Bank of America, N.A. as Administrative Agent, Swing Line Lender and L/C Issuer, and each lender from time to time</w:t>
              </w:r>
            </w:hyperlink>
          </w:p>
        </w:tc>
        <w:tc>
          <w:tcPr>
            <w:tcW w:w="8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party thereto</w:t>
              </w:r>
              <w:r>
                <w:rPr>
                  <w:rFonts w:ascii="Times New Roman" w:cs="Times New Roman" w:eastAsia="Times New Roman" w:hAnsi="Times New Roman"/>
                  <w:sz w:val="18"/>
                  <w:szCs w:val="18"/>
                  <w:color w:val="000000"/>
                  <w:w w:val="98"/>
                </w:rPr>
                <w:t>, filed as exhibit 10.1 to the Company’s Current Report on Form 8-K as filed with the Commission on April</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191"/>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auto"/>
                <w:w w:val="96"/>
              </w:rPr>
              <w:t>11, 2025 and</w:t>
            </w:r>
          </w:p>
        </w:tc>
        <w:tc>
          <w:tcPr>
            <w:tcW w:w="7800" w:type="dxa"/>
            <w:vAlign w:val="bottom"/>
            <w:gridSpan w:val="17"/>
          </w:tcPr>
          <w:p>
            <w:pPr>
              <w:ind w:left="60"/>
              <w:spacing w:after="0" w:line="191" w:lineRule="exact"/>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4"/>
        </w:trPr>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18"/>
          </w:tcPr>
          <w:p>
            <w:pPr>
              <w:spacing w:after="0" w:line="19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Analog Devices, Inc. Amended &amp; Restated 2022 Employee Stock Purchase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10.63 to the</w:t>
            </w:r>
          </w:p>
        </w:tc>
      </w:tr>
      <w:tr>
        <w:trPr>
          <w:trHeight w:val="151"/>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13"/>
          </w:tcPr>
          <w:p>
            <w:pPr>
              <w:spacing w:after="0" w:line="150" w:lineRule="exact"/>
              <w:rPr>
                <w:sz w:val="20"/>
                <w:szCs w:val="20"/>
                <w:color w:val="auto"/>
              </w:rPr>
            </w:pPr>
            <w:r>
              <w:rPr>
                <w:rFonts w:ascii="Times New Roman" w:cs="Times New Roman" w:eastAsia="Times New Roman" w:hAnsi="Times New Roman"/>
                <w:sz w:val="17"/>
                <w:szCs w:val="17"/>
                <w:color w:val="auto"/>
              </w:rPr>
              <w:t>Company’s Annual Report on Form 10-K for the fiscal year ended October 28,</w:t>
            </w:r>
          </w:p>
        </w:tc>
        <w:tc>
          <w:tcPr>
            <w:tcW w:w="2920" w:type="dxa"/>
            <w:vAlign w:val="bottom"/>
            <w:gridSpan w:val="5"/>
          </w:tcPr>
          <w:p>
            <w:pPr>
              <w:spacing w:after="0" w:line="150" w:lineRule="exact"/>
              <w:rPr>
                <w:sz w:val="20"/>
                <w:szCs w:val="20"/>
                <w:color w:val="auto"/>
              </w:rPr>
            </w:pPr>
            <w:r>
              <w:rPr>
                <w:rFonts w:ascii="Times New Roman" w:cs="Times New Roman" w:eastAsia="Times New Roman" w:hAnsi="Times New Roman"/>
                <w:sz w:val="17"/>
                <w:szCs w:val="17"/>
                <w:color w:val="auto"/>
              </w:rPr>
              <w:t>2023 as filed with the Commission on</w:t>
            </w: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November 21, 2023 and incorporated herein by reference.</w:t>
            </w:r>
          </w:p>
        </w:tc>
      </w:tr>
      <w:tr>
        <w:trPr>
          <w:trHeight w:val="194"/>
        </w:trPr>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18"/>
          </w:tcPr>
          <w:p>
            <w:pPr>
              <w:spacing w:after="0" w:line="19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Executive Performance Incentive Plan effective November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10.52 to the Company’s Annual</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51"/>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gridSpan w:val="18"/>
          </w:tcPr>
          <w:p>
            <w:pPr>
              <w:spacing w:after="0" w:line="150" w:lineRule="exact"/>
              <w:rPr>
                <w:sz w:val="20"/>
                <w:szCs w:val="20"/>
                <w:color w:val="auto"/>
              </w:rPr>
            </w:pPr>
            <w:r>
              <w:rPr>
                <w:rFonts w:ascii="Times New Roman" w:cs="Times New Roman" w:eastAsia="Times New Roman" w:hAnsi="Times New Roman"/>
                <w:sz w:val="17"/>
                <w:szCs w:val="17"/>
                <w:color w:val="auto"/>
              </w:rPr>
              <w:t>Report on Form 10-K for the fiscal year ended November 2, 2024 as filed with the Commission on November 26, 2024</w:t>
            </w:r>
          </w:p>
        </w:tc>
      </w:tr>
      <w:tr>
        <w:trPr>
          <w:trHeight w:val="230"/>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194"/>
        </w:trPr>
        <w:tc>
          <w:tcPr>
            <w:tcW w:w="10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9"/>
              </w:rPr>
              <w:t>†*10.48</w:t>
            </w:r>
          </w:p>
        </w:tc>
        <w:tc>
          <w:tcPr>
            <w:tcW w:w="20" w:type="dxa"/>
            <w:vAlign w:val="bottom"/>
          </w:tcPr>
          <w:p>
            <w:pPr>
              <w:spacing w:after="0"/>
              <w:rPr>
                <w:sz w:val="16"/>
                <w:szCs w:val="16"/>
                <w:color w:val="auto"/>
              </w:rPr>
            </w:pPr>
          </w:p>
        </w:tc>
        <w:tc>
          <w:tcPr>
            <w:tcW w:w="872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Executive Performance Incentive Plan effective November 2, 2025.</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Offer Letter for Richard C. Puccio, Jr. dated January 17,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10.8 to the Company’s Quarterly Report</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51"/>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gridSpan w:val="18"/>
          </w:tcPr>
          <w:p>
            <w:pPr>
              <w:spacing w:after="0" w:line="150" w:lineRule="exact"/>
              <w:rPr>
                <w:sz w:val="20"/>
                <w:szCs w:val="20"/>
                <w:color w:val="auto"/>
              </w:rPr>
            </w:pPr>
            <w:r>
              <w:rPr>
                <w:rFonts w:ascii="Times New Roman" w:cs="Times New Roman" w:eastAsia="Times New Roman" w:hAnsi="Times New Roman"/>
                <w:sz w:val="17"/>
                <w:szCs w:val="17"/>
                <w:color w:val="auto"/>
              </w:rPr>
              <w:t>on Form 10-Q for the fiscal quarter ended February 3, 2024 as filed with the Commission on February 21, 2024 and</w:t>
            </w:r>
          </w:p>
        </w:tc>
      </w:tr>
      <w:tr>
        <w:trPr>
          <w:trHeight w:val="230"/>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4"/>
        </w:trPr>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18"/>
          </w:tcPr>
          <w:p>
            <w:pPr>
              <w:spacing w:after="0" w:line="19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Offer Letter for Katsu Nakamura dated November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10.56 to the Company’s Annual Report on</w:t>
            </w:r>
          </w:p>
        </w:tc>
      </w:tr>
      <w:tr>
        <w:trPr>
          <w:trHeight w:val="151"/>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7"/>
          </w:tcPr>
          <w:p>
            <w:pPr>
              <w:spacing w:after="0" w:line="150" w:lineRule="exact"/>
              <w:rPr>
                <w:sz w:val="20"/>
                <w:szCs w:val="20"/>
                <w:color w:val="auto"/>
              </w:rPr>
            </w:pPr>
            <w:r>
              <w:rPr>
                <w:rFonts w:ascii="Times New Roman" w:cs="Times New Roman" w:eastAsia="Times New Roman" w:hAnsi="Times New Roman"/>
                <w:sz w:val="17"/>
                <w:szCs w:val="17"/>
                <w:color w:val="auto"/>
              </w:rPr>
              <w:t>Form 10-K for the fiscal year ended November 2, 2024 as</w:t>
            </w:r>
          </w:p>
        </w:tc>
        <w:tc>
          <w:tcPr>
            <w:tcW w:w="4520" w:type="dxa"/>
            <w:vAlign w:val="bottom"/>
            <w:gridSpan w:val="11"/>
          </w:tcPr>
          <w:p>
            <w:pPr>
              <w:jc w:val="right"/>
              <w:ind w:right="580"/>
              <w:spacing w:after="0" w:line="150" w:lineRule="exact"/>
              <w:rPr>
                <w:sz w:val="20"/>
                <w:szCs w:val="20"/>
                <w:color w:val="auto"/>
              </w:rPr>
            </w:pPr>
            <w:r>
              <w:rPr>
                <w:rFonts w:ascii="Times New Roman" w:cs="Times New Roman" w:eastAsia="Times New Roman" w:hAnsi="Times New Roman"/>
                <w:sz w:val="17"/>
                <w:szCs w:val="17"/>
                <w:color w:val="auto"/>
              </w:rPr>
              <w:t>filed with the Commission on November 26, 2024 and</w:t>
            </w:r>
          </w:p>
        </w:tc>
      </w:tr>
      <w:tr>
        <w:trPr>
          <w:trHeight w:val="230"/>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incorporated by reference herein.</w:t>
            </w:r>
          </w:p>
        </w:tc>
      </w:tr>
      <w:tr>
        <w:trPr>
          <w:trHeight w:val="194"/>
        </w:trPr>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18"/>
          </w:tcPr>
          <w:p>
            <w:pPr>
              <w:spacing w:after="0" w:line="19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Offer Letter for Martin Cotter dated November 20,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10.58 to the Company’s Annual Report on</w:t>
            </w:r>
          </w:p>
        </w:tc>
      </w:tr>
      <w:tr>
        <w:trPr>
          <w:trHeight w:val="151"/>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6"/>
          </w:tcPr>
          <w:p>
            <w:pPr>
              <w:spacing w:after="0" w:line="150" w:lineRule="exact"/>
              <w:rPr>
                <w:sz w:val="20"/>
                <w:szCs w:val="20"/>
                <w:color w:val="auto"/>
              </w:rPr>
            </w:pPr>
            <w:r>
              <w:rPr>
                <w:rFonts w:ascii="Times New Roman" w:cs="Times New Roman" w:eastAsia="Times New Roman" w:hAnsi="Times New Roman"/>
                <w:sz w:val="17"/>
                <w:szCs w:val="17"/>
                <w:color w:val="auto"/>
              </w:rPr>
              <w:t>Form 10-K for the fiscal year ended November 2, 2024</w:t>
            </w:r>
          </w:p>
        </w:tc>
        <w:tc>
          <w:tcPr>
            <w:tcW w:w="4660" w:type="dxa"/>
            <w:vAlign w:val="bottom"/>
            <w:gridSpan w:val="12"/>
          </w:tcPr>
          <w:p>
            <w:pPr>
              <w:jc w:val="right"/>
              <w:ind w:right="580"/>
              <w:spacing w:after="0" w:line="150" w:lineRule="exact"/>
              <w:rPr>
                <w:sz w:val="20"/>
                <w:szCs w:val="20"/>
                <w:color w:val="auto"/>
              </w:rPr>
            </w:pPr>
            <w:r>
              <w:rPr>
                <w:rFonts w:ascii="Times New Roman" w:cs="Times New Roman" w:eastAsia="Times New Roman" w:hAnsi="Times New Roman"/>
                <w:sz w:val="17"/>
                <w:szCs w:val="17"/>
                <w:color w:val="auto"/>
              </w:rPr>
              <w:t>as filed with the Commission on November 26, 2024 and</w:t>
            </w: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194"/>
        </w:trPr>
        <w:tc>
          <w:tcPr>
            <w:tcW w:w="106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w w:val="96"/>
              </w:rPr>
              <w:t>†19</w:t>
            </w:r>
          </w:p>
        </w:tc>
        <w:tc>
          <w:tcPr>
            <w:tcW w:w="20" w:type="dxa"/>
            <w:vAlign w:val="bottom"/>
          </w:tcPr>
          <w:p>
            <w:pPr>
              <w:spacing w:after="0"/>
              <w:rPr>
                <w:sz w:val="16"/>
                <w:szCs w:val="16"/>
                <w:color w:val="auto"/>
              </w:rPr>
            </w:pPr>
          </w:p>
        </w:tc>
        <w:tc>
          <w:tcPr>
            <w:tcW w:w="872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Analog Devices, Inc. Insider Trading Policy.</w:t>
            </w:r>
          </w:p>
        </w:tc>
      </w:tr>
      <w:tr>
        <w:trPr>
          <w:trHeight w:val="210"/>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†21</w:t>
            </w:r>
          </w:p>
        </w:tc>
        <w:tc>
          <w:tcPr>
            <w:tcW w:w="20" w:type="dxa"/>
            <w:vAlign w:val="bottom"/>
          </w:tcPr>
          <w:p>
            <w:pPr>
              <w:spacing w:after="0"/>
              <w:rPr>
                <w:sz w:val="18"/>
                <w:szCs w:val="18"/>
                <w:color w:val="auto"/>
              </w:rPr>
            </w:pPr>
          </w:p>
        </w:tc>
        <w:tc>
          <w:tcPr>
            <w:tcW w:w="21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Subsidiaries of the Company.</w:t>
            </w:r>
          </w:p>
        </w:tc>
        <w:tc>
          <w:tcPr>
            <w:tcW w:w="1080" w:type="dxa"/>
            <w:vAlign w:val="bottom"/>
            <w:tcBorders>
              <w:top w:val="single" w:sz="8" w:color="0000FF"/>
            </w:tcBorders>
          </w:tcPr>
          <w:p>
            <w:pPr>
              <w:spacing w:after="0"/>
              <w:rPr>
                <w:sz w:val="18"/>
                <w:szCs w:val="18"/>
                <w:color w:val="auto"/>
              </w:rPr>
            </w:pPr>
          </w:p>
        </w:tc>
        <w:tc>
          <w:tcPr>
            <w:tcW w:w="5520" w:type="dxa"/>
            <w:vAlign w:val="bottom"/>
            <w:gridSpan w:val="15"/>
          </w:tcPr>
          <w:p>
            <w:pPr>
              <w:spacing w:after="0"/>
              <w:rPr>
                <w:sz w:val="18"/>
                <w:szCs w:val="18"/>
                <w:color w:val="auto"/>
              </w:rPr>
            </w:pPr>
          </w:p>
        </w:tc>
      </w:tr>
      <w:tr>
        <w:trPr>
          <w:trHeight w:val="210"/>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†23</w:t>
            </w:r>
          </w:p>
        </w:tc>
        <w:tc>
          <w:tcPr>
            <w:tcW w:w="20" w:type="dxa"/>
            <w:vAlign w:val="bottom"/>
          </w:tcPr>
          <w:p>
            <w:pPr>
              <w:spacing w:after="0"/>
              <w:rPr>
                <w:sz w:val="18"/>
                <w:szCs w:val="18"/>
                <w:color w:val="auto"/>
              </w:rPr>
            </w:pPr>
          </w:p>
        </w:tc>
        <w:tc>
          <w:tcPr>
            <w:tcW w:w="5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 Independent Registered Public Accounting Firm.</w:t>
            </w:r>
          </w:p>
        </w:tc>
        <w:tc>
          <w:tcPr>
            <w:tcW w:w="2840" w:type="dxa"/>
            <w:vAlign w:val="bottom"/>
            <w:gridSpan w:val="4"/>
          </w:tcPr>
          <w:p>
            <w:pPr>
              <w:spacing w:after="0"/>
              <w:rPr>
                <w:sz w:val="18"/>
                <w:szCs w:val="18"/>
                <w:color w:val="auto"/>
              </w:rPr>
            </w:pPr>
          </w:p>
        </w:tc>
      </w:tr>
      <w:tr>
        <w:trPr>
          <w:trHeight w:val="20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†31.1</w:t>
            </w:r>
          </w:p>
        </w:tc>
        <w:tc>
          <w:tcPr>
            <w:tcW w:w="20" w:type="dxa"/>
            <w:vAlign w:val="bottom"/>
          </w:tcPr>
          <w:p>
            <w:pPr>
              <w:spacing w:after="0"/>
              <w:rPr>
                <w:sz w:val="18"/>
                <w:szCs w:val="18"/>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Exchange Act, as Adopted Pursuant to Section 302 of the</w:t>
            </w: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(Chief Executive Officer).</w:t>
            </w:r>
          </w:p>
        </w:tc>
        <w:tc>
          <w:tcPr>
            <w:tcW w:w="120" w:type="dxa"/>
            <w:vAlign w:val="bottom"/>
            <w:gridSpan w:val="2"/>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r>
      <w:tr>
        <w:trPr>
          <w:trHeight w:val="223"/>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†31.2</w:t>
            </w: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Exchange Act, as Adopted Pursuant to Section 302 of the</w:t>
            </w: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 (Chief Financial Officer).</w:t>
            </w:r>
          </w:p>
        </w:tc>
        <w:tc>
          <w:tcPr>
            <w:tcW w:w="4620" w:type="dxa"/>
            <w:vAlign w:val="bottom"/>
            <w:tcBorders>
              <w:top w:val="single" w:sz="8" w:color="0000FF"/>
            </w:tcBorders>
            <w:gridSpan w:val="11"/>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23"/>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Executive Officer).</w:t>
            </w:r>
          </w:p>
        </w:tc>
      </w:tr>
      <w:tr>
        <w:trPr>
          <w:trHeight w:val="210"/>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54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Financial Officer).</w:t>
            </w:r>
          </w:p>
        </w:tc>
        <w:tc>
          <w:tcPr>
            <w:tcW w:w="40" w:type="dxa"/>
            <w:vAlign w:val="bottom"/>
            <w:tcBorders>
              <w:top w:val="single" w:sz="8" w:color="0000FF"/>
            </w:tcBorders>
          </w:tcPr>
          <w:p>
            <w:pPr>
              <w:spacing w:after="0"/>
              <w:rPr>
                <w:sz w:val="18"/>
                <w:szCs w:val="18"/>
                <w:color w:val="auto"/>
              </w:rPr>
            </w:pPr>
          </w:p>
        </w:tc>
        <w:tc>
          <w:tcPr>
            <w:tcW w:w="3280" w:type="dxa"/>
            <w:vAlign w:val="bottom"/>
            <w:gridSpan w:val="6"/>
          </w:tcPr>
          <w:p>
            <w:pPr>
              <w:spacing w:after="0"/>
              <w:rPr>
                <w:sz w:val="18"/>
                <w:szCs w:val="18"/>
                <w:color w:val="auto"/>
              </w:rPr>
            </w:pPr>
          </w:p>
        </w:tc>
      </w:tr>
      <w:tr>
        <w:trPr>
          <w:trHeight w:val="20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†97</w:t>
            </w:r>
          </w:p>
        </w:tc>
        <w:tc>
          <w:tcPr>
            <w:tcW w:w="20" w:type="dxa"/>
            <w:vAlign w:val="bottom"/>
          </w:tcPr>
          <w:p>
            <w:pPr>
              <w:spacing w:after="0"/>
              <w:rPr>
                <w:sz w:val="18"/>
                <w:szCs w:val="18"/>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Analog Devices, Inc. Compensation Recovery Policy.</w:t>
            </w: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4"/>
            <w:shd w:val="clear" w:color="auto" w:fill="0000FF"/>
          </w:tcPr>
          <w:p>
            <w:pPr>
              <w:spacing w:after="0" w:line="20" w:lineRule="exact"/>
              <w:rPr>
                <w:sz w:val="1"/>
                <w:szCs w:val="1"/>
                <w:color w:val="auto"/>
              </w:rPr>
            </w:pPr>
          </w:p>
        </w:tc>
        <w:tc>
          <w:tcPr>
            <w:tcW w:w="4840" w:type="dxa"/>
            <w:vAlign w:val="bottom"/>
            <w:gridSpan w:val="14"/>
          </w:tcPr>
          <w:p>
            <w:pPr>
              <w:spacing w:after="0" w:line="20" w:lineRule="exact"/>
              <w:rPr>
                <w:sz w:val="1"/>
                <w:szCs w:val="1"/>
                <w:color w:val="auto"/>
              </w:rPr>
            </w:pPr>
          </w:p>
        </w:tc>
      </w:tr>
      <w:tr>
        <w:trPr>
          <w:trHeight w:val="196"/>
        </w:trPr>
        <w:tc>
          <w:tcPr>
            <w:tcW w:w="10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101. INS</w:t>
            </w:r>
          </w:p>
        </w:tc>
        <w:tc>
          <w:tcPr>
            <w:tcW w:w="20" w:type="dxa"/>
            <w:vAlign w:val="bottom"/>
          </w:tcPr>
          <w:p>
            <w:pPr>
              <w:spacing w:after="0"/>
              <w:rPr>
                <w:sz w:val="17"/>
                <w:szCs w:val="17"/>
                <w:color w:val="auto"/>
              </w:rPr>
            </w:pPr>
          </w:p>
        </w:tc>
        <w:tc>
          <w:tcPr>
            <w:tcW w:w="87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w:t>
            </w:r>
          </w:p>
        </w:tc>
      </w:t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33"/>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101. SCH</w:t>
            </w:r>
          </w:p>
        </w:tc>
        <w:tc>
          <w:tcPr>
            <w:tcW w:w="20" w:type="dxa"/>
            <w:vAlign w:val="bottom"/>
          </w:tcPr>
          <w:p>
            <w:pPr>
              <w:spacing w:after="0"/>
              <w:rPr>
                <w:sz w:val="20"/>
                <w:szCs w:val="20"/>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 CAL</w:t>
            </w: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30"/>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 LAB</w:t>
            </w: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2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 PRE</w:t>
            </w:r>
          </w:p>
        </w:tc>
        <w:tc>
          <w:tcPr>
            <w:tcW w:w="20" w:type="dxa"/>
            <w:vAlign w:val="bottom"/>
          </w:tcPr>
          <w:p>
            <w:pPr>
              <w:spacing w:after="0"/>
              <w:rPr>
                <w:sz w:val="19"/>
                <w:szCs w:val="19"/>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 DEF</w:t>
            </w:r>
          </w:p>
        </w:tc>
        <w:tc>
          <w:tcPr>
            <w:tcW w:w="20" w:type="dxa"/>
            <w:vAlign w:val="bottom"/>
          </w:tcPr>
          <w:p>
            <w:pPr>
              <w:spacing w:after="0"/>
              <w:rPr>
                <w:sz w:val="20"/>
                <w:szCs w:val="20"/>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080" w:right="800" w:hanging="728"/>
        <w:spacing w:after="0" w:line="23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46" w:lineRule="exact"/>
        <w:rPr>
          <w:sz w:val="20"/>
          <w:szCs w:val="20"/>
          <w:color w:val="auto"/>
        </w:rPr>
      </w:pPr>
    </w:p>
    <w:p>
      <w:pPr>
        <w:ind w:left="800" w:hanging="774"/>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00" w:hanging="774"/>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800" w:hanging="774"/>
        <w:spacing w:after="0"/>
        <w:tabs>
          <w:tab w:leader="none" w:pos="8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and compensatory plan or arrangements required to be filed as an Exhibit pursuant to Item 15(b) of Form 10-K.</w:t>
      </w:r>
    </w:p>
    <w:p>
      <w:pPr>
        <w:spacing w:after="0" w:line="34" w:lineRule="exact"/>
        <w:rPr>
          <w:sz w:val="20"/>
          <w:szCs w:val="20"/>
          <w:color w:val="auto"/>
        </w:rPr>
      </w:pPr>
    </w:p>
    <w:p>
      <w:pPr>
        <w:ind w:left="800" w:hanging="774"/>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925" w:right="107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NOVEMBER 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STATEMENT SCHEDULE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November 1, 2025, November 2, 2024 and October 28, 2023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 amounts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13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(Reductions)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Charged to Income</w:t>
            </w:r>
          </w:p>
        </w:tc>
        <w:tc>
          <w:tcPr>
            <w:tcW w:w="28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60" w:type="dxa"/>
            <w:vAlign w:val="bottom"/>
            <w:gridSpan w:val="2"/>
            <w:vMerge w:val="continue"/>
          </w:tcPr>
          <w:p>
            <w:pPr>
              <w:spacing w:after="0"/>
              <w:rPr>
                <w:sz w:val="17"/>
                <w:szCs w:val="17"/>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20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2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for Deferred Tax Asset:</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October 28, 2023</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339,105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332,464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Year ended November 2, 2024</w:t>
            </w:r>
          </w:p>
        </w:tc>
        <w:tc>
          <w:tcPr>
            <w:tcW w:w="220" w:type="dxa"/>
            <w:vAlign w:val="bottom"/>
            <w:tcBorders>
              <w:top w:val="single" w:sz="8" w:color="auto"/>
              <w:bottom w:val="single" w:sz="8" w:color="auto"/>
            </w:tcBorders>
          </w:tcPr>
          <w:p>
            <w:pPr>
              <w:jc w:val="right"/>
              <w:ind w:right="3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332,464</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10,615</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343,079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November 1, 2025</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343,079</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93" w:name="page94"/>
    <w:bookmarkEnd w:id="9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94" w:name="page95"/>
    <w:bookmarkEnd w:id="9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445"/>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77" w:lineRule="exact"/>
        <w:rPr>
          <w:sz w:val="20"/>
          <w:szCs w:val="20"/>
          <w:color w:val="auto"/>
        </w:rPr>
      </w:pPr>
    </w:p>
    <w:p>
      <w:pPr>
        <w:ind w:left="20"/>
        <w:spacing w:after="0"/>
        <w:tabs>
          <w:tab w:leader="none" w:pos="4020" w:val="left"/>
          <w:tab w:leader="none" w:pos="7280" w:val="left"/>
        </w:tabs>
        <w:rPr>
          <w:sz w:val="20"/>
          <w:szCs w:val="20"/>
          <w:color w:val="auto"/>
        </w:rPr>
      </w:pPr>
      <w:r>
        <w:rPr>
          <w:rFonts w:ascii="Times New Roman" w:cs="Times New Roman" w:eastAsia="Times New Roman" w:hAnsi="Times New Roman"/>
          <w:sz w:val="18"/>
          <w:szCs w:val="18"/>
          <w:color w:val="auto"/>
        </w:rPr>
        <w:t>Date: November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662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Vincent Roche</w:t>
      </w:r>
    </w:p>
    <w:p>
      <w:pPr>
        <w:jc w:val="center"/>
        <w:ind w:left="4660"/>
        <w:spacing w:after="0" w:line="203" w:lineRule="auto"/>
        <w:rPr>
          <w:sz w:val="20"/>
          <w:szCs w:val="20"/>
          <w:color w:val="auto"/>
        </w:rPr>
      </w:pPr>
      <w:r>
        <w:rPr>
          <w:rFonts w:ascii="Times New Roman" w:cs="Times New Roman" w:eastAsia="Times New Roman" w:hAnsi="Times New Roman"/>
          <w:sz w:val="18"/>
          <w:szCs w:val="18"/>
          <w:color w:val="auto"/>
        </w:rPr>
        <w:t>Chief Executive Officer and Chair of the Board of Directors</w:t>
      </w:r>
    </w:p>
    <w:p>
      <w:pPr>
        <w:jc w:val="center"/>
        <w:ind w:left="4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sectPr>
      </w:pPr>
    </w:p>
    <w:bookmarkStart w:id="95" w:name="page96"/>
    <w:bookmarkEnd w:id="95"/>
    <w:p>
      <w:pPr>
        <w:ind w:right="44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ectPr>
          <w:pgSz w:w="11900" w:h="16838" w:orient="portrait"/>
          <w:cols w:equalWidth="0" w:num="1">
            <w:col w:w="11200"/>
          </w:cols>
          <w:pgMar w:left="320" w:top="891" w:right="37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9146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9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Vincent Roche</w:t>
      </w:r>
    </w:p>
    <w:p>
      <w:pPr>
        <w:spacing w:after="0" w:line="35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9146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38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Michael Sondel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4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Michael Sondel</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André Andonian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André Andonian</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Edward H.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Edward H. Frank</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Karen M. Golz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Karen M. Golz</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Peter B.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Peter B. Henry</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Stephen M.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Stephen M. Jennings</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Mercedes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Mercedes Johnson</w:t>
      </w:r>
    </w:p>
    <w:p>
      <w:pPr>
        <w:spacing w:after="0" w:line="25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Ray Stata</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Andrea F. Wainer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Andrea F. Wainer</w:t>
      </w:r>
    </w:p>
    <w:p>
      <w:pPr>
        <w:spacing w:after="0" w:line="29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 Susie 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Susie Wee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6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26"/>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Chief Executive Officer and Chair of the Board of</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184"/>
        </w:trPr>
        <w:tc>
          <w:tcPr>
            <w:tcW w:w="4160" w:type="dxa"/>
            <w:vAlign w:val="bottom"/>
            <w:gridSpan w:val="2"/>
          </w:tcPr>
          <w:p>
            <w:pPr>
              <w:jc w:val="center"/>
              <w:ind w:right="480"/>
              <w:spacing w:after="0" w:line="184" w:lineRule="exact"/>
              <w:rPr>
                <w:sz w:val="20"/>
                <w:szCs w:val="20"/>
                <w:color w:val="auto"/>
              </w:rPr>
            </w:pPr>
            <w:r>
              <w:rPr>
                <w:rFonts w:ascii="Times New Roman" w:cs="Times New Roman" w:eastAsia="Times New Roman" w:hAnsi="Times New Roman"/>
                <w:sz w:val="18"/>
                <w:szCs w:val="18"/>
                <w:color w:val="auto"/>
              </w:rPr>
              <w:t>Directors</w:t>
            </w:r>
          </w:p>
        </w:tc>
        <w:tc>
          <w:tcPr>
            <w:tcW w:w="1960" w:type="dxa"/>
            <w:vAlign w:val="bottom"/>
          </w:tcPr>
          <w:p>
            <w:pPr>
              <w:spacing w:after="0"/>
              <w:rPr>
                <w:sz w:val="16"/>
                <w:szCs w:val="16"/>
                <w:color w:val="auto"/>
              </w:rPr>
            </w:pPr>
          </w:p>
        </w:tc>
      </w:tr>
      <w:tr>
        <w:trPr>
          <w:trHeight w:val="234"/>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60" w:type="dxa"/>
            <w:vAlign w:val="bottom"/>
          </w:tcPr>
          <w:p>
            <w:pPr>
              <w:spacing w:after="0"/>
              <w:rPr>
                <w:sz w:val="20"/>
                <w:szCs w:val="20"/>
                <w:color w:val="auto"/>
              </w:rPr>
            </w:pPr>
          </w:p>
        </w:tc>
      </w:tr>
      <w:tr>
        <w:trPr>
          <w:trHeight w:val="405"/>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Executive Vice President and Chief Financial</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184"/>
        </w:trPr>
        <w:tc>
          <w:tcPr>
            <w:tcW w:w="4160" w:type="dxa"/>
            <w:vAlign w:val="bottom"/>
            <w:gridSpan w:val="2"/>
          </w:tcPr>
          <w:p>
            <w:pPr>
              <w:jc w:val="center"/>
              <w:ind w:right="480"/>
              <w:spacing w:after="0" w:line="184" w:lineRule="exact"/>
              <w:rPr>
                <w:sz w:val="20"/>
                <w:szCs w:val="20"/>
                <w:color w:val="auto"/>
              </w:rPr>
            </w:pPr>
            <w:r>
              <w:rPr>
                <w:rFonts w:ascii="Times New Roman" w:cs="Times New Roman" w:eastAsia="Times New Roman" w:hAnsi="Times New Roman"/>
                <w:sz w:val="18"/>
                <w:szCs w:val="18"/>
                <w:color w:val="auto"/>
                <w:w w:val="99"/>
              </w:rPr>
              <w:t>Officer</w:t>
            </w:r>
          </w:p>
        </w:tc>
        <w:tc>
          <w:tcPr>
            <w:tcW w:w="1960" w:type="dxa"/>
            <w:vAlign w:val="bottom"/>
          </w:tcPr>
          <w:p>
            <w:pPr>
              <w:spacing w:after="0"/>
              <w:rPr>
                <w:sz w:val="16"/>
                <w:szCs w:val="16"/>
                <w:color w:val="auto"/>
              </w:rPr>
            </w:pPr>
          </w:p>
        </w:tc>
      </w:tr>
      <w:tr>
        <w:trPr>
          <w:trHeight w:val="234"/>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60" w:type="dxa"/>
            <w:vAlign w:val="bottom"/>
          </w:tcPr>
          <w:p>
            <w:pPr>
              <w:spacing w:after="0"/>
              <w:rPr>
                <w:sz w:val="20"/>
                <w:szCs w:val="20"/>
                <w:color w:val="auto"/>
              </w:rPr>
            </w:pPr>
          </w:p>
        </w:tc>
      </w:tr>
      <w:tr>
        <w:trPr>
          <w:trHeight w:val="446"/>
        </w:trPr>
        <w:tc>
          <w:tcPr>
            <w:tcW w:w="41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Corporate Vice President and Chief</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184"/>
        </w:trPr>
        <w:tc>
          <w:tcPr>
            <w:tcW w:w="4160" w:type="dxa"/>
            <w:vAlign w:val="bottom"/>
            <w:gridSpan w:val="2"/>
          </w:tcPr>
          <w:p>
            <w:pPr>
              <w:jc w:val="center"/>
              <w:ind w:right="480"/>
              <w:spacing w:after="0" w:line="184" w:lineRule="exact"/>
              <w:rPr>
                <w:sz w:val="20"/>
                <w:szCs w:val="20"/>
                <w:color w:val="auto"/>
              </w:rPr>
            </w:pPr>
            <w:r>
              <w:rPr>
                <w:rFonts w:ascii="Times New Roman" w:cs="Times New Roman" w:eastAsia="Times New Roman" w:hAnsi="Times New Roman"/>
                <w:sz w:val="18"/>
                <w:szCs w:val="18"/>
                <w:color w:val="auto"/>
                <w:w w:val="99"/>
              </w:rPr>
              <w:t>Accounting Officer</w:t>
            </w:r>
          </w:p>
        </w:tc>
        <w:tc>
          <w:tcPr>
            <w:tcW w:w="1960" w:type="dxa"/>
            <w:vAlign w:val="bottom"/>
          </w:tcPr>
          <w:p>
            <w:pPr>
              <w:spacing w:after="0"/>
              <w:rPr>
                <w:sz w:val="16"/>
                <w:szCs w:val="16"/>
                <w:color w:val="auto"/>
              </w:rPr>
            </w:pPr>
          </w:p>
        </w:tc>
      </w:tr>
      <w:tr>
        <w:trPr>
          <w:trHeight w:val="234"/>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60" w:type="dxa"/>
            <w:vAlign w:val="bottom"/>
          </w:tcPr>
          <w:p>
            <w:pPr>
              <w:spacing w:after="0"/>
              <w:rPr>
                <w:sz w:val="20"/>
                <w:szCs w:val="20"/>
                <w:color w:val="auto"/>
              </w:rPr>
            </w:pPr>
          </w:p>
        </w:tc>
      </w:tr>
      <w:tr>
        <w:trPr>
          <w:trHeight w:val="540"/>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43"/>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43"/>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42"/>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43"/>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43"/>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02"/>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43"/>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742"/>
        </w:trPr>
        <w:tc>
          <w:tcPr>
            <w:tcW w:w="4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25, 2025</w:t>
            </w:r>
          </w:p>
        </w:tc>
      </w:tr>
    </w:tbl>
    <w:p>
      <w:pPr>
        <w:spacing w:after="0" w:line="415" w:lineRule="exact"/>
        <w:rPr>
          <w:sz w:val="20"/>
          <w:szCs w:val="20"/>
          <w:color w:val="auto"/>
        </w:rPr>
      </w:pPr>
    </w:p>
    <w:p>
      <w:pPr>
        <w:sectPr>
          <w:pgSz w:w="11900" w:h="16838" w:orient="portrait"/>
          <w:cols w:equalWidth="0" w:num="2">
            <w:col w:w="4360" w:space="720"/>
            <w:col w:w="6120"/>
          </w:cols>
          <w:pgMar w:left="320" w:top="89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00"/>
          </w:cols>
          <w:pgMar w:left="320" w:top="891" w:right="379" w:bottom="1440" w:gutter="0" w:footer="0" w:header="0"/>
          <w:type w:val="continuous"/>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4.9</w:t>
      </w:r>
    </w:p>
    <w:p>
      <w:pPr>
        <w:spacing w:after="0" w:line="200" w:lineRule="exact"/>
        <w:rPr>
          <w:sz w:val="20"/>
          <w:szCs w:val="20"/>
          <w:color w:val="auto"/>
        </w:rPr>
      </w:pPr>
    </w:p>
    <w:p>
      <w:pPr>
        <w:spacing w:after="0" w:line="371" w:lineRule="exact"/>
        <w:rPr>
          <w:sz w:val="20"/>
          <w:szCs w:val="20"/>
          <w:color w:val="auto"/>
        </w:rPr>
      </w:pPr>
    </w:p>
    <w:p>
      <w:pPr>
        <w:jc w:val="center"/>
        <w:spacing w:after="0" w:line="333"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37" w:lineRule="exact"/>
        <w:rPr>
          <w:sz w:val="20"/>
          <w:szCs w:val="20"/>
          <w:color w:val="auto"/>
        </w:rPr>
      </w:pPr>
    </w:p>
    <w:p>
      <w:pPr>
        <w:ind w:right="120" w:firstLine="445"/>
        <w:spacing w:after="0" w:line="302" w:lineRule="auto"/>
        <w:rPr>
          <w:sz w:val="20"/>
          <w:szCs w:val="20"/>
          <w:color w:val="auto"/>
        </w:rPr>
      </w:pPr>
      <w:r>
        <w:rPr>
          <w:rFonts w:ascii="Times New Roman" w:cs="Times New Roman" w:eastAsia="Times New Roman" w:hAnsi="Times New Roman"/>
          <w:sz w:val="18"/>
          <w:szCs w:val="18"/>
          <w:color w:val="auto"/>
        </w:rPr>
        <w:t>The following description of the common stock of Analog Devices, Inc. (“we”, “us” and “our”) is based upon, and is qualified by reference to, our amended and restated articles of incorporation, as amended (“articles of incorporation”), and our second amended and restated bylaws (“bylaws”), each of which is incorporated by reference as an exhibit to our most recent Annual Report on Form 10-K. The terms of our common stock are also subject to and qualified by the applicable provisions of the Massachusetts General Laws.</w:t>
      </w:r>
    </w:p>
    <w:p>
      <w:pPr>
        <w:spacing w:after="0" w:line="65" w:lineRule="exact"/>
        <w:rPr>
          <w:sz w:val="20"/>
          <w:szCs w:val="20"/>
          <w:color w:val="auto"/>
        </w:rPr>
      </w:pPr>
    </w:p>
    <w:p>
      <w:pPr>
        <w:ind w:right="60" w:firstLine="445"/>
        <w:spacing w:after="0" w:line="329" w:lineRule="auto"/>
        <w:rPr>
          <w:sz w:val="20"/>
          <w:szCs w:val="20"/>
          <w:color w:val="auto"/>
        </w:rPr>
      </w:pPr>
      <w:r>
        <w:rPr>
          <w:rFonts w:ascii="Times New Roman" w:cs="Times New Roman" w:eastAsia="Times New Roman" w:hAnsi="Times New Roman"/>
          <w:sz w:val="18"/>
          <w:szCs w:val="18"/>
          <w:color w:val="auto"/>
        </w:rPr>
        <w:t>Our authorized capital stock consists of 1,200,000,000 shares of common stock, $0.16 2/3 par value per share, and 471,934 shares of preferred stock, $1.00 par value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right="460" w:firstLine="445"/>
        <w:spacing w:after="0" w:line="31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our shareholders and do not have cumulative voting rights.</w:t>
      </w:r>
    </w:p>
    <w:p>
      <w:pPr>
        <w:spacing w:after="0" w:line="176" w:lineRule="exact"/>
        <w:rPr>
          <w:sz w:val="20"/>
          <w:szCs w:val="20"/>
          <w:color w:val="auto"/>
        </w:rPr>
      </w:pPr>
    </w:p>
    <w:p>
      <w:pPr>
        <w:ind w:right="80" w:firstLine="445"/>
        <w:spacing w:after="0" w:line="295" w:lineRule="auto"/>
        <w:rPr>
          <w:sz w:val="20"/>
          <w:szCs w:val="20"/>
          <w:color w:val="auto"/>
        </w:rPr>
      </w:pPr>
      <w:r>
        <w:rPr>
          <w:rFonts w:ascii="Times New Roman" w:cs="Times New Roman" w:eastAsia="Times New Roman" w:hAnsi="Times New Roman"/>
          <w:sz w:val="18"/>
          <w:szCs w:val="18"/>
          <w:color w:val="auto"/>
        </w:rPr>
        <w:t>If a quorum exists at a meeting of shareholders, action on a matter, other than the election of a member of our board of directors, is approved if the votes cast favoring the action exceed the votes cast opposing the action, unless a greater number of affirmative votes is required by law, our articles of incorporation, our bylaws or, to the extent authorized by law, a resolution of our board of directors. Other than in a Contested Election Meeting (as defined below), when a quorum is present, a nominee for director shall be elected to our board of directors if the votes cast “for” such nominee’s election exceed the votes cast “against” such nominee’s election. In a Contested Election Meeting, when a quorum is present, directors shall be elected by a plurality of the votes cast by at such Contested Election Meeting. A meeting of shareholders shall be a “Contested Election Meeting” if there are more persons nominated for election as directors at such meeting than there are directors to be elected at such meeting, determined as of the tenth day preceding the date of our first notice to shareholders of such meeting, or such other date as determined in accordance with our bylaws.</w:t>
      </w:r>
    </w:p>
    <w:p>
      <w:pPr>
        <w:spacing w:after="0" w:line="125" w:lineRule="exact"/>
        <w:rPr>
          <w:sz w:val="20"/>
          <w:szCs w:val="20"/>
          <w:color w:val="auto"/>
        </w:rPr>
      </w:pPr>
    </w:p>
    <w:p>
      <w:pPr>
        <w:ind w:right="40" w:firstLine="445"/>
        <w:spacing w:after="0" w:line="329" w:lineRule="auto"/>
        <w:rPr>
          <w:sz w:val="20"/>
          <w:szCs w:val="20"/>
          <w:color w:val="auto"/>
        </w:rPr>
      </w:pPr>
      <w:r>
        <w:rPr>
          <w:rFonts w:ascii="Times New Roman" w:cs="Times New Roman" w:eastAsia="Times New Roman" w:hAnsi="Times New Roman"/>
          <w:sz w:val="18"/>
          <w:szCs w:val="18"/>
          <w:color w:val="auto"/>
        </w:rPr>
        <w:t>Holders of our common stock are entitled to receive ratably any dividends as may be declared by our board of directors out of funds legally available therefor, subject to any preferential dividend rights of outstanding preferred stock.</w:t>
      </w:r>
    </w:p>
    <w:p>
      <w:pPr>
        <w:spacing w:after="0" w:line="148" w:lineRule="exact"/>
        <w:rPr>
          <w:sz w:val="20"/>
          <w:szCs w:val="20"/>
          <w:color w:val="auto"/>
        </w:rPr>
      </w:pPr>
    </w:p>
    <w:p>
      <w:pPr>
        <w:ind w:right="20" w:firstLine="445"/>
        <w:spacing w:after="0" w:line="30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ratably in our net assets available after the payment of all debts and other liabilities and subject to the prior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spacing w:after="0" w:line="173" w:lineRule="exact"/>
        <w:rPr>
          <w:sz w:val="20"/>
          <w:szCs w:val="20"/>
          <w:color w:val="auto"/>
        </w:rPr>
      </w:pPr>
    </w:p>
    <w:p>
      <w:pPr>
        <w:ind w:right="80" w:firstLine="445"/>
        <w:spacing w:after="0" w:line="329" w:lineRule="auto"/>
        <w:rPr>
          <w:sz w:val="20"/>
          <w:szCs w:val="20"/>
          <w:color w:val="auto"/>
        </w:rPr>
      </w:pPr>
      <w:r>
        <w:rPr>
          <w:rFonts w:ascii="Times New Roman" w:cs="Times New Roman" w:eastAsia="Times New Roman" w:hAnsi="Times New Roman"/>
          <w:sz w:val="18"/>
          <w:szCs w:val="18"/>
          <w:color w:val="auto"/>
        </w:rPr>
        <w:t>We do not have a classified board of directors. All of our directors are elected annually. The number of directors comprising our board of directors is fixed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Our common stock is listed on The Nasdaq Global Select Market under the symbol “ADI.”</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Investor Services.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Effects of Authorized but Unissued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626" w:right="339" w:bottom="1440" w:gutter="0" w:footer="0" w:header="0"/>
        </w:sectPr>
      </w:pPr>
    </w:p>
    <w:bookmarkStart w:id="97" w:name="page98"/>
    <w:bookmarkEnd w:id="97"/>
    <w:p>
      <w:pPr>
        <w:spacing w:after="0" w:line="99" w:lineRule="exact"/>
        <w:rPr>
          <w:sz w:val="20"/>
          <w:szCs w:val="20"/>
          <w:color w:val="auto"/>
        </w:rPr>
      </w:pPr>
    </w:p>
    <w:p>
      <w:pPr>
        <w:ind w:right="20" w:firstLine="445"/>
        <w:spacing w:after="0" w:line="294" w:lineRule="auto"/>
        <w:rPr>
          <w:sz w:val="20"/>
          <w:szCs w:val="20"/>
          <w:color w:val="auto"/>
        </w:rPr>
      </w:pPr>
      <w:r>
        <w:rPr>
          <w:rFonts w:ascii="Times New Roman" w:cs="Times New Roman" w:eastAsia="Times New Roman" w:hAnsi="Times New Roman"/>
          <w:sz w:val="18"/>
          <w:szCs w:val="18"/>
          <w:color w:val="auto"/>
        </w:rPr>
        <w:t>We have shares of common stock and preferred stock available for future issuance without shareholder approval. We may utilize these additional shares for a variety of corporate purposes, including future public offerings to raise additional capital or facilitate corporate acquisitions or for payment as a dividend on the capital stock. The existence of unissued and unreserved common stock and preferred stock may enable our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if we issue preferred stock, the issuance could adversely affect the voting power of holders of our common stock and the likelihood that such holders will receive dividend payments and payments upon liquidation.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Our Charter, Our Bylaws and Massachusetts Law That May Have Anti-Takeover Effects</w:t>
      </w:r>
    </w:p>
    <w:p>
      <w:pPr>
        <w:spacing w:after="0" w:line="133"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 by Shareholders</w:t>
      </w:r>
      <w:r>
        <w:rPr>
          <w:rFonts w:ascii="Times New Roman" w:cs="Times New Roman" w:eastAsia="Times New Roman" w:hAnsi="Times New Roman"/>
          <w:sz w:val="18"/>
          <w:szCs w:val="18"/>
          <w:color w:val="auto"/>
        </w:rPr>
        <w:t>. Our bylaws provide that members of our board of directors may be removed (a) with or without cause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the majority of our shareholders entitled to vote in the election of directors, provided that the directors of a class elected by a particular class of shareholders may be removed only by the vote of the holders of a majority of the shares of such class or (b) for cause by a vote of a majority of our directors then in office.</w:t>
      </w:r>
    </w:p>
    <w:p>
      <w:pPr>
        <w:spacing w:after="0" w:line="193" w:lineRule="exact"/>
        <w:rPr>
          <w:sz w:val="20"/>
          <w:szCs w:val="20"/>
          <w:color w:val="auto"/>
        </w:rPr>
      </w:pPr>
    </w:p>
    <w:p>
      <w:pPr>
        <w:ind w:right="40" w:firstLine="445"/>
        <w:spacing w:after="0" w:line="306" w:lineRule="auto"/>
        <w:rPr>
          <w:sz w:val="20"/>
          <w:szCs w:val="20"/>
          <w:color w:val="auto"/>
        </w:rPr>
      </w:pPr>
      <w:r>
        <w:rPr>
          <w:rFonts w:ascii="Times New Roman" w:cs="Times New Roman" w:eastAsia="Times New Roman" w:hAnsi="Times New Roman"/>
          <w:sz w:val="18"/>
          <w:szCs w:val="18"/>
          <w:i w:val="1"/>
          <w:iCs w:val="1"/>
          <w:color w:val="auto"/>
        </w:rPr>
        <w:t>Advance Notice Requirements for Shareholder Proposals and Director Nominations</w:t>
      </w:r>
      <w:r>
        <w:rPr>
          <w:rFonts w:ascii="Times New Roman" w:cs="Times New Roman" w:eastAsia="Times New Roman" w:hAnsi="Times New Roman"/>
          <w:sz w:val="18"/>
          <w:szCs w:val="18"/>
          <w:color w:val="auto"/>
        </w:rPr>
        <w:t>. Our bylaws provide that nominations for election to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may be made either by our board of directors or by one of our shareholders who complies with specified notice provisions. Our bylaws contain similar advance notice provisions for shareholder proposals for action at shareholder meetings.</w:t>
      </w:r>
    </w:p>
    <w:p>
      <w:pPr>
        <w:spacing w:after="0" w:line="182" w:lineRule="exact"/>
        <w:rPr>
          <w:sz w:val="20"/>
          <w:szCs w:val="20"/>
          <w:color w:val="auto"/>
        </w:rPr>
      </w:pPr>
    </w:p>
    <w:p>
      <w:pPr>
        <w:ind w:right="20" w:firstLine="445"/>
        <w:spacing w:after="0" w:line="297" w:lineRule="auto"/>
        <w:rPr>
          <w:sz w:val="20"/>
          <w:szCs w:val="20"/>
          <w:color w:val="auto"/>
        </w:rPr>
      </w:pPr>
      <w:r>
        <w:rPr>
          <w:rFonts w:ascii="Times New Roman" w:cs="Times New Roman" w:eastAsia="Times New Roman" w:hAnsi="Times New Roman"/>
          <w:sz w:val="18"/>
          <w:szCs w:val="18"/>
          <w:color w:val="auto"/>
        </w:rPr>
        <w:t>In addition, our bylaws contain a proxy access provision that allows a shareholder or group of up to 20 shareholders owning in aggregate 3% or more of our outstanding shares of common stock continuously for at least three years to nominate and include in our proxy materials director nominees constituting up to 20% of the number of directors in office or two nominees, whichever is greater, provided the shareholder(s) and nominee(s) satisfy the requirements in the bylaws. Shareholders must give timely written notice to our Secretary, in proper form, to include nominees in our proxy materials for an annual meeting.</w:t>
      </w:r>
    </w:p>
    <w:p>
      <w:pPr>
        <w:spacing w:after="0" w:line="189" w:lineRule="exact"/>
        <w:rPr>
          <w:sz w:val="20"/>
          <w:szCs w:val="20"/>
          <w:color w:val="auto"/>
        </w:rPr>
      </w:pPr>
    </w:p>
    <w:p>
      <w:pPr>
        <w:ind w:right="40" w:firstLine="445"/>
        <w:spacing w:after="0" w:line="298" w:lineRule="auto"/>
        <w:rPr>
          <w:sz w:val="20"/>
          <w:szCs w:val="20"/>
          <w:color w:val="auto"/>
        </w:rPr>
      </w:pPr>
      <w:r>
        <w:rPr>
          <w:rFonts w:ascii="Times New Roman" w:cs="Times New Roman" w:eastAsia="Times New Roman" w:hAnsi="Times New Roman"/>
          <w:sz w:val="18"/>
          <w:szCs w:val="18"/>
          <w:i w:val="1"/>
          <w:iCs w:val="1"/>
          <w:color w:val="auto"/>
        </w:rPr>
        <w:t>Special Meeting of Shareholders</w:t>
      </w:r>
      <w:r>
        <w:rPr>
          <w:rFonts w:ascii="Times New Roman" w:cs="Times New Roman" w:eastAsia="Times New Roman" w:hAnsi="Times New Roman"/>
          <w:sz w:val="18"/>
          <w:szCs w:val="18"/>
          <w:color w:val="auto"/>
        </w:rPr>
        <w:t>. Our bylaws impose restrictions and limitations on the ability of shareholders to call special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Requests for shareholder meetings may be made by one or more shareholders owning, and having held continuously for a period of at least one year prior to the date such request is delivered, not less than 25% of the voting power of all outstanding shares of stock who have complied in full with the requirements set forth in our bylaws.</w:t>
      </w:r>
    </w:p>
    <w:p>
      <w:pPr>
        <w:spacing w:after="0" w:line="187" w:lineRule="exact"/>
        <w:rPr>
          <w:sz w:val="20"/>
          <w:szCs w:val="20"/>
          <w:color w:val="auto"/>
        </w:rPr>
      </w:pPr>
    </w:p>
    <w:p>
      <w:pPr>
        <w:ind w:right="40" w:firstLine="445"/>
        <w:spacing w:after="0" w:line="315" w:lineRule="auto"/>
        <w:rPr>
          <w:sz w:val="20"/>
          <w:szCs w:val="20"/>
          <w:color w:val="auto"/>
        </w:rPr>
      </w:pPr>
      <w:r>
        <w:rPr>
          <w:rFonts w:ascii="Times New Roman" w:cs="Times New Roman" w:eastAsia="Times New Roman" w:hAnsi="Times New Roman"/>
          <w:sz w:val="18"/>
          <w:szCs w:val="18"/>
          <w:i w:val="1"/>
          <w:iCs w:val="1"/>
          <w:color w:val="auto"/>
        </w:rPr>
        <w:t>Action by Consent of Shareholders</w:t>
      </w:r>
      <w:r>
        <w:rPr>
          <w:rFonts w:ascii="Times New Roman" w:cs="Times New Roman" w:eastAsia="Times New Roman" w:hAnsi="Times New Roman"/>
          <w:sz w:val="18"/>
          <w:szCs w:val="18"/>
          <w:color w:val="auto"/>
        </w:rPr>
        <w:t>. Our bylaws provide that any action to be taken by shareholders may be taken without a meeting if action is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all shareholders entitled to vote on the action in writing by written consent.</w:t>
      </w:r>
    </w:p>
    <w:p>
      <w:pPr>
        <w:spacing w:after="0" w:line="172" w:lineRule="exact"/>
        <w:rPr>
          <w:sz w:val="20"/>
          <w:szCs w:val="20"/>
          <w:color w:val="auto"/>
        </w:rPr>
      </w:pPr>
    </w:p>
    <w:p>
      <w:pPr>
        <w:ind w:firstLine="445"/>
        <w:spacing w:after="0" w:line="298"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Shareholders</w:t>
      </w:r>
      <w:r>
        <w:rPr>
          <w:rFonts w:ascii="Times New Roman" w:cs="Times New Roman" w:eastAsia="Times New Roman" w:hAnsi="Times New Roman"/>
          <w:sz w:val="18"/>
          <w:szCs w:val="18"/>
          <w:color w:val="auto"/>
        </w:rPr>
        <w:t>. The Massachusetts General Laws contain anti-takeover provisions regarding,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business combinations with an affiliated shareholder. In general, the Massachusetts General Laws prevent a publicly held Massachusetts corporation from engaging in a business combination, as defined in the Massachusetts General Laws, with an interested shareholder for a period of three years after the date of the transaction in which the person became an interested shareholder, unless: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440" w:right="359" w:bottom="1440" w:gutter="0" w:footer="0" w:header="0"/>
        </w:sectPr>
      </w:pPr>
    </w:p>
    <w:bookmarkStart w:id="98" w:name="page99"/>
    <w:bookmarkEnd w:id="98"/>
    <w:p>
      <w:pPr>
        <w:spacing w:after="0" w:line="207" w:lineRule="exact"/>
        <w:rPr>
          <w:sz w:val="20"/>
          <w:szCs w:val="20"/>
          <w:color w:val="auto"/>
        </w:rPr>
      </w:pPr>
    </w:p>
    <w:p>
      <w:pPr>
        <w:ind w:left="500" w:right="660" w:hanging="330"/>
        <w:spacing w:after="0" w:line="329" w:lineRule="auto"/>
        <w:tabs>
          <w:tab w:leader="none" w:pos="4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date on which the person became an interested shareholder, the board of directors of the corporation approved either the business combination or the transaction in which the person became an interested shareholder;</w:t>
      </w:r>
    </w:p>
    <w:p>
      <w:pPr>
        <w:spacing w:after="0" w:line="14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shareholder acquires at least 90% of the outstanding voting stock of the corporation at the time it becomes an interested shareholder; or</w:t>
      </w:r>
    </w:p>
    <w:p>
      <w:pPr>
        <w:spacing w:after="0" w:line="277" w:lineRule="exact"/>
        <w:rPr>
          <w:rFonts w:ascii="Times New Roman" w:cs="Times New Roman" w:eastAsia="Times New Roman" w:hAnsi="Times New Roman"/>
          <w:sz w:val="17"/>
          <w:szCs w:val="17"/>
          <w:color w:val="auto"/>
        </w:rPr>
      </w:pPr>
    </w:p>
    <w:p>
      <w:pPr>
        <w:ind w:left="500" w:right="820" w:hanging="330"/>
        <w:spacing w:after="0" w:line="313" w:lineRule="auto"/>
        <w:tabs>
          <w:tab w:leader="none" w:pos="4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the board of directors and the holders of at least two-thirds of the outstanding voting stock of the corporation voting at a meeting, excluding the voting stock owned by the interested shareholder.</w:t>
      </w:r>
    </w:p>
    <w:p>
      <w:pPr>
        <w:spacing w:after="0" w:line="200" w:lineRule="exact"/>
        <w:rPr>
          <w:sz w:val="20"/>
          <w:szCs w:val="20"/>
          <w:color w:val="auto"/>
        </w:rPr>
      </w:pPr>
    </w:p>
    <w:p>
      <w:pPr>
        <w:spacing w:after="0" w:line="354" w:lineRule="exact"/>
        <w:rPr>
          <w:sz w:val="20"/>
          <w:szCs w:val="20"/>
          <w:color w:val="auto"/>
        </w:rPr>
      </w:pPr>
    </w:p>
    <w:p>
      <w:pPr>
        <w:ind w:right="480" w:firstLine="445"/>
        <w:spacing w:after="0" w:line="313" w:lineRule="auto"/>
        <w:rPr>
          <w:sz w:val="20"/>
          <w:szCs w:val="20"/>
          <w:color w:val="auto"/>
        </w:rPr>
      </w:pPr>
      <w:r>
        <w:rPr>
          <w:rFonts w:ascii="Times New Roman" w:cs="Times New Roman" w:eastAsia="Times New Roman" w:hAnsi="Times New Roman"/>
          <w:sz w:val="18"/>
          <w:szCs w:val="18"/>
          <w:color w:val="auto"/>
        </w:rPr>
        <w:t>An interested shareholder is generally a person owning 5% or more of the outstanding voting stock of the corporation. A business combination includes mergers, consolidations, stock and asset sales and other transactions with the interested shareholder that result in a financial benefit to the interested shareholder.</w:t>
      </w:r>
    </w:p>
    <w:p>
      <w:pPr>
        <w:spacing w:after="0" w:line="160" w:lineRule="exact"/>
        <w:rPr>
          <w:sz w:val="20"/>
          <w:szCs w:val="20"/>
          <w:color w:val="auto"/>
        </w:rPr>
      </w:pPr>
    </w:p>
    <w:p>
      <w:pPr>
        <w:ind w:right="280" w:firstLine="445"/>
        <w:spacing w:after="0" w:line="331" w:lineRule="auto"/>
        <w:rPr>
          <w:sz w:val="20"/>
          <w:szCs w:val="20"/>
          <w:color w:val="auto"/>
        </w:rPr>
      </w:pPr>
      <w:r>
        <w:rPr>
          <w:rFonts w:ascii="Times New Roman" w:cs="Times New Roman" w:eastAsia="Times New Roman" w:hAnsi="Times New Roman"/>
          <w:sz w:val="18"/>
          <w:szCs w:val="18"/>
          <w:i w:val="1"/>
          <w:iCs w:val="1"/>
          <w:color w:val="auto"/>
        </w:rPr>
        <w:t>Control Share Acquisitions</w:t>
      </w:r>
      <w:r>
        <w:rPr>
          <w:rFonts w:ascii="Times New Roman" w:cs="Times New Roman" w:eastAsia="Times New Roman" w:hAnsi="Times New Roman"/>
          <w:sz w:val="18"/>
          <w:szCs w:val="18"/>
          <w:color w:val="auto"/>
        </w:rPr>
        <w:t>. We have elected to opt out of the control share acquisitions provisions of the Massachusetts General Laws. We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opt into these control share acquisitions provisions at any time by amending our bylaws.</w:t>
      </w:r>
    </w:p>
    <w:p>
      <w:pPr>
        <w:spacing w:after="0" w:line="147" w:lineRule="exact"/>
        <w:rPr>
          <w:sz w:val="20"/>
          <w:szCs w:val="20"/>
          <w:color w:val="auto"/>
        </w:rPr>
      </w:pPr>
    </w:p>
    <w:p>
      <w:pPr>
        <w:ind w:right="260" w:firstLine="445"/>
        <w:spacing w:after="0" w:line="297" w:lineRule="auto"/>
        <w:rPr>
          <w:sz w:val="20"/>
          <w:szCs w:val="20"/>
          <w:color w:val="auto"/>
        </w:rPr>
      </w:pPr>
      <w:r>
        <w:rPr>
          <w:rFonts w:ascii="Times New Roman" w:cs="Times New Roman" w:eastAsia="Times New Roman" w:hAnsi="Times New Roman"/>
          <w:sz w:val="18"/>
          <w:szCs w:val="18"/>
          <w:color w:val="auto"/>
        </w:rPr>
        <w:t>In general, the control share acquisitions provisions of the Massachusetts General Laws provide that any person, including his, her or its affiliates, who acquires shares of a corporation that are subject to the control share acquisitions statute and whose shares represent one-fifth or more, one-third or more, or a majority or more of the voting power of the corporation in the election of directors cannot exercise any voting power with respect to those shares, or any shares acquired by the person within 90 days before or after an acquisition of this nature, unless these voting rights are authorized by the shareholders of the corporation.</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authorization of voting rights requires the affirmative vote of the holders of a majority of the outstanding voting shares, excluding shares owned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66" w:lineRule="exact"/>
        <w:rPr>
          <w:sz w:val="20"/>
          <w:szCs w:val="20"/>
          <w:color w:val="auto"/>
        </w:rPr>
      </w:pPr>
    </w:p>
    <w:p>
      <w:pPr>
        <w:ind w:left="480" w:hanging="310"/>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an acquisition of this nature;</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of the corporate; and</w:t>
      </w:r>
    </w:p>
    <w:p>
      <w:pPr>
        <w:spacing w:after="0" w:line="26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who is also a director of the corporation.</w:t>
      </w:r>
    </w:p>
    <w:p>
      <w:pPr>
        <w:spacing w:after="0" w:line="293" w:lineRule="exact"/>
        <w:rPr>
          <w:sz w:val="20"/>
          <w:szCs w:val="20"/>
          <w:color w:val="auto"/>
        </w:rPr>
      </w:pPr>
    </w:p>
    <w:p>
      <w:pPr>
        <w:jc w:val="both"/>
        <w:ind w:right="100" w:firstLine="432"/>
        <w:spacing w:after="0" w:line="281" w:lineRule="auto"/>
        <w:rPr>
          <w:sz w:val="20"/>
          <w:szCs w:val="20"/>
          <w:color w:val="auto"/>
        </w:rPr>
      </w:pPr>
      <w:r>
        <w:rPr>
          <w:rFonts w:ascii="Times New Roman" w:cs="Times New Roman" w:eastAsia="Times New Roman" w:hAnsi="Times New Roman"/>
          <w:sz w:val="18"/>
          <w:szCs w:val="18"/>
          <w:color w:val="auto"/>
        </w:rPr>
        <w:t>There are several other types of share acquisitions that are not subject to these provisions of the Massachusetts General Laws, including acquisitions of shares under a tender offer, merger or consolidation which is made in connection with an agreement to which the corporation is a party and acquisitions of shares directly from the corporation or a wholly owned subsidiary of the corporation.</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1440" w:right="3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10.48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1156970" cy="7289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11569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ADI Executive Performance Incentive Plan</w:t>
      </w:r>
    </w:p>
    <w:p>
      <w:pPr>
        <w:spacing w:after="0" w:line="260" w:lineRule="exact"/>
        <w:rPr>
          <w:sz w:val="20"/>
          <w:szCs w:val="20"/>
          <w:color w:val="auto"/>
        </w:rPr>
      </w:pPr>
    </w:p>
    <w:p>
      <w:pPr>
        <w:ind w:right="40" w:firstLine="877"/>
        <w:spacing w:after="0" w:line="291" w:lineRule="auto"/>
        <w:rPr>
          <w:sz w:val="20"/>
          <w:szCs w:val="20"/>
          <w:color w:val="auto"/>
        </w:rPr>
      </w:pPr>
      <w:r>
        <w:rPr>
          <w:rFonts w:ascii="Times New Roman" w:cs="Times New Roman" w:eastAsia="Times New Roman" w:hAnsi="Times New Roman"/>
          <w:sz w:val="19"/>
          <w:szCs w:val="19"/>
          <w:color w:val="auto"/>
        </w:rPr>
        <w:t>On September 9, 2025, the Compensation and Talent Committee of the Board of Directors of Analog Devices, Inc. (the “Company”) approved the terms of the ADI Executive Performance Incentive Plan effective November 2, 2025. The Chief Executive Officer and the direct reports of the Chief Executive Officer who are Senior Vice President levels and above will participate in the ADI Executive Performance Incentive Plan. Bonus payments under the ADI Executive Performance Incentive Plan are calculated and paid as follows:</w:t>
      </w:r>
    </w:p>
    <w:p>
      <w:pPr>
        <w:spacing w:after="0" w:line="196" w:lineRule="exact"/>
        <w:rPr>
          <w:sz w:val="20"/>
          <w:szCs w:val="20"/>
          <w:color w:val="auto"/>
        </w:rPr>
      </w:pPr>
    </w:p>
    <w:p>
      <w:pPr>
        <w:ind w:left="660" w:hanging="207"/>
        <w:spacing w:after="0"/>
        <w:tabs>
          <w:tab w:leader="none" w:pos="66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participant’s Bonus Target is obtained by multiplying his or her Base Salary by his or her Individual Target Bonus Percentage:</w:t>
      </w:r>
    </w:p>
    <w:p>
      <w:pPr>
        <w:spacing w:after="0" w:line="267" w:lineRule="exact"/>
        <w:rPr>
          <w:rFonts w:ascii="Times New Roman" w:cs="Times New Roman" w:eastAsia="Times New Roman" w:hAnsi="Times New Roman"/>
          <w:sz w:val="19"/>
          <w:szCs w:val="19"/>
          <w:color w:val="auto"/>
        </w:rPr>
      </w:pPr>
    </w:p>
    <w:p>
      <w:pPr>
        <w:ind w:left="1080" w:hanging="303"/>
        <w:spacing w:after="0"/>
        <w:tabs>
          <w:tab w:leader="none" w:pos="108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Salary – the individual’s base pay during the applicable bonus period.</w:t>
      </w:r>
    </w:p>
    <w:p>
      <w:pPr>
        <w:spacing w:after="0" w:line="269" w:lineRule="exact"/>
        <w:rPr>
          <w:rFonts w:ascii="Times New Roman" w:cs="Times New Roman" w:eastAsia="Times New Roman" w:hAnsi="Times New Roman"/>
          <w:sz w:val="20"/>
          <w:szCs w:val="20"/>
          <w:color w:val="auto"/>
        </w:rPr>
      </w:pPr>
    </w:p>
    <w:p>
      <w:pPr>
        <w:ind w:left="1100" w:right="760" w:hanging="323"/>
        <w:spacing w:after="0" w:line="275" w:lineRule="auto"/>
        <w:tabs>
          <w:tab w:leader="none" w:pos="1088"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Target Bonus Percentage — a percentage of the individual’s Base Salary, determined individually for each participant by the Compensation and Talent Committee up to 200%, in the Compensation and Talent Committee’s sole discretion.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6" w:lineRule="exact"/>
        <w:rPr>
          <w:rFonts w:ascii="Times New Roman" w:cs="Times New Roman" w:eastAsia="Times New Roman" w:hAnsi="Times New Roman"/>
          <w:sz w:val="20"/>
          <w:szCs w:val="20"/>
          <w:color w:val="auto"/>
        </w:rPr>
      </w:pPr>
    </w:p>
    <w:p>
      <w:pPr>
        <w:ind w:right="60" w:firstLine="8"/>
        <w:spacing w:after="0" w:line="250" w:lineRule="auto"/>
        <w:tabs>
          <w:tab w:leader="none" w:pos="19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participant’s Bonus Target is then multiplied by the Bonus Payout Factor. The Bonus Payout Factor is equal to (A) 50% of the Bonus Payout Factor (as shown in the table below) based on the Company’s operating profit before tax (OPBT) as a percentage of revenue (OPBT margin) for the applicable fiscal year plus (B) 50% of the Bonus Payout Factor (as shown in the table below) based on the Company’s revenue growth for the applicable fiscal year compared to the prior fiscal year. For purposes of the ADI Executive Performance Incentive Plan, revenue will be measured on a sell-in basis (commonly referred to as POA revenue). The calculations of revenue growth and OPBT as a percentage of revenue are adjustable by the Compensation and Talent Committee in its sole discretion to take account of special items, including but not limited to: restructuring-related expense, acquisition- or disposition-related items, non-recurring royalty payments or receipts, and other similar non-cash or non-recurring items. If OPBT margin is equal to or less than 40% of revenue for the applicable fiscal year, the Bonus Payout Factor shall be zero for that fiscal year, even if the Company has revenue growth for that fiscal year. The Bonus Payout Factor can range from 0% to 250%, provided that the Bonus Payout Factor for the fiscal year does not exceed the annualized bonus payout factor under the ADI Corporate Bonus Plan reached by calculating the average of the payout factors for the four quarters of the fiscal year. In such case, the Bonus Payout Factor under this ADI Executive Performance Incentive Plan shall be reduced to the annualized bonus payout factor under the ADI Corporate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42" w:right="339" w:bottom="1440" w:gutter="0" w:footer="0" w:header="0"/>
        </w:sectPr>
      </w:pPr>
    </w:p>
    <w:bookmarkStart w:id="100" w:name="page101"/>
    <w:bookmarkEnd w:id="100"/>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Bonus Payout Factor tables apply under the ADI Executive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0575"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ADI Executive Performance Incentive Plan Targets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5180" w:type="dxa"/>
            <w:vAlign w:val="bottom"/>
            <w:tcBorders>
              <w:top w:val="single" w:sz="8" w:color="auto"/>
              <w:left w:val="single" w:sz="8" w:color="auto"/>
              <w:right w:val="single" w:sz="8" w:color="auto"/>
            </w:tcBorders>
            <w:gridSpan w:val="2"/>
            <w:shd w:val="clear" w:color="auto" w:fill="1F4E79"/>
          </w:tcPr>
          <w:p>
            <w:pPr>
              <w:ind w:left="1960"/>
              <w:spacing w:after="0"/>
              <w:rPr>
                <w:sz w:val="20"/>
                <w:szCs w:val="20"/>
                <w:color w:val="auto"/>
              </w:rPr>
            </w:pPr>
            <w:r>
              <w:rPr>
                <w:rFonts w:ascii="Arial" w:cs="Arial" w:eastAsia="Arial" w:hAnsi="Arial"/>
                <w:sz w:val="20"/>
                <w:szCs w:val="20"/>
                <w:b w:val="1"/>
                <w:bCs w:val="1"/>
                <w:color w:val="FFFFFF"/>
              </w:rPr>
              <w:t>OPBT Margin</w:t>
            </w:r>
          </w:p>
        </w:tc>
        <w:tc>
          <w:tcPr>
            <w:tcW w:w="360" w:type="dxa"/>
            <w:vAlign w:val="bottom"/>
            <w:tcBorders>
              <w:top w:val="single" w:sz="8" w:color="auto"/>
              <w:right w:val="single" w:sz="8" w:color="auto"/>
            </w:tcBorders>
          </w:tcPr>
          <w:p>
            <w:pPr>
              <w:spacing w:after="0"/>
              <w:rPr>
                <w:sz w:val="24"/>
                <w:szCs w:val="24"/>
                <w:color w:val="auto"/>
              </w:rPr>
            </w:pPr>
          </w:p>
        </w:tc>
        <w:tc>
          <w:tcPr>
            <w:tcW w:w="3460" w:type="dxa"/>
            <w:vAlign w:val="bottom"/>
            <w:tcBorders>
              <w:top w:val="single" w:sz="8" w:color="auto"/>
              <w:right w:val="single" w:sz="8" w:color="1F4E79"/>
            </w:tcBorders>
            <w:shd w:val="clear" w:color="auto" w:fill="1F4E79"/>
          </w:tcPr>
          <w:p>
            <w:pPr>
              <w:ind w:left="2360"/>
              <w:spacing w:after="0"/>
              <w:rPr>
                <w:sz w:val="20"/>
                <w:szCs w:val="20"/>
                <w:color w:val="auto"/>
              </w:rPr>
            </w:pPr>
            <w:r>
              <w:rPr>
                <w:rFonts w:ascii="Arial" w:cs="Arial" w:eastAsia="Arial" w:hAnsi="Arial"/>
                <w:sz w:val="20"/>
                <w:szCs w:val="20"/>
                <w:b w:val="1"/>
                <w:bCs w:val="1"/>
                <w:color w:val="FFFFFF"/>
              </w:rPr>
              <w:t>REVENUE</w:t>
            </w:r>
          </w:p>
        </w:tc>
        <w:tc>
          <w:tcPr>
            <w:tcW w:w="2260" w:type="dxa"/>
            <w:vAlign w:val="bottom"/>
            <w:tcBorders>
              <w:top w:val="single" w:sz="8" w:color="auto"/>
              <w:right w:val="single" w:sz="8" w:color="auto"/>
            </w:tcBorders>
            <w:shd w:val="clear" w:color="auto" w:fill="1F4E79"/>
          </w:tcPr>
          <w:p>
            <w:pPr>
              <w:spacing w:after="0"/>
              <w:rPr>
                <w:sz w:val="24"/>
                <w:szCs w:val="24"/>
                <w:color w:val="auto"/>
              </w:rPr>
            </w:pPr>
          </w:p>
        </w:tc>
      </w:tr>
      <w:tr>
        <w:trPr>
          <w:trHeight w:val="155"/>
        </w:trPr>
        <w:tc>
          <w:tcPr>
            <w:tcW w:w="2260" w:type="dxa"/>
            <w:vAlign w:val="bottom"/>
            <w:tcBorders>
              <w:left w:val="single" w:sz="8" w:color="auto"/>
              <w:bottom w:val="single" w:sz="8" w:color="auto"/>
              <w:right w:val="single" w:sz="8" w:color="1F4E79"/>
            </w:tcBorders>
            <w:shd w:val="clear" w:color="auto" w:fill="1F4E79"/>
          </w:tcPr>
          <w:p>
            <w:pPr>
              <w:spacing w:after="0"/>
              <w:rPr>
                <w:sz w:val="13"/>
                <w:szCs w:val="13"/>
                <w:color w:val="auto"/>
              </w:rPr>
            </w:pPr>
          </w:p>
        </w:tc>
        <w:tc>
          <w:tcPr>
            <w:tcW w:w="2920" w:type="dxa"/>
            <w:vAlign w:val="bottom"/>
            <w:tcBorders>
              <w:bottom w:val="single" w:sz="8" w:color="auto"/>
              <w:right w:val="single" w:sz="8" w:color="auto"/>
            </w:tcBorders>
            <w:shd w:val="clear" w:color="auto" w:fill="1F4E79"/>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3460" w:type="dxa"/>
            <w:vAlign w:val="bottom"/>
            <w:tcBorders>
              <w:bottom w:val="single" w:sz="8" w:color="auto"/>
              <w:right w:val="single" w:sz="8" w:color="1F4E79"/>
            </w:tcBorders>
            <w:shd w:val="clear" w:color="auto" w:fill="1F4E79"/>
          </w:tcPr>
          <w:p>
            <w:pPr>
              <w:spacing w:after="0"/>
              <w:rPr>
                <w:sz w:val="13"/>
                <w:szCs w:val="13"/>
                <w:color w:val="auto"/>
              </w:rPr>
            </w:pPr>
          </w:p>
        </w:tc>
        <w:tc>
          <w:tcPr>
            <w:tcW w:w="2260" w:type="dxa"/>
            <w:vAlign w:val="bottom"/>
            <w:tcBorders>
              <w:bottom w:val="single" w:sz="8" w:color="auto"/>
              <w:right w:val="single" w:sz="8" w:color="auto"/>
            </w:tcBorders>
            <w:shd w:val="clear" w:color="auto" w:fill="1F4E79"/>
          </w:tcPr>
          <w:p>
            <w:pPr>
              <w:spacing w:after="0"/>
              <w:rPr>
                <w:sz w:val="13"/>
                <w:szCs w:val="13"/>
                <w:color w:val="auto"/>
              </w:rPr>
            </w:pPr>
          </w:p>
        </w:tc>
      </w:tr>
      <w:tr>
        <w:trPr>
          <w:trHeight w:val="253"/>
        </w:trPr>
        <w:tc>
          <w:tcPr>
            <w:tcW w:w="2260" w:type="dxa"/>
            <w:vAlign w:val="bottom"/>
            <w:tcBorders>
              <w:left w:val="single" w:sz="8" w:color="auto"/>
              <w:right w:val="single" w:sz="8" w:color="auto"/>
            </w:tcBorders>
            <w:shd w:val="clear" w:color="auto" w:fill="1F4E79"/>
          </w:tcPr>
          <w:p>
            <w:pPr>
              <w:jc w:val="center"/>
              <w:spacing w:after="0"/>
              <w:rPr>
                <w:sz w:val="20"/>
                <w:szCs w:val="20"/>
                <w:color w:val="auto"/>
              </w:rPr>
            </w:pPr>
            <w:r>
              <w:rPr>
                <w:rFonts w:ascii="Arial" w:cs="Arial" w:eastAsia="Arial" w:hAnsi="Arial"/>
                <w:sz w:val="20"/>
                <w:szCs w:val="20"/>
                <w:b w:val="1"/>
                <w:bCs w:val="1"/>
                <w:color w:val="FFFFFF"/>
                <w:w w:val="99"/>
              </w:rPr>
              <w:t>OPBT Margin for the</w:t>
            </w:r>
          </w:p>
        </w:tc>
        <w:tc>
          <w:tcPr>
            <w:tcW w:w="2920" w:type="dxa"/>
            <w:vAlign w:val="bottom"/>
            <w:tcBorders>
              <w:right w:val="single" w:sz="8" w:color="auto"/>
            </w:tcBorders>
            <w:shd w:val="clear" w:color="auto" w:fill="1F4E79"/>
          </w:tcPr>
          <w:p>
            <w:pPr>
              <w:jc w:val="center"/>
              <w:spacing w:after="0"/>
              <w:rPr>
                <w:sz w:val="20"/>
                <w:szCs w:val="20"/>
                <w:color w:val="auto"/>
              </w:rPr>
            </w:pPr>
            <w:r>
              <w:rPr>
                <w:rFonts w:ascii="Arial" w:cs="Arial" w:eastAsia="Arial" w:hAnsi="Arial"/>
                <w:sz w:val="20"/>
                <w:szCs w:val="20"/>
                <w:b w:val="1"/>
                <w:bCs w:val="1"/>
                <w:color w:val="FFFFFF"/>
                <w:w w:val="98"/>
              </w:rPr>
              <w:t>Annual Payout Factor</w:t>
            </w:r>
          </w:p>
        </w:tc>
        <w:tc>
          <w:tcPr>
            <w:tcW w:w="360" w:type="dxa"/>
            <w:vAlign w:val="bottom"/>
            <w:tcBorders>
              <w:right w:val="single" w:sz="8" w:color="auto"/>
            </w:tcBorders>
          </w:tcPr>
          <w:p>
            <w:pPr>
              <w:spacing w:after="0"/>
              <w:rPr>
                <w:sz w:val="22"/>
                <w:szCs w:val="22"/>
                <w:color w:val="auto"/>
              </w:rPr>
            </w:pPr>
          </w:p>
        </w:tc>
        <w:tc>
          <w:tcPr>
            <w:tcW w:w="3460" w:type="dxa"/>
            <w:vAlign w:val="bottom"/>
            <w:tcBorders>
              <w:right w:val="single" w:sz="8" w:color="auto"/>
            </w:tcBorders>
            <w:shd w:val="clear" w:color="auto" w:fill="1F4E79"/>
          </w:tcPr>
          <w:p>
            <w:pPr>
              <w:ind w:left="280"/>
              <w:spacing w:after="0"/>
              <w:rPr>
                <w:sz w:val="20"/>
                <w:szCs w:val="20"/>
                <w:color w:val="auto"/>
              </w:rPr>
            </w:pPr>
            <w:r>
              <w:rPr>
                <w:rFonts w:ascii="Arial" w:cs="Arial" w:eastAsia="Arial" w:hAnsi="Arial"/>
                <w:sz w:val="20"/>
                <w:szCs w:val="20"/>
                <w:b w:val="1"/>
                <w:bCs w:val="1"/>
                <w:color w:val="FFFFFF"/>
              </w:rPr>
              <w:t>YTY Growth for the Fiscal Year</w:t>
            </w:r>
          </w:p>
        </w:tc>
        <w:tc>
          <w:tcPr>
            <w:tcW w:w="2260" w:type="dxa"/>
            <w:vAlign w:val="bottom"/>
            <w:tcBorders>
              <w:right w:val="single" w:sz="8" w:color="auto"/>
            </w:tcBorders>
            <w:shd w:val="clear" w:color="auto" w:fill="1F4E79"/>
          </w:tcPr>
          <w:p>
            <w:pPr>
              <w:jc w:val="center"/>
              <w:spacing w:after="0"/>
              <w:rPr>
                <w:sz w:val="20"/>
                <w:szCs w:val="20"/>
                <w:color w:val="auto"/>
              </w:rPr>
            </w:pPr>
            <w:r>
              <w:rPr>
                <w:rFonts w:ascii="Arial" w:cs="Arial" w:eastAsia="Arial" w:hAnsi="Arial"/>
                <w:sz w:val="20"/>
                <w:szCs w:val="20"/>
                <w:b w:val="1"/>
                <w:bCs w:val="1"/>
                <w:color w:val="FFFFFF"/>
                <w:w w:val="98"/>
              </w:rPr>
              <w:t>Annual Payout Factor</w:t>
            </w:r>
          </w:p>
        </w:tc>
      </w:tr>
      <w:tr>
        <w:trPr>
          <w:trHeight w:val="273"/>
        </w:trPr>
        <w:tc>
          <w:tcPr>
            <w:tcW w:w="2260" w:type="dxa"/>
            <w:vAlign w:val="bottom"/>
            <w:tcBorders>
              <w:left w:val="single" w:sz="8" w:color="auto"/>
              <w:right w:val="single" w:sz="8" w:color="auto"/>
            </w:tcBorders>
            <w:shd w:val="clear" w:color="auto" w:fill="1F4E79"/>
          </w:tcPr>
          <w:p>
            <w:pPr>
              <w:jc w:val="center"/>
              <w:spacing w:after="0"/>
              <w:rPr>
                <w:sz w:val="20"/>
                <w:szCs w:val="20"/>
                <w:color w:val="auto"/>
              </w:rPr>
            </w:pPr>
            <w:r>
              <w:rPr>
                <w:rFonts w:ascii="Arial" w:cs="Arial" w:eastAsia="Arial" w:hAnsi="Arial"/>
                <w:sz w:val="20"/>
                <w:szCs w:val="20"/>
                <w:b w:val="1"/>
                <w:bCs w:val="1"/>
                <w:color w:val="FFFFFF"/>
                <w:w w:val="96"/>
              </w:rPr>
              <w:t>Fiscal Year</w:t>
            </w:r>
          </w:p>
        </w:tc>
        <w:tc>
          <w:tcPr>
            <w:tcW w:w="2920" w:type="dxa"/>
            <w:vAlign w:val="bottom"/>
            <w:tcBorders>
              <w:right w:val="single" w:sz="8" w:color="auto"/>
            </w:tcBorders>
            <w:shd w:val="clear" w:color="auto" w:fill="1F4E79"/>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shd w:val="clear" w:color="auto" w:fill="1F4E79"/>
          </w:tcPr>
          <w:p>
            <w:pPr>
              <w:spacing w:after="0"/>
              <w:rPr>
                <w:sz w:val="23"/>
                <w:szCs w:val="23"/>
                <w:color w:val="auto"/>
              </w:rPr>
            </w:pPr>
          </w:p>
        </w:tc>
        <w:tc>
          <w:tcPr>
            <w:tcW w:w="2260" w:type="dxa"/>
            <w:vAlign w:val="bottom"/>
            <w:tcBorders>
              <w:right w:val="single" w:sz="8" w:color="auto"/>
            </w:tcBorders>
            <w:shd w:val="clear" w:color="auto" w:fill="1F4E79"/>
          </w:tcPr>
          <w:p>
            <w:pPr>
              <w:spacing w:after="0"/>
              <w:rPr>
                <w:sz w:val="23"/>
                <w:szCs w:val="23"/>
                <w:color w:val="auto"/>
              </w:rPr>
            </w:pPr>
          </w:p>
        </w:tc>
      </w:tr>
      <w:tr>
        <w:trPr>
          <w:trHeight w:val="156"/>
        </w:trPr>
        <w:tc>
          <w:tcPr>
            <w:tcW w:w="2260" w:type="dxa"/>
            <w:vAlign w:val="bottom"/>
            <w:tcBorders>
              <w:left w:val="single" w:sz="8" w:color="auto"/>
              <w:bottom w:val="single" w:sz="8" w:color="auto"/>
              <w:right w:val="single" w:sz="8" w:color="auto"/>
            </w:tcBorders>
            <w:shd w:val="clear" w:color="auto" w:fill="1F4E79"/>
          </w:tcPr>
          <w:p>
            <w:pPr>
              <w:spacing w:after="0"/>
              <w:rPr>
                <w:sz w:val="13"/>
                <w:szCs w:val="13"/>
                <w:color w:val="auto"/>
              </w:rPr>
            </w:pPr>
          </w:p>
        </w:tc>
        <w:tc>
          <w:tcPr>
            <w:tcW w:w="2920" w:type="dxa"/>
            <w:vAlign w:val="bottom"/>
            <w:tcBorders>
              <w:bottom w:val="single" w:sz="8" w:color="auto"/>
              <w:right w:val="single" w:sz="8" w:color="auto"/>
            </w:tcBorders>
            <w:shd w:val="clear" w:color="auto" w:fill="1F4E79"/>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3460" w:type="dxa"/>
            <w:vAlign w:val="bottom"/>
            <w:tcBorders>
              <w:bottom w:val="single" w:sz="8" w:color="auto"/>
              <w:right w:val="single" w:sz="8" w:color="auto"/>
            </w:tcBorders>
            <w:shd w:val="clear" w:color="auto" w:fill="1F4E79"/>
          </w:tcPr>
          <w:p>
            <w:pPr>
              <w:spacing w:after="0"/>
              <w:rPr>
                <w:sz w:val="13"/>
                <w:szCs w:val="13"/>
                <w:color w:val="auto"/>
              </w:rPr>
            </w:pPr>
          </w:p>
        </w:tc>
        <w:tc>
          <w:tcPr>
            <w:tcW w:w="2260" w:type="dxa"/>
            <w:vAlign w:val="bottom"/>
            <w:tcBorders>
              <w:bottom w:val="single" w:sz="8" w:color="auto"/>
              <w:right w:val="single" w:sz="8" w:color="auto"/>
            </w:tcBorders>
            <w:shd w:val="clear" w:color="auto" w:fill="1F4E79"/>
          </w:tcPr>
          <w:p>
            <w:pPr>
              <w:spacing w:after="0"/>
              <w:rPr>
                <w:sz w:val="13"/>
                <w:szCs w:val="13"/>
                <w:color w:val="auto"/>
              </w:rPr>
            </w:pPr>
          </w:p>
        </w:tc>
      </w:tr>
      <w:tr>
        <w:trPr>
          <w:trHeight w:val="273"/>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 40.0 %</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36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 0 %</w:t>
            </w:r>
          </w:p>
        </w:tc>
        <w:tc>
          <w:tcPr>
            <w:tcW w:w="226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0</w:t>
            </w:r>
          </w:p>
        </w:tc>
      </w:tr>
      <w:tr>
        <w:trPr>
          <w:trHeight w:val="165"/>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r>
      <w:tr>
        <w:trPr>
          <w:trHeight w:val="274"/>
        </w:trPr>
        <w:tc>
          <w:tcPr>
            <w:tcW w:w="226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w w:val="99"/>
              </w:rPr>
              <w:t>42.0 %</w:t>
            </w:r>
          </w:p>
        </w:tc>
        <w:tc>
          <w:tcPr>
            <w:tcW w:w="29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w w:val="96"/>
              </w:rPr>
              <w:t>1.0 x</w:t>
            </w:r>
          </w:p>
        </w:tc>
        <w:tc>
          <w:tcPr>
            <w:tcW w:w="36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rPr>
              <w:t>8.0 %</w:t>
            </w:r>
          </w:p>
        </w:tc>
        <w:tc>
          <w:tcPr>
            <w:tcW w:w="226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rPr>
              <w:t>1.0 x</w:t>
            </w:r>
          </w:p>
        </w:tc>
      </w:tr>
      <w:tr>
        <w:trPr>
          <w:trHeight w:val="165"/>
        </w:trPr>
        <w:tc>
          <w:tcPr>
            <w:tcW w:w="2260" w:type="dxa"/>
            <w:vAlign w:val="bottom"/>
            <w:tcBorders>
              <w:left w:val="single" w:sz="8" w:color="auto"/>
              <w:bottom w:val="single" w:sz="8" w:color="auto"/>
              <w:right w:val="single" w:sz="8" w:color="auto"/>
            </w:tcBorders>
            <w:shd w:val="clear" w:color="auto" w:fill="BFBFBF"/>
          </w:tcPr>
          <w:p>
            <w:pPr>
              <w:spacing w:after="0"/>
              <w:rPr>
                <w:sz w:val="14"/>
                <w:szCs w:val="14"/>
                <w:color w:val="auto"/>
              </w:rPr>
            </w:pPr>
          </w:p>
        </w:tc>
        <w:tc>
          <w:tcPr>
            <w:tcW w:w="2920" w:type="dxa"/>
            <w:vAlign w:val="bottom"/>
            <w:tcBorders>
              <w:bottom w:val="single" w:sz="8" w:color="auto"/>
              <w:right w:val="single" w:sz="8" w:color="auto"/>
            </w:tcBorders>
            <w:shd w:val="clear" w:color="auto" w:fill="BFBFBF"/>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shd w:val="clear" w:color="auto" w:fill="BFBFBF"/>
          </w:tcPr>
          <w:p>
            <w:pPr>
              <w:spacing w:after="0"/>
              <w:rPr>
                <w:sz w:val="14"/>
                <w:szCs w:val="14"/>
                <w:color w:val="auto"/>
              </w:rPr>
            </w:pPr>
          </w:p>
        </w:tc>
        <w:tc>
          <w:tcPr>
            <w:tcW w:w="2260" w:type="dxa"/>
            <w:vAlign w:val="bottom"/>
            <w:tcBorders>
              <w:bottom w:val="single" w:sz="8" w:color="auto"/>
              <w:right w:val="single" w:sz="8" w:color="auto"/>
            </w:tcBorders>
            <w:shd w:val="clear" w:color="auto" w:fill="BFBFBF"/>
          </w:tcPr>
          <w:p>
            <w:pPr>
              <w:spacing w:after="0"/>
              <w:rPr>
                <w:sz w:val="14"/>
                <w:szCs w:val="14"/>
                <w:color w:val="auto"/>
              </w:rPr>
            </w:pPr>
          </w:p>
        </w:tc>
      </w:tr>
      <w:tr>
        <w:trPr>
          <w:trHeight w:val="274"/>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45.0 %</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2.0 x</w:t>
            </w:r>
          </w:p>
        </w:tc>
        <w:tc>
          <w:tcPr>
            <w:tcW w:w="36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15.0 %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2.0 x</w:t>
            </w:r>
          </w:p>
        </w:tc>
      </w:tr>
      <w:tr>
        <w:trPr>
          <w:trHeight w:val="165"/>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r>
      <w:tr>
        <w:trPr>
          <w:trHeight w:val="273"/>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 50.0 %</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2.5 x</w:t>
            </w:r>
          </w:p>
        </w:tc>
        <w:tc>
          <w:tcPr>
            <w:tcW w:w="360" w:type="dxa"/>
            <w:vAlign w:val="bottom"/>
            <w:tcBorders>
              <w:right w:val="single" w:sz="8" w:color="auto"/>
            </w:tcBorders>
          </w:tcPr>
          <w:p>
            <w:pPr>
              <w:spacing w:after="0"/>
              <w:rPr>
                <w:sz w:val="23"/>
                <w:szCs w:val="23"/>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 22%</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2.5x</w:t>
            </w:r>
          </w:p>
        </w:tc>
      </w:tr>
      <w:tr>
        <w:trPr>
          <w:trHeight w:val="166"/>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548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-8255</wp:posOffset>
            </wp:positionV>
            <wp:extent cx="8255" cy="548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-299720</wp:posOffset>
            </wp:positionV>
            <wp:extent cx="2317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-591185</wp:posOffset>
            </wp:positionV>
            <wp:extent cx="2317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-882650</wp:posOffset>
            </wp:positionV>
            <wp:extent cx="231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-1174115</wp:posOffset>
            </wp:positionV>
            <wp:extent cx="2317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-1619885</wp:posOffset>
            </wp:positionV>
            <wp:extent cx="231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If OPBT margin &lt;= 40% the entire bonus will pay at 0% regardless of revenue attainment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885"/>
        <w:spacing w:after="0" w:line="233" w:lineRule="auto"/>
        <w:tabs>
          <w:tab w:leader="none" w:pos="974"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order to facilitate a comparison of fiscal years for purposes of the revenue growth element of the plan, all 53-week fiscal years will be normalized to a 52-week fiscal year.</w:t>
      </w:r>
    </w:p>
    <w:p>
      <w:pPr>
        <w:spacing w:after="0" w:line="242" w:lineRule="exact"/>
        <w:rPr>
          <w:sz w:val="20"/>
          <w:szCs w:val="20"/>
          <w:color w:val="auto"/>
        </w:rPr>
      </w:pPr>
    </w:p>
    <w:p>
      <w:pPr>
        <w:ind w:right="180" w:firstLine="877"/>
        <w:spacing w:after="0" w:line="268" w:lineRule="auto"/>
        <w:rPr>
          <w:sz w:val="20"/>
          <w:szCs w:val="20"/>
          <w:color w:val="auto"/>
        </w:rPr>
      </w:pPr>
      <w:r>
        <w:rPr>
          <w:rFonts w:ascii="Times New Roman" w:cs="Times New Roman" w:eastAsia="Times New Roman" w:hAnsi="Times New Roman"/>
          <w:sz w:val="20"/>
          <w:szCs w:val="20"/>
          <w:color w:val="auto"/>
        </w:rPr>
        <w:t>The Bonus Payout Factor is determined on a fiscal annual basis and will be linearly interpolated between the values specified in the tables above. For example, if OPBT margin for a fiscal year is 43.5% of revenue (which would result in a Bonus Payout Factor of 150% for that element) and revenue growth for the fiscal year compared to the prior fiscal year was 4.0% (which would result in a Bonus Payout Factor of 50% for that element), then the Bonus Payout Factor for the fiscal year would be 100% which is the sum of 50% of the OPBT payout factor of 150% and 50% of the revenue growth payout factor of 50%.</w:t>
      </w:r>
    </w:p>
    <w:p>
      <w:pPr>
        <w:spacing w:after="0" w:line="214" w:lineRule="exact"/>
        <w:rPr>
          <w:sz w:val="20"/>
          <w:szCs w:val="20"/>
          <w:color w:val="auto"/>
        </w:rPr>
      </w:pPr>
    </w:p>
    <w:p>
      <w:pPr>
        <w:ind w:right="80" w:firstLine="877"/>
        <w:spacing w:after="0" w:line="267" w:lineRule="auto"/>
        <w:rPr>
          <w:sz w:val="20"/>
          <w:szCs w:val="20"/>
          <w:color w:val="auto"/>
        </w:rPr>
      </w:pPr>
      <w:r>
        <w:rPr>
          <w:rFonts w:ascii="Times New Roman" w:cs="Times New Roman" w:eastAsia="Times New Roman" w:hAnsi="Times New Roman"/>
          <w:sz w:val="20"/>
          <w:szCs w:val="20"/>
          <w:color w:val="auto"/>
        </w:rPr>
        <w:t>A participant’s bonus payment for a fiscal year shall be equal to the product obtained by multiplying a participant’s Bonus Target for the fiscal year by the Bonus Payout Factor for that fiscal year. Each participant’s bonus payment can range from zero to 250% of their Bonus Target, provided that the Bonus Payout Factor for the fiscal year does not exceed the annualized bonus payout factor under the ADI Corporate Bonus Plan reached by calculating the average of the payout factors for the four quarters of the fiscal year. In such case, the Bonus Payout Factor under this ADI Executive Performance Incentive Plan shall be reduced to the annualized bonus payout factor under the ADI Corporate Bonus Plan.</w:t>
      </w:r>
    </w:p>
    <w:p>
      <w:pPr>
        <w:spacing w:after="0" w:line="220" w:lineRule="exact"/>
        <w:rPr>
          <w:sz w:val="20"/>
          <w:szCs w:val="20"/>
          <w:color w:val="auto"/>
        </w:rPr>
      </w:pPr>
    </w:p>
    <w:p>
      <w:pPr>
        <w:ind w:right="160" w:firstLine="8"/>
        <w:spacing w:after="0" w:line="268" w:lineRule="auto"/>
        <w:tabs>
          <w:tab w:leader="none" w:pos="41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ADI Executive Performance Incentive Plan is a discretionary plan, and the Compensation and Talent Committee reserves the right to modify it or reduce a Bonus Payout Factor (including the right not to make bonus payments at all) or terminate it at any time, with or without notice, subject to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440" w:right="319" w:bottom="1440" w:gutter="0" w:footer="0" w:header="0"/>
        </w:sectPr>
      </w:pPr>
    </w:p>
    <w:bookmarkStart w:id="101" w:name="page102"/>
    <w:bookmarkEnd w:id="101"/>
    <w:p>
      <w:pPr>
        <w:ind w:right="180"/>
        <w:spacing w:after="0" w:line="283" w:lineRule="auto"/>
        <w:rPr>
          <w:sz w:val="20"/>
          <w:szCs w:val="20"/>
          <w:color w:val="auto"/>
        </w:rPr>
      </w:pPr>
      <w:r>
        <w:rPr>
          <w:rFonts w:ascii="Times New Roman" w:cs="Times New Roman" w:eastAsia="Times New Roman" w:hAnsi="Times New Roman"/>
          <w:sz w:val="20"/>
          <w:szCs w:val="20"/>
          <w:color w:val="auto"/>
        </w:rPr>
        <w:t>accordance with applicable local law. After the Bonus Payout Factor is determined in accordance with the criteria set forth above, it may be further adjusted in the Company’s sole and absolute discretion in order to calculate the bonus payout.</w:t>
      </w:r>
    </w:p>
    <w:p>
      <w:pPr>
        <w:spacing w:after="0" w:line="17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In deciding whether to adjust the Bonus Payout Factor and the level of such adjustment, the Company may take into account additional factors which include but are not limited to, extraordinary events or circumstances, changes in economic conditions, applicable laws, or accounting principles, discontinued operations, recapitalization, restructurings, reorganizations, mergers or acquisitions, divestitures, other similar corporate transaction or any other events which impact or is anticipated to impact the Company’s current or future business. The Bonus Payout Factor in accordance with the formulas above is not guaranteed.</w:t>
      </w:r>
    </w:p>
    <w:p>
      <w:pPr>
        <w:spacing w:after="0" w:line="200" w:lineRule="exact"/>
        <w:rPr>
          <w:sz w:val="20"/>
          <w:szCs w:val="20"/>
          <w:color w:val="auto"/>
        </w:rPr>
      </w:pPr>
    </w:p>
    <w:p>
      <w:pPr>
        <w:ind w:right="60" w:firstLine="445"/>
        <w:spacing w:after="0" w:line="283" w:lineRule="auto"/>
        <w:rPr>
          <w:sz w:val="20"/>
          <w:szCs w:val="20"/>
          <w:color w:val="auto"/>
        </w:rPr>
      </w:pPr>
      <w:r>
        <w:rPr>
          <w:rFonts w:ascii="Times New Roman" w:cs="Times New Roman" w:eastAsia="Times New Roman" w:hAnsi="Times New Roman"/>
          <w:sz w:val="20"/>
          <w:szCs w:val="20"/>
          <w:color w:val="auto"/>
        </w:rPr>
        <w:t>This Plan remains in effect until otherwise changed, amended, suspended, or terminated by the Company in accordance with applicable law. Executives eligible to participate in this Plan are not eligible to participate in the ADI Corporate Bonus Plan.</w:t>
      </w:r>
    </w:p>
    <w:p>
      <w:pPr>
        <w:spacing w:after="0" w:line="187" w:lineRule="exact"/>
        <w:rPr>
          <w:sz w:val="20"/>
          <w:szCs w:val="20"/>
          <w:color w:val="auto"/>
        </w:rPr>
      </w:pPr>
    </w:p>
    <w:p>
      <w:pPr>
        <w:ind w:right="320" w:firstLine="453"/>
        <w:spacing w:after="0" w:line="297" w:lineRule="auto"/>
        <w:tabs>
          <w:tab w:leader="none" w:pos="643"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 payments, if any, under the ADI Executive Performance Incentive Plan will be calculated at the end of each fiscal year and distributed after the end of the fiscal year on or before December 31.</w:t>
      </w:r>
    </w:p>
    <w:p>
      <w:pPr>
        <w:spacing w:after="0" w:line="186" w:lineRule="exact"/>
        <w:rPr>
          <w:rFonts w:ascii="Times New Roman" w:cs="Times New Roman" w:eastAsia="Times New Roman" w:hAnsi="Times New Roman"/>
          <w:sz w:val="20"/>
          <w:szCs w:val="20"/>
          <w:color w:val="auto"/>
        </w:rPr>
      </w:pPr>
    </w:p>
    <w:p>
      <w:pPr>
        <w:ind w:firstLine="453"/>
        <w:spacing w:after="0" w:line="267" w:lineRule="auto"/>
        <w:tabs>
          <w:tab w:leader="none" w:pos="643"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are eligible for a bonus payment if they are actively employed by the Company on the applicable bonus payment date. This means no bonus payment is earned until the payout date, which is determined by the Compensation and Talent Committee, at its sole discretion. Bonus payments, if any, are prorated based on start date. If a participant's role changes, which results in a Target Bonus Percentage change during the bonus period, the bonus payment for the fiscal quarter in which the job change takes effect will be based on the original Target Bonus Percentage. The new Target Bonus Percentage will be applied to calculations of the Target Bonus Percentage starting the first full fiscal quarter following the effective date of the change.</w:t>
      </w:r>
    </w:p>
    <w:p>
      <w:pPr>
        <w:spacing w:after="0" w:line="192" w:lineRule="exact"/>
        <w:rPr>
          <w:rFonts w:ascii="Times New Roman" w:cs="Times New Roman" w:eastAsia="Times New Roman" w:hAnsi="Times New Roman"/>
          <w:sz w:val="20"/>
          <w:szCs w:val="20"/>
          <w:color w:val="auto"/>
        </w:rPr>
      </w:pPr>
    </w:p>
    <w:p>
      <w:pPr>
        <w:ind w:right="440" w:firstLine="354"/>
        <w:spacing w:after="0" w:line="268" w:lineRule="auto"/>
        <w:tabs>
          <w:tab w:leader="none" w:pos="5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under the ADI Executive Performance Incentive Plan will be subject to recovery in accordance with any clawback policy, including without limitation the Company’s Compensation Recovery Policy, as amended from time to time (if applicable to the participant), or any other policy which the Company may be required to adopt.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2"/>
          <w:szCs w:val="22"/>
          <w:b w:val="1"/>
          <w:bCs w:val="1"/>
          <w:color w:val="auto"/>
        </w:rPr>
        <w:t>ANALOG DEVICES, INC.</w:t>
      </w:r>
    </w:p>
    <w:p>
      <w:pPr>
        <w:spacing w:after="0" w:line="26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2"/>
          <w:szCs w:val="22"/>
          <w:u w:val="single" w:color="auto"/>
          <w:color w:val="auto"/>
        </w:rPr>
        <w:t>Insider Trading Policy</w:t>
      </w:r>
    </w:p>
    <w:p>
      <w:pPr>
        <w:spacing w:after="0" w:line="243" w:lineRule="exact"/>
        <w:rPr>
          <w:sz w:val="20"/>
          <w:szCs w:val="20"/>
          <w:color w:val="auto"/>
        </w:rPr>
      </w:pPr>
    </w:p>
    <w:p>
      <w:pPr>
        <w:ind w:left="643" w:hanging="643"/>
        <w:spacing w:after="0"/>
        <w:tabs>
          <w:tab w:leader="none" w:pos="6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BACKGROUND AND PURPOSE</w:t>
      </w:r>
    </w:p>
    <w:p>
      <w:pPr>
        <w:spacing w:after="0" w:line="250" w:lineRule="exact"/>
        <w:rPr>
          <w:rFonts w:ascii="Times New Roman" w:cs="Times New Roman" w:eastAsia="Times New Roman" w:hAnsi="Times New Roman"/>
          <w:sz w:val="22"/>
          <w:szCs w:val="22"/>
          <w:color w:val="auto"/>
        </w:rPr>
      </w:pPr>
    </w:p>
    <w:p>
      <w:pPr>
        <w:ind w:left="64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Why Have We Adopted This Policy</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3" w:right="180" w:firstLine="647"/>
        <w:spacing w:after="0" w:line="249" w:lineRule="auto"/>
        <w:rPr>
          <w:sz w:val="20"/>
          <w:szCs w:val="20"/>
          <w:color w:val="auto"/>
        </w:rPr>
      </w:pPr>
      <w:r>
        <w:rPr>
          <w:rFonts w:ascii="Times New Roman" w:cs="Times New Roman" w:eastAsia="Times New Roman" w:hAnsi="Times New Roman"/>
          <w:sz w:val="22"/>
          <w:szCs w:val="22"/>
          <w:color w:val="auto"/>
        </w:rPr>
        <w:t>The federal securities laws prohibit any member of the Board of Directors (a “Director”), officer (as defined in Rule 16a-1(f) under the Securities Exchange Act of 1934, as amended (the “Exchange Act”), an “executive officer”) or employee of Analog Devices,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209"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2"/>
          <w:szCs w:val="22"/>
          <w:color w:val="auto"/>
        </w:rPr>
        <w:t>This insider trading policy is being adopted in light of these legal requirements, and with the goal of helping:</w:t>
      </w:r>
    </w:p>
    <w:p>
      <w:pPr>
        <w:spacing w:after="0" w:line="247" w:lineRule="exact"/>
        <w:rPr>
          <w:sz w:val="20"/>
          <w:szCs w:val="20"/>
          <w:color w:val="auto"/>
        </w:rPr>
      </w:pPr>
    </w:p>
    <w:p>
      <w:pPr>
        <w:ind w:left="1943" w:hanging="647"/>
        <w:spacing w:after="0"/>
        <w:tabs>
          <w:tab w:leader="none" w:pos="19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260" w:lineRule="exact"/>
        <w:rPr>
          <w:rFonts w:ascii="Times New Roman" w:cs="Times New Roman" w:eastAsia="Times New Roman" w:hAnsi="Times New Roman"/>
          <w:sz w:val="22"/>
          <w:szCs w:val="22"/>
          <w:color w:val="auto"/>
        </w:rPr>
      </w:pPr>
    </w:p>
    <w:p>
      <w:pPr>
        <w:ind w:left="1943" w:right="160" w:hanging="646"/>
        <w:spacing w:after="0" w:line="295" w:lineRule="auto"/>
        <w:tabs>
          <w:tab w:leader="none" w:pos="193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promote compliance with the Company's obligation to publicly disclose information related to its insider trading policies and procedures and the use of certain trading arrangements by Company insiders;</w:t>
      </w:r>
    </w:p>
    <w:p>
      <w:pPr>
        <w:spacing w:after="0" w:line="162" w:lineRule="exact"/>
        <w:rPr>
          <w:rFonts w:ascii="Times New Roman" w:cs="Times New Roman" w:eastAsia="Times New Roman" w:hAnsi="Times New Roman"/>
          <w:sz w:val="21"/>
          <w:szCs w:val="21"/>
          <w:color w:val="auto"/>
        </w:rPr>
      </w:pPr>
    </w:p>
    <w:p>
      <w:pPr>
        <w:ind w:left="1943" w:hanging="646"/>
        <w:spacing w:after="0"/>
        <w:tabs>
          <w:tab w:leader="none" w:pos="19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the appearance of impropriety on the part of those employed by, or associated with, the Company;</w:t>
      </w:r>
    </w:p>
    <w:p>
      <w:pPr>
        <w:spacing w:after="0" w:line="246" w:lineRule="exact"/>
        <w:rPr>
          <w:rFonts w:ascii="Times New Roman" w:cs="Times New Roman" w:eastAsia="Times New Roman" w:hAnsi="Times New Roman"/>
          <w:sz w:val="22"/>
          <w:szCs w:val="22"/>
          <w:color w:val="auto"/>
        </w:rPr>
      </w:pPr>
    </w:p>
    <w:p>
      <w:pPr>
        <w:ind w:left="1943" w:hanging="647"/>
        <w:spacing w:after="0"/>
        <w:tabs>
          <w:tab w:leader="none" w:pos="19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Company from controlling person liability; and</w:t>
      </w:r>
    </w:p>
    <w:p>
      <w:pPr>
        <w:spacing w:after="0" w:line="246" w:lineRule="exact"/>
        <w:rPr>
          <w:rFonts w:ascii="Times New Roman" w:cs="Times New Roman" w:eastAsia="Times New Roman" w:hAnsi="Times New Roman"/>
          <w:sz w:val="22"/>
          <w:szCs w:val="22"/>
          <w:color w:val="auto"/>
        </w:rPr>
      </w:pPr>
    </w:p>
    <w:p>
      <w:pPr>
        <w:ind w:left="1943" w:hanging="647"/>
        <w:spacing w:after="0"/>
        <w:tabs>
          <w:tab w:leader="none" w:pos="194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Company, its Directors and its employees.</w:t>
      </w:r>
    </w:p>
    <w:p>
      <w:pPr>
        <w:spacing w:after="0" w:line="247" w:lineRule="exact"/>
        <w:rPr>
          <w:sz w:val="20"/>
          <w:szCs w:val="20"/>
          <w:color w:val="auto"/>
        </w:rPr>
      </w:pPr>
    </w:p>
    <w:p>
      <w:pPr>
        <w:ind w:left="3" w:right="140" w:firstLine="647"/>
        <w:spacing w:after="0" w:line="256" w:lineRule="auto"/>
        <w:rPr>
          <w:sz w:val="20"/>
          <w:szCs w:val="20"/>
          <w:color w:val="auto"/>
        </w:rPr>
      </w:pPr>
      <w:r>
        <w:rPr>
          <w:rFonts w:ascii="Times New Roman" w:cs="Times New Roman" w:eastAsia="Times New Roman" w:hAnsi="Times New Roman"/>
          <w:sz w:val="22"/>
          <w:szCs w:val="22"/>
          <w:color w:val="auto"/>
        </w:rPr>
        <w:t>As detailed below, this policy applies to family members and certain other individuals and entities with whom Directors and employees have relationships. While the provisions in Sections 2 and 3 of this policy are not applicable to transactions by the Company itself, transactions by the Company will only be made in accordance with applicable U.S. federal securities laws, including those relating to insider trading.</w:t>
      </w:r>
    </w:p>
    <w:p>
      <w:pPr>
        <w:spacing w:after="0" w:line="203" w:lineRule="exact"/>
        <w:rPr>
          <w:sz w:val="20"/>
          <w:szCs w:val="20"/>
          <w:color w:val="auto"/>
        </w:rPr>
      </w:pPr>
    </w:p>
    <w:p>
      <w:pPr>
        <w:ind w:left="643"/>
        <w:spacing w:after="0"/>
        <w:tabs>
          <w:tab w:leader="none" w:pos="1183"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What Type of Information is “Material”?</w:t>
      </w:r>
    </w:p>
    <w:p>
      <w:pPr>
        <w:sectPr>
          <w:pgSz w:w="11900" w:h="16838" w:orient="portrait"/>
          <w:cols w:equalWidth="0" w:num="1">
            <w:col w:w="11143"/>
          </w:cols>
          <w:pgMar w:left="417" w:top="342" w:right="339" w:bottom="1440" w:gutter="0" w:footer="0" w:header="0"/>
        </w:sectPr>
      </w:pPr>
    </w:p>
    <w:bookmarkStart w:id="103" w:name="page104"/>
    <w:bookmarkEnd w:id="103"/>
    <w:p>
      <w:pPr>
        <w:ind w:firstLine="647"/>
        <w:spacing w:after="0" w:line="251" w:lineRule="auto"/>
        <w:rPr>
          <w:sz w:val="20"/>
          <w:szCs w:val="20"/>
          <w:color w:val="auto"/>
        </w:rPr>
      </w:pPr>
      <w:r>
        <w:rPr>
          <w:rFonts w:ascii="Times New Roman" w:cs="Times New Roman" w:eastAsia="Times New Roman" w:hAnsi="Times New Roman"/>
          <w:sz w:val="22"/>
          <w:szCs w:val="22"/>
          <w:color w:val="auto"/>
        </w:rPr>
        <w:t>Information is considered material if there is a substantial likelihood that a reasonable shareholder would consider the information important in making an investment decision with respect a company’s securities. Stated another way, there is a substantial likelihood that a reasonable shareholder would view the information as having significantly altered the “total mix” of information available about the company. Material information can include positive or negative information. Information concerning any of the following subjects, as well as a company’s plans with respect to any of these subjects, would often be considered material:</w:t>
      </w:r>
    </w:p>
    <w:p>
      <w:pPr>
        <w:spacing w:after="0" w:line="208" w:lineRule="exact"/>
        <w:rPr>
          <w:sz w:val="20"/>
          <w:szCs w:val="20"/>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or earnings;</w:t>
      </w:r>
    </w:p>
    <w:p>
      <w:pPr>
        <w:spacing w:after="0" w:line="246"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merger or acquisition;</w:t>
      </w:r>
    </w:p>
    <w:p>
      <w:pPr>
        <w:spacing w:after="0" w:line="260"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w:t>
      </w:r>
    </w:p>
    <w:p>
      <w:pPr>
        <w:spacing w:after="0" w:line="246"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the management or the board of directors;</w:t>
      </w:r>
    </w:p>
    <w:p>
      <w:pPr>
        <w:spacing w:after="0" w:line="246"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or private sale of a significant amount of securities;</w:t>
      </w:r>
    </w:p>
    <w:p>
      <w:pPr>
        <w:spacing w:after="0" w:line="246"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offering of debt or equity securities;</w:t>
      </w:r>
    </w:p>
    <w:p>
      <w:pPr>
        <w:spacing w:after="0" w:line="246"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to commence, modify or terminate the payment of cash dividends;</w:t>
      </w:r>
    </w:p>
    <w:p>
      <w:pPr>
        <w:spacing w:after="0" w:line="246"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program to repurchase securities;</w:t>
      </w:r>
    </w:p>
    <w:p>
      <w:pPr>
        <w:spacing w:after="0" w:line="260"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debt ratings;</w:t>
      </w:r>
    </w:p>
    <w:p>
      <w:pPr>
        <w:spacing w:after="0" w:line="246"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 split;</w:t>
      </w:r>
    </w:p>
    <w:p>
      <w:pPr>
        <w:spacing w:after="0" w:line="246"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on outstanding debt or a bankruptcy filing;</w:t>
      </w:r>
    </w:p>
    <w:p>
      <w:pPr>
        <w:spacing w:after="0" w:line="246" w:lineRule="exact"/>
        <w:rPr>
          <w:rFonts w:ascii="Times New Roman" w:cs="Times New Roman" w:eastAsia="Times New Roman" w:hAnsi="Times New Roman"/>
          <w:sz w:val="22"/>
          <w:szCs w:val="22"/>
          <w:color w:val="auto"/>
        </w:rPr>
      </w:pPr>
    </w:p>
    <w:p>
      <w:pPr>
        <w:ind w:left="1940" w:hanging="647"/>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246"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product release or a significant development, invention or discovery;</w:t>
      </w:r>
    </w:p>
    <w:p>
      <w:pPr>
        <w:spacing w:after="0" w:line="260" w:lineRule="exact"/>
        <w:rPr>
          <w:rFonts w:ascii="Times New Roman" w:cs="Times New Roman" w:eastAsia="Times New Roman" w:hAnsi="Times New Roman"/>
          <w:sz w:val="22"/>
          <w:szCs w:val="22"/>
          <w:color w:val="auto"/>
        </w:rPr>
      </w:pPr>
    </w:p>
    <w:p>
      <w:pPr>
        <w:ind w:left="1940" w:right="60" w:hanging="646"/>
        <w:spacing w:after="0" w:line="271" w:lineRule="auto"/>
        <w:tabs>
          <w:tab w:leader="none" w:pos="19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delay or gain of a significant contract, sale or order or other important development regarding customers, business partners or suppliers;</w:t>
      </w:r>
    </w:p>
    <w:p>
      <w:pPr>
        <w:spacing w:after="0" w:line="184"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or investigation of a potential such incident;</w:t>
      </w:r>
    </w:p>
    <w:p>
      <w:pPr>
        <w:sectPr>
          <w:pgSz w:w="11900" w:h="16838" w:orient="portrait"/>
          <w:cols w:equalWidth="0" w:num="1">
            <w:col w:w="10860"/>
          </w:cols>
          <w:pgMar w:left="420" w:top="1422" w:right="619" w:bottom="1440" w:gutter="0" w:footer="0" w:header="0"/>
        </w:sectPr>
      </w:pPr>
    </w:p>
    <w:bookmarkStart w:id="104" w:name="page105"/>
    <w:bookmarkEnd w:id="104"/>
    <w:p>
      <w:pPr>
        <w:ind w:left="1942" w:right="80" w:hanging="646"/>
        <w:spacing w:after="0" w:line="271" w:lineRule="auto"/>
        <w:tabs>
          <w:tab w:leader="none" w:pos="193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conclusion by management or the board of directors or a notification from an independent auditor that previously issued financial statements should no longer be relied upon; or</w:t>
      </w:r>
    </w:p>
    <w:p>
      <w:pPr>
        <w:spacing w:after="0" w:line="184" w:lineRule="exact"/>
        <w:rPr>
          <w:rFonts w:ascii="Times New Roman" w:cs="Times New Roman" w:eastAsia="Times New Roman" w:hAnsi="Times New Roman"/>
          <w:sz w:val="22"/>
          <w:szCs w:val="22"/>
          <w:color w:val="auto"/>
        </w:rPr>
      </w:pPr>
    </w:p>
    <w:p>
      <w:pPr>
        <w:ind w:left="1942" w:right="200" w:hanging="647"/>
        <w:spacing w:after="0" w:line="284" w:lineRule="auto"/>
        <w:tabs>
          <w:tab w:leader="none" w:pos="193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or disagreement (within the meaning of Item 304 of Regulation S-K) with the independent auditor.</w:t>
      </w:r>
    </w:p>
    <w:p>
      <w:pPr>
        <w:spacing w:after="0" w:line="171" w:lineRule="exact"/>
        <w:rPr>
          <w:sz w:val="20"/>
          <w:szCs w:val="20"/>
          <w:color w:val="auto"/>
        </w:rPr>
      </w:pPr>
    </w:p>
    <w:p>
      <w:pPr>
        <w:jc w:val="both"/>
        <w:ind w:left="2" w:right="60" w:firstLine="647"/>
        <w:spacing w:after="0" w:line="257"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give rise to material information. If you are in doubt as to whether any nonpublic information is material information, you should presume that the information is material until you speak with the General Counsel.</w:t>
      </w:r>
    </w:p>
    <w:p>
      <w:pPr>
        <w:spacing w:after="0" w:line="200" w:lineRule="exact"/>
        <w:rPr>
          <w:sz w:val="20"/>
          <w:szCs w:val="20"/>
          <w:color w:val="auto"/>
        </w:rPr>
      </w:pPr>
    </w:p>
    <w:p>
      <w:pPr>
        <w:ind w:left="642"/>
        <w:spacing w:after="0"/>
        <w:tabs>
          <w:tab w:leader="none" w:pos="1182"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When is Information “Nonpublic”</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left="2" w:right="360" w:firstLine="648"/>
        <w:spacing w:after="0" w:line="271" w:lineRule="auto"/>
        <w:rPr>
          <w:sz w:val="20"/>
          <w:szCs w:val="20"/>
          <w:color w:val="auto"/>
        </w:rPr>
      </w:pPr>
      <w:r>
        <w:rPr>
          <w:rFonts w:ascii="Times New Roman" w:cs="Times New Roman" w:eastAsia="Times New Roman" w:hAnsi="Times New Roman"/>
          <w:sz w:val="22"/>
          <w:szCs w:val="22"/>
          <w:color w:val="auto"/>
        </w:rPr>
        <w:t>Information concerning the Company is considered nonpublic if it has not been disseminated in a manner making it available to investors generally.</w:t>
      </w:r>
    </w:p>
    <w:p>
      <w:pPr>
        <w:spacing w:after="0" w:line="185" w:lineRule="exact"/>
        <w:rPr>
          <w:sz w:val="20"/>
          <w:szCs w:val="20"/>
          <w:color w:val="auto"/>
        </w:rPr>
      </w:pPr>
    </w:p>
    <w:p>
      <w:pPr>
        <w:ind w:left="2" w:right="180" w:firstLine="648"/>
        <w:spacing w:after="0" w:line="250" w:lineRule="auto"/>
        <w:rPr>
          <w:sz w:val="20"/>
          <w:szCs w:val="20"/>
          <w:color w:val="auto"/>
        </w:rPr>
      </w:pPr>
      <w:r>
        <w:rPr>
          <w:rFonts w:ascii="Times New Roman" w:cs="Times New Roman" w:eastAsia="Times New Roman" w:hAnsi="Times New Roman"/>
          <w:sz w:val="22"/>
          <w:szCs w:val="22"/>
          <w:color w:val="auto"/>
        </w:rPr>
        <w:t>Information will generally be considered nonpublic until (1) the information has been disclosed in a press release distributed through a widely circulated news or wire service, in a public filing made with the SEC (such as a report on Form 10- K, Form 10-Q or Form 8-K), or other method, or combination of methods, designed to provide broad, non-exclusionary distribution of the information to the public, and (2) a sufficient amount of time has passed so that the information has had an opportunity to be digested by the marketplace. For purposes of this Policy, a sufficient amount of time is one full trading day, or such longer period as determined by the Chief Legal Officer, Chief Financial Officer, or General Counsel, after the disclosure of the information in the manner(s) described above.</w:t>
      </w:r>
    </w:p>
    <w:p>
      <w:pPr>
        <w:spacing w:after="0" w:line="203" w:lineRule="exact"/>
        <w:rPr>
          <w:sz w:val="20"/>
          <w:szCs w:val="20"/>
          <w:color w:val="auto"/>
        </w:rPr>
      </w:pPr>
    </w:p>
    <w:p>
      <w:pPr>
        <w:ind w:left="642" w:hanging="642"/>
        <w:spacing w:after="0"/>
        <w:tabs>
          <w:tab w:leader="none" w:pos="64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PROHIBITIONS RELATING TO TRANSACTIONS IN THE COMPANY’S SECURITIES</w:t>
      </w:r>
    </w:p>
    <w:p>
      <w:pPr>
        <w:spacing w:after="0" w:line="251" w:lineRule="exact"/>
        <w:rPr>
          <w:sz w:val="20"/>
          <w:szCs w:val="20"/>
          <w:color w:val="auto"/>
        </w:rPr>
      </w:pPr>
    </w:p>
    <w:p>
      <w:pPr>
        <w:ind w:left="642"/>
        <w:spacing w:after="0"/>
        <w:tabs>
          <w:tab w:leader="none" w:pos="1182"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This Section 2 applies to the following individuals and entities (collectively, “Covered</w:t>
      </w:r>
    </w:p>
    <w:p>
      <w:pPr>
        <w:spacing w:after="0" w:line="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Persons”):</w:t>
      </w:r>
    </w:p>
    <w:p>
      <w:pPr>
        <w:spacing w:after="0" w:line="234" w:lineRule="exact"/>
        <w:rPr>
          <w:sz w:val="20"/>
          <w:szCs w:val="20"/>
          <w:color w:val="auto"/>
        </w:rPr>
      </w:pPr>
    </w:p>
    <w:p>
      <w:pPr>
        <w:ind w:left="1942" w:hanging="647"/>
        <w:spacing w:after="0"/>
        <w:tabs>
          <w:tab w:leader="none" w:pos="19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46" w:lineRule="exact"/>
        <w:rPr>
          <w:rFonts w:ascii="Times New Roman" w:cs="Times New Roman" w:eastAsia="Times New Roman" w:hAnsi="Times New Roman"/>
          <w:sz w:val="22"/>
          <w:szCs w:val="22"/>
          <w:color w:val="auto"/>
        </w:rPr>
      </w:pPr>
    </w:p>
    <w:p>
      <w:pPr>
        <w:ind w:left="1942" w:hanging="647"/>
        <w:spacing w:after="0"/>
        <w:tabs>
          <w:tab w:leader="none" w:pos="19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w:t>
      </w:r>
    </w:p>
    <w:p>
      <w:pPr>
        <w:spacing w:after="0" w:line="246" w:lineRule="exact"/>
        <w:rPr>
          <w:rFonts w:ascii="Times New Roman" w:cs="Times New Roman" w:eastAsia="Times New Roman" w:hAnsi="Times New Roman"/>
          <w:sz w:val="22"/>
          <w:szCs w:val="22"/>
          <w:color w:val="auto"/>
        </w:rPr>
      </w:pPr>
    </w:p>
    <w:p>
      <w:pPr>
        <w:ind w:left="1942" w:hanging="647"/>
        <w:spacing w:after="0" w:line="263" w:lineRule="auto"/>
        <w:tabs>
          <w:tab w:leader="none" w:pos="193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such as consultants or contractors, who have access to material nonpublic information and are designated from time to time by the Board of Directors, the Chief Executive Officer, the Chief Financial Officer or the Chief Legal Officer as being Covered Persons;</w:t>
      </w:r>
    </w:p>
    <w:p>
      <w:pPr>
        <w:spacing w:after="0" w:line="194" w:lineRule="exact"/>
        <w:rPr>
          <w:rFonts w:ascii="Times New Roman" w:cs="Times New Roman" w:eastAsia="Times New Roman" w:hAnsi="Times New Roman"/>
          <w:sz w:val="22"/>
          <w:szCs w:val="22"/>
          <w:color w:val="auto"/>
        </w:rPr>
      </w:pPr>
    </w:p>
    <w:p>
      <w:pPr>
        <w:ind w:left="1942" w:right="280" w:hanging="646"/>
        <w:spacing w:after="0" w:line="257" w:lineRule="auto"/>
        <w:tabs>
          <w:tab w:leader="none" w:pos="193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family members of any of the above Covered Persons who share the same address as, or are financially dependent on, such Covered Persons and any other person who shares the same address as such Covered</w:t>
      </w:r>
    </w:p>
    <w:p>
      <w:pPr>
        <w:sectPr>
          <w:pgSz w:w="11900" w:h="16838" w:orient="portrait"/>
          <w:cols w:equalWidth="0" w:num="1">
            <w:col w:w="11002"/>
          </w:cols>
          <w:pgMar w:left="418" w:top="1422" w:right="479" w:bottom="1440" w:gutter="0" w:footer="0" w:header="0"/>
        </w:sectPr>
      </w:pPr>
    </w:p>
    <w:bookmarkStart w:id="105" w:name="page106"/>
    <w:bookmarkEnd w:id="105"/>
    <w:p>
      <w:pPr>
        <w:ind w:left="1300" w:right="380"/>
        <w:spacing w:after="0" w:line="271" w:lineRule="auto"/>
        <w:rPr>
          <w:sz w:val="20"/>
          <w:szCs w:val="20"/>
          <w:color w:val="auto"/>
        </w:rPr>
      </w:pPr>
      <w:r>
        <w:rPr>
          <w:rFonts w:ascii="Times New Roman" w:cs="Times New Roman" w:eastAsia="Times New Roman" w:hAnsi="Times New Roman"/>
          <w:sz w:val="22"/>
          <w:szCs w:val="22"/>
          <w:color w:val="auto"/>
        </w:rPr>
        <w:t>Person (other than (x) an employee or tenant of such Covered Person or (y) another unrelated person whom the Chief Legal Officer determines should not be covered by this policy); and</w:t>
      </w:r>
    </w:p>
    <w:p>
      <w:pPr>
        <w:spacing w:after="0" w:line="185" w:lineRule="exact"/>
        <w:rPr>
          <w:sz w:val="20"/>
          <w:szCs w:val="20"/>
          <w:color w:val="auto"/>
        </w:rPr>
      </w:pPr>
    </w:p>
    <w:p>
      <w:pPr>
        <w:ind w:left="1300" w:right="80" w:hanging="646"/>
        <w:spacing w:after="0" w:line="281" w:lineRule="auto"/>
        <w:tabs>
          <w:tab w:leader="none" w:pos="129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corporations, limited liability companies, partnerships, trusts, or other entities controlled by any of the above Covered Persons, unless the entity has implemented policies or procedures designed to ensure that such Covered Person cannot influence transactions by the entity involving Company securities.</w:t>
      </w:r>
    </w:p>
    <w:p>
      <w:pPr>
        <w:spacing w:after="0" w:line="17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Prohibition on Trading While Aware of Material Nonpublic Information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200" w:hanging="547"/>
        <w:spacing w:after="0"/>
        <w:tabs>
          <w:tab w:leader="none" w:pos="12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Activities</w:t>
      </w:r>
      <w:r>
        <w:rPr>
          <w:rFonts w:ascii="Times New Roman" w:cs="Times New Roman" w:eastAsia="Times New Roman" w:hAnsi="Times New Roman"/>
          <w:sz w:val="22"/>
          <w:szCs w:val="22"/>
          <w:color w:val="auto"/>
        </w:rPr>
        <w:t>. Except as provided in Section 4, no Covered Person may:</w:t>
      </w:r>
    </w:p>
    <w:p>
      <w:pPr>
        <w:spacing w:after="0" w:line="247" w:lineRule="exact"/>
        <w:rPr>
          <w:sz w:val="20"/>
          <w:szCs w:val="20"/>
          <w:color w:val="auto"/>
        </w:rPr>
      </w:pPr>
    </w:p>
    <w:p>
      <w:pPr>
        <w:jc w:val="both"/>
        <w:ind w:left="1960" w:hanging="108"/>
        <w:spacing w:after="0" w:line="263" w:lineRule="auto"/>
        <w:rPr>
          <w:sz w:val="20"/>
          <w:szCs w:val="20"/>
          <w:color w:val="auto"/>
        </w:rPr>
      </w:pPr>
      <w:r>
        <w:rPr>
          <w:rFonts w:ascii="Times New Roman" w:cs="Times New Roman" w:eastAsia="Times New Roman" w:hAnsi="Times New Roman"/>
          <w:sz w:val="22"/>
          <w:szCs w:val="22"/>
          <w:color w:val="auto"/>
        </w:rPr>
        <w:t>purchase, sell or gift any securities of the Company while such Covered Person is aware of any material nonpublic information concerning the Company or recommend doing so to someone else;</w:t>
      </w:r>
    </w:p>
    <w:p>
      <w:pPr>
        <w:spacing w:after="0" w:line="194" w:lineRule="exact"/>
        <w:rPr>
          <w:sz w:val="20"/>
          <w:szCs w:val="20"/>
          <w:color w:val="auto"/>
        </w:rPr>
      </w:pPr>
    </w:p>
    <w:p>
      <w:pPr>
        <w:ind w:left="1960" w:right="540" w:hanging="108"/>
        <w:spacing w:after="0" w:line="257" w:lineRule="auto"/>
        <w:rPr>
          <w:sz w:val="20"/>
          <w:szCs w:val="20"/>
          <w:color w:val="auto"/>
        </w:rPr>
      </w:pPr>
      <w:r>
        <w:rPr>
          <w:rFonts w:ascii="Times New Roman" w:cs="Times New Roman" w:eastAsia="Times New Roman" w:hAnsi="Times New Roman"/>
          <w:sz w:val="22"/>
          <w:szCs w:val="22"/>
          <w:color w:val="auto"/>
        </w:rPr>
        <w:t>tip or otherwise disclose to someone else any material nonpublic information concerning the Company if the recipient may misuse that information, such as by purchasing or selling Company securities or tipping that information to others;</w:t>
      </w:r>
    </w:p>
    <w:p>
      <w:pPr>
        <w:spacing w:after="0" w:line="200" w:lineRule="exact"/>
        <w:rPr>
          <w:sz w:val="20"/>
          <w:szCs w:val="20"/>
          <w:color w:val="auto"/>
        </w:rPr>
      </w:pPr>
    </w:p>
    <w:p>
      <w:pPr>
        <w:ind w:left="1960" w:right="100" w:hanging="108"/>
        <w:spacing w:after="0" w:line="256" w:lineRule="auto"/>
        <w:rPr>
          <w:sz w:val="20"/>
          <w:szCs w:val="20"/>
          <w:color w:val="auto"/>
        </w:rPr>
      </w:pPr>
      <w:r>
        <w:rPr>
          <w:rFonts w:ascii="Times New Roman" w:cs="Times New Roman" w:eastAsia="Times New Roman" w:hAnsi="Times New Roman"/>
          <w:sz w:val="22"/>
          <w:szCs w:val="22"/>
          <w:color w:val="auto"/>
        </w:rPr>
        <w:t>purchase, sell or gift any securities of another company while such Covered Person is aware of any material nonpublic information concerning such other company which such Covered Person learned in the course of service as a Director or employee of the Company or recommend doing so to someone else; or</w:t>
      </w:r>
    </w:p>
    <w:p>
      <w:pPr>
        <w:spacing w:after="0" w:line="203" w:lineRule="exact"/>
        <w:rPr>
          <w:sz w:val="20"/>
          <w:szCs w:val="20"/>
          <w:color w:val="auto"/>
        </w:rPr>
      </w:pPr>
    </w:p>
    <w:p>
      <w:pPr>
        <w:ind w:left="1960" w:right="140" w:hanging="108"/>
        <w:spacing w:after="0" w:line="256" w:lineRule="auto"/>
        <w:rPr>
          <w:sz w:val="20"/>
          <w:szCs w:val="20"/>
          <w:color w:val="auto"/>
        </w:rPr>
      </w:pPr>
      <w:r>
        <w:rPr>
          <w:rFonts w:ascii="Times New Roman" w:cs="Times New Roman" w:eastAsia="Times New Roman" w:hAnsi="Times New Roman"/>
          <w:sz w:val="22"/>
          <w:szCs w:val="22"/>
          <w:color w:val="auto"/>
        </w:rPr>
        <w:t>tip or otherwise disclose to someone else any material nonpublic information concerning another company which such Covered Person learned in the course of service as a Director or employee of the Company if the recipient may misuse that information, such as by purchasing or selling securities of such other company or tipping that information to others.</w:t>
      </w:r>
    </w:p>
    <w:p>
      <w:pPr>
        <w:spacing w:after="0" w:line="203" w:lineRule="exact"/>
        <w:rPr>
          <w:sz w:val="20"/>
          <w:szCs w:val="20"/>
          <w:color w:val="auto"/>
        </w:rPr>
      </w:pPr>
    </w:p>
    <w:p>
      <w:pPr>
        <w:ind w:left="-640" w:right="100" w:firstLine="1293"/>
        <w:spacing w:after="0" w:line="256" w:lineRule="auto"/>
        <w:tabs>
          <w:tab w:leader="none" w:pos="120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Policy After Cessation of Service</w:t>
      </w:r>
      <w:r>
        <w:rPr>
          <w:rFonts w:ascii="Times New Roman" w:cs="Times New Roman" w:eastAsia="Times New Roman" w:hAnsi="Times New Roman"/>
          <w:sz w:val="22"/>
          <w:szCs w:val="22"/>
          <w:color w:val="auto"/>
        </w:rPr>
        <w:t>. If an individual or entity ceases to be a Covered Person at a time when such individual or entity is aware of material nonpublic information concerning the Company or another company which such Covered Person learned in the course of service as a Director or employee of the Company, the prohibitions in Section 2.2(a) shall continue to apply until that information has become public or is no longer material.</w:t>
      </w:r>
    </w:p>
    <w:p>
      <w:pPr>
        <w:sectPr>
          <w:pgSz w:w="11900" w:h="16838" w:orient="portrait"/>
          <w:cols w:equalWidth="0" w:num="1">
            <w:col w:w="10380"/>
          </w:cols>
          <w:pgMar w:left="1060" w:top="1422" w:right="459" w:bottom="1440" w:gutter="0" w:footer="0" w:header="0"/>
        </w:sectPr>
      </w:pPr>
    </w:p>
    <w:bookmarkStart w:id="106" w:name="page107"/>
    <w:bookmarkEnd w:id="106"/>
    <w:p>
      <w:pPr>
        <w:spacing w:after="0" w:line="225" w:lineRule="exact"/>
        <w:rPr>
          <w:sz w:val="20"/>
          <w:szCs w:val="20"/>
          <w:color w:val="auto"/>
        </w:rPr>
      </w:pPr>
    </w:p>
    <w:p>
      <w:pPr>
        <w:jc w:val="both"/>
        <w:ind w:left="2" w:right="600" w:firstLine="647"/>
        <w:spacing w:after="0" w:line="257"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Prohibition on Pledges</w:t>
      </w:r>
      <w:r>
        <w:rPr>
          <w:rFonts w:ascii="Times New Roman" w:cs="Times New Roman" w:eastAsia="Times New Roman" w:hAnsi="Times New Roman"/>
          <w:sz w:val="22"/>
          <w:szCs w:val="22"/>
          <w:color w:val="auto"/>
        </w:rPr>
        <w:t>. No Covered Person may purchase Company securities on margin, borrow against Company securities held in a margin account, or pledge Company securities as collateral for a loan, except to the extent approved prior to the approval of this Insider Trading Policy by the Board of Directors of the Company.</w:t>
      </w:r>
    </w:p>
    <w:p>
      <w:pPr>
        <w:spacing w:after="0" w:line="213" w:lineRule="exact"/>
        <w:rPr>
          <w:sz w:val="20"/>
          <w:szCs w:val="20"/>
          <w:color w:val="auto"/>
        </w:rPr>
      </w:pPr>
    </w:p>
    <w:p>
      <w:pPr>
        <w:ind w:left="2" w:right="100" w:firstLine="647"/>
        <w:spacing w:after="0" w:line="271"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Prohibition on Short Sales, Derivative Transactions and Hedging Transactions.</w:t>
      </w:r>
      <w:r>
        <w:rPr>
          <w:rFonts w:ascii="Times New Roman" w:cs="Times New Roman" w:eastAsia="Times New Roman" w:hAnsi="Times New Roman"/>
          <w:sz w:val="22"/>
          <w:szCs w:val="22"/>
          <w:color w:val="auto"/>
        </w:rPr>
        <w:t xml:space="preserve"> No Covered Person may engage in any of the following types of transactions with respect to Company securities:</w:t>
      </w:r>
    </w:p>
    <w:p>
      <w:pPr>
        <w:spacing w:after="0" w:line="185" w:lineRule="exact"/>
        <w:rPr>
          <w:sz w:val="20"/>
          <w:szCs w:val="20"/>
          <w:color w:val="auto"/>
        </w:rPr>
      </w:pPr>
    </w:p>
    <w:p>
      <w:pPr>
        <w:ind w:left="1942" w:hanging="647"/>
        <w:spacing w:after="0"/>
        <w:tabs>
          <w:tab w:leader="none" w:pos="194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including short sales “against the box”;</w:t>
      </w:r>
    </w:p>
    <w:p>
      <w:pPr>
        <w:spacing w:after="0" w:line="246" w:lineRule="exact"/>
        <w:rPr>
          <w:rFonts w:ascii="Times New Roman" w:cs="Times New Roman" w:eastAsia="Times New Roman" w:hAnsi="Times New Roman"/>
          <w:sz w:val="22"/>
          <w:szCs w:val="22"/>
          <w:color w:val="auto"/>
        </w:rPr>
      </w:pPr>
    </w:p>
    <w:p>
      <w:pPr>
        <w:ind w:left="1942" w:hanging="647"/>
        <w:spacing w:after="0"/>
        <w:tabs>
          <w:tab w:leader="none" w:pos="194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puts, calls, or other derivative securities; or</w:t>
      </w:r>
    </w:p>
    <w:p>
      <w:pPr>
        <w:spacing w:after="0" w:line="246" w:lineRule="exact"/>
        <w:rPr>
          <w:rFonts w:ascii="Times New Roman" w:cs="Times New Roman" w:eastAsia="Times New Roman" w:hAnsi="Times New Roman"/>
          <w:sz w:val="22"/>
          <w:szCs w:val="22"/>
          <w:color w:val="auto"/>
        </w:rPr>
      </w:pPr>
    </w:p>
    <w:p>
      <w:pPr>
        <w:ind w:left="1942" w:right="120" w:hanging="646"/>
        <w:spacing w:after="0" w:line="263" w:lineRule="auto"/>
        <w:tabs>
          <w:tab w:leader="none" w:pos="193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financial instruments (including prepaid variable forward contracts, equity swaps, collars, and exchange funds) or other transactions that hedge or offset, or are designed to hedge or offset, any decrease in the market value of Company securities.</w:t>
      </w:r>
    </w:p>
    <w:p>
      <w:pPr>
        <w:spacing w:after="0" w:line="190" w:lineRule="exact"/>
        <w:rPr>
          <w:rFonts w:ascii="Times New Roman" w:cs="Times New Roman" w:eastAsia="Times New Roman" w:hAnsi="Times New Roman"/>
          <w:sz w:val="22"/>
          <w:szCs w:val="22"/>
          <w:color w:val="auto"/>
        </w:rPr>
      </w:pPr>
    </w:p>
    <w:p>
      <w:pPr>
        <w:ind w:left="642" w:right="980" w:hanging="642"/>
        <w:spacing w:after="0" w:line="275" w:lineRule="auto"/>
        <w:tabs>
          <w:tab w:leader="none" w:pos="64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PROHIBITIONS APPLICABLE TO DIRECTORS, EXECUTIVE OFFICERS, AND DESIGNATED INSIDERS</w:t>
      </w:r>
    </w:p>
    <w:p>
      <w:pPr>
        <w:spacing w:after="0" w:line="180" w:lineRule="exact"/>
        <w:rPr>
          <w:rFonts w:ascii="Times New Roman" w:cs="Times New Roman" w:eastAsia="Times New Roman" w:hAnsi="Times New Roman"/>
          <w:sz w:val="22"/>
          <w:szCs w:val="22"/>
          <w:color w:val="auto"/>
        </w:rPr>
      </w:pPr>
    </w:p>
    <w:p>
      <w:pPr>
        <w:ind w:left="64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Further Restricted Insiders</w:t>
      </w:r>
      <w:r>
        <w:rPr>
          <w:rFonts w:ascii="Times New Roman" w:cs="Times New Roman" w:eastAsia="Times New Roman" w:hAnsi="Times New Roman"/>
          <w:sz w:val="22"/>
          <w:szCs w:val="22"/>
          <w:color w:val="auto"/>
        </w:rPr>
        <w:t>. Certain additional prohibitions apply to the following Covered Persons, as set forth</w:t>
      </w:r>
    </w:p>
    <w:p>
      <w:pPr>
        <w:spacing w:after="0" w:line="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herein (collectively, “Further Restricted Insiders”):</w:t>
      </w:r>
    </w:p>
    <w:p>
      <w:pPr>
        <w:spacing w:after="0" w:line="236" w:lineRule="exact"/>
        <w:rPr>
          <w:sz w:val="20"/>
          <w:szCs w:val="20"/>
          <w:color w:val="auto"/>
        </w:rPr>
      </w:pPr>
    </w:p>
    <w:p>
      <w:pPr>
        <w:ind w:left="1942" w:hanging="647"/>
        <w:spacing w:after="0"/>
        <w:tabs>
          <w:tab w:leader="none" w:pos="194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Directors;</w:t>
      </w:r>
    </w:p>
    <w:p>
      <w:pPr>
        <w:spacing w:after="0" w:line="246" w:lineRule="exact"/>
        <w:rPr>
          <w:rFonts w:ascii="Times New Roman" w:cs="Times New Roman" w:eastAsia="Times New Roman" w:hAnsi="Times New Roman"/>
          <w:sz w:val="22"/>
          <w:szCs w:val="22"/>
          <w:color w:val="auto"/>
        </w:rPr>
      </w:pPr>
    </w:p>
    <w:p>
      <w:pPr>
        <w:ind w:left="1942" w:hanging="647"/>
        <w:spacing w:after="0"/>
        <w:tabs>
          <w:tab w:leader="none" w:pos="194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executive officers;</w:t>
      </w:r>
    </w:p>
    <w:p>
      <w:pPr>
        <w:spacing w:after="0" w:line="246" w:lineRule="exact"/>
        <w:rPr>
          <w:rFonts w:ascii="Times New Roman" w:cs="Times New Roman" w:eastAsia="Times New Roman" w:hAnsi="Times New Roman"/>
          <w:sz w:val="22"/>
          <w:szCs w:val="22"/>
          <w:color w:val="auto"/>
        </w:rPr>
      </w:pPr>
    </w:p>
    <w:p>
      <w:pPr>
        <w:jc w:val="both"/>
        <w:ind w:left="1942" w:right="200" w:hanging="646"/>
        <w:spacing w:after="0" w:line="257" w:lineRule="auto"/>
        <w:tabs>
          <w:tab w:leader="none" w:pos="193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other employees, consultants, or contractors as are designated from time to time by the Board of Directors, the Chief Executive Officer, the Chief Financial Officer or the Chief Legal Officer as being Further Restricted Insiders (the “Designated </w:t>
      </w:r>
      <w:r>
        <w:rPr>
          <w:rFonts w:ascii="Times New Roman" w:cs="Times New Roman" w:eastAsia="Times New Roman" w:hAnsi="Times New Roman"/>
          <w:sz w:val="19"/>
          <w:szCs w:val="19"/>
          <w:color w:val="auto"/>
        </w:rPr>
        <w:t>Insiders”);</w:t>
      </w:r>
    </w:p>
    <w:p>
      <w:pPr>
        <w:spacing w:after="0" w:line="213" w:lineRule="exact"/>
        <w:rPr>
          <w:rFonts w:ascii="Times New Roman" w:cs="Times New Roman" w:eastAsia="Times New Roman" w:hAnsi="Times New Roman"/>
          <w:sz w:val="22"/>
          <w:szCs w:val="22"/>
          <w:color w:val="auto"/>
        </w:rPr>
      </w:pPr>
    </w:p>
    <w:p>
      <w:pPr>
        <w:ind w:left="1942" w:hanging="645"/>
        <w:spacing w:after="0" w:line="263" w:lineRule="auto"/>
        <w:tabs>
          <w:tab w:leader="none" w:pos="193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family members of Directors, executive officers and Designated Insiders who share the same address as, or are financially dependent on, the Director, executive officer or Designated Insider and any other person who shares the same address as the Director, executive officer or Designated Insider (other than</w:t>
      </w:r>
    </w:p>
    <w:p>
      <w:pPr>
        <w:spacing w:after="0" w:line="1" w:lineRule="exact"/>
        <w:rPr>
          <w:rFonts w:ascii="Times New Roman" w:cs="Times New Roman" w:eastAsia="Times New Roman" w:hAnsi="Times New Roman"/>
          <w:sz w:val="21"/>
          <w:szCs w:val="21"/>
          <w:color w:val="auto"/>
        </w:rPr>
      </w:pPr>
    </w:p>
    <w:p>
      <w:pPr>
        <w:ind w:left="1942" w:right="220"/>
        <w:spacing w:after="0" w:line="28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an employee or tenant of the Director, executive officer or Designated Insider or (y) another unrelated person whom the Chief Legal Officer determines should not be covered by this policy); and</w:t>
      </w:r>
    </w:p>
    <w:p>
      <w:pPr>
        <w:spacing w:after="0" w:line="174" w:lineRule="exact"/>
        <w:rPr>
          <w:rFonts w:ascii="Times New Roman" w:cs="Times New Roman" w:eastAsia="Times New Roman" w:hAnsi="Times New Roman"/>
          <w:sz w:val="21"/>
          <w:szCs w:val="21"/>
          <w:color w:val="auto"/>
        </w:rPr>
      </w:pPr>
    </w:p>
    <w:p>
      <w:pPr>
        <w:ind w:left="1942" w:right="220" w:hanging="646"/>
        <w:spacing w:after="0" w:line="271" w:lineRule="auto"/>
        <w:tabs>
          <w:tab w:leader="none" w:pos="193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limited liability companies, partnerships, trusts, or other entities controlled by any of the above Further Restricted Insiders,</w:t>
      </w:r>
    </w:p>
    <w:p>
      <w:pPr>
        <w:sectPr>
          <w:pgSz w:w="11900" w:h="16838" w:orient="portrait"/>
          <w:cols w:equalWidth="0" w:num="1">
            <w:col w:w="10942"/>
          </w:cols>
          <w:pgMar w:left="418" w:top="1440" w:right="539" w:bottom="1440" w:gutter="0" w:footer="0" w:header="0"/>
        </w:sectPr>
      </w:pPr>
    </w:p>
    <w:bookmarkStart w:id="107" w:name="page108"/>
    <w:bookmarkEnd w:id="107"/>
    <w:p>
      <w:pPr>
        <w:ind w:left="1940" w:right="80"/>
        <w:spacing w:after="0" w:line="271" w:lineRule="auto"/>
        <w:rPr>
          <w:sz w:val="20"/>
          <w:szCs w:val="20"/>
          <w:color w:val="auto"/>
        </w:rPr>
      </w:pPr>
      <w:r>
        <w:rPr>
          <w:rFonts w:ascii="Times New Roman" w:cs="Times New Roman" w:eastAsia="Times New Roman" w:hAnsi="Times New Roman"/>
          <w:sz w:val="22"/>
          <w:szCs w:val="22"/>
          <w:color w:val="auto"/>
        </w:rPr>
        <w:t>unless the entity has implemented policies or procedures designed to ensure that such Further Restricted Insider cannot influence transactions by the entity involving Company securities.</w:t>
      </w:r>
    </w:p>
    <w:p>
      <w:pPr>
        <w:spacing w:after="0" w:line="185"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60" w:firstLine="1295"/>
        <w:spacing w:after="0" w:line="250" w:lineRule="auto"/>
        <w:tabs>
          <w:tab w:leader="none" w:pos="184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Blackout Periods</w:t>
      </w:r>
      <w:r>
        <w:rPr>
          <w:rFonts w:ascii="Times New Roman" w:cs="Times New Roman" w:eastAsia="Times New Roman" w:hAnsi="Times New Roman"/>
          <w:sz w:val="22"/>
          <w:szCs w:val="22"/>
          <w:color w:val="auto"/>
        </w:rPr>
        <w:t>. Except as provided in Section 4, no Further Restricted Insider may purchase, sell or gift any securities of the Company during the period beginning three weeks prior to the end of each fiscal quarter and ending upon the completion of the one full trading day, or such longer period as determined by the Chief Legal Officer, Chief Financial Officer or General Counsel, after the public announcement of earnings for such quarter (a “quarterly blackout period”).</w:t>
      </w: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jc w:val="both"/>
        <w:ind w:right="680" w:firstLine="1295"/>
        <w:spacing w:after="0" w:line="257" w:lineRule="auto"/>
        <w:tabs>
          <w:tab w:leader="none" w:pos="184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Awareness of Material Nonpublic Information when a Blackout Period is Not in Effect</w:t>
      </w:r>
      <w:r>
        <w:rPr>
          <w:rFonts w:ascii="Times New Roman" w:cs="Times New Roman" w:eastAsia="Times New Roman" w:hAnsi="Times New Roman"/>
          <w:sz w:val="22"/>
          <w:szCs w:val="22"/>
          <w:color w:val="auto"/>
        </w:rPr>
        <w:t>. Even if no quarterly blackout period is then in effect, if a Further Restricted Insider is aware of material nonpublic information the prohibitions contained in Section 2.2(a) apply.</w:t>
      </w:r>
    </w:p>
    <w:p>
      <w:pPr>
        <w:spacing w:after="0" w:line="200"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Notice and Pre-Clearance of Transactions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1295"/>
        <w:spacing w:after="0" w:line="258" w:lineRule="auto"/>
        <w:tabs>
          <w:tab w:leader="none" w:pos="184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Pre-Transaction Clearance</w:t>
      </w:r>
      <w:r>
        <w:rPr>
          <w:rFonts w:ascii="Times New Roman" w:cs="Times New Roman" w:eastAsia="Times New Roman" w:hAnsi="Times New Roman"/>
          <w:sz w:val="21"/>
          <w:szCs w:val="21"/>
          <w:color w:val="auto"/>
        </w:rPr>
        <w:t xml:space="preserve">. Directors, executive officers and such other employees designated from time to time by the Board of Directors, the Chief Executive Officer, the Chief Financial Officer or the Chief Legal Officer (a “Pre-Clearance Person”) may not purchase, sell, gift, transfer, or otherwise acquire or dispose of securities of the Company, either directly or indirectly (including through family members, members of their household or entities which they control), other than in a transaction permitted under Section 4, unless such Pre-Clearance Person pre-clears the transaction with any two of the following: Chief Legal Officer, Chief Financial Officer or General Counsel, which shall include a representation that the Pre-Clearance Person is not aware of any material nonpublic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representation shall not be required in connection with the transactions listed under Sections 5.1(a), (b), (c), (e) and (f). Neither the Chief Legal Officer nor the Chief Financial Officer shall be permitted to pre-clear his or her own transactions. A request for pre-clearance shall be made at least two trading days prior to the intended transaction and in accordance with any additional procedures established by the Chief Legal Officer. Requests submitted after 4:00 p.m. eastern time on a weekday, during a weekend or a Company holiday or closure will be processed on the next trading day. The Chief Legal Officer, Chief Financial Officer and General Counsel shall have sole discretion to decide whether to clear any contemplated transaction. All transactions that are pre-cleared must be effected within five business days of receipt of the pre-clearance unless a longer or shorter period has been specified by the Chief Legal Officer, Chief Financial Officer or General Counsel. A pre-cleared transaction (or any portion of a pre-cleared transaction) that has not been effected during the five-business-day period must be pre-cleared again prior to execution.</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Notwithstanding receipt of pre-clearance, if the Pre-Clearance Person becomes aware of</w:t>
      </w:r>
    </w:p>
    <w:p>
      <w:pPr>
        <w:sectPr>
          <w:pgSz w:w="11900" w:h="16838" w:orient="portrait"/>
          <w:cols w:equalWidth="0" w:num="1">
            <w:col w:w="11020"/>
          </w:cols>
          <w:pgMar w:left="420" w:top="1422" w:right="459" w:bottom="1440" w:gutter="0" w:footer="0" w:header="0"/>
        </w:sectPr>
      </w:pPr>
    </w:p>
    <w:bookmarkStart w:id="108" w:name="page109"/>
    <w:bookmarkEnd w:id="108"/>
    <w:p>
      <w:pPr>
        <w:ind w:left="3" w:right="960"/>
        <w:spacing w:after="0" w:line="275" w:lineRule="auto"/>
        <w:rPr>
          <w:sz w:val="20"/>
          <w:szCs w:val="20"/>
          <w:color w:val="auto"/>
        </w:rPr>
      </w:pPr>
      <w:r>
        <w:rPr>
          <w:rFonts w:ascii="Times New Roman" w:cs="Times New Roman" w:eastAsia="Times New Roman" w:hAnsi="Times New Roman"/>
          <w:sz w:val="22"/>
          <w:szCs w:val="22"/>
          <w:b w:val="1"/>
          <w:bCs w:val="1"/>
          <w:color w:val="auto"/>
        </w:rPr>
        <w:t>material nonpublic information or becomes subject to a blackout period before the transaction is effected, the transaction may not be completed.</w:t>
      </w:r>
    </w:p>
    <w:p>
      <w:pPr>
        <w:spacing w:after="0" w:line="180" w:lineRule="exact"/>
        <w:rPr>
          <w:sz w:val="20"/>
          <w:szCs w:val="20"/>
          <w:color w:val="auto"/>
        </w:rPr>
      </w:pPr>
    </w:p>
    <w:p>
      <w:pPr>
        <w:ind w:left="3" w:right="60" w:firstLine="1295"/>
        <w:spacing w:after="0" w:line="250" w:lineRule="auto"/>
        <w:tabs>
          <w:tab w:leader="none" w:pos="184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Post-Transaction Notice</w:t>
      </w:r>
      <w:r>
        <w:rPr>
          <w:rFonts w:ascii="Times New Roman" w:cs="Times New Roman" w:eastAsia="Times New Roman" w:hAnsi="Times New Roman"/>
          <w:sz w:val="22"/>
          <w:szCs w:val="22"/>
          <w:color w:val="auto"/>
        </w:rPr>
        <w:t>. Each Pre-Clearance Insider who is subject to reporting obligations under Section 16 of the Exchange Act shall notify the Chief Legal Officer (or his or her designee) of the occurrence of any purchase, sale, gift, transfer, or other acquisition or disposition of securities of the Company as soon as possible following the transaction, but in any event within one business day after the transaction. Such notification shall be in writing (including by e-mail) and should include the identity of the Pre-Clearance Insider,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(and if so, the date of adoption of such contract, instruction or written plan) or to constitute a non-Rule 10b5-1 trading arrangement (as defined in Item 408(c) of Regulation S-K).</w:t>
      </w:r>
    </w:p>
    <w:p>
      <w:pPr>
        <w:spacing w:after="0" w:line="206" w:lineRule="exact"/>
        <w:rPr>
          <w:rFonts w:ascii="Times New Roman" w:cs="Times New Roman" w:eastAsia="Times New Roman" w:hAnsi="Times New Roman"/>
          <w:sz w:val="22"/>
          <w:szCs w:val="22"/>
          <w:color w:val="auto"/>
        </w:rPr>
      </w:pPr>
    </w:p>
    <w:p>
      <w:pPr>
        <w:ind w:left="3" w:right="80" w:firstLine="1295"/>
        <w:spacing w:after="0" w:line="257" w:lineRule="auto"/>
        <w:tabs>
          <w:tab w:leader="none" w:pos="184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Time of a Transaction</w:t>
      </w:r>
      <w:r>
        <w:rPr>
          <w:rFonts w:ascii="Times New Roman" w:cs="Times New Roman" w:eastAsia="Times New Roman" w:hAnsi="Times New Roman"/>
          <w:sz w:val="22"/>
          <w:szCs w:val="22"/>
          <w:color w:val="auto"/>
        </w:rPr>
        <w:t>. For purposes of this Section 3.3, a purchase, sale, gift, transfer, or other acquisition or disposition shall be deemed to occur at the time the person becomes irrevocably committed to it (for example, in the case of an open market purchase or sale, this occurs when the trade is executed, not when it settles).</w:t>
      </w:r>
    </w:p>
    <w:p>
      <w:pPr>
        <w:spacing w:after="0" w:line="209" w:lineRule="exact"/>
        <w:rPr>
          <w:rFonts w:ascii="Times New Roman" w:cs="Times New Roman" w:eastAsia="Times New Roman" w:hAnsi="Times New Roman"/>
          <w:sz w:val="22"/>
          <w:szCs w:val="22"/>
          <w:color w:val="auto"/>
        </w:rPr>
      </w:pPr>
    </w:p>
    <w:p>
      <w:pPr>
        <w:ind w:left="643" w:hanging="643"/>
        <w:spacing w:after="0"/>
        <w:tabs>
          <w:tab w:leader="none" w:pos="64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SPECIAL BLACKOUT PERIODS</w:t>
      </w:r>
    </w:p>
    <w:p>
      <w:pPr>
        <w:spacing w:after="0" w:line="250" w:lineRule="exact"/>
        <w:rPr>
          <w:rFonts w:ascii="Times New Roman" w:cs="Times New Roman" w:eastAsia="Times New Roman" w:hAnsi="Times New Roman"/>
          <w:sz w:val="22"/>
          <w:szCs w:val="22"/>
          <w:color w:val="auto"/>
        </w:rPr>
      </w:pPr>
    </w:p>
    <w:p>
      <w:pPr>
        <w:ind w:left="1303" w:right="80" w:hanging="648"/>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Special Blackout Periods</w:t>
      </w:r>
      <w:r>
        <w:rPr>
          <w:rFonts w:ascii="Times New Roman" w:cs="Times New Roman" w:eastAsia="Times New Roman" w:hAnsi="Times New Roman"/>
          <w:sz w:val="22"/>
          <w:szCs w:val="22"/>
          <w:color w:val="auto"/>
        </w:rPr>
        <w:t>. In addition to quarterly blackout periods, the Company may from time to time notify Covered Persons that a blackout period (a “special blackout period”) is in effect in view of significant events or developments involving the Company. In such event, except as provided in Section 5, no person who is notified of a special blackout period may purchase, sell, or gift any securities of the Company during such special blackout period or inform anyone else that a special blackout period is in effect. (In this policy, quarterly blackout periods and special blackout periods are each referred to as a “blackout period.”)</w:t>
      </w:r>
    </w:p>
    <w:p>
      <w:pPr>
        <w:spacing w:after="0" w:line="204" w:lineRule="exact"/>
        <w:rPr>
          <w:rFonts w:ascii="Times New Roman" w:cs="Times New Roman" w:eastAsia="Times New Roman" w:hAnsi="Times New Roman"/>
          <w:sz w:val="22"/>
          <w:szCs w:val="22"/>
          <w:color w:val="auto"/>
        </w:rPr>
      </w:pPr>
    </w:p>
    <w:p>
      <w:pPr>
        <w:ind w:left="643" w:hanging="643"/>
        <w:spacing w:after="0"/>
        <w:tabs>
          <w:tab w:leader="none" w:pos="64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EXCEPTIONS</w:t>
      </w:r>
    </w:p>
    <w:p>
      <w:pPr>
        <w:spacing w:after="0" w:line="251" w:lineRule="exact"/>
        <w:rPr>
          <w:sz w:val="20"/>
          <w:szCs w:val="20"/>
          <w:color w:val="auto"/>
        </w:rPr>
      </w:pPr>
    </w:p>
    <w:p>
      <w:pPr>
        <w:ind w:left="3" w:right="5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prohibitions in Sections 2.2(a), 3.2 and 4.1 on purchasing, selling, and gifting of Company securities do not apply to:</w:t>
      </w:r>
    </w:p>
    <w:p>
      <w:pPr>
        <w:spacing w:after="0" w:line="198" w:lineRule="exact"/>
        <w:rPr>
          <w:sz w:val="20"/>
          <w:szCs w:val="20"/>
          <w:color w:val="auto"/>
        </w:rPr>
      </w:pPr>
    </w:p>
    <w:p>
      <w:pPr>
        <w:ind w:left="1863" w:hanging="656"/>
        <w:spacing w:after="0" w:line="250" w:lineRule="auto"/>
        <w:tabs>
          <w:tab w:leader="none" w:pos="18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exercises of stock options or other equity awards for cash or the surrender of shares to the Company or the withholding of shares by the Company in payment of the exercise price or in satisfaction of any tax withholding obligations, in each case in a manner permitted by the applicable equity award agreement; provided, however, that the securities so acquired may not be sold while the Covered Person is aware of material nonpublic information or during an applicable blackout period; and provided further,</w:t>
      </w:r>
    </w:p>
    <w:p>
      <w:pPr>
        <w:sectPr>
          <w:pgSz w:w="11900" w:h="16838" w:orient="portrait"/>
          <w:cols w:equalWidth="0" w:num="1">
            <w:col w:w="11043"/>
          </w:cols>
          <w:pgMar w:left="417" w:top="1418" w:right="4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22"/>
          <w:szCs w:val="22"/>
          <w:color w:val="auto"/>
        </w:rPr>
        <w:t>that this exception shall not apply to a cashless exercise transaction through a broker;</w:t>
      </w:r>
    </w:p>
    <w:p>
      <w:pPr>
        <w:spacing w:after="0" w:line="247" w:lineRule="exact"/>
        <w:rPr>
          <w:sz w:val="20"/>
          <w:szCs w:val="20"/>
          <w:color w:val="auto"/>
        </w:rPr>
      </w:pPr>
    </w:p>
    <w:p>
      <w:pPr>
        <w:ind w:left="1860" w:hanging="656"/>
        <w:spacing w:after="0" w:line="256" w:lineRule="auto"/>
        <w:tabs>
          <w:tab w:leader="none" w:pos="185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acquisitions or dispositions of Company common stock under the Company’s 401(k) or other individual account plan that are made pursuant to standing instructions, in a form approved by the Company, not entered into or modified while the Covered Person is aware of material nonpublic information or during an applicable blackout period</w:t>
      </w:r>
      <w:r>
        <w:rPr>
          <w:rFonts w:ascii="Times New Roman" w:cs="Times New Roman" w:eastAsia="Times New Roman" w:hAnsi="Times New Roman"/>
          <w:sz w:val="22"/>
          <w:szCs w:val="22"/>
          <w:u w:val="single" w:color="auto"/>
          <w:color w:val="auto"/>
        </w:rPr>
        <w:t>;</w:t>
      </w:r>
    </w:p>
    <w:p>
      <w:pPr>
        <w:spacing w:after="0" w:line="203" w:lineRule="exact"/>
        <w:rPr>
          <w:rFonts w:ascii="Times New Roman" w:cs="Times New Roman" w:eastAsia="Times New Roman" w:hAnsi="Times New Roman"/>
          <w:sz w:val="22"/>
          <w:szCs w:val="22"/>
          <w:color w:val="auto"/>
        </w:rPr>
      </w:pPr>
    </w:p>
    <w:p>
      <w:pPr>
        <w:ind w:left="1860" w:right="360" w:hanging="656"/>
        <w:spacing w:after="0" w:line="272" w:lineRule="auto"/>
        <w:tabs>
          <w:tab w:leader="none" w:pos="1857"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purchases of securities from the Company (including purchases under the Company’s Employee Stock Purchase Plan pursuant to standing instructions, in a form approved by the Company) or sales of securities to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purchase or sale transaction involves the exercise of stock options or other equity awards, the transaction must be permitted by Section 5.1(a);</w:t>
      </w:r>
    </w:p>
    <w:p>
      <w:pPr>
        <w:spacing w:after="0" w:line="187" w:lineRule="exact"/>
        <w:rPr>
          <w:rFonts w:ascii="Times New Roman" w:cs="Times New Roman" w:eastAsia="Times New Roman" w:hAnsi="Times New Roman"/>
          <w:sz w:val="21"/>
          <w:szCs w:val="21"/>
          <w:color w:val="auto"/>
        </w:rPr>
      </w:pPr>
    </w:p>
    <w:p>
      <w:pPr>
        <w:ind w:left="1840" w:hanging="636"/>
        <w:spacing w:after="0"/>
        <w:tabs>
          <w:tab w:leader="none" w:pos="18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bona fide gifts;</w:t>
      </w:r>
    </w:p>
    <w:p>
      <w:pPr>
        <w:spacing w:after="0" w:line="246" w:lineRule="exact"/>
        <w:rPr>
          <w:rFonts w:ascii="Times New Roman" w:cs="Times New Roman" w:eastAsia="Times New Roman" w:hAnsi="Times New Roman"/>
          <w:sz w:val="22"/>
          <w:szCs w:val="22"/>
          <w:color w:val="auto"/>
        </w:rPr>
      </w:pPr>
    </w:p>
    <w:p>
      <w:pPr>
        <w:ind w:left="1860" w:right="480" w:hanging="656"/>
        <w:spacing w:after="0" w:line="271" w:lineRule="auto"/>
        <w:tabs>
          <w:tab w:leader="none" w:pos="185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Company securities to or from a trust (including a Grantor Retained Annuity Trust) to the extent that the transfer does not result in a change in beneficial ownership of such securities;</w:t>
      </w:r>
    </w:p>
    <w:p>
      <w:pPr>
        <w:spacing w:after="0" w:line="184" w:lineRule="exact"/>
        <w:rPr>
          <w:rFonts w:ascii="Times New Roman" w:cs="Times New Roman" w:eastAsia="Times New Roman" w:hAnsi="Times New Roman"/>
          <w:sz w:val="22"/>
          <w:szCs w:val="22"/>
          <w:color w:val="auto"/>
        </w:rPr>
      </w:pPr>
    </w:p>
    <w:p>
      <w:pPr>
        <w:ind w:left="1860" w:right="40" w:hanging="656"/>
        <w:spacing w:after="0" w:line="251" w:lineRule="auto"/>
        <w:tabs>
          <w:tab w:leader="none" w:pos="18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purchases, sales or gifts made pursuant to a binding contract, written plan or specific instruction which satisfies the applicable affirmative defense conditions of Rule 10b5-1(c), including as applicable the requirements applicable to an eligible sell-to-cover transaction as defined in Rule 10b5-1(c)(1)(ii)(D)(3) (a “10b5-1 trading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10b5-1 trading plan meets the requirements as set forth in the Company’s Guidelines for Rule 10b5-1 Trading Plans, a copy of which may be obtained from the Chief Legal Officer; and</w:t>
      </w:r>
    </w:p>
    <w:p>
      <w:pPr>
        <w:spacing w:after="0" w:line="208" w:lineRule="exact"/>
        <w:rPr>
          <w:rFonts w:ascii="Times New Roman" w:cs="Times New Roman" w:eastAsia="Times New Roman" w:hAnsi="Times New Roman"/>
          <w:sz w:val="22"/>
          <w:szCs w:val="22"/>
          <w:color w:val="auto"/>
        </w:rPr>
      </w:pPr>
    </w:p>
    <w:p>
      <w:pPr>
        <w:ind w:left="1860" w:right="120" w:hanging="656"/>
        <w:spacing w:after="0" w:line="253" w:lineRule="auto"/>
        <w:tabs>
          <w:tab w:leader="none" w:pos="185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purchases, sales or gifts made pursuant to a binding contract, written plan or specific instruction which satisfies the definition of a “non-Rule 10b5-1 trading arrangement” as such term is defined in Item 408(c) of Regulation S-K,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non-Rule 10b5-1 trading arrangement: (1) is in writing, (2) was submitted to the Company for review prior to its adoption and (3) in the case of Pre-Clearance Persons, was pre-cleared in accordance with Section 3.3.</w:t>
      </w:r>
    </w:p>
    <w:p>
      <w:pPr>
        <w:spacing w:after="0" w:line="20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Partnership Distributions</w:t>
      </w:r>
      <w:r>
        <w:rPr>
          <w:rFonts w:ascii="Times New Roman" w:cs="Times New Roman" w:eastAsia="Times New Roman" w:hAnsi="Times New Roman"/>
          <w:sz w:val="22"/>
          <w:szCs w:val="22"/>
          <w:color w:val="auto"/>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ectPr>
          <w:pgSz w:w="11900" w:h="16838" w:orient="portrait"/>
          <w:cols w:equalWidth="0" w:num="1">
            <w:col w:w="11100"/>
          </w:cols>
          <w:pgMar w:left="420" w:top="1422" w:right="379" w:bottom="1440" w:gutter="0" w:footer="0" w:header="0"/>
        </w:sectPr>
      </w:pPr>
    </w:p>
    <w:bookmarkStart w:id="110" w:name="page111"/>
    <w:bookmarkEnd w:id="110"/>
    <w:p>
      <w:pPr>
        <w:spacing w:after="0" w:line="225" w:lineRule="exact"/>
        <w:rPr>
          <w:sz w:val="20"/>
          <w:szCs w:val="20"/>
          <w:color w:val="auto"/>
        </w:rPr>
      </w:pPr>
    </w:p>
    <w:p>
      <w:pPr>
        <w:jc w:val="both"/>
        <w:ind w:left="3"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Underwritten Public Offering</w:t>
      </w:r>
      <w:r>
        <w:rPr>
          <w:rFonts w:ascii="Times New Roman" w:cs="Times New Roman" w:eastAsia="Times New Roman" w:hAnsi="Times New Roman"/>
          <w:sz w:val="22"/>
          <w:szCs w:val="22"/>
          <w:color w:val="auto"/>
        </w:rPr>
        <w:t>. Nothing in this policy is intended to limit the ability of any Covered Person to sell Company securities as a selling stockholder in an underwritten public offering pursuant to an effective registration statement in accordance with applicable securities law.</w:t>
      </w:r>
    </w:p>
    <w:p>
      <w:pPr>
        <w:spacing w:after="0" w:line="209" w:lineRule="exact"/>
        <w:rPr>
          <w:sz w:val="20"/>
          <w:szCs w:val="20"/>
          <w:color w:val="auto"/>
        </w:rPr>
      </w:pPr>
    </w:p>
    <w:p>
      <w:pPr>
        <w:ind w:left="643" w:hanging="641"/>
        <w:spacing w:after="0"/>
        <w:tabs>
          <w:tab w:leader="none" w:pos="6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REGULATION BTR</w:t>
      </w:r>
    </w:p>
    <w:p>
      <w:pPr>
        <w:spacing w:after="0" w:line="251" w:lineRule="exact"/>
        <w:rPr>
          <w:sz w:val="20"/>
          <w:szCs w:val="20"/>
          <w:color w:val="auto"/>
        </w:rPr>
      </w:pPr>
    </w:p>
    <w:p>
      <w:pPr>
        <w:ind w:left="3" w:right="580" w:firstLine="648"/>
        <w:spacing w:after="0" w:line="252"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no Director or executive officer shall, directly or indirectly sell, purchase or otherwise transfer during such pension blackout period any equity securities of the Company acquired in connection with the service of such person as a Director or officer of the Company, except as permitted by Regulation BTR.</w:t>
      </w:r>
    </w:p>
    <w:p>
      <w:pPr>
        <w:spacing w:after="0" w:line="216" w:lineRule="exact"/>
        <w:rPr>
          <w:sz w:val="20"/>
          <w:szCs w:val="20"/>
          <w:color w:val="auto"/>
        </w:rPr>
      </w:pPr>
    </w:p>
    <w:p>
      <w:pPr>
        <w:ind w:left="643" w:hanging="643"/>
        <w:spacing w:after="0"/>
        <w:tabs>
          <w:tab w:leader="none" w:pos="64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PENALTIES FOR VIOLATION</w:t>
      </w:r>
    </w:p>
    <w:p>
      <w:pPr>
        <w:spacing w:after="0" w:line="251" w:lineRule="exact"/>
        <w:rPr>
          <w:sz w:val="20"/>
          <w:szCs w:val="20"/>
          <w:color w:val="auto"/>
        </w:rPr>
      </w:pPr>
    </w:p>
    <w:p>
      <w:pPr>
        <w:ind w:left="3" w:right="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Penalties</w:t>
      </w:r>
      <w:r>
        <w:rPr>
          <w:rFonts w:ascii="Times New Roman" w:cs="Times New Roman" w:eastAsia="Times New Roman" w:hAnsi="Times New Roman"/>
          <w:sz w:val="22"/>
          <w:szCs w:val="22"/>
          <w:color w:val="auto"/>
        </w:rPr>
        <w:t>. Violation of any provision of this Policy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spacing w:after="0" w:line="206" w:lineRule="exact"/>
        <w:rPr>
          <w:sz w:val="20"/>
          <w:szCs w:val="20"/>
          <w:color w:val="auto"/>
        </w:rPr>
      </w:pPr>
    </w:p>
    <w:p>
      <w:pPr>
        <w:ind w:left="3" w:right="100" w:firstLine="648"/>
        <w:spacing w:after="0" w:line="25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xml:space="preserve">. Any Covered Person who knows or believes that someone has violated this Policy should report such information to the Chief Legal Officer, by email to the Compliance team at </w:t>
      </w:r>
      <w:r>
        <w:rPr>
          <w:rFonts w:ascii="Times New Roman" w:cs="Times New Roman" w:eastAsia="Times New Roman" w:hAnsi="Times New Roman"/>
          <w:sz w:val="22"/>
          <w:szCs w:val="22"/>
          <w:u w:val="single" w:color="auto"/>
          <w:color w:val="0000FF"/>
        </w:rPr>
        <w:t>ethics.compliance@analog.com</w:t>
      </w:r>
      <w:r>
        <w:rPr>
          <w:rFonts w:ascii="Times New Roman" w:cs="Times New Roman" w:eastAsia="Times New Roman" w:hAnsi="Times New Roman"/>
          <w:sz w:val="22"/>
          <w:szCs w:val="22"/>
          <w:color w:val="auto"/>
        </w:rPr>
        <w:t>, or to the Company’s anonymous hotline at analog.ethicspoint.com or 800-381-6302 (United States) or 4008811475 (China). Callers in other locations can find their direct dial information at analog.ethicspoint.com.</w:t>
      </w:r>
    </w:p>
    <w:p>
      <w:pPr>
        <w:spacing w:after="0" w:line="199" w:lineRule="exact"/>
        <w:rPr>
          <w:sz w:val="20"/>
          <w:szCs w:val="20"/>
          <w:color w:val="auto"/>
        </w:rPr>
      </w:pPr>
    </w:p>
    <w:p>
      <w:pPr>
        <w:ind w:left="643" w:hanging="643"/>
        <w:spacing w:after="0"/>
        <w:tabs>
          <w:tab w:leader="none" w:pos="64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ASSISTANCE AND EDUCATION</w:t>
      </w:r>
    </w:p>
    <w:p>
      <w:pPr>
        <w:spacing w:after="0" w:line="251" w:lineRule="exact"/>
        <w:rPr>
          <w:sz w:val="20"/>
          <w:szCs w:val="20"/>
          <w:color w:val="auto"/>
        </w:rPr>
      </w:pPr>
    </w:p>
    <w:p>
      <w:pPr>
        <w:jc w:val="both"/>
        <w:ind w:left="3" w:firstLine="648"/>
        <w:spacing w:after="0" w:line="26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Education</w:t>
      </w:r>
      <w:r>
        <w:rPr>
          <w:rFonts w:ascii="Times New Roman" w:cs="Times New Roman" w:eastAsia="Times New Roman" w:hAnsi="Times New Roman"/>
          <w:sz w:val="22"/>
          <w:szCs w:val="22"/>
          <w:color w:val="auto"/>
        </w:rPr>
        <w:t>. The Company shall take reasonable steps designed to ensure that all Directors and employees of the Company are educated about, and periodically reminded of, the federal securities law restrictions and Company policies regarding insider trading.</w:t>
      </w:r>
    </w:p>
    <w:p>
      <w:pPr>
        <w:spacing w:after="0" w:line="194" w:lineRule="exact"/>
        <w:rPr>
          <w:sz w:val="20"/>
          <w:szCs w:val="20"/>
          <w:color w:val="auto"/>
        </w:rPr>
      </w:pPr>
    </w:p>
    <w:p>
      <w:pPr>
        <w:ind w:left="3"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213" w:lineRule="exact"/>
        <w:rPr>
          <w:sz w:val="20"/>
          <w:szCs w:val="20"/>
          <w:color w:val="auto"/>
        </w:rPr>
      </w:pPr>
    </w:p>
    <w:p>
      <w:pPr>
        <w:ind w:left="3" w:right="1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None of the Company, the Chief Legal Officer, Chief Financial Officer, General Counsel, or the Company’s other employees will have any liability for any delay in reviewing, or refusal of, a request for pre-clearance submitted pursuant to Section 3.3(a) or a trading plan submitted pursuant to Section 5.1. Notwithstanding any pre-clearance of a transaction pursuant to Section 3.3(a) or review of a trading plan pursuant to</w:t>
      </w:r>
    </w:p>
    <w:p>
      <w:pPr>
        <w:sectPr>
          <w:pgSz w:w="11900" w:h="16838" w:orient="portrait"/>
          <w:cols w:equalWidth="0" w:num="1">
            <w:col w:w="11023"/>
          </w:cols>
          <w:pgMar w:left="417" w:top="1440" w:right="459" w:bottom="1440" w:gutter="0" w:footer="0" w:header="0"/>
        </w:sectPr>
      </w:pPr>
    </w:p>
    <w:bookmarkStart w:id="111" w:name="page112"/>
    <w:bookmarkEnd w:id="111"/>
    <w:p>
      <w:pPr>
        <w:jc w:val="both"/>
        <w:spacing w:after="0" w:line="257" w:lineRule="auto"/>
        <w:rPr>
          <w:sz w:val="20"/>
          <w:szCs w:val="20"/>
          <w:color w:val="auto"/>
        </w:rPr>
      </w:pPr>
      <w:r>
        <w:rPr>
          <w:rFonts w:ascii="Times New Roman" w:cs="Times New Roman" w:eastAsia="Times New Roman" w:hAnsi="Times New Roman"/>
          <w:sz w:val="22"/>
          <w:szCs w:val="22"/>
          <w:color w:val="auto"/>
        </w:rPr>
        <w:t>Section 5.1, none of the Company, the Chief Legal Officer, Chief Financial Officer, General Counsel or the Company’s other employees assumes any liability for the legality or consequences of such transaction or trading plan to the person engaging in or adopting such transaction or trading plan.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Revised on December 10, 2024.</w:t>
      </w:r>
    </w:p>
    <w:p>
      <w:pPr>
        <w:sectPr>
          <w:pgSz w:w="11900" w:h="16838" w:orient="portrait"/>
          <w:cols w:equalWidth="0" w:num="1">
            <w:col w:w="10840"/>
          </w:cols>
          <w:pgMar w:left="420" w:top="1422" w:right="6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62"/>
        </w:trPr>
        <w:tc>
          <w:tcPr>
            <w:tcW w:w="16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60" w:type="dxa"/>
            <w:vAlign w:val="bottom"/>
            <w:gridSpan w:val="2"/>
          </w:tcPr>
          <w:p>
            <w:pPr>
              <w:ind w:left="2180"/>
              <w:spacing w:after="0"/>
              <w:rPr>
                <w:sz w:val="20"/>
                <w:szCs w:val="20"/>
                <w:color w:val="auto"/>
              </w:rPr>
            </w:pPr>
            <w:r>
              <w:rPr>
                <w:rFonts w:ascii="Times New Roman" w:cs="Times New Roman" w:eastAsia="Times New Roman" w:hAnsi="Times New Roman"/>
                <w:sz w:val="20"/>
                <w:szCs w:val="20"/>
                <w:b w:val="1"/>
                <w:bCs w:val="1"/>
                <w:color w:val="auto"/>
                <w:w w:val="97"/>
              </w:rPr>
              <w:t>Exhibit 21</w:t>
            </w:r>
          </w:p>
        </w:tc>
      </w:tr>
      <w:tr>
        <w:trPr>
          <w:trHeight w:val="453"/>
        </w:trPr>
        <w:tc>
          <w:tcPr>
            <w:tcW w:w="1680" w:type="dxa"/>
            <w:vAlign w:val="bottom"/>
          </w:tcPr>
          <w:p>
            <w:pPr>
              <w:spacing w:after="0"/>
              <w:rPr>
                <w:sz w:val="24"/>
                <w:szCs w:val="24"/>
                <w:color w:val="auto"/>
              </w:rPr>
            </w:pPr>
          </w:p>
        </w:tc>
        <w:tc>
          <w:tcPr>
            <w:tcW w:w="9540" w:type="dxa"/>
            <w:vAlign w:val="bottom"/>
            <w:gridSpan w:val="6"/>
          </w:tcPr>
          <w:p>
            <w:pPr>
              <w:jc w:val="center"/>
              <w:ind w:right="1700"/>
              <w:spacing w:after="0"/>
              <w:rPr>
                <w:sz w:val="20"/>
                <w:szCs w:val="20"/>
                <w:color w:val="auto"/>
              </w:rPr>
            </w:pPr>
            <w:r>
              <w:rPr>
                <w:rFonts w:ascii="Times New Roman" w:cs="Times New Roman" w:eastAsia="Times New Roman" w:hAnsi="Times New Roman"/>
                <w:sz w:val="20"/>
                <w:szCs w:val="20"/>
                <w:b w:val="1"/>
                <w:bCs w:val="1"/>
                <w:color w:val="auto"/>
                <w:w w:val="98"/>
              </w:rPr>
              <w:t>SUBSIDIARIES OF ANALOG DEVICES, INC.</w:t>
            </w:r>
          </w:p>
        </w:tc>
      </w:tr>
      <w:tr>
        <w:trPr>
          <w:trHeight w:val="262"/>
        </w:trPr>
        <w:tc>
          <w:tcPr>
            <w:tcW w:w="16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720" w:type="dxa"/>
            <w:vAlign w:val="bottom"/>
            <w:gridSpan w:val="5"/>
          </w:tcPr>
          <w:p>
            <w:pPr>
              <w:jc w:val="center"/>
              <w:ind w:right="4520"/>
              <w:spacing w:after="0"/>
              <w:rPr>
                <w:sz w:val="20"/>
                <w:szCs w:val="20"/>
                <w:color w:val="auto"/>
              </w:rPr>
            </w:pPr>
            <w:r>
              <w:rPr>
                <w:rFonts w:ascii="Times New Roman" w:cs="Times New Roman" w:eastAsia="Times New Roman" w:hAnsi="Times New Roman"/>
                <w:sz w:val="20"/>
                <w:szCs w:val="20"/>
                <w:b w:val="1"/>
                <w:bCs w:val="1"/>
                <w:color w:val="auto"/>
                <w:w w:val="98"/>
              </w:rPr>
              <w:t>As of November 1, 2025</w:t>
            </w:r>
          </w:p>
        </w:tc>
      </w:tr>
      <w:tr>
        <w:trPr>
          <w:trHeight w:val="48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254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State or Other Jurisdiction of Incorporation or</w:t>
            </w:r>
          </w:p>
        </w:tc>
      </w:tr>
      <w:tr>
        <w:trPr>
          <w:trHeight w:val="169"/>
        </w:trPr>
        <w:tc>
          <w:tcPr>
            <w:tcW w:w="1680" w:type="dxa"/>
            <w:vAlign w:val="bottom"/>
            <w:tcBorders>
              <w:top w:val="single" w:sz="8" w:color="auto"/>
            </w:tcBorders>
          </w:tcPr>
          <w:p>
            <w:pPr>
              <w:spacing w:after="0"/>
              <w:rPr>
                <w:sz w:val="14"/>
                <w:szCs w:val="14"/>
                <w:color w:val="auto"/>
              </w:rPr>
            </w:pPr>
          </w:p>
        </w:tc>
        <w:tc>
          <w:tcPr>
            <w:tcW w:w="2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9"/>
                <w:szCs w:val="19"/>
                <w:b w:val="1"/>
                <w:bCs w:val="1"/>
                <w:color w:val="auto"/>
              </w:rPr>
              <w:t>Organization</w:t>
            </w:r>
          </w:p>
        </w:tc>
        <w:tc>
          <w:tcPr>
            <w:tcW w:w="220" w:type="dxa"/>
            <w:vAlign w:val="bottom"/>
          </w:tcPr>
          <w:p>
            <w:pPr>
              <w:spacing w:after="0"/>
              <w:rPr>
                <w:sz w:val="14"/>
                <w:szCs w:val="14"/>
                <w:color w:val="auto"/>
              </w:rPr>
            </w:pPr>
          </w:p>
        </w:tc>
      </w:tr>
      <w:tr>
        <w:trPr>
          <w:trHeight w:val="281"/>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Australia Pty. Ltd.</w:t>
            </w:r>
          </w:p>
        </w:tc>
        <w:tc>
          <w:tcPr>
            <w:tcW w:w="2540" w:type="dxa"/>
            <w:vAlign w:val="bottom"/>
          </w:tcPr>
          <w:p>
            <w:pPr>
              <w:spacing w:after="0"/>
              <w:rPr>
                <w:sz w:val="24"/>
                <w:szCs w:val="24"/>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Australia</w:t>
            </w:r>
          </w:p>
        </w:tc>
        <w:tc>
          <w:tcPr>
            <w:tcW w:w="3060" w:type="dxa"/>
            <w:vAlign w:val="bottom"/>
            <w:gridSpan w:val="2"/>
          </w:tcPr>
          <w:p>
            <w:pPr>
              <w:spacing w:after="0"/>
              <w:rPr>
                <w:sz w:val="24"/>
                <w:szCs w:val="24"/>
                <w:color w:val="auto"/>
              </w:rPr>
            </w:pP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Pty. Ltd.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Australia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GmbH</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Austria</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Products GmbH (Austria)</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Austria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GmbH</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Austria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Canada, Ltd.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Island Holdings Corporation</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Icron Technologies Corporation</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(China) Co. Ltd.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(China) Holdings Co., Ltd.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China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A/S</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Denmark</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Limited Egypt LLC</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Egypt</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Microelectronics</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Egypt</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Trinamic OÜ</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Estonia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(Finland) OY</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Finland</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S.A.S.</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France</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GmbH</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Acquisition GmbH</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Trinamic Motion Control GmbH &amp; Co. KG</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Trinamic Verwaltungsgesellschaft mbH</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Germany</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Products Asia Limited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Hong Kong</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India Integrated Circuit Design Private Limited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India</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Products India Sales Private Limited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India</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India Private Limited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India</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International Unlimited Company</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Atlantic Unlimited Company</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Limerick Unlimited Company</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Acuitas Silicon Limited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Products International Limited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Products International Sales Limited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Ireland</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(Israel) Ltd.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Israel</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(Israel), Ltd.</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Israel</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Srl</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Italy</w:t>
            </w: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KK</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Japan</w:t>
            </w:r>
          </w:p>
        </w:tc>
      </w:tr>
      <w:tr>
        <w:trPr>
          <w:trHeight w:val="258"/>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GK</w:t>
            </w:r>
          </w:p>
        </w:tc>
        <w:tc>
          <w:tcPr>
            <w:tcW w:w="2540" w:type="dxa"/>
            <w:vAlign w:val="bottom"/>
          </w:tcPr>
          <w:p>
            <w:pPr>
              <w:spacing w:after="0"/>
              <w:rPr>
                <w:sz w:val="22"/>
                <w:szCs w:val="22"/>
                <w:color w:val="auto"/>
              </w:rPr>
            </w:pPr>
          </w:p>
        </w:tc>
        <w:tc>
          <w:tcPr>
            <w:tcW w:w="4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Japan</w:t>
            </w:r>
          </w:p>
        </w:tc>
      </w:tr>
    </w:tbl>
    <w:p>
      <w:pPr>
        <w:sectPr>
          <w:pgSz w:w="11900" w:h="16838" w:orient="portrait"/>
          <w:cols w:equalWidth="0" w:num="1">
            <w:col w:w="11220"/>
          </w:cols>
          <w:pgMar w:left="340" w:top="1409"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 of Subsidiary</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State or Other Jurisdiction of Incorporation or</w:t>
            </w:r>
          </w:p>
        </w:tc>
      </w:tr>
      <w:tr>
        <w:trPr>
          <w:trHeight w:val="183"/>
        </w:trPr>
        <w:tc>
          <w:tcPr>
            <w:tcW w:w="1680" w:type="dxa"/>
            <w:vAlign w:val="bottom"/>
            <w:tcBorders>
              <w:top w:val="single" w:sz="8" w:color="auto"/>
            </w:tcBorders>
          </w:tcPr>
          <w:p>
            <w:pPr>
              <w:spacing w:after="0"/>
              <w:rPr>
                <w:sz w:val="15"/>
                <w:szCs w:val="15"/>
                <w:color w:val="auto"/>
              </w:rPr>
            </w:pPr>
          </w:p>
        </w:tc>
        <w:tc>
          <w:tcPr>
            <w:tcW w:w="5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auto"/>
            </w:tcBorders>
            <w:gridSpan w:val="2"/>
          </w:tcPr>
          <w:p>
            <w:pPr>
              <w:spacing w:after="0" w:line="183" w:lineRule="exact"/>
              <w:rPr>
                <w:sz w:val="20"/>
                <w:szCs w:val="20"/>
                <w:color w:val="auto"/>
              </w:rPr>
            </w:pPr>
            <w:r>
              <w:rPr>
                <w:rFonts w:ascii="Times New Roman" w:cs="Times New Roman" w:eastAsia="Times New Roman" w:hAnsi="Times New Roman"/>
                <w:sz w:val="20"/>
                <w:szCs w:val="20"/>
                <w:b w:val="1"/>
                <w:bCs w:val="1"/>
                <w:color w:val="auto"/>
              </w:rPr>
              <w:t>Organization</w:t>
            </w:r>
          </w:p>
        </w:tc>
        <w:tc>
          <w:tcPr>
            <w:tcW w:w="20" w:type="dxa"/>
            <w:vAlign w:val="bottom"/>
          </w:tcPr>
          <w:p>
            <w:pPr>
              <w:spacing w:after="0"/>
              <w:rPr>
                <w:sz w:val="15"/>
                <w:szCs w:val="15"/>
                <w:color w:val="auto"/>
              </w:rPr>
            </w:pPr>
          </w:p>
        </w:tc>
      </w:tr>
      <w:tr>
        <w:trPr>
          <w:trHeight w:val="268"/>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K.K.</w:t>
            </w: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Japan</w:t>
            </w:r>
          </w:p>
        </w:tc>
        <w:tc>
          <w:tcPr>
            <w:tcW w:w="2860" w:type="dxa"/>
            <w:vAlign w:val="bottom"/>
            <w:gridSpan w:val="2"/>
          </w:tcPr>
          <w:p>
            <w:pPr>
              <w:spacing w:after="0"/>
              <w:rPr>
                <w:sz w:val="23"/>
                <w:szCs w:val="23"/>
                <w:color w:val="auto"/>
              </w:rPr>
            </w:pP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Korea, Ltd.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Korea, Republic of</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Sdn Bhd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Malaysia</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Mexico, S. de R.L. de C.V.</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Mexico</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Nederland, B.V.</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Netherlands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Holdings B.V.</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Netherlands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Norway AS</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Norway</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Realty Holdings, Inc.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Philippines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Gen. Trias, Inc.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Philippines</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Phil. Holding Corporation</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Philippines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Phil. Land Corporation</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Philippines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(I.P.) Enterprise Solutions Corporation</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Philippines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SP. Z o.o.</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Poland</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Romania S.R.L.</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Romania</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PTE Ltd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Singapore</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Electric Motors Test, S.L.</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Spain</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S.L.</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Spain</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A.B.</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Sweden</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Taiwan Ltd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Taiwan</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(Thailand) Co., Ltd.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Thailand</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Turkey Mikroelektronik Tasarim Ve Gelistirme Limited Sirketi</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Turkey</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Integrated Products UK Limited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Calvatec Limited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Limited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Phyworks Limited</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Teridian Semiconductor Corp.</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Semiconductor Corporation (Taiwan)</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Hittite Microwave LLC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Hittite Microwave Holding LLC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Linear Technology Holding LLC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Maxim International Holding, Inc.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LLC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6"/>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Federal LLC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8"/>
        </w:trPr>
        <w:tc>
          <w:tcPr>
            <w:tcW w:w="7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Analog Devices International, LLC</w:t>
            </w:r>
          </w:p>
        </w:tc>
        <w:tc>
          <w:tcPr>
            <w:tcW w:w="39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United States</w:t>
            </w:r>
          </w:p>
        </w:tc>
      </w:tr>
    </w:tbl>
    <w:p>
      <w:pPr>
        <w:sectPr>
          <w:pgSz w:w="11900" w:h="16838" w:orient="portrait"/>
          <w:cols w:equalWidth="0" w:num="1">
            <w:col w:w="11000"/>
          </w:cols>
          <w:pgMar w:left="340" w:top="1435" w:right="5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20"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Statements on Form S-8 (Nos. 333-237083, 333-259081, and 333-265057) of Analog Devices, Inc., and</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on Form S-3 (No. 333-281670) of Analog Devices, Inc.;</w:t>
      </w:r>
    </w:p>
    <w:p>
      <w:pPr>
        <w:spacing w:after="0" w:line="220"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22"/>
          <w:szCs w:val="22"/>
          <w:color w:val="auto"/>
        </w:rPr>
        <w:t>of our reports dated November 25, 2025, with respect to the consolidated financial statements and schedule of Analog Devices, Inc. and the effectiveness of internal control over financial reporting of Analog Devices, Inc. included in this Annual Report (Form 10-K) of Analog Devices, Inc. for the year ended November 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25, 2025</w:t>
      </w:r>
    </w:p>
    <w:p>
      <w:pPr>
        <w:sectPr>
          <w:pgSz w:w="11900" w:h="16838" w:orient="portrait"/>
          <w:cols w:equalWidth="0" w:num="1">
            <w:col w:w="11240"/>
          </w:cols>
          <w:pgMar w:left="320" w:top="10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104" w:lineRule="exact"/>
        <w:rPr>
          <w:sz w:val="20"/>
          <w:szCs w:val="20"/>
          <w:color w:val="auto"/>
        </w:rPr>
      </w:pPr>
    </w:p>
    <w:p>
      <w:pPr>
        <w:ind w:left="520" w:hanging="188"/>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Analog Devices, Inc.;</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500" w:right="20" w:firstLine="318"/>
        <w:spacing w:after="0" w:line="266" w:lineRule="auto"/>
        <w:tabs>
          <w:tab w:leader="none" w:pos="100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500" w:right="220" w:firstLine="318"/>
        <w:spacing w:after="0" w:line="266" w:lineRule="auto"/>
        <w:tabs>
          <w:tab w:leader="none" w:pos="101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500" w:right="540" w:firstLine="318"/>
        <w:spacing w:after="0" w:line="282" w:lineRule="auto"/>
        <w:tabs>
          <w:tab w:leader="none" w:pos="100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0" w:firstLine="318"/>
        <w:spacing w:after="0" w:line="266" w:lineRule="auto"/>
        <w:tabs>
          <w:tab w:leader="none" w:pos="101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500" w:right="760" w:firstLine="318"/>
        <w:spacing w:after="0" w:line="282" w:lineRule="auto"/>
        <w:tabs>
          <w:tab w:leader="none" w:pos="100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500" w:right="440" w:firstLine="318"/>
        <w:spacing w:after="0" w:line="282" w:lineRule="auto"/>
        <w:tabs>
          <w:tab w:leader="none" w:pos="101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604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Vincent Roche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Directors</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November 25, 2025</w:t>
      </w:r>
    </w:p>
    <w:p>
      <w:pPr>
        <w:sectPr>
          <w:pgSz w:w="11900" w:h="16838" w:orient="portrait"/>
          <w:cols w:equalWidth="0" w:num="1">
            <w:col w:w="11240"/>
          </w:cols>
          <w:pgMar w:left="320" w:top="98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104" w:lineRule="exact"/>
        <w:rPr>
          <w:sz w:val="20"/>
          <w:szCs w:val="20"/>
          <w:color w:val="auto"/>
        </w:rPr>
      </w:pPr>
    </w:p>
    <w:p>
      <w:pPr>
        <w:ind w:left="520" w:hanging="188"/>
        <w:spacing w:after="0"/>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Analog Devices, Inc.;</w:t>
      </w:r>
    </w:p>
    <w:p>
      <w:pPr>
        <w:spacing w:after="0" w:line="90"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500" w:right="20" w:firstLine="318"/>
        <w:spacing w:after="0" w:line="266" w:lineRule="auto"/>
        <w:tabs>
          <w:tab w:leader="none" w:pos="100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500" w:right="220" w:firstLine="318"/>
        <w:spacing w:after="0" w:line="266" w:lineRule="auto"/>
        <w:tabs>
          <w:tab w:leader="none" w:pos="101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500" w:right="540" w:firstLine="318"/>
        <w:spacing w:after="0" w:line="282" w:lineRule="auto"/>
        <w:tabs>
          <w:tab w:leader="none" w:pos="100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0" w:firstLine="318"/>
        <w:spacing w:after="0" w:line="266" w:lineRule="auto"/>
        <w:tabs>
          <w:tab w:leader="none" w:pos="101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500" w:right="760" w:firstLine="318"/>
        <w:spacing w:after="0" w:line="282" w:lineRule="auto"/>
        <w:tabs>
          <w:tab w:leader="none" w:pos="100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500" w:right="440" w:firstLine="318"/>
        <w:spacing w:after="0" w:line="282" w:lineRule="auto"/>
        <w:tabs>
          <w:tab w:leader="none" w:pos="101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9604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November 25, 2025</w:t>
      </w:r>
    </w:p>
    <w:p>
      <w:pPr>
        <w:sectPr>
          <w:pgSz w:w="11900" w:h="16838" w:orient="portrait"/>
          <w:cols w:equalWidth="0" w:num="1">
            <w:col w:w="11240"/>
          </w:cols>
          <w:pgMar w:left="320" w:top="98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Analog Devices, Inc. (the “Company”) for the period ended November 1, 2025 as filed with the Securities and Exchange Commission on the date hereof (the “Report”), the undersigned, Vincent Roche, Chief Executive Officer of the Company, hereby certifies, pursuant to 18 U.S.C. Section 1350, that:</w:t>
      </w:r>
    </w:p>
    <w:p>
      <w:pPr>
        <w:spacing w:after="0" w:line="54" w:lineRule="exact"/>
        <w:rPr>
          <w:sz w:val="20"/>
          <w:szCs w:val="20"/>
          <w:color w:val="auto"/>
        </w:rPr>
      </w:pPr>
    </w:p>
    <w:p>
      <w:pPr>
        <w:ind w:left="920" w:hanging="264"/>
        <w:spacing w:after="0"/>
        <w:tabs>
          <w:tab w:leader="none" w:pos="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660" w:hanging="4"/>
        <w:spacing w:after="0" w:line="273" w:lineRule="auto"/>
        <w:tabs>
          <w:tab w:leader="none" w:pos="9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36436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Vincent Roche</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Dated: November 25, 2025</w:t>
      </w:r>
    </w:p>
    <w:p>
      <w:pPr>
        <w:sectPr>
          <w:pgSz w:w="11900" w:h="16838" w:orient="portrait"/>
          <w:cols w:equalWidth="0" w:num="1">
            <w:col w:w="11240"/>
          </w:cols>
          <w:pgMar w:left="320" w:top="98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Analog Devices, Inc. (the “Company”) for the period ended November 1, 2025 as filed with the Securities and Exchange Commission on the date hereof (the “Report”), the undersigned, Richard C. Puccio, Jr., Chief Financial Officer of the Company, hereby certifies, pursuant to 18 U.S.C. Section 1350, that:</w:t>
      </w:r>
    </w:p>
    <w:p>
      <w:pPr>
        <w:spacing w:after="0" w:line="54" w:lineRule="exact"/>
        <w:rPr>
          <w:sz w:val="20"/>
          <w:szCs w:val="20"/>
          <w:color w:val="auto"/>
        </w:rPr>
      </w:pPr>
    </w:p>
    <w:p>
      <w:pPr>
        <w:ind w:left="920" w:hanging="264"/>
        <w:spacing w:after="0"/>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660" w:hanging="4"/>
        <w:spacing w:after="0" w:line="271" w:lineRule="auto"/>
        <w:tabs>
          <w:tab w:leader="none" w:pos="9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436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Dated: November 25, 2025</w:t>
      </w:r>
    </w:p>
    <w:p>
      <w:pPr>
        <w:sectPr>
          <w:pgSz w:w="11900" w:h="16838" w:orient="portrait"/>
          <w:cols w:equalWidth="0" w:num="1">
            <w:col w:w="11240"/>
          </w:cols>
          <w:pgMar w:left="320" w:top="98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ANALOG DEVICES,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Compensation Recovery Policy</w:t>
      </w:r>
    </w:p>
    <w:p>
      <w:pPr>
        <w:spacing w:after="0" w:line="22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21"/>
          <w:szCs w:val="21"/>
          <w:color w:val="auto"/>
        </w:rPr>
        <w:t>This Compensation Recovery Policy (this “Policy”) is adopted by Analog Devices, Inc. (the “Company”) in accordance with Listing Rule 5608 (“Rule 5608”) of the Nasdaq Stock Market LLC (“Nasdaq”), which implements Rule 10D-1 under the Securities Exchange Act of 1934, as amended (the “Exchange Act”) (as promulgated pursuant to Section 954 of the Dodd-Frank Wall Street Reform and Consumer Protection Act of 2010). This Policy is effective as of October 2, 2023 (the “Effective Date”).</w:t>
      </w:r>
    </w:p>
    <w:p>
      <w:pPr>
        <w:spacing w:after="0" w:line="130"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79" w:lineRule="exact"/>
        <w:rPr>
          <w:rFonts w:ascii="Times New Roman" w:cs="Times New Roman" w:eastAsia="Times New Roman" w:hAnsi="Times New Roman"/>
          <w:sz w:val="22"/>
          <w:szCs w:val="22"/>
          <w:b w:val="1"/>
          <w:bCs w:val="1"/>
          <w:color w:val="auto"/>
        </w:rPr>
      </w:pPr>
    </w:p>
    <w:p>
      <w:pPr>
        <w:ind w:right="100" w:firstLine="656"/>
        <w:spacing w:after="0" w:line="218" w:lineRule="auto"/>
        <w:tabs>
          <w:tab w:leader="none" w:pos="1293"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w:t>
      </w:r>
    </w:p>
    <w:p>
      <w:pPr>
        <w:spacing w:after="0" w:line="4" w:lineRule="exact"/>
        <w:rPr>
          <w:rFonts w:ascii="Times New Roman" w:cs="Times New Roman" w:eastAsia="Times New Roman" w:hAnsi="Times New Roman"/>
          <w:sz w:val="21"/>
          <w:szCs w:val="21"/>
          <w:color w:val="auto"/>
        </w:rPr>
      </w:pPr>
    </w:p>
    <w:p>
      <w:pPr>
        <w:ind w:right="34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3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“Committee” </w:t>
      </w:r>
      <w:r>
        <w:rPr>
          <w:rFonts w:ascii="Times New Roman" w:cs="Times New Roman" w:eastAsia="Times New Roman" w:hAnsi="Times New Roman"/>
          <w:sz w:val="22"/>
          <w:szCs w:val="22"/>
          <w:color w:val="auto"/>
        </w:rPr>
        <w:t>means the Compensation and Talent Committee of the Company’s Board of Directors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w:t>
      </w:r>
    </w:p>
    <w:p>
      <w:pPr>
        <w:spacing w:after="0" w:line="151" w:lineRule="exact"/>
        <w:rPr>
          <w:rFonts w:ascii="Times New Roman" w:cs="Times New Roman" w:eastAsia="Times New Roman" w:hAnsi="Times New Roman"/>
          <w:sz w:val="22"/>
          <w:szCs w:val="22"/>
          <w:color w:val="auto"/>
        </w:rPr>
      </w:pPr>
    </w:p>
    <w:p>
      <w:pPr>
        <w:ind w:right="40" w:firstLine="656"/>
        <w:spacing w:after="0" w:line="238" w:lineRule="auto"/>
        <w:tabs>
          <w:tab w:leader="none" w:pos="129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at any time during the 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applicable Incentive-Based Compensation.</w:t>
      </w:r>
    </w:p>
    <w:p>
      <w:pPr>
        <w:spacing w:after="0" w:line="146" w:lineRule="exact"/>
        <w:rPr>
          <w:rFonts w:ascii="Times New Roman" w:cs="Times New Roman" w:eastAsia="Times New Roman" w:hAnsi="Times New Roman"/>
          <w:sz w:val="22"/>
          <w:szCs w:val="22"/>
          <w:color w:val="auto"/>
        </w:rPr>
      </w:pPr>
    </w:p>
    <w:p>
      <w:pPr>
        <w:ind w:right="20" w:firstLine="656"/>
        <w:spacing w:after="0" w:line="212" w:lineRule="auto"/>
        <w:tabs>
          <w:tab w:leader="none" w:pos="129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“Erroneously Awarded Compensation” </w:t>
      </w:r>
      <w:r>
        <w:rPr>
          <w:rFonts w:ascii="Times New Roman" w:cs="Times New Roman" w:eastAsia="Times New Roman" w:hAnsi="Times New Roman"/>
          <w:sz w:val="22"/>
          <w:szCs w:val="22"/>
          <w:color w:val="auto"/>
        </w:rPr>
        <w:t>means the amount of Incentive-Based Compensation that was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 The Company will maintain documentation of the determination of that reasonable estimate and provide such documentation to Nasdaq.</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the Company’s officers as defined in Rule 16a-1(f) under the Exchange Act.</w:t>
      </w:r>
    </w:p>
    <w:p>
      <w:pPr>
        <w:spacing w:after="0" w:line="179" w:lineRule="exact"/>
        <w:rPr>
          <w:rFonts w:ascii="Times New Roman" w:cs="Times New Roman" w:eastAsia="Times New Roman" w:hAnsi="Times New Roman"/>
          <w:sz w:val="22"/>
          <w:szCs w:val="22"/>
          <w:color w:val="auto"/>
        </w:rPr>
      </w:pPr>
    </w:p>
    <w:p>
      <w:pPr>
        <w:jc w:val="both"/>
        <w:ind w:right="140" w:firstLine="656"/>
        <w:spacing w:after="0" w:line="227" w:lineRule="auto"/>
        <w:tabs>
          <w:tab w:leader="none" w:pos="129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Reporting Measures” </w:t>
      </w:r>
      <w:r>
        <w:rPr>
          <w:rFonts w:ascii="Times New Roman" w:cs="Times New Roman" w:eastAsia="Times New Roman" w:hAnsi="Times New Roman"/>
          <w:sz w:val="22"/>
          <w:szCs w:val="22"/>
          <w:color w:val="auto"/>
        </w:rPr>
        <w:t>means (A) measures that are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measures that are derived wholly or in part from such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 w:right="339" w:bottom="1440" w:gutter="0" w:footer="0" w:header="0"/>
        </w:sectPr>
      </w:pPr>
    </w:p>
    <w:bookmarkStart w:id="120" w:name="page121"/>
    <w:bookmarkEnd w:id="12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(whether or not such measures are presented within the Company’s financial statements or included in a filing made with the U.S.</w:t>
      </w:r>
    </w:p>
    <w:p>
      <w:pPr>
        <w:spacing w:after="0"/>
        <w:rPr>
          <w:sz w:val="20"/>
          <w:szCs w:val="20"/>
          <w:color w:val="auto"/>
        </w:rPr>
      </w:pPr>
      <w:r>
        <w:rPr>
          <w:rFonts w:ascii="Times New Roman" w:cs="Times New Roman" w:eastAsia="Times New Roman" w:hAnsi="Times New Roman"/>
          <w:sz w:val="22"/>
          <w:szCs w:val="22"/>
          <w:color w:val="auto"/>
        </w:rPr>
        <w:t>Securities and Exchange Commission), (B) stock price and (C) total shareholder return.</w:t>
      </w:r>
    </w:p>
    <w:p>
      <w:pPr>
        <w:spacing w:after="0" w:line="151" w:lineRule="exact"/>
        <w:rPr>
          <w:sz w:val="20"/>
          <w:szCs w:val="20"/>
          <w:color w:val="auto"/>
        </w:rPr>
      </w:pPr>
    </w:p>
    <w:p>
      <w:pPr>
        <w:ind w:right="100" w:firstLine="656"/>
        <w:spacing w:after="0" w:line="238" w:lineRule="auto"/>
        <w:tabs>
          <w:tab w:leader="none" w:pos="1291"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upon the attainment of a Financial Reporting Measure.</w:t>
      </w:r>
    </w:p>
    <w:p>
      <w:pPr>
        <w:spacing w:after="0" w:line="146" w:lineRule="exact"/>
        <w:rPr>
          <w:rFonts w:ascii="Times New Roman" w:cs="Times New Roman" w:eastAsia="Times New Roman" w:hAnsi="Times New Roman"/>
          <w:sz w:val="22"/>
          <w:szCs w:val="22"/>
          <w:color w:val="auto"/>
        </w:rPr>
      </w:pPr>
    </w:p>
    <w:p>
      <w:pPr>
        <w:ind w:right="40" w:firstLine="656"/>
        <w:spacing w:after="0" w:line="221" w:lineRule="auto"/>
        <w:tabs>
          <w:tab w:leader="none" w:pos="1291"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w:t>
      </w:r>
    </w:p>
    <w:p>
      <w:pPr>
        <w:spacing w:after="0" w:line="148" w:lineRule="exact"/>
        <w:rPr>
          <w:rFonts w:ascii="Times New Roman" w:cs="Times New Roman" w:eastAsia="Times New Roman" w:hAnsi="Times New Roman"/>
          <w:sz w:val="22"/>
          <w:szCs w:val="22"/>
          <w:color w:val="auto"/>
        </w:rPr>
      </w:pPr>
    </w:p>
    <w:p>
      <w:pPr>
        <w:ind w:right="60" w:firstLine="656"/>
        <w:spacing w:after="0" w:line="216" w:lineRule="auto"/>
        <w:tabs>
          <w:tab w:leader="none" w:pos="128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(A) the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4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Erroneously Awarded Compensation</w:t>
      </w:r>
    </w:p>
    <w:p>
      <w:pPr>
        <w:spacing w:after="0" w:line="183" w:lineRule="exact"/>
        <w:rPr>
          <w:rFonts w:ascii="Times New Roman" w:cs="Times New Roman" w:eastAsia="Times New Roman" w:hAnsi="Times New Roman"/>
          <w:sz w:val="22"/>
          <w:szCs w:val="22"/>
          <w:b w:val="1"/>
          <w:bCs w:val="1"/>
          <w:color w:val="auto"/>
        </w:rPr>
      </w:pPr>
    </w:p>
    <w:p>
      <w:pPr>
        <w:ind w:right="140" w:firstLine="656"/>
        <w:spacing w:after="0" w:line="220" w:lineRule="auto"/>
        <w:tabs>
          <w:tab w:leader="none" w:pos="129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Prior Policy</w:t>
      </w:r>
      <w:r>
        <w:rPr>
          <w:rFonts w:ascii="Times New Roman" w:cs="Times New Roman" w:eastAsia="Times New Roman" w:hAnsi="Times New Roman"/>
          <w:sz w:val="22"/>
          <w:szCs w:val="22"/>
          <w:color w:val="auto"/>
        </w:rPr>
        <w:t>. If the Company is required to prepare an Accounting Restatement and the provisions of Section 2(b) of this Policy are inapplicable, the Executive Compensation Clawback Policy previously adopted by the Board effective December 8, 2020 (the “Prior Policy”) will apply in accordance with its terms. The Prior Policy will not apply when Section 2(b) of this Policy is applicable.</w:t>
      </w:r>
    </w:p>
    <w:p>
      <w:pPr>
        <w:spacing w:after="0" w:line="152" w:lineRule="exact"/>
        <w:rPr>
          <w:rFonts w:ascii="Times New Roman" w:cs="Times New Roman" w:eastAsia="Times New Roman" w:hAnsi="Times New Roman"/>
          <w:sz w:val="22"/>
          <w:szCs w:val="22"/>
          <w:color w:val="auto"/>
        </w:rPr>
      </w:pPr>
    </w:p>
    <w:p>
      <w:pPr>
        <w:ind w:right="40" w:firstLine="656"/>
        <w:spacing w:after="0" w:line="220" w:lineRule="auto"/>
        <w:tabs>
          <w:tab w:leader="none" w:pos="129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this Policy</w:t>
      </w:r>
      <w:r>
        <w:rPr>
          <w:rFonts w:ascii="Times New Roman" w:cs="Times New Roman" w:eastAsia="Times New Roman" w:hAnsi="Times New Roman"/>
          <w:sz w:val="22"/>
          <w:szCs w:val="22"/>
          <w:color w:val="auto"/>
        </w:rPr>
        <w:t>. Subject to the terms of this Policy and the requirements of Rule 5608, if, on or after the Effective Date, the Company is required to prepare an Accounting Restatement, the Company will recover, reasonably promptly from each Covered Person, any Erroneously Awarded Compensation that was Received by such Covered Person during the Recovery Period pursuant to Incentive-Based Compensation that is subject to this Policy.</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 and Administration</w:t>
      </w:r>
    </w:p>
    <w:p>
      <w:pPr>
        <w:spacing w:after="0" w:line="183" w:lineRule="exact"/>
        <w:rPr>
          <w:rFonts w:ascii="Times New Roman" w:cs="Times New Roman" w:eastAsia="Times New Roman" w:hAnsi="Times New Roman"/>
          <w:sz w:val="22"/>
          <w:szCs w:val="22"/>
          <w:b w:val="1"/>
          <w:bCs w:val="1"/>
          <w:color w:val="auto"/>
        </w:rPr>
      </w:pPr>
    </w:p>
    <w:p>
      <w:pPr>
        <w:ind w:right="140" w:firstLine="656"/>
        <w:spacing w:after="0" w:line="225" w:lineRule="auto"/>
        <w:tabs>
          <w:tab w:leader="none" w:pos="129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the Committee</w:t>
      </w:r>
      <w:r>
        <w:rPr>
          <w:rFonts w:ascii="Times New Roman" w:cs="Times New Roman" w:eastAsia="Times New Roman" w:hAnsi="Times New Roman"/>
          <w:sz w:val="22"/>
          <w:szCs w:val="22"/>
          <w:color w:val="auto"/>
        </w:rPr>
        <w:t>. This Policy will be interpreted by the Committee in a manner that is consistent with Rule 5608 and any other applicable law and will otherwise be interpreted in the business judgment of the Committee. All decisions and interpretations of the Committee that are consistent with Rule 5608 will be final and binding.</w:t>
      </w:r>
    </w:p>
    <w:p>
      <w:pPr>
        <w:spacing w:after="0" w:line="152" w:lineRule="exact"/>
        <w:rPr>
          <w:rFonts w:ascii="Times New Roman" w:cs="Times New Roman" w:eastAsia="Times New Roman" w:hAnsi="Times New Roman"/>
          <w:sz w:val="22"/>
          <w:szCs w:val="22"/>
          <w:color w:val="auto"/>
        </w:rPr>
      </w:pPr>
    </w:p>
    <w:p>
      <w:pPr>
        <w:ind w:right="240" w:firstLine="656"/>
        <w:spacing w:after="0" w:line="225" w:lineRule="auto"/>
        <w:tabs>
          <w:tab w:leader="none" w:pos="1291"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Not Subject to this Policy</w:t>
      </w:r>
      <w:r>
        <w:rPr>
          <w:rFonts w:ascii="Times New Roman" w:cs="Times New Roman" w:eastAsia="Times New Roman" w:hAnsi="Times New Roman"/>
          <w:sz w:val="22"/>
          <w:szCs w:val="22"/>
          <w:color w:val="auto"/>
        </w:rPr>
        <w:t>. This Policy does not apply to Incentive-Based Compensation that was Received before the Effective Date. With respect to any Covered Person, this Policy does not apply to Incentive-Based Compensation that was Received by such Covered Person before beginning service as an Executive Officer.</w:t>
      </w:r>
    </w:p>
    <w:p>
      <w:pPr>
        <w:spacing w:after="0" w:line="152" w:lineRule="exact"/>
        <w:rPr>
          <w:rFonts w:ascii="Times New Roman" w:cs="Times New Roman" w:eastAsia="Times New Roman" w:hAnsi="Times New Roman"/>
          <w:sz w:val="22"/>
          <w:szCs w:val="22"/>
          <w:color w:val="auto"/>
        </w:rPr>
      </w:pPr>
    </w:p>
    <w:p>
      <w:pPr>
        <w:jc w:val="both"/>
        <w:ind w:right="140" w:firstLine="656"/>
        <w:spacing w:after="0" w:line="225" w:lineRule="auto"/>
        <w:tabs>
          <w:tab w:leader="none" w:pos="129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Means of Recovery</w:t>
      </w:r>
      <w:r>
        <w:rPr>
          <w:rFonts w:ascii="Times New Roman" w:cs="Times New Roman" w:eastAsia="Times New Roman" w:hAnsi="Times New Roman"/>
          <w:sz w:val="22"/>
          <w:szCs w:val="22"/>
          <w:color w:val="auto"/>
        </w:rPr>
        <w:t>. Subject to the requirement that recovery be made reasonably promptly, the Committee will determine the appropriate means of recovery, which may vary between Covered Persons or based on the nature of the applicable Incentive-Based Compensation, and which may involve, without limitation, establishing a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71"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22"/>
          <w:szCs w:val="22"/>
          <w:color w:val="auto"/>
        </w:rPr>
        <w:t>repayment plan or setting off against current or future compensation otherwise payable to the Covered Person. Recovery of Erroneously Awarded Compensation will be made without regard to income taxes paid by the Covered Person or by the Company on the Covered Person’s behalf in connection with such Erroneously Awarded Compensation. Notwithstanding the foregoing, except as set forth in Section 3(d) below, in no event may the Company accept an amount that is less than the amount of Erroneously Awarded Compensation in satisfaction of a Covered Person’s obligations hereunder.</w:t>
      </w:r>
    </w:p>
    <w:p>
      <w:pPr>
        <w:spacing w:after="0" w:line="152" w:lineRule="exact"/>
        <w:rPr>
          <w:sz w:val="20"/>
          <w:szCs w:val="20"/>
          <w:color w:val="auto"/>
        </w:rPr>
      </w:pPr>
    </w:p>
    <w:p>
      <w:pPr>
        <w:ind w:right="40" w:firstLine="656"/>
        <w:spacing w:after="0" w:line="213"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That Recovery is Impracticable</w:t>
      </w:r>
      <w:r>
        <w:rPr>
          <w:rFonts w:ascii="Times New Roman" w:cs="Times New Roman" w:eastAsia="Times New Roman" w:hAnsi="Times New Roman"/>
          <w:sz w:val="22"/>
          <w:szCs w:val="22"/>
          <w:color w:val="auto"/>
        </w:rPr>
        <w:t>. The Company is not required to recover Erroneously Awarded Compensation if a determination is made by the Committee that recovery would be impracticable because either (A) after the Company has made and documented a reasonable attempt to recover such Erroneously Awarded Compensation, the Committee determines that the direct expense paid to a third party to assist in enforcing this Policy would exceed the amount to be recovered or (B) the Committee determines that recovery of such Erroneously Awarded Compensation would likely cause an otherwise tax-qualified retirement plan, under which benefits are broadly available to employees of the registrant, to fail to meet the requirements of Section 401(a)(13) or 411(a) of the Internal Revenue Code and regulations thereunder.</w:t>
      </w:r>
    </w:p>
    <w:p>
      <w:pPr>
        <w:spacing w:after="0" w:line="156" w:lineRule="exact"/>
        <w:rPr>
          <w:rFonts w:ascii="Times New Roman" w:cs="Times New Roman" w:eastAsia="Times New Roman" w:hAnsi="Times New Roman"/>
          <w:sz w:val="22"/>
          <w:szCs w:val="22"/>
          <w:color w:val="auto"/>
        </w:rPr>
      </w:pPr>
    </w:p>
    <w:p>
      <w:pPr>
        <w:jc w:val="both"/>
        <w:ind w:right="80" w:firstLine="656"/>
        <w:spacing w:after="0" w:line="220" w:lineRule="auto"/>
        <w:tabs>
          <w:tab w:leader="none" w:pos="12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or Company-Paid Insurance</w:t>
      </w:r>
      <w:r>
        <w:rPr>
          <w:rFonts w:ascii="Times New Roman" w:cs="Times New Roman" w:eastAsia="Times New Roman" w:hAnsi="Times New Roman"/>
          <w:sz w:val="22"/>
          <w:szCs w:val="22"/>
          <w:color w:val="auto"/>
        </w:rPr>
        <w:t>. The Company will not insure or indemnify any Covered Person against the loss of Erroneously Awarded Compensation that is repaid, returned or recovered pursuant to this Policy or any claims relating to the Company’s enforcement of its rights under this Policy. Further, the Company will not pay or reimburse any Covered Person for the purchase of a third-party insurance policy to fund potential recovery obligations.</w:t>
      </w:r>
    </w:p>
    <w:p>
      <w:pPr>
        <w:spacing w:after="0" w:line="152" w:lineRule="exact"/>
        <w:rPr>
          <w:rFonts w:ascii="Times New Roman" w:cs="Times New Roman" w:eastAsia="Times New Roman" w:hAnsi="Times New Roman"/>
          <w:sz w:val="22"/>
          <w:szCs w:val="22"/>
          <w:color w:val="auto"/>
        </w:rPr>
      </w:pPr>
    </w:p>
    <w:p>
      <w:pPr>
        <w:ind w:right="20" w:firstLine="656"/>
        <w:spacing w:after="0" w:line="220"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Interaction with Other Clawback Provisions</w:t>
      </w:r>
      <w:r>
        <w:rPr>
          <w:rFonts w:ascii="Times New Roman" w:cs="Times New Roman" w:eastAsia="Times New Roman" w:hAnsi="Times New Roman"/>
          <w:sz w:val="22"/>
          <w:szCs w:val="22"/>
          <w:color w:val="auto"/>
        </w:rPr>
        <w:t>. The Company will be deemed to have recovered Erroneously Awarded Compensation in accordance with this Policy to the extent the Company actually receives such amounts pursuant to any other Company policy, program or agreement (including the Prior Policy), pursuant to Section 304 of the Sarbanes-Oxley Act or otherwise.</w:t>
      </w:r>
    </w:p>
    <w:p>
      <w:pPr>
        <w:spacing w:after="0" w:line="152" w:lineRule="exact"/>
        <w:rPr>
          <w:rFonts w:ascii="Times New Roman" w:cs="Times New Roman" w:eastAsia="Times New Roman" w:hAnsi="Times New Roman"/>
          <w:sz w:val="22"/>
          <w:szCs w:val="22"/>
          <w:color w:val="auto"/>
        </w:rPr>
      </w:pPr>
    </w:p>
    <w:p>
      <w:pPr>
        <w:ind w:firstLine="656"/>
        <w:spacing w:after="0" w:line="220"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Other Remedies</w:t>
      </w:r>
      <w:r>
        <w:rPr>
          <w:rFonts w:ascii="Times New Roman" w:cs="Times New Roman" w:eastAsia="Times New Roman" w:hAnsi="Times New Roman"/>
          <w:sz w:val="22"/>
          <w:szCs w:val="22"/>
          <w:color w:val="auto"/>
        </w:rPr>
        <w:t>. Nothing in this Policy will be deemed to limit the Company’s right to terminate employment of any Covered Person, to seek recovery of other compensation paid to a Covered Person, or to pursue other rights or remedies available to the Company under applicable law and pursuant to the terms of any policy the Company or any provision in any employment agreement, equity award agreement, compensation plan agreement or other arrangement.</w:t>
      </w:r>
    </w:p>
    <w:p>
      <w:pPr>
        <w:spacing w:after="0" w:line="152" w:lineRule="exact"/>
        <w:rPr>
          <w:rFonts w:ascii="Times New Roman" w:cs="Times New Roman" w:eastAsia="Times New Roman" w:hAnsi="Times New Roman"/>
          <w:sz w:val="22"/>
          <w:szCs w:val="22"/>
          <w:color w:val="auto"/>
        </w:rPr>
      </w:pPr>
    </w:p>
    <w:p>
      <w:pPr>
        <w:ind w:right="100" w:firstLine="656"/>
        <w:spacing w:after="0" w:line="217"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Committee may amend this Policy from time to time in its discretion and shall amend this Policy as it deems necessary. Notwithstanding anything in this Section 3(h)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Compensation and Talent Committee of the Board of Directors on December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1)"/>
      <w:numFmt w:val="decimal"/>
      <w:start w:val="1"/>
    </w:lvl>
  </w:abstractNum>
  <w:abstractNum w:abstractNumId="16">
    <w:nsid w:val="39386575"/>
    <w:multiLevelType w:val="hybridMultilevel"/>
    <w:lvl w:ilvl="0">
      <w:lvlJc w:val="left"/>
      <w:lvlText w:val="(%1)"/>
      <w:numFmt w:val="decimal"/>
      <w:start w:val="3"/>
    </w:lvl>
  </w:abstractNum>
  <w:abstractNum w:abstractNumId="17">
    <w:nsid w:val="1CF10FD8"/>
    <w:multiLevelType w:val="hybridMultilevel"/>
    <w:lvl w:ilvl="0">
      <w:lvlJc w:val="left"/>
      <w:lvlText w:val="\endash "/>
      <w:numFmt w:val="bullet"/>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1."/>
      <w:numFmt w:val="decimal"/>
      <w:start w:val="2"/>
    </w:lvl>
    <w:lvl w:ilvl="1">
      <w:lvlJc w:val="left"/>
      <w:lvlText w:val="%2"/>
      <w:numFmt w:val="lowerLetter"/>
      <w:start w:val="1"/>
    </w:lvl>
  </w:abstractNum>
  <w:abstractNum w:abstractNumId="20">
    <w:nsid w:val="47398C89"/>
    <w:multiLevelType w:val="hybridMultilevel"/>
    <w:lvl w:ilvl="0">
      <w:lvlJc w:val="left"/>
      <w:lvlText w:val="%1."/>
      <w:numFmt w:val="lowerLetter"/>
      <w:start w:val="2"/>
    </w:lvl>
  </w:abstractNum>
  <w:abstractNum w:abstractNumId="21">
    <w:nsid w:val="354FE9F9"/>
    <w:multiLevelType w:val="hybridMultilevel"/>
    <w:lvl w:ilvl="0">
      <w:lvlJc w:val="left"/>
      <w:lvlText w:val="%1."/>
      <w:numFmt w:val="lowerLetter"/>
      <w:start w:val="3"/>
    </w:lvl>
  </w:abstractNum>
  <w:abstractNum w:abstractNumId="22">
    <w:nsid w:val="15B5AF5C"/>
    <w:multiLevelType w:val="hybridMultilevel"/>
    <w:lvl w:ilvl="0">
      <w:lvlJc w:val="left"/>
      <w:lvlText w:val="%1."/>
      <w:numFmt w:val="lowerLetter"/>
      <w:start w:val="4"/>
    </w:lvl>
  </w:abstractNum>
  <w:abstractNum w:abstractNumId="23">
    <w:nsid w:val="741226BB"/>
    <w:multiLevelType w:val="hybridMultilevel"/>
    <w:lvl w:ilvl="0">
      <w:lvlJc w:val="left"/>
      <w:lvlText w:val="%1."/>
      <w:numFmt w:val="lowerLetter"/>
      <w:start w:val="5"/>
    </w:lvl>
  </w:abstractNum>
  <w:abstractNum w:abstractNumId="24">
    <w:nsid w:val="D34B6A8"/>
    <w:multiLevelType w:val="hybridMultilevel"/>
    <w:lvl w:ilvl="0">
      <w:lvlJc w:val="left"/>
      <w:lvlText w:val="%1."/>
      <w:numFmt w:val="lowerLetter"/>
      <w:start w:val="6"/>
    </w:lvl>
  </w:abstractNum>
  <w:abstractNum w:abstractNumId="25">
    <w:nsid w:val="10233C99"/>
    <w:multiLevelType w:val="hybridMultilevel"/>
    <w:lvl w:ilvl="0">
      <w:lvlJc w:val="left"/>
      <w:lvlText w:val="\endash "/>
      <w:numFmt w:val="bullet"/>
      <w:start w:val="1"/>
    </w:lvl>
  </w:abstractNum>
  <w:abstractNum w:abstractNumId="26">
    <w:nsid w:val="3F6AB60F"/>
    <w:multiLevelType w:val="hybridMultilevel"/>
    <w:lvl w:ilvl="0">
      <w:lvlJc w:val="left"/>
      <w:lvlText w:val="%1."/>
      <w:numFmt w:val="lowerLetter"/>
      <w:start w:val="7"/>
    </w:lvl>
  </w:abstractNum>
  <w:abstractNum w:abstractNumId="27">
    <w:nsid w:val="61574095"/>
    <w:multiLevelType w:val="hybridMultilevel"/>
    <w:lvl w:ilvl="0">
      <w:lvlJc w:val="left"/>
      <w:lvlText w:val="%1."/>
      <w:numFmt w:val="lowerRoman"/>
      <w:start w:val="1"/>
    </w:lvl>
  </w:abstractNum>
  <w:abstractNum w:abstractNumId="28">
    <w:nsid w:val="7E0C57B1"/>
    <w:multiLevelType w:val="hybridMultilevel"/>
    <w:lvl w:ilvl="0">
      <w:lvlJc w:val="left"/>
      <w:lvlText w:val="%1."/>
      <w:numFmt w:val="lowerLetter"/>
      <w:start w:val="10"/>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lowerLetter"/>
      <w:start w:val="11"/>
    </w:lvl>
  </w:abstractNum>
  <w:abstractNum w:abstractNumId="32">
    <w:nsid w:val="5FF87E05"/>
    <w:multiLevelType w:val="hybridMultilevel"/>
    <w:lvl w:ilvl="0">
      <w:lvlJc w:val="left"/>
      <w:lvlText w:val="%1."/>
      <w:numFmt w:val="lowerLetter"/>
      <w:start w:val="12"/>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lowerLetter"/>
      <w:start w:val="15"/>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lowerLetter"/>
      <w:start w:val="17"/>
    </w:lvl>
  </w:abstractNum>
  <w:abstractNum w:abstractNumId="37">
    <w:nsid w:val="1F48EAA1"/>
    <w:multiLevelType w:val="hybridMultilevel"/>
    <w:lvl w:ilvl="0">
      <w:lvlJc w:val="left"/>
      <w:lvlText w:val="%1."/>
      <w:numFmt w:val="lowerLetter"/>
      <w:start w:val="18"/>
    </w:lvl>
  </w:abstractNum>
  <w:abstractNum w:abstractNumId="38">
    <w:nsid w:val="1381823A"/>
    <w:multiLevelType w:val="hybridMultilevel"/>
    <w:lvl w:ilvl="0">
      <w:lvlJc w:val="left"/>
      <w:lvlText w:val="%1."/>
      <w:numFmt w:val="lowerLetter"/>
      <w:start w:val="19"/>
    </w:lvl>
  </w:abstractNum>
  <w:abstractNum w:abstractNumId="39">
    <w:nsid w:val="5DB70AE5"/>
    <w:multiLevelType w:val="hybridMultilevel"/>
    <w:lvl w:ilvl="0">
      <w:lvlJc w:val="left"/>
      <w:lvlText w:val="%1."/>
      <w:numFmt w:val="lowerLetter"/>
      <w:start w:val="20"/>
    </w:lvl>
  </w:abstractNum>
  <w:abstractNum w:abstractNumId="40">
    <w:nsid w:val="100F8FCA"/>
    <w:multiLevelType w:val="hybridMultilevel"/>
    <w:lvl w:ilvl="0">
      <w:lvlJc w:val="left"/>
      <w:lvlText w:val="%1."/>
      <w:numFmt w:val="decimal"/>
      <w:start w:val="3"/>
    </w:lvl>
  </w:abstractNum>
  <w:abstractNum w:abstractNumId="41">
    <w:nsid w:val="6590700B"/>
    <w:multiLevelType w:val="hybridMultilevel"/>
    <w:lvl w:ilvl="0">
      <w:lvlJc w:val="left"/>
      <w:lvlText w:val="%1."/>
      <w:numFmt w:val="decimal"/>
      <w:start w:val="4"/>
    </w:lvl>
  </w:abstractNum>
  <w:abstractNum w:abstractNumId="42">
    <w:nsid w:val="15014ACB"/>
    <w:multiLevelType w:val="hybridMultilevel"/>
    <w:lvl w:ilvl="0">
      <w:lvlJc w:val="left"/>
      <w:lvlText w:val="(%1)"/>
      <w:numFmt w:val="decimal"/>
      <w:start w:val="1"/>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decimal"/>
      <w:start w:val="1"/>
    </w:lvl>
  </w:abstractNum>
  <w:abstractNum w:abstractNumId="46">
    <w:nsid w:val="6B94764"/>
    <w:multiLevelType w:val="hybridMultilevel"/>
    <w:lvl w:ilvl="0">
      <w:lvlJc w:val="left"/>
      <w:lvlText w:val="%1."/>
      <w:numFmt w:val="decimal"/>
      <w:start w:val="1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lowerLetter"/>
      <w:start w:val="3"/>
    </w:lvl>
  </w:abstractNum>
  <w:abstractNum w:abstractNumId="50">
    <w:nsid w:val="661E3F1E"/>
    <w:multiLevelType w:val="hybridMultilevel"/>
    <w:lvl w:ilvl="0">
      <w:lvlJc w:val="left"/>
      <w:lvlText w:val="(%1)"/>
      <w:numFmt w:val="lowerLetter"/>
      <w:start w:val="4"/>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2"/>
    </w:lvl>
    <w:lvl w:ilvl="1">
      <w:lvlJc w:val="left"/>
      <w:lvlText w:val="\emdash "/>
      <w:numFmt w:val="bullet"/>
      <w:start w:val="1"/>
    </w:lvl>
  </w:abstractNum>
  <w:abstractNum w:abstractNumId="54">
    <w:nsid w:val="51D9C564"/>
    <w:multiLevelType w:val="hybridMultilevel"/>
    <w:lvl w:ilvl="0">
      <w:lvlJc w:val="left"/>
      <w:lvlText w:val="%1"/>
      <w:numFmt w:val="decimal"/>
      <w:start w:val="104"/>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62">
    <w:nsid w:val="3B0FD379"/>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63">
    <w:nsid w:val="68EB2F63"/>
    <w:multiLevelType w:val="hybridMultilevel"/>
    <w:lvl w:ilvl="0">
      <w:lvlJc w:val="left"/>
      <w:lvlText w:val="1"/>
      <w:numFmt w:val="bullet"/>
      <w:start w:val="1"/>
    </w:lvl>
  </w:abstractNum>
  <w:abstractNum w:abstractNumId="64">
    <w:nsid w:val="4962813B"/>
    <w:multiLevelType w:val="hybridMultilevel"/>
    <w:lvl w:ilvl="0">
      <w:lvlJc w:val="left"/>
      <w:lvlText w:val="%1."/>
      <w:numFmt w:val="decimal"/>
      <w:start w:val="3"/>
    </w:lvl>
  </w:abstractNum>
  <w:abstractNum w:abstractNumId="65">
    <w:nsid w:val="60B6DF70"/>
    <w:multiLevelType w:val="hybridMultilevel"/>
    <w:lvl w:ilvl="0">
      <w:lvlJc w:val="left"/>
      <w:lvlText w:val="%1"/>
      <w:numFmt w:val="decimal"/>
      <w:start w:val="1"/>
    </w:lvl>
    <w:lvl w:ilvl="1">
      <w:lvlJc w:val="left"/>
      <w:lvlText w:val="%2."/>
      <w:numFmt w:val="decimal"/>
      <w:start w:val="4"/>
    </w:lvl>
  </w:abstractNum>
  <w:abstractNum w:abstractNumId="66">
    <w:nsid w:val="6A5EE64"/>
    <w:multiLevelType w:val="hybridMultilevel"/>
    <w:lvl w:ilvl="0">
      <w:lvlJc w:val="left"/>
      <w:lvlText w:val="%1."/>
      <w:numFmt w:val="decimal"/>
      <w:start w:val="6"/>
    </w:lvl>
    <w:lvl w:ilvl="1">
      <w:lvlJc w:val="left"/>
      <w:lvlText w:val="%2"/>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decimal"/>
      <w:start w:val="2"/>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2"/>
    </w:lvl>
  </w:abstractNum>
  <w:abstractNum w:abstractNumId="76">
    <w:nsid w:val="885E1B"/>
    <w:multiLevelType w:val="hybridMultilevel"/>
    <w:lvl w:ilvl="0">
      <w:lvlJc w:val="left"/>
      <w:lvlText w:val="%1."/>
      <w:numFmt w:val="decimal"/>
      <w:start w:val="2"/>
    </w:lvl>
    <w:lvl w:ilvl="1">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decimal"/>
      <w:start w:val="1"/>
    </w:lvl>
    <w:lvl w:ilvl="1">
      <w:lvlJc w:val="left"/>
      <w:lvlText w:val="(%2)"/>
      <w:numFmt w:val="lowerLetter"/>
      <w:start w:val="2"/>
    </w:lvl>
  </w:abstractNum>
  <w:abstractNum w:abstractNumId="81">
    <w:nsid w:val="3222E7CD"/>
    <w:multiLevelType w:val="hybridMultilevel"/>
    <w:lvl w:ilvl="0">
      <w:lvlJc w:val="left"/>
      <w:lvlText w:val="%1."/>
      <w:numFmt w:val="decimal"/>
      <w:start w:val="4"/>
    </w:lvl>
    <w:lvl w:ilvl="1">
      <w:lvlJc w:val="left"/>
      <w:lvlText w:val="%2"/>
      <w:numFmt w:val="lowerLetter"/>
      <w:start w:val="1"/>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2"/>
    </w:lvl>
  </w:abstractNum>
  <w:abstractNum w:abstractNumId="84">
    <w:nsid w:val="2DF6D648"/>
    <w:multiLevelType w:val="hybridMultilevel"/>
    <w:lvl w:ilvl="0">
      <w:lvlJc w:val="left"/>
      <w:lvlText w:val="%1."/>
      <w:numFmt w:val="decimal"/>
      <w:start w:val="6"/>
    </w:lvl>
  </w:abstractNum>
  <w:abstractNum w:abstractNumId="85">
    <w:nsid w:val="46B7D447"/>
    <w:multiLevelType w:val="hybridMultilevel"/>
    <w:lvl w:ilvl="0">
      <w:lvlJc w:val="left"/>
      <w:lvlText w:val="%1."/>
      <w:numFmt w:val="decimal"/>
      <w:start w:val="7"/>
    </w:lvl>
  </w:abstractNum>
  <w:abstractNum w:abstractNumId="86">
    <w:nsid w:val="4A2AC315"/>
    <w:multiLevelType w:val="hybridMultilevel"/>
    <w:lvl w:ilvl="0">
      <w:lvlJc w:val="left"/>
      <w:lvlText w:val="%1."/>
      <w:numFmt w:val="decimal"/>
      <w:start w:val="8"/>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decimal"/>
      <w:start w:val="1"/>
    </w:lvl>
    <w:lvl w:ilvl="1">
      <w:lvlJc w:val="left"/>
      <w:lvlText w:val="%2)"/>
      <w:numFmt w:val="lowerLetter"/>
      <w:start w:val="1"/>
    </w:lvl>
  </w:abstractNum>
  <w:abstractNum w:abstractNumId="89">
    <w:nsid w:val="CC1016F"/>
    <w:multiLevelType w:val="hybridMultilevel"/>
    <w:lvl w:ilvl="0">
      <w:lvlJc w:val="left"/>
      <w:lvlText w:val="%1."/>
      <w:numFmt w:val="decimal"/>
      <w:start w:val="1"/>
    </w:lvl>
    <w:lvl w:ilvl="1">
      <w:lvlJc w:val="left"/>
      <w:lvlText w:val="%2)"/>
      <w:numFmt w:val="lowerLetter"/>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7"/>
    </w:lvl>
  </w:abstractNum>
  <w:abstractNum w:abstractNumId="94">
    <w:nsid w:val="49DA307D"/>
    <w:multiLevelType w:val="hybridMultilevel"/>
    <w:lvl w:ilvl="0">
      <w:lvlJc w:val="left"/>
      <w:lvlText w:val="%1."/>
      <w:numFmt w:val="decimal"/>
      <w:start w:val="2"/>
    </w:lvl>
    <w:lvl w:ilvl="1">
      <w:lvlJc w:val="left"/>
      <w:lvlText w:val="(%2)"/>
      <w:numFmt w:val="lowerLetter"/>
      <w:start w:val="1"/>
    </w:lvl>
  </w:abstractNum>
  <w:abstractNum w:abstractNumId="95">
    <w:nsid w:val="7055A5F5"/>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8"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74"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jpe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114" Type="http://schemas.openxmlformats.org/officeDocument/2006/relationships/hyperlink" Target="https://www.sec.gov/Archives/edgar/data/6281/000000628125000125/a31analog-amendedandrestat.htm" TargetMode="External"/><Relationship Id="rId115" Type="http://schemas.openxmlformats.org/officeDocument/2006/relationships/hyperlink" Target="https://www.sec.gov/Archives/edgar/data/6281/000119312525005302/d909821dex31.htm" TargetMode="External"/><Relationship Id="rId116" Type="http://schemas.openxmlformats.org/officeDocument/2006/relationships/hyperlink" Target="https://www.sec.gov/Archives/edgar/data/6281/000119312513245264/d548763dex41.htm" TargetMode="External"/><Relationship Id="rId117" Type="http://schemas.openxmlformats.org/officeDocument/2006/relationships/hyperlink" Target="https://www.sec.gov/Archives/edgar/data/6281/000119312515402658/d105027dex42.htm" TargetMode="External"/><Relationship Id="rId119" Type="http://schemas.openxmlformats.org/officeDocument/2006/relationships/hyperlink" Target="https://www.sec.gov/Archives/edgar/data/6281/000119312516785105/d304855dex42.htm" TargetMode="External"/><Relationship Id="rId120" Type="http://schemas.openxmlformats.org/officeDocument/2006/relationships/hyperlink" Target="https://www.sec.gov/Archives/edgar/data/6281/000119312521291953/d219048dex42.htm" TargetMode="External"/><Relationship Id="rId121" Type="http://schemas.openxmlformats.org/officeDocument/2006/relationships/hyperlink" Target="https://www.sec.gov/Archives/edgar/data/6281/000119312522245660/d402186dex42.htm" TargetMode="External"/><Relationship Id="rId122" Type="http://schemas.openxmlformats.org/officeDocument/2006/relationships/hyperlink" Target="https://www.sec.gov/Archives/edgar/data/6281/000119312522259652/d346231dex42.htm" TargetMode="External"/><Relationship Id="rId125" Type="http://schemas.openxmlformats.org/officeDocument/2006/relationships/hyperlink" Target="https://www.sec.gov/Archives/edgar/data/6281/000119312524085997/d786555dex42.htm" TargetMode="External"/><Relationship Id="rId126" Type="http://schemas.openxmlformats.org/officeDocument/2006/relationships/hyperlink" Target="https://www.sec.gov/Archives/edgar/data/0000006281/000119312525141431/d42909dex42.htm" TargetMode="External"/><Relationship Id="rId127" Type="http://schemas.openxmlformats.org/officeDocument/2006/relationships/hyperlink" Target="https://www.sec.gov/Archives/edgar/data/6281/000000628123000203/exhibit107-amendedrestated.htm" TargetMode="External"/><Relationship Id="rId128" Type="http://schemas.openxmlformats.org/officeDocument/2006/relationships/hyperlink" Target="https://www.sec.gov/Archives/edgar/data/6281/000095013503006138/b48618aiexv10w28.txt" TargetMode="External"/><Relationship Id="rId129" Type="http://schemas.openxmlformats.org/officeDocument/2006/relationships/hyperlink" Target="https://www.sec.gov/Archives/edgar/data/6281/000095013506007047/b63086adexv10w3.txt" TargetMode="External"/><Relationship Id="rId130" Type="http://schemas.openxmlformats.org/officeDocument/2006/relationships/hyperlink" Target="https://www.sec.gov/Archives/edgar/data/6281/000095013508007596/b72976adexv10w41.htm" TargetMode="External"/><Relationship Id="rId131" Type="http://schemas.openxmlformats.org/officeDocument/2006/relationships/hyperlink" Target="https://www.sec.gov/Archives/edgar/data/6281/000000628114000003/ex-101.htm" TargetMode="External"/><Relationship Id="rId132" Type="http://schemas.openxmlformats.org/officeDocument/2006/relationships/hyperlink" Target="https://www.sec.gov/Archives/edgar/data/6281/000000628119000013/q119exhibit101.htm" TargetMode="External"/><Relationship Id="rId133" Type="http://schemas.openxmlformats.org/officeDocument/2006/relationships/hyperlink" Target="https://www.sec.gov/Archives/edgar/data/6281/000000628117000008/q117exhibit104.htm" TargetMode="External"/><Relationship Id="rId134" Type="http://schemas.openxmlformats.org/officeDocument/2006/relationships/hyperlink" Target="https://www.sec.gov/Archives/edgar/data/6281/000119312520013584/d796344ddef14a.htm" TargetMode="External"/><Relationship Id="rId135" Type="http://schemas.openxmlformats.org/officeDocument/2006/relationships/hyperlink" Target="https://www.sec.gov/Archives/edgar/data/6281/000000628120000013/globalnqagreementappen.htm" TargetMode="External"/><Relationship Id="rId136" Type="http://schemas.openxmlformats.org/officeDocument/2006/relationships/hyperlink" Target="https://www.sec.gov/Archives/edgar/data/6281/000119312520320093/d71361dex101.htm" TargetMode="External"/><Relationship Id="rId137" Type="http://schemas.openxmlformats.org/officeDocument/2006/relationships/hyperlink" Target="https://www.sec.gov/Archives/edgar/data/6281/000000628121000022/a104stockoptionagreementfo.htm" TargetMode="External"/><Relationship Id="rId138" Type="http://schemas.openxmlformats.org/officeDocument/2006/relationships/hyperlink" Target="https://www.sec.gov/Archives/edgar/data/6281/000000628122000020/a102adi-globalrsuagreement.htm" TargetMode="External"/><Relationship Id="rId139" Type="http://schemas.openxmlformats.org/officeDocument/2006/relationships/hyperlink" Target="https://www.sec.gov/Archives/edgar/data/6281/000000628122000168/a101adi-analogxsignxonrsua.htm" TargetMode="External"/><Relationship Id="rId142" Type="http://schemas.openxmlformats.org/officeDocument/2006/relationships/hyperlink" Target="https://www.sec.gov/Archives/edgar/data/6281/000000628122000168/a102adi-analogxsignxonperf.htm" TargetMode="External"/><Relationship Id="rId143" Type="http://schemas.openxmlformats.org/officeDocument/2006/relationships/hyperlink" Target="https://www.sec.gov/Archives/edgar/data/6281/000000628122000168/a103adi-tsrprsuxxexhibit.htm" TargetMode="External"/><Relationship Id="rId144" Type="http://schemas.openxmlformats.org/officeDocument/2006/relationships/hyperlink" Target="https://www.sec.gov/Archives/edgar/data/6281/000000628122000224/a101adi-2020xprsucx2022.htm" TargetMode="External"/><Relationship Id="rId145" Type="http://schemas.openxmlformats.org/officeDocument/2006/relationships/hyperlink" Target="https://www.sec.gov/Archives/edgar/data/6281/000000628122000224/a102adi-2020xprsufx2022.htm" TargetMode="External"/><Relationship Id="rId146" Type="http://schemas.openxmlformats.org/officeDocument/2006/relationships/hyperlink" Target="https://www.sec.gov/Archives/edgar/data/6281/000000628123000031/exhibit104-globalnqagreeme.htm" TargetMode="External"/><Relationship Id="rId147" Type="http://schemas.openxmlformats.org/officeDocument/2006/relationships/hyperlink" Target="https://www.sec.gov/Archives/edgar/data/6281/000000628123000031/exhibit105-globalrsuagreem.htm" TargetMode="External"/><Relationship Id="rId148" Type="http://schemas.openxmlformats.org/officeDocument/2006/relationships/hyperlink" Target="https://www.sec.gov/Archives/edgar/data/6281/000000628123000031/exhibit107-financialprsuag.htm" TargetMode="External"/><Relationship Id="rId149" Type="http://schemas.openxmlformats.org/officeDocument/2006/relationships/hyperlink" Target="https://www.sec.gov/Archives/edgar/data/6281/000000628123000031/exhibit108-performancersua.htm" TargetMode="External"/><Relationship Id="rId150" Type="http://schemas.openxmlformats.org/officeDocument/2006/relationships/hyperlink" Target="https://www.sec.gov/Archives/edgar/data/6281/000000628123000152/exhibit101-analogxperforma.htm" TargetMode="External"/><Relationship Id="rId151" Type="http://schemas.openxmlformats.org/officeDocument/2006/relationships/hyperlink" Target="https://www.sec.gov/Archives/edgar/data/6281/000000628124000034/exhibit103-formofglobalnqa.htm" TargetMode="External"/><Relationship Id="rId152" Type="http://schemas.openxmlformats.org/officeDocument/2006/relationships/hyperlink" Target="https://www.sec.gov/Archives/edgar/data/6281/000000628124000034/exhibit104-formofglobalrsu.htm" TargetMode="External"/><Relationship Id="rId153" Type="http://schemas.openxmlformats.org/officeDocument/2006/relationships/hyperlink" Target="https://www.sec.gov/Archives/edgar/data/6281/000000628124000034/exhibit106-formoffinancial.htm" TargetMode="External"/><Relationship Id="rId154" Type="http://schemas.openxmlformats.org/officeDocument/2006/relationships/hyperlink" Target="https://www.sec.gov/Archives/edgar/data/6281/000000628124000034/exhibit107-formofperforman.htm" TargetMode="External"/><Relationship Id="rId155" Type="http://schemas.openxmlformats.org/officeDocument/2006/relationships/hyperlink" Target="https://www.sec.gov/Archives/edgar/data/0000006281/000000628124000204/exhibit1057-formoffinancia.htm" TargetMode="External"/><Relationship Id="rId156" Type="http://schemas.openxmlformats.org/officeDocument/2006/relationships/hyperlink" Target="https://www.sec.gov/Archives/edgar/data/0000006281/000000628125000023/a103analog-directorannualr.htm" TargetMode="External"/><Relationship Id="rId159" Type="http://schemas.openxmlformats.org/officeDocument/2006/relationships/hyperlink" Target="https://www.sec.gov/Archives/edgar/data/0000006281/000000628125000023/a101analog-globalnqagreeme.htm" TargetMode="External"/><Relationship Id="rId160" Type="http://schemas.openxmlformats.org/officeDocument/2006/relationships/hyperlink" Target="https://www.sec.gov/Archives/edgar/data/0000006281/000000628125000023/a102analog-globalrsuagreem.htm" TargetMode="External"/><Relationship Id="rId161" Type="http://schemas.openxmlformats.org/officeDocument/2006/relationships/hyperlink" Target="https://www.sec.gov/Archives/edgar/data/0000006281/000000628125000023/a104analog-financialprsuag.htm" TargetMode="External"/><Relationship Id="rId162" Type="http://schemas.openxmlformats.org/officeDocument/2006/relationships/hyperlink" Target="https://www.sec.gov/Archives/edgar/data/0000006281/000000628125000023/a105analog-performancersua.htm" TargetMode="External"/><Relationship Id="rId163" Type="http://schemas.openxmlformats.org/officeDocument/2006/relationships/hyperlink" Target="https://www.sec.gov/Archives/edgar/data/6281/000000628121000294/ex-1036amendedandrestated1.htm" TargetMode="External"/><Relationship Id="rId164" Type="http://schemas.openxmlformats.org/officeDocument/2006/relationships/hyperlink" Target="https://www.sec.gov/Archives/edgar/data/6281/000000628121000294/ex-1037globalrsuagreementa.htm" TargetMode="External"/><Relationship Id="rId165" Type="http://schemas.openxmlformats.org/officeDocument/2006/relationships/hyperlink" Target="https://www.sec.gov/Archives/edgar/data/6281/000000628121000294/ex-1038globalnqagreementap.htm" TargetMode="External"/><Relationship Id="rId166" Type="http://schemas.openxmlformats.org/officeDocument/2006/relationships/hyperlink" Target="https://www.sec.gov/Archives/edgar/data/6281/000000628122000020/a103adi-globalrsuagreement.htm" TargetMode="External"/><Relationship Id="rId167" Type="http://schemas.openxmlformats.org/officeDocument/2006/relationships/hyperlink" Target="https://www.sec.gov/Archives/edgar/data/6281/000000628123000031/exhibit102-globalnqagreeme.htm" TargetMode="External"/><Relationship Id="rId168" Type="http://schemas.openxmlformats.org/officeDocument/2006/relationships/hyperlink" Target="https://www.sec.gov/Archives/edgar/data/6281/000000628123000031/exhibit103-globalrsuagreem.htm" TargetMode="External"/><Relationship Id="rId169" Type="http://schemas.openxmlformats.org/officeDocument/2006/relationships/hyperlink" Target="https://www.sec.gov/Archives/edgar/data/6281/000000628124000034/exhibit101-formofglobalnqa.htm" TargetMode="External"/><Relationship Id="rId170" Type="http://schemas.openxmlformats.org/officeDocument/2006/relationships/hyperlink" Target="https://www.sec.gov/Archives/edgar/data/6281/000000628124000034/exhibit102-formofglobalrsu.htm" TargetMode="External"/><Relationship Id="rId171" Type="http://schemas.openxmlformats.org/officeDocument/2006/relationships/hyperlink" Target="https://www.sec.gov/Archives/edgar/data/6281/000119312512243459/d308637dex101.htm" TargetMode="External"/><Relationship Id="rId172" Type="http://schemas.openxmlformats.org/officeDocument/2006/relationships/hyperlink" Target="https://www.sec.gov/Archives/edgar/data/6281/000095013500000300/0000950135-00-000300.txt" TargetMode="External"/><Relationship Id="rId173" Type="http://schemas.openxmlformats.org/officeDocument/2006/relationships/hyperlink" Target="https://www.sec.gov/Archives/edgar/data/6281/000095013508007596/b72976adexv10w30.htm" TargetMode="External"/><Relationship Id="rId175" Type="http://schemas.openxmlformats.org/officeDocument/2006/relationships/hyperlink" Target="https://www.sec.gov/Archives/edgar/data/6281/000119312525079081/d920343dex101.htm" TargetMode="External"/><Relationship Id="rId176" Type="http://schemas.openxmlformats.org/officeDocument/2006/relationships/hyperlink" Target="https://www.sec.gov/Archives/edgar/data/6281/000000628123000203/exhibit1063-amendedrestate.htm" TargetMode="External"/><Relationship Id="rId177" Type="http://schemas.openxmlformats.org/officeDocument/2006/relationships/hyperlink" Target="https://www.sec.gov/Archives/edgar/data/0000006281/000000628124000204/exhibit1052-executiveperfo.htm" TargetMode="External"/><Relationship Id="rId178" Type="http://schemas.openxmlformats.org/officeDocument/2006/relationships/hyperlink" Target="https://www.sec.gov/Archives/edgar/data/6281/000000628124000034/exhibit108-puccioofferlett.htm" TargetMode="External"/><Relationship Id="rId179" Type="http://schemas.openxmlformats.org/officeDocument/2006/relationships/hyperlink" Target="https://www.sec.gov/Archives/edgar/data/0000006281/000000628124000204/exhibit1056-nakamuraofferl.htm" TargetMode="External"/><Relationship Id="rId180" Type="http://schemas.openxmlformats.org/officeDocument/2006/relationships/hyperlink" Target="https://www.sec.gov/Archives/edgar/data/0000006281/000000628124000204/ex1058martincotterofferl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2025-11-25T16:12:59Z</dcterms:created>
  <dcterms:modified xsi:type="dcterms:W3CDTF">2025-11-25T16:12:59Z</dcterms:modified>
</cp:coreProperties>
</file>