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9"/>
        <w:spacing w:after="0"/>
        <w:rPr>
          <w:sz w:val="20"/>
          <w:szCs w:val="20"/>
          <w:color w:val="auto"/>
        </w:rPr>
      </w:pPr>
      <w:r>
        <w:rPr>
          <w:rFonts w:ascii="Arial" w:cs="Arial" w:eastAsia="Arial" w:hAnsi="Arial"/>
          <w:sz w:val="29"/>
          <w:szCs w:val="29"/>
          <w:b w:val="1"/>
          <w:bCs w:val="1"/>
          <w:color w:val="auto"/>
        </w:rPr>
        <w:drawing>
          <wp:anchor simplePos="0" relativeHeight="251657728" behindDoc="1" locked="0" layoutInCell="0" allowOverlap="1">
            <wp:simplePos x="0" y="0"/>
            <wp:positionH relativeFrom="page">
              <wp:posOffset>233680</wp:posOffset>
            </wp:positionH>
            <wp:positionV relativeFrom="page">
              <wp:posOffset>611505</wp:posOffset>
            </wp:positionV>
            <wp:extent cx="708914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089140" cy="8255"/>
                    </a:xfrm>
                    <a:prstGeom prst="rect">
                      <a:avLst/>
                    </a:prstGeom>
                    <a:noFill/>
                  </pic:spPr>
                </pic:pic>
              </a:graphicData>
            </a:graphic>
          </wp:anchor>
        </w:drawing>
        <w:drawing>
          <wp:anchor simplePos="0" relativeHeight="251657728" behindDoc="1" locked="0" layoutInCell="0" allowOverlap="1">
            <wp:simplePos x="0" y="0"/>
            <wp:positionH relativeFrom="page">
              <wp:posOffset>233680</wp:posOffset>
            </wp:positionH>
            <wp:positionV relativeFrom="page">
              <wp:posOffset>577215</wp:posOffset>
            </wp:positionV>
            <wp:extent cx="708914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089140" cy="8890"/>
                    </a:xfrm>
                    <a:prstGeom prst="rect">
                      <a:avLst/>
                    </a:prstGeom>
                    <a:noFill/>
                  </pic:spPr>
                </pic:pic>
              </a:graphicData>
            </a:graphic>
          </wp:anchor>
        </w:drawing>
        <w:t>UNITED STATES</w:t>
      </w:r>
    </w:p>
    <w:p>
      <w:pPr>
        <w:spacing w:after="0" w:line="36" w:lineRule="exact"/>
        <w:rPr>
          <w:sz w:val="24"/>
          <w:szCs w:val="24"/>
          <w:color w:val="auto"/>
        </w:rPr>
      </w:pPr>
    </w:p>
    <w:p>
      <w:pPr>
        <w:jc w:val="center"/>
        <w:ind w:right="-59"/>
        <w:spacing w:after="0"/>
        <w:rPr>
          <w:sz w:val="20"/>
          <w:szCs w:val="20"/>
          <w:color w:val="auto"/>
        </w:rPr>
      </w:pPr>
      <w:r>
        <w:rPr>
          <w:rFonts w:ascii="Arial" w:cs="Arial" w:eastAsia="Arial" w:hAnsi="Arial"/>
          <w:sz w:val="29"/>
          <w:szCs w:val="29"/>
          <w:b w:val="1"/>
          <w:bCs w:val="1"/>
          <w:color w:val="auto"/>
        </w:rPr>
        <w:t>SECURITIES AND EXCHANGE COMMISSION</w:t>
      </w:r>
    </w:p>
    <w:p>
      <w:pPr>
        <w:spacing w:after="0" w:line="9" w:lineRule="exact"/>
        <w:rPr>
          <w:sz w:val="24"/>
          <w:szCs w:val="24"/>
          <w:color w:val="auto"/>
        </w:rPr>
      </w:pPr>
    </w:p>
    <w:p>
      <w:pPr>
        <w:jc w:val="center"/>
        <w:ind w:right="20"/>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2713990</wp:posOffset>
            </wp:positionH>
            <wp:positionV relativeFrom="paragraph">
              <wp:posOffset>50800</wp:posOffset>
            </wp:positionV>
            <wp:extent cx="171450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714500" cy="8255"/>
                    </a:xfrm>
                    <a:prstGeom prst="rect">
                      <a:avLst/>
                    </a:prstGeom>
                    <a:noFill/>
                  </pic:spPr>
                </pic:pic>
              </a:graphicData>
            </a:graphic>
          </wp:anchor>
        </w:drawing>
      </w:r>
    </w:p>
    <w:p>
      <w:pPr>
        <w:spacing w:after="0" w:line="149" w:lineRule="exact"/>
        <w:rPr>
          <w:sz w:val="24"/>
          <w:szCs w:val="24"/>
          <w:color w:val="auto"/>
        </w:rPr>
      </w:pPr>
    </w:p>
    <w:p>
      <w:pPr>
        <w:jc w:val="center"/>
        <w:ind w:right="-59"/>
        <w:spacing w:after="0"/>
        <w:rPr>
          <w:sz w:val="20"/>
          <w:szCs w:val="20"/>
          <w:color w:val="auto"/>
        </w:rPr>
      </w:pPr>
      <w:r>
        <w:rPr>
          <w:rFonts w:ascii="Arial" w:cs="Arial" w:eastAsia="Arial" w:hAnsi="Arial"/>
          <w:sz w:val="29"/>
          <w:szCs w:val="29"/>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2713990</wp:posOffset>
            </wp:positionH>
            <wp:positionV relativeFrom="paragraph">
              <wp:posOffset>91440</wp:posOffset>
            </wp:positionV>
            <wp:extent cx="171450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714500" cy="8890"/>
                    </a:xfrm>
                    <a:prstGeom prst="rect">
                      <a:avLst/>
                    </a:prstGeom>
                    <a:noFill/>
                  </pic:spPr>
                </pic:pic>
              </a:graphicData>
            </a:graphic>
          </wp:anchor>
        </w:drawing>
      </w:r>
    </w:p>
    <w:p>
      <w:pPr>
        <w:spacing w:after="0" w:line="267" w:lineRule="exact"/>
        <w:rPr>
          <w:sz w:val="24"/>
          <w:szCs w:val="24"/>
          <w:color w:val="auto"/>
        </w:rPr>
      </w:pPr>
    </w:p>
    <w:p>
      <w:pPr>
        <w:spacing w:after="0"/>
        <w:rPr>
          <w:sz w:val="20"/>
          <w:szCs w:val="20"/>
          <w:color w:val="auto"/>
        </w:rPr>
      </w:pPr>
      <w:r>
        <w:rPr>
          <w:rFonts w:ascii="Arial" w:cs="Arial" w:eastAsia="Arial" w:hAnsi="Arial"/>
          <w:sz w:val="14"/>
          <w:szCs w:val="14"/>
          <w:color w:val="auto"/>
        </w:rPr>
        <w:t>(Mark One)</w:t>
      </w:r>
    </w:p>
    <w:p>
      <w:pPr>
        <w:spacing w:after="0" w:line="46" w:lineRule="exact"/>
        <w:rPr>
          <w:sz w:val="24"/>
          <w:szCs w:val="24"/>
          <w:color w:val="auto"/>
        </w:rPr>
      </w:pPr>
    </w:p>
    <w:p>
      <w:pPr>
        <w:ind w:left="680" w:right="40" w:hanging="654"/>
        <w:spacing w:after="0" w:line="244" w:lineRule="auto"/>
        <w:tabs>
          <w:tab w:leader="none" w:pos="680" w:val="left"/>
        </w:tabs>
        <w:numPr>
          <w:ilvl w:val="0"/>
          <w:numId w:val="1"/>
        </w:numPr>
        <w:rPr>
          <w:rFonts w:ascii="MS PGothic" w:cs="MS PGothic" w:eastAsia="MS PGothic" w:hAnsi="MS PGothic"/>
          <w:sz w:val="25"/>
          <w:szCs w:val="25"/>
          <w:color w:val="auto"/>
        </w:rPr>
      </w:pPr>
      <w:r>
        <w:rPr>
          <w:rFonts w:ascii="Arial" w:cs="Arial" w:eastAsia="Arial" w:hAnsi="Arial"/>
          <w:sz w:val="22"/>
          <w:szCs w:val="22"/>
          <w:b w:val="1"/>
          <w:bCs w:val="1"/>
          <w:color w:val="auto"/>
        </w:rPr>
        <w:t>QUARTERLY REPORT PURSUANT TO SECTION 13 OR 15(d) OF THE SECURITIES EXCHANGE ACT OF 1934</w:t>
      </w:r>
    </w:p>
    <w:p>
      <w:pPr>
        <w:jc w:val="center"/>
        <w:ind w:right="-59"/>
        <w:spacing w:after="0"/>
        <w:rPr>
          <w:sz w:val="20"/>
          <w:szCs w:val="20"/>
          <w:color w:val="auto"/>
        </w:rPr>
      </w:pPr>
      <w:r>
        <w:rPr>
          <w:rFonts w:ascii="Arial" w:cs="Arial" w:eastAsia="Arial" w:hAnsi="Arial"/>
          <w:sz w:val="18"/>
          <w:szCs w:val="18"/>
          <w:b w:val="1"/>
          <w:bCs w:val="1"/>
          <w:color w:val="auto"/>
        </w:rPr>
        <w:t>For the quarterly period ended August 1, 2020</w:t>
      </w:r>
    </w:p>
    <w:p>
      <w:pPr>
        <w:spacing w:after="0" w:line="26"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OR</w:t>
      </w:r>
    </w:p>
    <w:p>
      <w:pPr>
        <w:spacing w:after="0" w:line="36" w:lineRule="exact"/>
        <w:rPr>
          <w:sz w:val="24"/>
          <w:szCs w:val="24"/>
          <w:color w:val="auto"/>
        </w:rPr>
      </w:pPr>
    </w:p>
    <w:p>
      <w:pPr>
        <w:ind w:left="680" w:hanging="641"/>
        <w:spacing w:after="0" w:line="244" w:lineRule="auto"/>
        <w:tabs>
          <w:tab w:leader="none" w:pos="680" w:val="left"/>
        </w:tabs>
        <w:numPr>
          <w:ilvl w:val="0"/>
          <w:numId w:val="2"/>
        </w:numPr>
        <w:rPr>
          <w:rFonts w:ascii="MS PGothic" w:cs="MS PGothic" w:eastAsia="MS PGothic" w:hAnsi="MS PGothic"/>
          <w:sz w:val="25"/>
          <w:szCs w:val="25"/>
          <w:color w:val="auto"/>
        </w:rPr>
      </w:pPr>
      <w:r>
        <w:rPr>
          <w:rFonts w:ascii="Arial" w:cs="Arial" w:eastAsia="Arial" w:hAnsi="Arial"/>
          <w:sz w:val="22"/>
          <w:szCs w:val="22"/>
          <w:b w:val="1"/>
          <w:bCs w:val="1"/>
          <w:color w:val="auto"/>
        </w:rPr>
        <w:t>TRANSITION REPORT PURSUANT TO SECTION 13 OR 15(d) OF THE SECURITIES EXCHANGE ACT OF 1934</w:t>
      </w:r>
    </w:p>
    <w:tbl>
      <w:tblPr>
        <w:tblLayout w:type="fixed"/>
        <w:tblInd w:w="380" w:type="dxa"/>
        <w:tblCellMar>
          <w:top w:w="0" w:type="dxa"/>
          <w:left w:w="0" w:type="dxa"/>
          <w:bottom w:w="0" w:type="dxa"/>
          <w:right w:w="0" w:type="dxa"/>
        </w:tblCellMar>
      </w:tblPr>
      <w:tr>
        <w:trPr>
          <w:trHeight w:val="193"/>
        </w:trPr>
        <w:tc>
          <w:tcPr>
            <w:tcW w:w="1920" w:type="dxa"/>
            <w:vAlign w:val="bottom"/>
          </w:tcPr>
          <w:p>
            <w:pPr>
              <w:spacing w:after="0"/>
              <w:rPr>
                <w:sz w:val="16"/>
                <w:szCs w:val="16"/>
                <w:color w:val="auto"/>
              </w:rPr>
            </w:pPr>
          </w:p>
        </w:tc>
        <w:tc>
          <w:tcPr>
            <w:tcW w:w="4420" w:type="dxa"/>
            <w:vAlign w:val="bottom"/>
            <w:gridSpan w:val="3"/>
          </w:tcPr>
          <w:p>
            <w:pPr>
              <w:ind w:left="1500"/>
              <w:spacing w:after="0" w:line="193" w:lineRule="exact"/>
              <w:rPr>
                <w:sz w:val="20"/>
                <w:szCs w:val="20"/>
                <w:color w:val="auto"/>
              </w:rPr>
            </w:pPr>
            <w:r>
              <w:rPr>
                <w:rFonts w:ascii="Arial" w:cs="Arial" w:eastAsia="Arial" w:hAnsi="Arial"/>
                <w:sz w:val="18"/>
                <w:szCs w:val="18"/>
                <w:b w:val="1"/>
                <w:bCs w:val="1"/>
                <w:color w:val="auto"/>
              </w:rPr>
              <w:t>For the transition period from</w:t>
            </w:r>
          </w:p>
        </w:tc>
        <w:tc>
          <w:tcPr>
            <w:tcW w:w="3180" w:type="dxa"/>
            <w:vAlign w:val="bottom"/>
            <w:gridSpan w:val="4"/>
          </w:tcPr>
          <w:p>
            <w:pPr>
              <w:spacing w:after="0" w:line="193" w:lineRule="exact"/>
              <w:rPr>
                <w:sz w:val="20"/>
                <w:szCs w:val="20"/>
                <w:color w:val="auto"/>
              </w:rPr>
            </w:pPr>
            <w:r>
              <w:rPr>
                <w:rFonts w:ascii="Arial" w:cs="Arial" w:eastAsia="Arial" w:hAnsi="Arial"/>
                <w:sz w:val="18"/>
                <w:szCs w:val="18"/>
                <w:b w:val="1"/>
                <w:bCs w:val="1"/>
                <w:color w:val="auto"/>
              </w:rPr>
              <w:t>to</w:t>
            </w:r>
          </w:p>
        </w:tc>
      </w:tr>
      <w:tr>
        <w:trPr>
          <w:trHeight w:val="20"/>
        </w:trPr>
        <w:tc>
          <w:tcPr>
            <w:tcW w:w="192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600" w:type="dxa"/>
            <w:vAlign w:val="bottom"/>
            <w:tcBorders>
              <w:right w:val="single" w:sz="8" w:color="auto"/>
            </w:tcBorders>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r>
      <w:tr>
        <w:trPr>
          <w:trHeight w:val="237"/>
        </w:trPr>
        <w:tc>
          <w:tcPr>
            <w:tcW w:w="1920" w:type="dxa"/>
            <w:vAlign w:val="bottom"/>
          </w:tcPr>
          <w:p>
            <w:pPr>
              <w:spacing w:after="0"/>
              <w:rPr>
                <w:sz w:val="20"/>
                <w:szCs w:val="20"/>
                <w:color w:val="auto"/>
              </w:rPr>
            </w:pPr>
          </w:p>
        </w:tc>
        <w:tc>
          <w:tcPr>
            <w:tcW w:w="1980" w:type="dxa"/>
            <w:vAlign w:val="bottom"/>
          </w:tcPr>
          <w:p>
            <w:pPr>
              <w:spacing w:after="0"/>
              <w:rPr>
                <w:sz w:val="20"/>
                <w:szCs w:val="20"/>
                <w:color w:val="auto"/>
              </w:rPr>
            </w:pPr>
          </w:p>
        </w:tc>
        <w:tc>
          <w:tcPr>
            <w:tcW w:w="2440" w:type="dxa"/>
            <w:vAlign w:val="bottom"/>
            <w:gridSpan w:val="2"/>
          </w:tcPr>
          <w:p>
            <w:pPr>
              <w:jc w:val="center"/>
              <w:ind w:left="150"/>
              <w:spacing w:after="0"/>
              <w:rPr>
                <w:sz w:val="20"/>
                <w:szCs w:val="20"/>
                <w:color w:val="auto"/>
              </w:rPr>
            </w:pPr>
            <w:r>
              <w:rPr>
                <w:rFonts w:ascii="Arial" w:cs="Arial" w:eastAsia="Arial" w:hAnsi="Arial"/>
                <w:sz w:val="18"/>
                <w:szCs w:val="18"/>
                <w:b w:val="1"/>
                <w:bCs w:val="1"/>
                <w:color w:val="auto"/>
                <w:w w:val="90"/>
              </w:rPr>
              <w:t>Commission File No. 1-7819</w:t>
            </w: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460" w:type="dxa"/>
            <w:vAlign w:val="bottom"/>
          </w:tcPr>
          <w:p>
            <w:pPr>
              <w:spacing w:after="0"/>
              <w:rPr>
                <w:sz w:val="20"/>
                <w:szCs w:val="20"/>
                <w:color w:val="auto"/>
              </w:rPr>
            </w:pPr>
          </w:p>
        </w:tc>
      </w:tr>
      <w:tr>
        <w:trPr>
          <w:trHeight w:val="81"/>
        </w:trPr>
        <w:tc>
          <w:tcPr>
            <w:tcW w:w="1920" w:type="dxa"/>
            <w:vAlign w:val="bottom"/>
          </w:tcPr>
          <w:p>
            <w:pPr>
              <w:spacing w:after="0"/>
              <w:rPr>
                <w:sz w:val="7"/>
                <w:szCs w:val="7"/>
                <w:color w:val="auto"/>
              </w:rPr>
            </w:pPr>
          </w:p>
        </w:tc>
        <w:tc>
          <w:tcPr>
            <w:tcW w:w="1980" w:type="dxa"/>
            <w:vAlign w:val="bottom"/>
          </w:tcPr>
          <w:p>
            <w:pPr>
              <w:spacing w:after="0"/>
              <w:rPr>
                <w:sz w:val="7"/>
                <w:szCs w:val="7"/>
                <w:color w:val="auto"/>
              </w:rPr>
            </w:pPr>
          </w:p>
        </w:tc>
        <w:tc>
          <w:tcPr>
            <w:tcW w:w="2700" w:type="dxa"/>
            <w:vAlign w:val="bottom"/>
            <w:tcBorders>
              <w:bottom w:val="single" w:sz="8" w:color="auto"/>
            </w:tcBorders>
            <w:gridSpan w:val="4"/>
          </w:tcPr>
          <w:p>
            <w:pPr>
              <w:spacing w:after="0"/>
              <w:rPr>
                <w:sz w:val="7"/>
                <w:szCs w:val="7"/>
                <w:color w:val="auto"/>
              </w:rPr>
            </w:pPr>
          </w:p>
        </w:tc>
        <w:tc>
          <w:tcPr>
            <w:tcW w:w="2920" w:type="dxa"/>
            <w:vAlign w:val="bottom"/>
            <w:gridSpan w:val="2"/>
          </w:tcPr>
          <w:p>
            <w:pPr>
              <w:spacing w:after="0"/>
              <w:rPr>
                <w:sz w:val="7"/>
                <w:szCs w:val="7"/>
                <w:color w:val="auto"/>
              </w:rPr>
            </w:pPr>
          </w:p>
        </w:tc>
      </w:tr>
      <w:tr>
        <w:trPr>
          <w:trHeight w:val="600"/>
        </w:trPr>
        <w:tc>
          <w:tcPr>
            <w:tcW w:w="1920" w:type="dxa"/>
            <w:vAlign w:val="bottom"/>
          </w:tcPr>
          <w:p>
            <w:pPr>
              <w:spacing w:after="0"/>
              <w:rPr>
                <w:sz w:val="24"/>
                <w:szCs w:val="24"/>
                <w:color w:val="auto"/>
              </w:rPr>
            </w:pPr>
          </w:p>
        </w:tc>
        <w:tc>
          <w:tcPr>
            <w:tcW w:w="7600" w:type="dxa"/>
            <w:vAlign w:val="bottom"/>
            <w:gridSpan w:val="7"/>
          </w:tcPr>
          <w:p>
            <w:pPr>
              <w:jc w:val="center"/>
              <w:ind w:right="868"/>
              <w:spacing w:after="0"/>
              <w:rPr>
                <w:sz w:val="20"/>
                <w:szCs w:val="20"/>
                <w:color w:val="auto"/>
              </w:rPr>
            </w:pPr>
            <w:r>
              <w:rPr>
                <w:rFonts w:ascii="Arial" w:cs="Arial" w:eastAsia="Arial" w:hAnsi="Arial"/>
                <w:sz w:val="43"/>
                <w:szCs w:val="43"/>
                <w:b w:val="1"/>
                <w:bCs w:val="1"/>
                <w:color w:val="auto"/>
                <w:w w:val="89"/>
              </w:rPr>
              <w:t>Analog Devices, Inc.</w:t>
            </w:r>
          </w:p>
        </w:tc>
      </w:tr>
      <w:tr>
        <w:trPr>
          <w:trHeight w:val="230"/>
        </w:trPr>
        <w:tc>
          <w:tcPr>
            <w:tcW w:w="1920" w:type="dxa"/>
            <w:vAlign w:val="bottom"/>
          </w:tcPr>
          <w:p>
            <w:pPr>
              <w:spacing w:after="0"/>
              <w:rPr>
                <w:sz w:val="20"/>
                <w:szCs w:val="20"/>
                <w:color w:val="auto"/>
              </w:rPr>
            </w:pPr>
          </w:p>
        </w:tc>
        <w:tc>
          <w:tcPr>
            <w:tcW w:w="7600" w:type="dxa"/>
            <w:vAlign w:val="bottom"/>
            <w:gridSpan w:val="7"/>
          </w:tcPr>
          <w:p>
            <w:pPr>
              <w:jc w:val="center"/>
              <w:ind w:right="928"/>
              <w:spacing w:after="0"/>
              <w:rPr>
                <w:sz w:val="20"/>
                <w:szCs w:val="20"/>
                <w:color w:val="auto"/>
              </w:rPr>
            </w:pPr>
            <w:r>
              <w:rPr>
                <w:rFonts w:ascii="Arial" w:cs="Arial" w:eastAsia="Arial" w:hAnsi="Arial"/>
                <w:sz w:val="18"/>
                <w:szCs w:val="18"/>
                <w:i w:val="1"/>
                <w:iCs w:val="1"/>
                <w:color w:val="auto"/>
                <w:w w:val="91"/>
              </w:rPr>
              <w:t>(Exact name of registrant as specified in its charter)</w:t>
            </w:r>
          </w:p>
        </w:tc>
      </w:tr>
      <w:tr>
        <w:trPr>
          <w:trHeight w:val="27"/>
        </w:trPr>
        <w:tc>
          <w:tcPr>
            <w:tcW w:w="3900" w:type="dxa"/>
            <w:vAlign w:val="bottom"/>
            <w:gridSpan w:val="2"/>
          </w:tcPr>
          <w:p>
            <w:pPr>
              <w:spacing w:after="0"/>
              <w:rPr>
                <w:sz w:val="2"/>
                <w:szCs w:val="2"/>
                <w:color w:val="auto"/>
              </w:rPr>
            </w:pPr>
          </w:p>
        </w:tc>
        <w:tc>
          <w:tcPr>
            <w:tcW w:w="2440" w:type="dxa"/>
            <w:vAlign w:val="bottom"/>
            <w:tcBorders>
              <w:bottom w:val="single" w:sz="8" w:color="auto"/>
            </w:tcBorders>
            <w:gridSpan w:val="2"/>
          </w:tcPr>
          <w:p>
            <w:pPr>
              <w:spacing w:after="0"/>
              <w:rPr>
                <w:sz w:val="2"/>
                <w:szCs w:val="2"/>
                <w:color w:val="auto"/>
              </w:rPr>
            </w:pPr>
          </w:p>
        </w:tc>
        <w:tc>
          <w:tcPr>
            <w:tcW w:w="260" w:type="dxa"/>
            <w:vAlign w:val="bottom"/>
            <w:tcBorders>
              <w:bottom w:val="single" w:sz="8" w:color="auto"/>
            </w:tcBorders>
            <w:gridSpan w:val="2"/>
          </w:tcPr>
          <w:p>
            <w:pPr>
              <w:spacing w:after="0"/>
              <w:rPr>
                <w:sz w:val="2"/>
                <w:szCs w:val="2"/>
                <w:color w:val="auto"/>
              </w:rPr>
            </w:pPr>
          </w:p>
        </w:tc>
        <w:tc>
          <w:tcPr>
            <w:tcW w:w="2920" w:type="dxa"/>
            <w:vAlign w:val="bottom"/>
            <w:gridSpan w:val="2"/>
          </w:tcPr>
          <w:p>
            <w:pPr>
              <w:spacing w:after="0"/>
              <w:rPr>
                <w:sz w:val="2"/>
                <w:szCs w:val="2"/>
                <w:color w:val="auto"/>
              </w:rPr>
            </w:pPr>
          </w:p>
        </w:tc>
      </w:tr>
      <w:tr>
        <w:trPr>
          <w:trHeight w:val="547"/>
        </w:trPr>
        <w:tc>
          <w:tcPr>
            <w:tcW w:w="6340" w:type="dxa"/>
            <w:vAlign w:val="bottom"/>
            <w:gridSpan w:val="4"/>
          </w:tcPr>
          <w:p>
            <w:pPr>
              <w:jc w:val="center"/>
              <w:ind w:right="2380"/>
              <w:spacing w:after="0"/>
              <w:rPr>
                <w:sz w:val="20"/>
                <w:szCs w:val="20"/>
                <w:color w:val="auto"/>
              </w:rPr>
            </w:pPr>
            <w:r>
              <w:rPr>
                <w:rFonts w:ascii="Arial" w:cs="Arial" w:eastAsia="Arial" w:hAnsi="Arial"/>
                <w:sz w:val="18"/>
                <w:szCs w:val="18"/>
                <w:b w:val="1"/>
                <w:bCs w:val="1"/>
                <w:color w:val="auto"/>
                <w:w w:val="86"/>
              </w:rPr>
              <w:t>Massachusetts</w:t>
            </w:r>
          </w:p>
        </w:tc>
        <w:tc>
          <w:tcPr>
            <w:tcW w:w="3180" w:type="dxa"/>
            <w:vAlign w:val="bottom"/>
            <w:gridSpan w:val="4"/>
          </w:tcPr>
          <w:p>
            <w:pPr>
              <w:jc w:val="center"/>
              <w:ind w:left="1030"/>
              <w:spacing w:after="0"/>
              <w:rPr>
                <w:sz w:val="20"/>
                <w:szCs w:val="20"/>
                <w:color w:val="auto"/>
              </w:rPr>
            </w:pPr>
            <w:r>
              <w:rPr>
                <w:rFonts w:ascii="Arial" w:cs="Arial" w:eastAsia="Arial" w:hAnsi="Arial"/>
                <w:sz w:val="18"/>
                <w:szCs w:val="18"/>
                <w:b w:val="1"/>
                <w:bCs w:val="1"/>
                <w:color w:val="auto"/>
                <w:w w:val="89"/>
              </w:rPr>
              <w:t>04-2348234</w:t>
            </w:r>
          </w:p>
        </w:tc>
      </w:tr>
      <w:tr>
        <w:trPr>
          <w:trHeight w:val="218"/>
        </w:trPr>
        <w:tc>
          <w:tcPr>
            <w:tcW w:w="6340" w:type="dxa"/>
            <w:vAlign w:val="bottom"/>
            <w:gridSpan w:val="4"/>
          </w:tcPr>
          <w:p>
            <w:pPr>
              <w:jc w:val="center"/>
              <w:ind w:right="2360"/>
              <w:spacing w:after="0"/>
              <w:rPr>
                <w:sz w:val="20"/>
                <w:szCs w:val="20"/>
                <w:color w:val="auto"/>
              </w:rPr>
            </w:pPr>
            <w:r>
              <w:rPr>
                <w:rFonts w:ascii="Arial" w:cs="Arial" w:eastAsia="Arial" w:hAnsi="Arial"/>
                <w:sz w:val="14"/>
                <w:szCs w:val="14"/>
                <w:i w:val="1"/>
                <w:iCs w:val="1"/>
                <w:color w:val="auto"/>
                <w:w w:val="96"/>
              </w:rPr>
              <w:t>(State or other jurisdiction of incorporation or organization)</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460" w:type="dxa"/>
            <w:vAlign w:val="bottom"/>
          </w:tcPr>
          <w:p>
            <w:pPr>
              <w:jc w:val="center"/>
              <w:ind w:left="328"/>
              <w:spacing w:after="0"/>
              <w:rPr>
                <w:sz w:val="20"/>
                <w:szCs w:val="20"/>
                <w:color w:val="auto"/>
              </w:rPr>
            </w:pPr>
            <w:r>
              <w:rPr>
                <w:rFonts w:ascii="Arial" w:cs="Arial" w:eastAsia="Arial" w:hAnsi="Arial"/>
                <w:sz w:val="14"/>
                <w:szCs w:val="14"/>
                <w:i w:val="1"/>
                <w:iCs w:val="1"/>
                <w:color w:val="auto"/>
                <w:w w:val="95"/>
              </w:rPr>
              <w:t>(I.R.S. Employer Identification No.)</w:t>
            </w:r>
          </w:p>
        </w:tc>
      </w:tr>
      <w:tr>
        <w:trPr>
          <w:trHeight w:val="350"/>
        </w:trPr>
        <w:tc>
          <w:tcPr>
            <w:tcW w:w="1920" w:type="dxa"/>
            <w:vAlign w:val="bottom"/>
          </w:tcPr>
          <w:p>
            <w:pPr>
              <w:spacing w:after="0"/>
              <w:rPr>
                <w:sz w:val="20"/>
                <w:szCs w:val="20"/>
                <w:color w:val="auto"/>
              </w:rPr>
            </w:pPr>
            <w:r>
              <w:rPr>
                <w:rFonts w:ascii="Arial" w:cs="Arial" w:eastAsia="Arial" w:hAnsi="Arial"/>
                <w:sz w:val="18"/>
                <w:szCs w:val="18"/>
                <w:b w:val="1"/>
                <w:bCs w:val="1"/>
                <w:color w:val="auto"/>
              </w:rPr>
              <w:t>One Technology Way,</w:t>
            </w:r>
          </w:p>
        </w:tc>
        <w:tc>
          <w:tcPr>
            <w:tcW w:w="4420" w:type="dxa"/>
            <w:vAlign w:val="bottom"/>
            <w:gridSpan w:val="3"/>
          </w:tcPr>
          <w:p>
            <w:pPr>
              <w:ind w:left="260"/>
              <w:spacing w:after="0"/>
              <w:rPr>
                <w:sz w:val="20"/>
                <w:szCs w:val="20"/>
                <w:color w:val="auto"/>
              </w:rPr>
            </w:pPr>
            <w:r>
              <w:rPr>
                <w:rFonts w:ascii="Arial" w:cs="Arial" w:eastAsia="Arial" w:hAnsi="Arial"/>
                <w:sz w:val="18"/>
                <w:szCs w:val="18"/>
                <w:b w:val="1"/>
                <w:bCs w:val="1"/>
                <w:color w:val="auto"/>
              </w:rPr>
              <w:t>Norwood,  MA</w:t>
            </w:r>
          </w:p>
        </w:tc>
        <w:tc>
          <w:tcPr>
            <w:tcW w:w="3180" w:type="dxa"/>
            <w:vAlign w:val="bottom"/>
            <w:gridSpan w:val="4"/>
          </w:tcPr>
          <w:p>
            <w:pPr>
              <w:jc w:val="center"/>
              <w:ind w:left="1030"/>
              <w:spacing w:after="0"/>
              <w:rPr>
                <w:sz w:val="20"/>
                <w:szCs w:val="20"/>
                <w:color w:val="auto"/>
              </w:rPr>
            </w:pPr>
            <w:r>
              <w:rPr>
                <w:rFonts w:ascii="Arial" w:cs="Arial" w:eastAsia="Arial" w:hAnsi="Arial"/>
                <w:sz w:val="18"/>
                <w:szCs w:val="18"/>
                <w:b w:val="1"/>
                <w:bCs w:val="1"/>
                <w:color w:val="auto"/>
                <w:w w:val="89"/>
              </w:rPr>
              <w:t>02062-9106</w:t>
            </w:r>
          </w:p>
        </w:tc>
      </w:tr>
      <w:tr>
        <w:trPr>
          <w:trHeight w:val="211"/>
        </w:trPr>
        <w:tc>
          <w:tcPr>
            <w:tcW w:w="6340" w:type="dxa"/>
            <w:vAlign w:val="bottom"/>
            <w:gridSpan w:val="4"/>
          </w:tcPr>
          <w:p>
            <w:pPr>
              <w:jc w:val="center"/>
              <w:ind w:right="2380"/>
              <w:spacing w:after="0"/>
              <w:rPr>
                <w:sz w:val="20"/>
                <w:szCs w:val="20"/>
                <w:color w:val="auto"/>
              </w:rPr>
            </w:pPr>
            <w:r>
              <w:rPr>
                <w:rFonts w:ascii="Arial" w:cs="Arial" w:eastAsia="Arial" w:hAnsi="Arial"/>
                <w:sz w:val="14"/>
                <w:szCs w:val="14"/>
                <w:i w:val="1"/>
                <w:iCs w:val="1"/>
                <w:color w:val="auto"/>
                <w:w w:val="93"/>
              </w:rPr>
              <w:t>(Address of principal executive offices)</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460" w:type="dxa"/>
            <w:vAlign w:val="bottom"/>
          </w:tcPr>
          <w:p>
            <w:pPr>
              <w:jc w:val="center"/>
              <w:ind w:left="328"/>
              <w:spacing w:after="0"/>
              <w:rPr>
                <w:sz w:val="20"/>
                <w:szCs w:val="20"/>
                <w:color w:val="auto"/>
              </w:rPr>
            </w:pPr>
            <w:r>
              <w:rPr>
                <w:rFonts w:ascii="Arial" w:cs="Arial" w:eastAsia="Arial" w:hAnsi="Arial"/>
                <w:sz w:val="14"/>
                <w:szCs w:val="14"/>
                <w:i w:val="1"/>
                <w:iCs w:val="1"/>
                <w:color w:val="auto"/>
                <w:w w:val="93"/>
              </w:rPr>
              <w:t>(Zip Code)</w:t>
            </w:r>
          </w:p>
        </w:tc>
      </w:tr>
      <w:tr>
        <w:trPr>
          <w:trHeight w:val="228"/>
        </w:trPr>
        <w:tc>
          <w:tcPr>
            <w:tcW w:w="1920" w:type="dxa"/>
            <w:vAlign w:val="bottom"/>
          </w:tcPr>
          <w:p>
            <w:pPr>
              <w:spacing w:after="0"/>
              <w:rPr>
                <w:sz w:val="19"/>
                <w:szCs w:val="19"/>
                <w:color w:val="auto"/>
              </w:rPr>
            </w:pPr>
          </w:p>
        </w:tc>
        <w:tc>
          <w:tcPr>
            <w:tcW w:w="4420" w:type="dxa"/>
            <w:vAlign w:val="bottom"/>
            <w:gridSpan w:val="3"/>
          </w:tcPr>
          <w:p>
            <w:pPr>
              <w:jc w:val="center"/>
              <w:ind w:left="2105"/>
              <w:spacing w:after="0"/>
              <w:rPr>
                <w:sz w:val="20"/>
                <w:szCs w:val="20"/>
                <w:color w:val="auto"/>
              </w:rPr>
            </w:pPr>
            <w:r>
              <w:rPr>
                <w:rFonts w:ascii="Arial" w:cs="Arial" w:eastAsia="Arial" w:hAnsi="Arial"/>
                <w:sz w:val="18"/>
                <w:szCs w:val="18"/>
                <w:b w:val="1"/>
                <w:bCs w:val="1"/>
                <w:color w:val="auto"/>
                <w:w w:val="90"/>
              </w:rPr>
              <w:t>(781) 329-4700</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460" w:type="dxa"/>
            <w:vAlign w:val="bottom"/>
          </w:tcPr>
          <w:p>
            <w:pPr>
              <w:spacing w:after="0"/>
              <w:rPr>
                <w:sz w:val="19"/>
                <w:szCs w:val="19"/>
                <w:color w:val="auto"/>
              </w:rPr>
            </w:pPr>
          </w:p>
        </w:tc>
      </w:tr>
    </w:tbl>
    <w:p>
      <w:pPr>
        <w:jc w:val="center"/>
        <w:ind w:right="-59"/>
        <w:spacing w:after="0"/>
        <w:rPr>
          <w:sz w:val="20"/>
          <w:szCs w:val="20"/>
          <w:color w:val="auto"/>
        </w:rPr>
      </w:pPr>
      <w:r>
        <w:rPr>
          <w:rFonts w:ascii="Arial" w:cs="Arial" w:eastAsia="Arial" w:hAnsi="Arial"/>
          <w:sz w:val="14"/>
          <w:szCs w:val="14"/>
          <w:i w:val="1"/>
          <w:iCs w:val="1"/>
          <w:color w:val="auto"/>
        </w:rPr>
        <w:t>(Registrant’s telephone number, including area code)</w:t>
      </w:r>
    </w:p>
    <w:p>
      <w:pPr>
        <w:spacing w:after="0" w:line="1" w:lineRule="exact"/>
        <w:rPr>
          <w:sz w:val="24"/>
          <w:szCs w:val="24"/>
          <w:color w:val="auto"/>
        </w:rPr>
      </w:pPr>
    </w:p>
    <w:p>
      <w:pPr>
        <w:jc w:val="center"/>
        <w:ind w:right="-59"/>
        <w:spacing w:after="0"/>
        <w:rPr>
          <w:sz w:val="20"/>
          <w:szCs w:val="20"/>
          <w:color w:val="auto"/>
        </w:rPr>
      </w:pPr>
      <w:r>
        <w:rPr>
          <w:rFonts w:ascii="Arial" w:cs="Arial" w:eastAsia="Arial" w:hAnsi="Arial"/>
          <w:sz w:val="14"/>
          <w:szCs w:val="14"/>
          <w:i w:val="1"/>
          <w:iCs w:val="1"/>
          <w:color w:val="auto"/>
        </w:rPr>
        <w:t>(Former name, former address and former fiscal year,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2713990</wp:posOffset>
            </wp:positionH>
            <wp:positionV relativeFrom="paragraph">
              <wp:posOffset>56515</wp:posOffset>
            </wp:positionV>
            <wp:extent cx="171450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714500" cy="8255"/>
                    </a:xfrm>
                    <a:prstGeom prst="rect">
                      <a:avLst/>
                    </a:prstGeom>
                    <a:noFill/>
                  </pic:spPr>
                </pic:pic>
              </a:graphicData>
            </a:graphic>
          </wp:anchor>
        </w:drawing>
      </w:r>
    </w:p>
    <w:p>
      <w:pPr>
        <w:spacing w:after="0" w:line="176" w:lineRule="exact"/>
        <w:rPr>
          <w:sz w:val="24"/>
          <w:szCs w:val="24"/>
          <w:color w:val="auto"/>
        </w:rPr>
      </w:pPr>
    </w:p>
    <w:p>
      <w:pPr>
        <w:spacing w:after="0"/>
        <w:rPr>
          <w:sz w:val="20"/>
          <w:szCs w:val="20"/>
          <w:color w:val="auto"/>
        </w:rPr>
      </w:pPr>
      <w:r>
        <w:rPr>
          <w:rFonts w:ascii="Arial" w:cs="Arial" w:eastAsia="Arial" w:hAnsi="Arial"/>
          <w:sz w:val="18"/>
          <w:szCs w:val="18"/>
          <w:color w:val="auto"/>
        </w:rPr>
        <w:t>Securities registered pursuant to Section 12(b) of the Act:</w:t>
      </w:r>
    </w:p>
    <w:p>
      <w:pPr>
        <w:sectPr>
          <w:pgSz w:w="11900" w:h="16838" w:orient="portrait"/>
          <w:cols w:equalWidth="0" w:num="1">
            <w:col w:w="11200"/>
          </w:cols>
          <w:pgMar w:left="320" w:top="998" w:right="379" w:bottom="1440" w:gutter="0" w:footer="0" w:header="0"/>
        </w:sectPr>
      </w:pPr>
    </w:p>
    <w:p>
      <w:pPr>
        <w:spacing w:after="0" w:line="127" w:lineRule="exact"/>
        <w:rPr>
          <w:sz w:val="24"/>
          <w:szCs w:val="24"/>
          <w:color w:val="auto"/>
        </w:rPr>
      </w:pPr>
    </w:p>
    <w:p>
      <w:pPr>
        <w:ind w:left="1520"/>
        <w:spacing w:after="0"/>
        <w:rPr>
          <w:sz w:val="20"/>
          <w:szCs w:val="20"/>
          <w:color w:val="auto"/>
        </w:rPr>
      </w:pPr>
      <w:r>
        <w:rPr>
          <w:rFonts w:ascii="Arial" w:cs="Arial" w:eastAsia="Arial" w:hAnsi="Arial"/>
          <w:sz w:val="15"/>
          <w:szCs w:val="15"/>
          <w:b w:val="1"/>
          <w:bCs w:val="1"/>
          <w:color w:val="auto"/>
        </w:rPr>
        <w:t>Title of each class</w:t>
      </w:r>
    </w:p>
    <w:p>
      <w:pPr>
        <w:spacing w:after="0" w:line="20" w:lineRule="exact"/>
        <w:rPr>
          <w:sz w:val="24"/>
          <w:szCs w:val="24"/>
          <w:color w:val="auto"/>
        </w:rPr>
      </w:pPr>
      <w:r>
        <w:rPr>
          <w:sz w:val="24"/>
          <w:szCs w:val="24"/>
          <w:color w:val="auto"/>
        </w:rPr>
        <w:br w:type="column"/>
      </w:r>
    </w:p>
    <w:p>
      <w:pPr>
        <w:spacing w:after="0" w:line="107"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Trading Symbol(s)</w:t>
      </w:r>
    </w:p>
    <w:p>
      <w:pPr>
        <w:spacing w:after="0" w:line="20" w:lineRule="exact"/>
        <w:rPr>
          <w:sz w:val="24"/>
          <w:szCs w:val="24"/>
          <w:color w:val="auto"/>
        </w:rPr>
      </w:pPr>
      <w:r>
        <w:rPr>
          <w:sz w:val="24"/>
          <w:szCs w:val="24"/>
          <w:color w:val="auto"/>
        </w:rPr>
        <w:br w:type="column"/>
      </w:r>
    </w:p>
    <w:p>
      <w:pPr>
        <w:spacing w:after="0" w:line="107" w:lineRule="exact"/>
        <w:rPr>
          <w:sz w:val="24"/>
          <w:szCs w:val="24"/>
          <w:color w:val="auto"/>
        </w:rPr>
      </w:pPr>
    </w:p>
    <w:p>
      <w:pPr>
        <w:spacing w:after="0"/>
        <w:rPr>
          <w:sz w:val="20"/>
          <w:szCs w:val="20"/>
          <w:color w:val="auto"/>
        </w:rPr>
      </w:pPr>
      <w:r>
        <w:rPr>
          <w:rFonts w:ascii="Arial" w:cs="Arial" w:eastAsia="Arial" w:hAnsi="Arial"/>
          <w:sz w:val="15"/>
          <w:szCs w:val="15"/>
          <w:b w:val="1"/>
          <w:bCs w:val="1"/>
          <w:color w:val="auto"/>
        </w:rPr>
        <w:t>Name of each exchange on which registered</w:t>
      </w:r>
    </w:p>
    <w:p>
      <w:pPr>
        <w:spacing w:after="0" w:line="101" w:lineRule="exact"/>
        <w:rPr>
          <w:sz w:val="24"/>
          <w:szCs w:val="24"/>
          <w:color w:val="auto"/>
        </w:rPr>
      </w:pPr>
    </w:p>
    <w:p>
      <w:pPr>
        <w:sectPr>
          <w:pgSz w:w="11900" w:h="16838" w:orient="portrait"/>
          <w:cols w:equalWidth="0" w:num="3">
            <w:col w:w="4180" w:space="720"/>
            <w:col w:w="1760" w:space="720"/>
            <w:col w:w="3820"/>
          </w:cols>
          <w:pgMar w:left="320" w:top="998" w:right="379" w:bottom="1440" w:gutter="0" w:footer="0" w:header="0"/>
          <w:type w:val="continuous"/>
        </w:sectPr>
      </w:pPr>
    </w:p>
    <w:p>
      <w:pPr>
        <w:ind w:left="560"/>
        <w:spacing w:after="0"/>
        <w:rPr>
          <w:sz w:val="20"/>
          <w:szCs w:val="20"/>
          <w:color w:val="auto"/>
        </w:rPr>
      </w:pPr>
      <w:r>
        <w:rPr>
          <w:rFonts w:ascii="Arial" w:cs="Arial" w:eastAsia="Arial" w:hAnsi="Arial"/>
          <w:sz w:val="16"/>
          <w:szCs w:val="16"/>
          <w:color w:val="auto"/>
        </w:rPr>
        <w:t>Common Stock $0.16 2/3 par value per share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8"/>
          <w:szCs w:val="18"/>
          <w:color w:val="auto"/>
        </w:rPr>
        <w:t>ADI</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6"/>
          <w:szCs w:val="16"/>
          <w:color w:val="auto"/>
        </w:rPr>
        <w:t>Nasdaq Global Select Market</w:t>
      </w:r>
    </w:p>
    <w:p>
      <w:pPr>
        <w:spacing w:after="0" w:line="166" w:lineRule="exact"/>
        <w:rPr>
          <w:sz w:val="24"/>
          <w:szCs w:val="24"/>
          <w:color w:val="auto"/>
        </w:rPr>
      </w:pPr>
    </w:p>
    <w:p>
      <w:pPr>
        <w:sectPr>
          <w:pgSz w:w="11900" w:h="16838" w:orient="portrait"/>
          <w:cols w:equalWidth="0" w:num="3">
            <w:col w:w="4740" w:space="720"/>
            <w:col w:w="1800" w:space="720"/>
            <w:col w:w="3220"/>
          </w:cols>
          <w:pgMar w:left="320" w:top="998" w:right="379" w:bottom="1440" w:gutter="0" w:footer="0" w:header="0"/>
          <w:type w:val="continuous"/>
        </w:sectPr>
      </w:pPr>
    </w:p>
    <w:p>
      <w:pPr>
        <w:ind w:right="20" w:firstLine="445"/>
        <w:spacing w:after="0" w:line="245"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21"/>
          <w:szCs w:val="21"/>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62" w:lineRule="exact"/>
        <w:rPr>
          <w:sz w:val="24"/>
          <w:szCs w:val="24"/>
          <w:color w:val="auto"/>
        </w:rPr>
      </w:pPr>
    </w:p>
    <w:p>
      <w:pPr>
        <w:ind w:right="60" w:firstLine="445"/>
        <w:spacing w:after="0" w:line="245" w:lineRule="exact"/>
        <w:rPr>
          <w:sz w:val="20"/>
          <w:szCs w:val="20"/>
          <w:color w:val="auto"/>
        </w:rPr>
      </w:pPr>
      <w:r>
        <w:rPr>
          <w:rFonts w:ascii="Arial" w:cs="Arial" w:eastAsia="Arial" w:hAnsi="Arial"/>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21"/>
          <w:szCs w:val="21"/>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62" w:lineRule="exact"/>
        <w:rPr>
          <w:sz w:val="24"/>
          <w:szCs w:val="24"/>
          <w:color w:val="auto"/>
        </w:rPr>
      </w:pPr>
    </w:p>
    <w:p>
      <w:pPr>
        <w:ind w:right="40" w:firstLine="445"/>
        <w:spacing w:after="0" w:line="263"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96" w:lineRule="exact"/>
        <w:rPr>
          <w:sz w:val="24"/>
          <w:szCs w:val="24"/>
          <w:color w:val="auto"/>
        </w:rPr>
      </w:pPr>
    </w:p>
    <w:tbl>
      <w:tblPr>
        <w:tblLayout w:type="fixed"/>
        <w:tblInd w:w="20" w:type="dxa"/>
        <w:tblCellMar>
          <w:top w:w="0" w:type="dxa"/>
          <w:left w:w="0" w:type="dxa"/>
          <w:bottom w:w="0" w:type="dxa"/>
          <w:right w:w="0" w:type="dxa"/>
        </w:tblCellMar>
      </w:tblPr>
      <w:tr>
        <w:trPr>
          <w:trHeight w:val="311"/>
        </w:trPr>
        <w:tc>
          <w:tcPr>
            <w:tcW w:w="2060" w:type="dxa"/>
            <w:vAlign w:val="bottom"/>
          </w:tcPr>
          <w:p>
            <w:pPr>
              <w:spacing w:after="0"/>
              <w:rPr>
                <w:sz w:val="20"/>
                <w:szCs w:val="20"/>
                <w:color w:val="auto"/>
              </w:rPr>
            </w:pPr>
            <w:r>
              <w:rPr>
                <w:rFonts w:ascii="Arial" w:cs="Arial" w:eastAsia="Arial" w:hAnsi="Arial"/>
                <w:sz w:val="18"/>
                <w:szCs w:val="18"/>
                <w:color w:val="auto"/>
              </w:rPr>
              <w:t>Large accelerated filer</w:t>
            </w:r>
          </w:p>
        </w:tc>
        <w:tc>
          <w:tcPr>
            <w:tcW w:w="3240" w:type="dxa"/>
            <w:vAlign w:val="bottom"/>
          </w:tcPr>
          <w:p>
            <w:pPr>
              <w:ind w:left="440"/>
              <w:spacing w:after="0" w:line="221" w:lineRule="exact"/>
              <w:rPr>
                <w:sz w:val="20"/>
                <w:szCs w:val="20"/>
                <w:color w:val="auto"/>
              </w:rPr>
            </w:pPr>
            <w:r>
              <w:rPr>
                <w:rFonts w:ascii="MS PGothic" w:cs="MS PGothic" w:eastAsia="MS PGothic" w:hAnsi="MS PGothic"/>
                <w:sz w:val="22"/>
                <w:szCs w:val="22"/>
                <w:color w:val="auto"/>
              </w:rPr>
              <w:t>☑</w:t>
            </w:r>
          </w:p>
        </w:tc>
        <w:tc>
          <w:tcPr>
            <w:tcW w:w="5020" w:type="dxa"/>
            <w:vAlign w:val="bottom"/>
          </w:tcPr>
          <w:p>
            <w:pPr>
              <w:ind w:left="2600"/>
              <w:spacing w:after="0"/>
              <w:rPr>
                <w:sz w:val="20"/>
                <w:szCs w:val="20"/>
                <w:color w:val="auto"/>
              </w:rPr>
            </w:pPr>
            <w:r>
              <w:rPr>
                <w:rFonts w:ascii="Arial" w:cs="Arial" w:eastAsia="Arial" w:hAnsi="Arial"/>
                <w:sz w:val="18"/>
                <w:szCs w:val="18"/>
                <w:color w:val="auto"/>
              </w:rPr>
              <w:t>Accelerated filer</w:t>
            </w:r>
          </w:p>
        </w:tc>
        <w:tc>
          <w:tcPr>
            <w:tcW w:w="660" w:type="dxa"/>
            <w:vAlign w:val="bottom"/>
          </w:tcPr>
          <w:p>
            <w:pPr>
              <w:ind w:left="460"/>
              <w:spacing w:after="0" w:line="221" w:lineRule="exact"/>
              <w:rPr>
                <w:sz w:val="20"/>
                <w:szCs w:val="20"/>
                <w:color w:val="auto"/>
              </w:rPr>
            </w:pPr>
            <w:r>
              <w:rPr>
                <w:rFonts w:ascii="MS PGothic" w:cs="MS PGothic" w:eastAsia="MS PGothic" w:hAnsi="MS PGothic"/>
                <w:sz w:val="22"/>
                <w:szCs w:val="22"/>
                <w:color w:val="auto"/>
                <w:w w:val="81"/>
              </w:rPr>
              <w:t>☐</w:t>
            </w:r>
          </w:p>
        </w:tc>
      </w:tr>
      <w:tr>
        <w:trPr>
          <w:trHeight w:val="310"/>
        </w:trPr>
        <w:tc>
          <w:tcPr>
            <w:tcW w:w="2060" w:type="dxa"/>
            <w:vAlign w:val="bottom"/>
          </w:tcPr>
          <w:p>
            <w:pPr>
              <w:spacing w:after="0"/>
              <w:rPr>
                <w:sz w:val="20"/>
                <w:szCs w:val="20"/>
                <w:color w:val="auto"/>
              </w:rPr>
            </w:pPr>
            <w:r>
              <w:rPr>
                <w:rFonts w:ascii="Arial" w:cs="Arial" w:eastAsia="Arial" w:hAnsi="Arial"/>
                <w:sz w:val="18"/>
                <w:szCs w:val="18"/>
                <w:color w:val="auto"/>
              </w:rPr>
              <w:t>Non-accelerated filer</w:t>
            </w:r>
          </w:p>
        </w:tc>
        <w:tc>
          <w:tcPr>
            <w:tcW w:w="3240" w:type="dxa"/>
            <w:vAlign w:val="bottom"/>
          </w:tcPr>
          <w:p>
            <w:pPr>
              <w:ind w:left="440"/>
              <w:spacing w:after="0" w:line="221" w:lineRule="exact"/>
              <w:rPr>
                <w:sz w:val="20"/>
                <w:szCs w:val="20"/>
                <w:color w:val="auto"/>
              </w:rPr>
            </w:pPr>
            <w:r>
              <w:rPr>
                <w:rFonts w:ascii="MS PGothic" w:cs="MS PGothic" w:eastAsia="MS PGothic" w:hAnsi="MS PGothic"/>
                <w:sz w:val="22"/>
                <w:szCs w:val="22"/>
                <w:color w:val="auto"/>
              </w:rPr>
              <w:t>☐</w:t>
            </w:r>
          </w:p>
        </w:tc>
        <w:tc>
          <w:tcPr>
            <w:tcW w:w="5020" w:type="dxa"/>
            <w:vAlign w:val="bottom"/>
          </w:tcPr>
          <w:p>
            <w:pPr>
              <w:ind w:left="2600"/>
              <w:spacing w:after="0"/>
              <w:rPr>
                <w:sz w:val="20"/>
                <w:szCs w:val="20"/>
                <w:color w:val="auto"/>
              </w:rPr>
            </w:pPr>
            <w:r>
              <w:rPr>
                <w:rFonts w:ascii="Arial" w:cs="Arial" w:eastAsia="Arial" w:hAnsi="Arial"/>
                <w:sz w:val="18"/>
                <w:szCs w:val="18"/>
                <w:color w:val="auto"/>
              </w:rPr>
              <w:t>Smaller reporting company</w:t>
            </w:r>
          </w:p>
        </w:tc>
        <w:tc>
          <w:tcPr>
            <w:tcW w:w="660" w:type="dxa"/>
            <w:vAlign w:val="bottom"/>
          </w:tcPr>
          <w:p>
            <w:pPr>
              <w:ind w:left="460"/>
              <w:spacing w:after="0" w:line="221" w:lineRule="exact"/>
              <w:rPr>
                <w:sz w:val="20"/>
                <w:szCs w:val="20"/>
                <w:color w:val="auto"/>
              </w:rPr>
            </w:pPr>
            <w:r>
              <w:rPr>
                <w:rFonts w:ascii="MS PGothic" w:cs="MS PGothic" w:eastAsia="MS PGothic" w:hAnsi="MS PGothic"/>
                <w:sz w:val="22"/>
                <w:szCs w:val="22"/>
                <w:color w:val="auto"/>
                <w:w w:val="81"/>
              </w:rPr>
              <w:t>☐</w:t>
            </w:r>
          </w:p>
        </w:tc>
      </w:tr>
      <w:tr>
        <w:trPr>
          <w:trHeight w:val="338"/>
        </w:trPr>
        <w:tc>
          <w:tcPr>
            <w:tcW w:w="2060" w:type="dxa"/>
            <w:vAlign w:val="bottom"/>
          </w:tcPr>
          <w:p>
            <w:pPr>
              <w:spacing w:after="0"/>
              <w:rPr>
                <w:sz w:val="24"/>
                <w:szCs w:val="24"/>
                <w:color w:val="auto"/>
              </w:rPr>
            </w:pPr>
          </w:p>
        </w:tc>
        <w:tc>
          <w:tcPr>
            <w:tcW w:w="3240" w:type="dxa"/>
            <w:vAlign w:val="bottom"/>
          </w:tcPr>
          <w:p>
            <w:pPr>
              <w:spacing w:after="0"/>
              <w:rPr>
                <w:sz w:val="24"/>
                <w:szCs w:val="24"/>
                <w:color w:val="auto"/>
              </w:rPr>
            </w:pPr>
          </w:p>
        </w:tc>
        <w:tc>
          <w:tcPr>
            <w:tcW w:w="5020" w:type="dxa"/>
            <w:vAlign w:val="bottom"/>
          </w:tcPr>
          <w:p>
            <w:pPr>
              <w:ind w:left="2600"/>
              <w:spacing w:after="0"/>
              <w:rPr>
                <w:sz w:val="20"/>
                <w:szCs w:val="20"/>
                <w:color w:val="auto"/>
              </w:rPr>
            </w:pPr>
            <w:r>
              <w:rPr>
                <w:rFonts w:ascii="Arial" w:cs="Arial" w:eastAsia="Arial" w:hAnsi="Arial"/>
                <w:sz w:val="18"/>
                <w:szCs w:val="18"/>
                <w:color w:val="auto"/>
              </w:rPr>
              <w:t>Emerging growth company</w:t>
            </w:r>
          </w:p>
        </w:tc>
        <w:tc>
          <w:tcPr>
            <w:tcW w:w="660" w:type="dxa"/>
            <w:vAlign w:val="bottom"/>
          </w:tcPr>
          <w:p>
            <w:pPr>
              <w:ind w:left="460"/>
              <w:spacing w:after="0" w:line="221" w:lineRule="exact"/>
              <w:rPr>
                <w:sz w:val="20"/>
                <w:szCs w:val="20"/>
                <w:color w:val="auto"/>
              </w:rPr>
            </w:pPr>
            <w:r>
              <w:rPr>
                <w:rFonts w:ascii="MS PGothic" w:cs="MS PGothic" w:eastAsia="MS PGothic" w:hAnsi="MS PGothic"/>
                <w:sz w:val="22"/>
                <w:szCs w:val="22"/>
                <w:color w:val="auto"/>
                <w:w w:val="81"/>
              </w:rPr>
              <w:t>☐</w:t>
            </w:r>
          </w:p>
        </w:tc>
      </w:tr>
    </w:tbl>
    <w:p>
      <w:pPr>
        <w:spacing w:after="0" w:line="87" w:lineRule="exact"/>
        <w:rPr>
          <w:sz w:val="24"/>
          <w:szCs w:val="24"/>
          <w:color w:val="auto"/>
        </w:rPr>
      </w:pPr>
    </w:p>
    <w:p>
      <w:pPr>
        <w:ind w:right="20" w:firstLine="445"/>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41" w:lineRule="exact"/>
        <w:rPr>
          <w:sz w:val="24"/>
          <w:szCs w:val="24"/>
          <w:color w:val="auto"/>
        </w:rPr>
      </w:pPr>
    </w:p>
    <w:p>
      <w:pPr>
        <w:ind w:left="460"/>
        <w:spacing w:after="0" w:line="242" w:lineRule="exact"/>
        <w:tabs>
          <w:tab w:leader="none" w:pos="8780" w:val="left"/>
          <w:tab w:leader="none" w:pos="9420" w:val="left"/>
        </w:tabs>
        <w:rPr>
          <w:sz w:val="20"/>
          <w:szCs w:val="20"/>
          <w:color w:val="auto"/>
        </w:rPr>
      </w:pPr>
      <w:r>
        <w:rPr>
          <w:rFonts w:ascii="Arial" w:cs="Arial" w:eastAsia="Arial" w:hAnsi="Arial"/>
          <w:sz w:val="17"/>
          <w:szCs w:val="17"/>
          <w:color w:val="auto"/>
        </w:rPr>
        <w:t>Indicate by check mark whether the registrant is a shell company (as defined in Rule 12b-2 of the Exchange Act).</w:t>
      </w:r>
      <w:r>
        <w:rPr>
          <w:sz w:val="20"/>
          <w:szCs w:val="20"/>
          <w:color w:val="auto"/>
        </w:rPr>
        <w:tab/>
      </w: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rFonts w:ascii="Arial" w:cs="Arial" w:eastAsia="Arial" w:hAnsi="Arial"/>
          <w:sz w:val="18"/>
          <w:szCs w:val="18"/>
          <w:color w:val="auto"/>
        </w:rPr>
        <w:tab/>
        <w:t xml:space="preserve">No </w:t>
      </w:r>
      <w:r>
        <w:rPr>
          <w:rFonts w:ascii="MS PGothic" w:cs="MS PGothic" w:eastAsia="MS PGothic" w:hAnsi="MS PGothic"/>
          <w:sz w:val="21"/>
          <w:szCs w:val="21"/>
          <w:color w:val="auto"/>
        </w:rPr>
        <w:t>☑</w:t>
      </w:r>
    </w:p>
    <w:p>
      <w:pPr>
        <w:spacing w:after="0" w:line="157" w:lineRule="exact"/>
        <w:rPr>
          <w:sz w:val="24"/>
          <w:szCs w:val="24"/>
          <w:color w:val="auto"/>
        </w:rPr>
      </w:pPr>
    </w:p>
    <w:p>
      <w:pPr>
        <w:ind w:left="460"/>
        <w:spacing w:after="0"/>
        <w:rPr>
          <w:sz w:val="20"/>
          <w:szCs w:val="20"/>
          <w:color w:val="auto"/>
        </w:rPr>
      </w:pPr>
      <w:r>
        <w:rPr>
          <w:rFonts w:ascii="Arial" w:cs="Arial" w:eastAsia="Arial" w:hAnsi="Arial"/>
          <w:sz w:val="18"/>
          <w:szCs w:val="18"/>
          <w:color w:val="auto"/>
        </w:rPr>
        <w:t>As of August 1, 2020 there were 369,166,257 shares of common stock of the registrant, $0.16 2/3 par value per share,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675005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134620</wp:posOffset>
            </wp:positionV>
            <wp:extent cx="708914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08914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100330</wp:posOffset>
            </wp:positionV>
            <wp:extent cx="708914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089140" cy="8890"/>
                    </a:xfrm>
                    <a:prstGeom prst="rect">
                      <a:avLst/>
                    </a:prstGeom>
                    <a:noFill/>
                  </pic:spPr>
                </pic:pic>
              </a:graphicData>
            </a:graphic>
          </wp:anchor>
        </w:drawing>
      </w:r>
    </w:p>
    <w:p>
      <w:pPr>
        <w:sectPr>
          <w:pgSz w:w="11900" w:h="16838" w:orient="portrait"/>
          <w:cols w:equalWidth="0" w:num="1">
            <w:col w:w="11200"/>
          </w:cols>
          <w:pgMar w:left="320" w:top="998" w:right="379" w:bottom="1440" w:gutter="0" w:footer="0" w:header="0"/>
          <w:type w:val="continuous"/>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t>PART I - FINANCIAL INFORMATION</w:t>
      </w:r>
    </w:p>
    <w:p>
      <w:pPr>
        <w:spacing w:after="0" w:line="200" w:lineRule="exact"/>
        <w:rPr>
          <w:sz w:val="20"/>
          <w:szCs w:val="20"/>
          <w:color w:val="auto"/>
        </w:rPr>
      </w:pPr>
    </w:p>
    <w:p>
      <w:pPr>
        <w:spacing w:after="0" w:line="295" w:lineRule="exact"/>
        <w:rPr>
          <w:sz w:val="20"/>
          <w:szCs w:val="20"/>
          <w:color w:val="auto"/>
        </w:rPr>
      </w:pPr>
    </w:p>
    <w:p>
      <w:pPr>
        <w:ind w:left="20"/>
        <w:spacing w:after="0"/>
        <w:tabs>
          <w:tab w:leader="none" w:pos="124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5"/>
          <w:szCs w:val="15"/>
          <w:b w:val="1"/>
          <w:bCs w:val="1"/>
          <w:color w:val="auto"/>
        </w:rPr>
        <w:t>Financial Statements</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ANALOG DEVICES,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INCOME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amounts)</w:t>
      </w:r>
    </w:p>
    <w:p>
      <w:pPr>
        <w:spacing w:after="0" w:line="28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8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500" w:type="dxa"/>
            <w:vAlign w:val="bottom"/>
            <w:tcBorders>
              <w:bottom w:val="single" w:sz="8" w:color="auto"/>
            </w:tcBorders>
            <w:gridSpan w:val="4"/>
          </w:tcPr>
          <w:p>
            <w:pPr>
              <w:jc w:val="right"/>
              <w:ind w:right="591"/>
              <w:spacing w:after="0"/>
              <w:rPr>
                <w:sz w:val="20"/>
                <w:szCs w:val="20"/>
                <w:color w:val="auto"/>
              </w:rPr>
            </w:pPr>
            <w:r>
              <w:rPr>
                <w:rFonts w:ascii="Arial" w:cs="Arial" w:eastAsia="Arial" w:hAnsi="Arial"/>
                <w:sz w:val="14"/>
                <w:szCs w:val="14"/>
                <w:b w:val="1"/>
                <w:bCs w:val="1"/>
                <w:color w:val="auto"/>
              </w:rPr>
              <w:t>Three Months Ended</w:t>
            </w: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520" w:type="dxa"/>
            <w:vAlign w:val="bottom"/>
            <w:tcBorders>
              <w:bottom w:val="single" w:sz="8" w:color="auto"/>
            </w:tcBorders>
            <w:gridSpan w:val="4"/>
          </w:tcPr>
          <w:p>
            <w:pPr>
              <w:jc w:val="right"/>
              <w:ind w:right="631"/>
              <w:spacing w:after="0"/>
              <w:rPr>
                <w:sz w:val="20"/>
                <w:szCs w:val="20"/>
                <w:color w:val="auto"/>
              </w:rPr>
            </w:pPr>
            <w:r>
              <w:rPr>
                <w:rFonts w:ascii="Arial" w:cs="Arial" w:eastAsia="Arial" w:hAnsi="Arial"/>
                <w:sz w:val="14"/>
                <w:szCs w:val="14"/>
                <w:b w:val="1"/>
                <w:bCs w:val="1"/>
                <w:color w:val="auto"/>
              </w:rPr>
              <w:t>Nine Months Ended</w:t>
            </w:r>
          </w:p>
        </w:tc>
      </w:tr>
      <w:tr>
        <w:trPr>
          <w:trHeight w:val="196"/>
        </w:trPr>
        <w:tc>
          <w:tcPr>
            <w:tcW w:w="58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20" w:type="dxa"/>
            <w:vAlign w:val="bottom"/>
            <w:gridSpan w:val="2"/>
          </w:tcPr>
          <w:p>
            <w:pPr>
              <w:ind w:left="20"/>
              <w:spacing w:after="0"/>
              <w:rPr>
                <w:sz w:val="20"/>
                <w:szCs w:val="20"/>
                <w:color w:val="auto"/>
              </w:rPr>
            </w:pPr>
            <w:r>
              <w:rPr>
                <w:rFonts w:ascii="Arial" w:cs="Arial" w:eastAsia="Arial" w:hAnsi="Arial"/>
                <w:sz w:val="14"/>
                <w:szCs w:val="14"/>
                <w:b w:val="1"/>
                <w:bCs w:val="1"/>
                <w:color w:val="auto"/>
              </w:rPr>
              <w:t>August 1, 2020</w:t>
            </w:r>
          </w:p>
        </w:tc>
        <w:tc>
          <w:tcPr>
            <w:tcW w:w="140" w:type="dxa"/>
            <w:vAlign w:val="bottom"/>
          </w:tcPr>
          <w:p>
            <w:pPr>
              <w:spacing w:after="0"/>
              <w:rPr>
                <w:sz w:val="17"/>
                <w:szCs w:val="17"/>
                <w:color w:val="auto"/>
              </w:rPr>
            </w:pPr>
          </w:p>
        </w:tc>
        <w:tc>
          <w:tcPr>
            <w:tcW w:w="1240" w:type="dxa"/>
            <w:vAlign w:val="bottom"/>
            <w:gridSpan w:val="2"/>
          </w:tcPr>
          <w:p>
            <w:pPr>
              <w:ind w:left="40"/>
              <w:spacing w:after="0"/>
              <w:rPr>
                <w:sz w:val="20"/>
                <w:szCs w:val="20"/>
                <w:color w:val="auto"/>
              </w:rPr>
            </w:pPr>
            <w:r>
              <w:rPr>
                <w:rFonts w:ascii="Arial" w:cs="Arial" w:eastAsia="Arial" w:hAnsi="Arial"/>
                <w:sz w:val="14"/>
                <w:szCs w:val="14"/>
                <w:b w:val="1"/>
                <w:bCs w:val="1"/>
                <w:color w:val="auto"/>
              </w:rPr>
              <w:t>August 3, 2019</w:t>
            </w:r>
          </w:p>
        </w:tc>
        <w:tc>
          <w:tcPr>
            <w:tcW w:w="140" w:type="dxa"/>
            <w:vAlign w:val="bottom"/>
          </w:tcPr>
          <w:p>
            <w:pPr>
              <w:spacing w:after="0"/>
              <w:rPr>
                <w:sz w:val="17"/>
                <w:szCs w:val="17"/>
                <w:color w:val="auto"/>
              </w:rPr>
            </w:pPr>
          </w:p>
        </w:tc>
        <w:tc>
          <w:tcPr>
            <w:tcW w:w="1240" w:type="dxa"/>
            <w:vAlign w:val="bottom"/>
            <w:gridSpan w:val="2"/>
          </w:tcPr>
          <w:p>
            <w:pPr>
              <w:ind w:left="40"/>
              <w:spacing w:after="0"/>
              <w:rPr>
                <w:sz w:val="20"/>
                <w:szCs w:val="20"/>
                <w:color w:val="auto"/>
              </w:rPr>
            </w:pPr>
            <w:r>
              <w:rPr>
                <w:rFonts w:ascii="Arial" w:cs="Arial" w:eastAsia="Arial" w:hAnsi="Arial"/>
                <w:sz w:val="14"/>
                <w:szCs w:val="14"/>
                <w:b w:val="1"/>
                <w:bCs w:val="1"/>
                <w:color w:val="auto"/>
              </w:rPr>
              <w:t>August 1, 2020</w:t>
            </w:r>
          </w:p>
        </w:tc>
        <w:tc>
          <w:tcPr>
            <w:tcW w:w="140" w:type="dxa"/>
            <w:vAlign w:val="bottom"/>
          </w:tcPr>
          <w:p>
            <w:pPr>
              <w:spacing w:after="0"/>
              <w:rPr>
                <w:sz w:val="17"/>
                <w:szCs w:val="17"/>
                <w:color w:val="auto"/>
              </w:rPr>
            </w:pPr>
          </w:p>
        </w:tc>
        <w:tc>
          <w:tcPr>
            <w:tcW w:w="1140" w:type="dxa"/>
            <w:vAlign w:val="bottom"/>
          </w:tcPr>
          <w:p>
            <w:pPr>
              <w:jc w:val="right"/>
              <w:ind w:right="91"/>
              <w:spacing w:after="0"/>
              <w:rPr>
                <w:sz w:val="20"/>
                <w:szCs w:val="20"/>
                <w:color w:val="auto"/>
              </w:rPr>
            </w:pPr>
            <w:r>
              <w:rPr>
                <w:rFonts w:ascii="Arial" w:cs="Arial" w:eastAsia="Arial" w:hAnsi="Arial"/>
                <w:sz w:val="14"/>
                <w:szCs w:val="14"/>
                <w:b w:val="1"/>
                <w:bCs w:val="1"/>
                <w:color w:val="auto"/>
                <w:w w:val="95"/>
              </w:rPr>
              <w:t>August 3, 2019</w:t>
            </w:r>
          </w:p>
        </w:tc>
      </w:tr>
      <w:tr>
        <w:trPr>
          <w:trHeight w:val="249"/>
        </w:trPr>
        <w:tc>
          <w:tcPr>
            <w:tcW w:w="58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Revenue</w:t>
            </w: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1,456,136</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1,480,143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4,076,761</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4,547,846</w:t>
            </w:r>
          </w:p>
        </w:tc>
      </w:tr>
      <w:tr>
        <w:trPr>
          <w:trHeight w:val="243"/>
        </w:trPr>
        <w:tc>
          <w:tcPr>
            <w:tcW w:w="5820" w:type="dxa"/>
            <w:vAlign w:val="bottom"/>
          </w:tcPr>
          <w:p>
            <w:pPr>
              <w:ind w:left="20"/>
              <w:spacing w:after="0"/>
              <w:rPr>
                <w:sz w:val="20"/>
                <w:szCs w:val="20"/>
                <w:color w:val="auto"/>
              </w:rPr>
            </w:pPr>
            <w:r>
              <w:rPr>
                <w:rFonts w:ascii="Arial" w:cs="Arial" w:eastAsia="Arial" w:hAnsi="Arial"/>
                <w:sz w:val="18"/>
                <w:szCs w:val="18"/>
                <w:color w:val="auto"/>
              </w:rPr>
              <w:t>Cost of sales</w:t>
            </w:r>
          </w:p>
        </w:tc>
        <w:tc>
          <w:tcPr>
            <w:tcW w:w="1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483,558</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482,332</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1,409,367</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1,476,287</w:t>
            </w:r>
          </w:p>
        </w:tc>
      </w:tr>
      <w:tr>
        <w:trPr>
          <w:trHeight w:val="27"/>
        </w:trPr>
        <w:tc>
          <w:tcPr>
            <w:tcW w:w="58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43"/>
        </w:trPr>
        <w:tc>
          <w:tcPr>
            <w:tcW w:w="582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Gross margin</w:t>
            </w:r>
          </w:p>
        </w:tc>
        <w:tc>
          <w:tcPr>
            <w:tcW w:w="1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972,578</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997,811</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2,667,394</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3,071,559</w:t>
            </w:r>
          </w:p>
        </w:tc>
      </w:tr>
      <w:tr>
        <w:trPr>
          <w:trHeight w:val="243"/>
        </w:trPr>
        <w:tc>
          <w:tcPr>
            <w:tcW w:w="5820" w:type="dxa"/>
            <w:vAlign w:val="bottom"/>
          </w:tcPr>
          <w:p>
            <w:pPr>
              <w:ind w:left="20"/>
              <w:spacing w:after="0"/>
              <w:rPr>
                <w:sz w:val="20"/>
                <w:szCs w:val="20"/>
                <w:color w:val="auto"/>
              </w:rPr>
            </w:pPr>
            <w:r>
              <w:rPr>
                <w:rFonts w:ascii="Arial" w:cs="Arial" w:eastAsia="Arial" w:hAnsi="Arial"/>
                <w:sz w:val="18"/>
                <w:szCs w:val="18"/>
                <w:color w:val="auto"/>
              </w:rPr>
              <w:t>Operating expenses:</w:t>
            </w:r>
          </w:p>
        </w:tc>
        <w:tc>
          <w:tcPr>
            <w:tcW w:w="1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40" w:type="dxa"/>
            <w:vAlign w:val="bottom"/>
          </w:tcPr>
          <w:p>
            <w:pPr>
              <w:spacing w:after="0"/>
              <w:rPr>
                <w:sz w:val="21"/>
                <w:szCs w:val="21"/>
                <w:color w:val="auto"/>
              </w:rPr>
            </w:pPr>
          </w:p>
        </w:tc>
      </w:tr>
      <w:tr>
        <w:trPr>
          <w:trHeight w:val="27"/>
        </w:trPr>
        <w:tc>
          <w:tcPr>
            <w:tcW w:w="58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5820" w:type="dxa"/>
            <w:vAlign w:val="bottom"/>
            <w:tcBorders>
              <w:bottom w:val="single" w:sz="8" w:color="CCEEFF"/>
            </w:tcBorders>
            <w:shd w:val="clear" w:color="auto" w:fill="CCEEFF"/>
          </w:tcPr>
          <w:p>
            <w:pPr>
              <w:ind w:left="660"/>
              <w:spacing w:after="0"/>
              <w:rPr>
                <w:sz w:val="20"/>
                <w:szCs w:val="20"/>
                <w:color w:val="auto"/>
              </w:rPr>
            </w:pPr>
            <w:r>
              <w:rPr>
                <w:rFonts w:ascii="Arial" w:cs="Arial" w:eastAsia="Arial" w:hAnsi="Arial"/>
                <w:sz w:val="18"/>
                <w:szCs w:val="18"/>
                <w:color w:val="auto"/>
              </w:rPr>
              <w:t>Research and development</w:t>
            </w:r>
          </w:p>
        </w:tc>
        <w:tc>
          <w:tcPr>
            <w:tcW w:w="1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260,794</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280,102</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770,280</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853,330</w:t>
            </w:r>
          </w:p>
        </w:tc>
      </w:tr>
      <w:tr>
        <w:trPr>
          <w:trHeight w:val="243"/>
        </w:trPr>
        <w:tc>
          <w:tcPr>
            <w:tcW w:w="5820" w:type="dxa"/>
            <w:vAlign w:val="bottom"/>
          </w:tcPr>
          <w:p>
            <w:pPr>
              <w:ind w:left="660"/>
              <w:spacing w:after="0"/>
              <w:rPr>
                <w:sz w:val="20"/>
                <w:szCs w:val="20"/>
                <w:color w:val="auto"/>
              </w:rPr>
            </w:pPr>
            <w:r>
              <w:rPr>
                <w:rFonts w:ascii="Arial" w:cs="Arial" w:eastAsia="Arial" w:hAnsi="Arial"/>
                <w:sz w:val="18"/>
                <w:szCs w:val="18"/>
                <w:color w:val="auto"/>
              </w:rPr>
              <w:t>Selling, marketing, general and administrative</w:t>
            </w:r>
          </w:p>
        </w:tc>
        <w:tc>
          <w:tcPr>
            <w:tcW w:w="1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153,753</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162,825</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494,808</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493,295</w:t>
            </w:r>
          </w:p>
        </w:tc>
      </w:tr>
      <w:tr>
        <w:trPr>
          <w:trHeight w:val="27"/>
        </w:trPr>
        <w:tc>
          <w:tcPr>
            <w:tcW w:w="58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5820" w:type="dxa"/>
            <w:vAlign w:val="bottom"/>
            <w:tcBorders>
              <w:bottom w:val="single" w:sz="8" w:color="CCEEFF"/>
            </w:tcBorders>
            <w:shd w:val="clear" w:color="auto" w:fill="CCEEFF"/>
          </w:tcPr>
          <w:p>
            <w:pPr>
              <w:ind w:left="660"/>
              <w:spacing w:after="0"/>
              <w:rPr>
                <w:sz w:val="20"/>
                <w:szCs w:val="20"/>
                <w:color w:val="auto"/>
              </w:rPr>
            </w:pPr>
            <w:r>
              <w:rPr>
                <w:rFonts w:ascii="Arial" w:cs="Arial" w:eastAsia="Arial" w:hAnsi="Arial"/>
                <w:sz w:val="18"/>
                <w:szCs w:val="18"/>
                <w:color w:val="auto"/>
              </w:rPr>
              <w:t>Amortization of intangibles</w:t>
            </w:r>
          </w:p>
        </w:tc>
        <w:tc>
          <w:tcPr>
            <w:tcW w:w="1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107,077</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107,231</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321,448</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321,816</w:t>
            </w:r>
          </w:p>
        </w:tc>
      </w:tr>
      <w:tr>
        <w:trPr>
          <w:trHeight w:val="243"/>
        </w:trPr>
        <w:tc>
          <w:tcPr>
            <w:tcW w:w="5820" w:type="dxa"/>
            <w:vAlign w:val="bottom"/>
          </w:tcPr>
          <w:p>
            <w:pPr>
              <w:ind w:left="660"/>
              <w:spacing w:after="0"/>
              <w:rPr>
                <w:sz w:val="20"/>
                <w:szCs w:val="20"/>
                <w:color w:val="auto"/>
              </w:rPr>
            </w:pPr>
            <w:r>
              <w:rPr>
                <w:rFonts w:ascii="Arial" w:cs="Arial" w:eastAsia="Arial" w:hAnsi="Arial"/>
                <w:sz w:val="18"/>
                <w:szCs w:val="18"/>
                <w:color w:val="auto"/>
              </w:rPr>
              <w:t>Special charges</w:t>
            </w:r>
          </w:p>
        </w:tc>
        <w:tc>
          <w:tcPr>
            <w:tcW w:w="1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31,830</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927</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44,286</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30,871</w:t>
            </w:r>
          </w:p>
        </w:tc>
      </w:tr>
      <w:tr>
        <w:trPr>
          <w:trHeight w:val="27"/>
        </w:trPr>
        <w:tc>
          <w:tcPr>
            <w:tcW w:w="58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43"/>
        </w:trPr>
        <w:tc>
          <w:tcPr>
            <w:tcW w:w="58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553,454</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551,085</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1,630,822</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1,699,312</w:t>
            </w:r>
          </w:p>
        </w:tc>
      </w:tr>
      <w:tr>
        <w:trPr>
          <w:trHeight w:val="243"/>
        </w:trPr>
        <w:tc>
          <w:tcPr>
            <w:tcW w:w="5820" w:type="dxa"/>
            <w:vAlign w:val="bottom"/>
          </w:tcPr>
          <w:p>
            <w:pPr>
              <w:ind w:left="20"/>
              <w:spacing w:after="0"/>
              <w:rPr>
                <w:sz w:val="20"/>
                <w:szCs w:val="20"/>
                <w:color w:val="auto"/>
              </w:rPr>
            </w:pPr>
            <w:r>
              <w:rPr>
                <w:rFonts w:ascii="Arial" w:cs="Arial" w:eastAsia="Arial" w:hAnsi="Arial"/>
                <w:sz w:val="18"/>
                <w:szCs w:val="18"/>
                <w:color w:val="auto"/>
              </w:rPr>
              <w:t>Operating income</w:t>
            </w:r>
          </w:p>
        </w:tc>
        <w:tc>
          <w:tcPr>
            <w:tcW w:w="1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419,124</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446,726</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1,036,572</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1,372,247</w:t>
            </w:r>
          </w:p>
        </w:tc>
      </w:tr>
      <w:tr>
        <w:trPr>
          <w:trHeight w:val="27"/>
        </w:trPr>
        <w:tc>
          <w:tcPr>
            <w:tcW w:w="58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58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Nonoperating expense (income):</w:t>
            </w:r>
          </w:p>
        </w:tc>
        <w:tc>
          <w:tcPr>
            <w:tcW w:w="1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r>
      <w:tr>
        <w:trPr>
          <w:trHeight w:val="243"/>
        </w:trPr>
        <w:tc>
          <w:tcPr>
            <w:tcW w:w="5820" w:type="dxa"/>
            <w:vAlign w:val="bottom"/>
          </w:tcPr>
          <w:p>
            <w:pPr>
              <w:ind w:left="660"/>
              <w:spacing w:after="0"/>
              <w:rPr>
                <w:sz w:val="20"/>
                <w:szCs w:val="20"/>
                <w:color w:val="auto"/>
              </w:rPr>
            </w:pPr>
            <w:r>
              <w:rPr>
                <w:rFonts w:ascii="Arial" w:cs="Arial" w:eastAsia="Arial" w:hAnsi="Arial"/>
                <w:sz w:val="18"/>
                <w:szCs w:val="18"/>
                <w:color w:val="auto"/>
              </w:rPr>
              <w:t>Interest expense</w:t>
            </w:r>
          </w:p>
        </w:tc>
        <w:tc>
          <w:tcPr>
            <w:tcW w:w="1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45,914</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59,871</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144,712</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178,300</w:t>
            </w:r>
          </w:p>
        </w:tc>
      </w:tr>
      <w:tr>
        <w:trPr>
          <w:trHeight w:val="27"/>
        </w:trPr>
        <w:tc>
          <w:tcPr>
            <w:tcW w:w="58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5820" w:type="dxa"/>
            <w:vAlign w:val="bottom"/>
            <w:tcBorders>
              <w:bottom w:val="single" w:sz="8" w:color="CCEEFF"/>
            </w:tcBorders>
            <w:shd w:val="clear" w:color="auto" w:fill="CCEEFF"/>
          </w:tcPr>
          <w:p>
            <w:pPr>
              <w:ind w:left="660"/>
              <w:spacing w:after="0"/>
              <w:rPr>
                <w:sz w:val="20"/>
                <w:szCs w:val="20"/>
                <w:color w:val="auto"/>
              </w:rPr>
            </w:pPr>
            <w:r>
              <w:rPr>
                <w:rFonts w:ascii="Arial" w:cs="Arial" w:eastAsia="Arial" w:hAnsi="Arial"/>
                <w:sz w:val="18"/>
                <w:szCs w:val="18"/>
                <w:color w:val="auto"/>
              </w:rPr>
              <w:t>Interest income</w:t>
            </w:r>
          </w:p>
        </w:tc>
        <w:tc>
          <w:tcPr>
            <w:tcW w:w="1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(504)</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(2,625)</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(3,778)</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(8,241)</w:t>
            </w:r>
          </w:p>
        </w:tc>
      </w:tr>
      <w:tr>
        <w:trPr>
          <w:trHeight w:val="243"/>
        </w:trPr>
        <w:tc>
          <w:tcPr>
            <w:tcW w:w="5820" w:type="dxa"/>
            <w:vAlign w:val="bottom"/>
          </w:tcPr>
          <w:p>
            <w:pPr>
              <w:ind w:left="660"/>
              <w:spacing w:after="0"/>
              <w:rPr>
                <w:sz w:val="20"/>
                <w:szCs w:val="20"/>
                <w:color w:val="auto"/>
              </w:rPr>
            </w:pPr>
            <w:r>
              <w:rPr>
                <w:rFonts w:ascii="Arial" w:cs="Arial" w:eastAsia="Arial" w:hAnsi="Arial"/>
                <w:sz w:val="18"/>
                <w:szCs w:val="18"/>
                <w:color w:val="auto"/>
              </w:rPr>
              <w:t>Other, net</w:t>
            </w:r>
          </w:p>
        </w:tc>
        <w:tc>
          <w:tcPr>
            <w:tcW w:w="1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685</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(78)</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1,331</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4,287</w:t>
            </w:r>
          </w:p>
        </w:tc>
      </w:tr>
      <w:tr>
        <w:trPr>
          <w:trHeight w:val="27"/>
        </w:trPr>
        <w:tc>
          <w:tcPr>
            <w:tcW w:w="58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63"/>
        </w:trPr>
        <w:tc>
          <w:tcPr>
            <w:tcW w:w="58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46,095</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57,168</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142,265</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174,346</w:t>
            </w:r>
          </w:p>
        </w:tc>
      </w:tr>
      <w:tr>
        <w:trPr>
          <w:trHeight w:val="237"/>
        </w:trPr>
        <w:tc>
          <w:tcPr>
            <w:tcW w:w="5820" w:type="dxa"/>
            <w:vAlign w:val="bottom"/>
          </w:tcPr>
          <w:p>
            <w:pPr>
              <w:ind w:left="20"/>
              <w:spacing w:after="0"/>
              <w:rPr>
                <w:sz w:val="20"/>
                <w:szCs w:val="20"/>
                <w:color w:val="auto"/>
              </w:rPr>
            </w:pPr>
            <w:r>
              <w:rPr>
                <w:rFonts w:ascii="Arial" w:cs="Arial" w:eastAsia="Arial" w:hAnsi="Arial"/>
                <w:sz w:val="18"/>
                <w:szCs w:val="18"/>
                <w:color w:val="auto"/>
              </w:rPr>
              <w:t>Income before income taxes</w:t>
            </w:r>
          </w:p>
        </w:tc>
        <w:tc>
          <w:tcPr>
            <w:tcW w:w="1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373,029</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389,558</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894,307</w:t>
            </w: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1,197,901</w:t>
            </w:r>
          </w:p>
        </w:tc>
      </w:tr>
      <w:tr>
        <w:trPr>
          <w:trHeight w:val="27"/>
        </w:trPr>
        <w:tc>
          <w:tcPr>
            <w:tcW w:w="58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70"/>
        </w:trPr>
        <w:tc>
          <w:tcPr>
            <w:tcW w:w="58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Provision for income taxes</w:t>
            </w:r>
          </w:p>
        </w:tc>
        <w:tc>
          <w:tcPr>
            <w:tcW w:w="1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10,364</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27,184</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60,072</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112,584</w:t>
            </w:r>
          </w:p>
        </w:tc>
      </w:tr>
      <w:tr>
        <w:trPr>
          <w:trHeight w:val="237"/>
        </w:trPr>
        <w:tc>
          <w:tcPr>
            <w:tcW w:w="5820" w:type="dxa"/>
            <w:vAlign w:val="bottom"/>
          </w:tcPr>
          <w:p>
            <w:pPr>
              <w:ind w:left="20"/>
              <w:spacing w:after="0"/>
              <w:rPr>
                <w:sz w:val="20"/>
                <w:szCs w:val="20"/>
                <w:color w:val="auto"/>
              </w:rPr>
            </w:pPr>
            <w:r>
              <w:rPr>
                <w:rFonts w:ascii="Arial" w:cs="Arial" w:eastAsia="Arial" w:hAnsi="Arial"/>
                <w:sz w:val="18"/>
                <w:szCs w:val="18"/>
                <w:color w:val="auto"/>
              </w:rPr>
              <w:t>Net income</w:t>
            </w: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362,665</w:t>
            </w:r>
          </w:p>
        </w:tc>
        <w:tc>
          <w:tcPr>
            <w:tcW w:w="10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362,374</w:t>
            </w:r>
          </w:p>
        </w:tc>
        <w:tc>
          <w:tcPr>
            <w:tcW w:w="10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834,235</w:t>
            </w:r>
          </w:p>
        </w:tc>
        <w:tc>
          <w:tcPr>
            <w:tcW w:w="12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1,085,317</w:t>
            </w:r>
          </w:p>
        </w:tc>
      </w:tr>
      <w:tr>
        <w:trPr>
          <w:trHeight w:val="27"/>
        </w:trPr>
        <w:tc>
          <w:tcPr>
            <w:tcW w:w="58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0"/>
        </w:trPr>
        <w:tc>
          <w:tcPr>
            <w:tcW w:w="58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r>
        <w:trPr>
          <w:trHeight w:val="237"/>
        </w:trPr>
        <w:tc>
          <w:tcPr>
            <w:tcW w:w="58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r>
      <w:tr>
        <w:trPr>
          <w:trHeight w:val="243"/>
        </w:trPr>
        <w:tc>
          <w:tcPr>
            <w:tcW w:w="5820" w:type="dxa"/>
            <w:vAlign w:val="bottom"/>
          </w:tcPr>
          <w:p>
            <w:pPr>
              <w:ind w:left="20"/>
              <w:spacing w:after="0"/>
              <w:rPr>
                <w:sz w:val="20"/>
                <w:szCs w:val="20"/>
                <w:color w:val="auto"/>
              </w:rPr>
            </w:pPr>
            <w:r>
              <w:rPr>
                <w:rFonts w:ascii="Arial" w:cs="Arial" w:eastAsia="Arial" w:hAnsi="Arial"/>
                <w:sz w:val="18"/>
                <w:szCs w:val="18"/>
                <w:color w:val="auto"/>
              </w:rPr>
              <w:t>Shares used to compute earnings per common share – basic</w:t>
            </w:r>
          </w:p>
        </w:tc>
        <w:tc>
          <w:tcPr>
            <w:tcW w:w="1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368,791</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369,533</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368,417</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369,160</w:t>
            </w:r>
          </w:p>
        </w:tc>
      </w:tr>
      <w:tr>
        <w:trPr>
          <w:trHeight w:val="27"/>
        </w:trPr>
        <w:tc>
          <w:tcPr>
            <w:tcW w:w="58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58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Shares used to compute earnings per common share – diluted</w:t>
            </w:r>
          </w:p>
        </w:tc>
        <w:tc>
          <w:tcPr>
            <w:tcW w:w="1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372,003</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373,077</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371,857</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372,967</w:t>
            </w:r>
          </w:p>
        </w:tc>
      </w:tr>
      <w:tr>
        <w:trPr>
          <w:trHeight w:val="270"/>
        </w:trPr>
        <w:tc>
          <w:tcPr>
            <w:tcW w:w="58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40" w:type="dxa"/>
            <w:vAlign w:val="bottom"/>
          </w:tcPr>
          <w:p>
            <w:pPr>
              <w:spacing w:after="0"/>
              <w:rPr>
                <w:sz w:val="23"/>
                <w:szCs w:val="23"/>
                <w:color w:val="auto"/>
              </w:rPr>
            </w:pPr>
          </w:p>
        </w:tc>
      </w:tr>
      <w:tr>
        <w:trPr>
          <w:trHeight w:val="250"/>
        </w:trPr>
        <w:tc>
          <w:tcPr>
            <w:tcW w:w="58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Basic earnings per common share</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0.98</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0.98</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2.26</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2.93</w:t>
            </w:r>
          </w:p>
        </w:tc>
      </w:tr>
      <w:tr>
        <w:trPr>
          <w:trHeight w:val="243"/>
        </w:trPr>
        <w:tc>
          <w:tcPr>
            <w:tcW w:w="5820" w:type="dxa"/>
            <w:vAlign w:val="bottom"/>
          </w:tcPr>
          <w:p>
            <w:pPr>
              <w:ind w:left="20"/>
              <w:spacing w:after="0"/>
              <w:rPr>
                <w:sz w:val="20"/>
                <w:szCs w:val="20"/>
                <w:color w:val="auto"/>
              </w:rPr>
            </w:pPr>
            <w:r>
              <w:rPr>
                <w:rFonts w:ascii="Arial" w:cs="Arial" w:eastAsia="Arial" w:hAnsi="Arial"/>
                <w:sz w:val="18"/>
                <w:szCs w:val="18"/>
                <w:color w:val="auto"/>
              </w:rPr>
              <w:t>Diluted earnings per common share</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0.97</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0.97</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2.24</w:t>
            </w:r>
          </w:p>
        </w:tc>
        <w:tc>
          <w:tcPr>
            <w:tcW w:w="1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2.90</w:t>
            </w:r>
          </w:p>
        </w:tc>
      </w:tr>
    </w:tbl>
    <w:p>
      <w:pPr>
        <w:spacing w:after="0" w:line="200" w:lineRule="exact"/>
        <w:rPr>
          <w:sz w:val="20"/>
          <w:szCs w:val="20"/>
          <w:color w:val="auto"/>
        </w:rPr>
      </w:pPr>
    </w:p>
    <w:p>
      <w:pPr>
        <w:spacing w:after="0" w:line="380" w:lineRule="exact"/>
        <w:rPr>
          <w:sz w:val="20"/>
          <w:szCs w:val="20"/>
          <w:color w:val="auto"/>
        </w:rPr>
      </w:pPr>
    </w:p>
    <w:p>
      <w:pPr>
        <w:spacing w:after="0"/>
        <w:rPr>
          <w:sz w:val="20"/>
          <w:szCs w:val="20"/>
          <w:color w:val="auto"/>
        </w:rPr>
      </w:pPr>
      <w:r>
        <w:rPr>
          <w:rFonts w:ascii="Arial" w:cs="Arial" w:eastAsia="Arial" w:hAnsi="Arial"/>
          <w:sz w:val="18"/>
          <w:szCs w:val="18"/>
          <w:color w:val="auto"/>
        </w:rPr>
        <w:t>See accompanying notes.</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12" w:right="339" w:bottom="1440" w:gutter="0" w:footer="0" w:header="0"/>
        </w:sectPr>
      </w:pPr>
    </w:p>
    <w:bookmarkStart w:id="2" w:name="page3"/>
    <w:bookmarkEnd w:id="2"/>
    <w:p>
      <w:pPr>
        <w:spacing w:after="0" w:line="153"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ANALOG DEVICES, INC.</w:t>
      </w:r>
    </w:p>
    <w:p>
      <w:pPr>
        <w:spacing w:after="0" w:line="27"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CONDENSED CONSOLIDATED STATEMENTS OF COMPREHENSIVE INCOME</w:t>
      </w:r>
    </w:p>
    <w:p>
      <w:pPr>
        <w:spacing w:after="0" w:line="9"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(in thousands)</w:t>
      </w:r>
    </w:p>
    <w:p>
      <w:pPr>
        <w:spacing w:after="0" w:line="283" w:lineRule="exact"/>
        <w:rPr>
          <w:sz w:val="20"/>
          <w:szCs w:val="20"/>
          <w:color w:val="auto"/>
        </w:rPr>
      </w:pPr>
    </w:p>
    <w:tbl>
      <w:tblPr>
        <w:tblLayout w:type="fixed"/>
        <w:tblInd w:w="5320" w:type="dxa"/>
        <w:tblCellMar>
          <w:top w:w="0" w:type="dxa"/>
          <w:left w:w="0" w:type="dxa"/>
          <w:bottom w:w="0" w:type="dxa"/>
          <w:right w:w="0" w:type="dxa"/>
        </w:tblCellMar>
      </w:tblPr>
      <w:tr>
        <w:trPr>
          <w:trHeight w:val="192"/>
        </w:trPr>
        <w:tc>
          <w:tcPr>
            <w:tcW w:w="2660" w:type="dxa"/>
            <w:vAlign w:val="bottom"/>
            <w:tcBorders>
              <w:bottom w:val="single" w:sz="8" w:color="auto"/>
            </w:tcBorders>
            <w:gridSpan w:val="2"/>
          </w:tcPr>
          <w:p>
            <w:pPr>
              <w:ind w:left="680"/>
              <w:spacing w:after="0"/>
              <w:rPr>
                <w:sz w:val="20"/>
                <w:szCs w:val="20"/>
                <w:color w:val="auto"/>
              </w:rPr>
            </w:pPr>
            <w:r>
              <w:rPr>
                <w:rFonts w:ascii="Arial" w:cs="Arial" w:eastAsia="Arial" w:hAnsi="Arial"/>
                <w:sz w:val="14"/>
                <w:szCs w:val="14"/>
                <w:b w:val="1"/>
                <w:bCs w:val="1"/>
                <w:color w:val="auto"/>
              </w:rPr>
              <w:t>Three Months Ended</w:t>
            </w:r>
          </w:p>
        </w:tc>
        <w:tc>
          <w:tcPr>
            <w:tcW w:w="100" w:type="dxa"/>
            <w:vAlign w:val="bottom"/>
          </w:tcPr>
          <w:p>
            <w:pPr>
              <w:spacing w:after="0"/>
              <w:rPr>
                <w:sz w:val="16"/>
                <w:szCs w:val="16"/>
                <w:color w:val="auto"/>
              </w:rPr>
            </w:pPr>
          </w:p>
        </w:tc>
        <w:tc>
          <w:tcPr>
            <w:tcW w:w="2660" w:type="dxa"/>
            <w:vAlign w:val="bottom"/>
            <w:tcBorders>
              <w:bottom w:val="single" w:sz="8" w:color="auto"/>
            </w:tcBorders>
            <w:gridSpan w:val="2"/>
          </w:tcPr>
          <w:p>
            <w:pPr>
              <w:ind w:left="720"/>
              <w:spacing w:after="0"/>
              <w:rPr>
                <w:sz w:val="20"/>
                <w:szCs w:val="20"/>
                <w:color w:val="auto"/>
              </w:rPr>
            </w:pPr>
            <w:r>
              <w:rPr>
                <w:rFonts w:ascii="Arial" w:cs="Arial" w:eastAsia="Arial" w:hAnsi="Arial"/>
                <w:sz w:val="14"/>
                <w:szCs w:val="14"/>
                <w:b w:val="1"/>
                <w:bCs w:val="1"/>
                <w:color w:val="auto"/>
              </w:rPr>
              <w:t>Nine Months Ended</w:t>
            </w:r>
          </w:p>
        </w:tc>
      </w:tr>
      <w:tr>
        <w:trPr>
          <w:trHeight w:val="190"/>
        </w:trPr>
        <w:tc>
          <w:tcPr>
            <w:tcW w:w="1320" w:type="dxa"/>
            <w:vAlign w:val="bottom"/>
          </w:tcPr>
          <w:p>
            <w:pPr>
              <w:ind w:left="180"/>
              <w:spacing w:after="0"/>
              <w:rPr>
                <w:sz w:val="20"/>
                <w:szCs w:val="20"/>
                <w:color w:val="auto"/>
              </w:rPr>
            </w:pPr>
            <w:r>
              <w:rPr>
                <w:rFonts w:ascii="Arial" w:cs="Arial" w:eastAsia="Arial" w:hAnsi="Arial"/>
                <w:sz w:val="14"/>
                <w:szCs w:val="14"/>
                <w:b w:val="1"/>
                <w:bCs w:val="1"/>
                <w:color w:val="auto"/>
              </w:rPr>
              <w:t>August 1, 2020</w:t>
            </w:r>
          </w:p>
        </w:tc>
        <w:tc>
          <w:tcPr>
            <w:tcW w:w="1440" w:type="dxa"/>
            <w:vAlign w:val="bottom"/>
            <w:gridSpan w:val="2"/>
          </w:tcPr>
          <w:p>
            <w:pPr>
              <w:ind w:left="240"/>
              <w:spacing w:after="0"/>
              <w:rPr>
                <w:sz w:val="20"/>
                <w:szCs w:val="20"/>
                <w:color w:val="auto"/>
              </w:rPr>
            </w:pPr>
            <w:r>
              <w:rPr>
                <w:rFonts w:ascii="Arial" w:cs="Arial" w:eastAsia="Arial" w:hAnsi="Arial"/>
                <w:sz w:val="14"/>
                <w:szCs w:val="14"/>
                <w:b w:val="1"/>
                <w:bCs w:val="1"/>
                <w:color w:val="auto"/>
              </w:rPr>
              <w:t>August 3, 2019</w:t>
            </w:r>
          </w:p>
        </w:tc>
        <w:tc>
          <w:tcPr>
            <w:tcW w:w="1320" w:type="dxa"/>
            <w:vAlign w:val="bottom"/>
          </w:tcPr>
          <w:p>
            <w:pPr>
              <w:ind w:left="180"/>
              <w:spacing w:after="0"/>
              <w:rPr>
                <w:sz w:val="20"/>
                <w:szCs w:val="20"/>
                <w:color w:val="auto"/>
              </w:rPr>
            </w:pPr>
            <w:r>
              <w:rPr>
                <w:rFonts w:ascii="Arial" w:cs="Arial" w:eastAsia="Arial" w:hAnsi="Arial"/>
                <w:sz w:val="14"/>
                <w:szCs w:val="14"/>
                <w:b w:val="1"/>
                <w:bCs w:val="1"/>
                <w:color w:val="auto"/>
              </w:rPr>
              <w:t>August 1, 2020</w:t>
            </w:r>
          </w:p>
        </w:tc>
        <w:tc>
          <w:tcPr>
            <w:tcW w:w="1340" w:type="dxa"/>
            <w:vAlign w:val="bottom"/>
          </w:tcPr>
          <w:p>
            <w:pPr>
              <w:ind w:left="240"/>
              <w:spacing w:after="0"/>
              <w:rPr>
                <w:sz w:val="20"/>
                <w:szCs w:val="20"/>
                <w:color w:val="auto"/>
              </w:rPr>
            </w:pPr>
            <w:r>
              <w:rPr>
                <w:rFonts w:ascii="Arial" w:cs="Arial" w:eastAsia="Arial" w:hAnsi="Arial"/>
                <w:sz w:val="14"/>
                <w:szCs w:val="14"/>
                <w:b w:val="1"/>
                <w:bCs w:val="1"/>
                <w:color w:val="auto"/>
              </w:rPr>
              <w:t>August 3, 2019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6814820" cy="17970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814820" cy="179705"/>
                    </a:xfrm>
                    <a:prstGeom prst="rect">
                      <a:avLst/>
                    </a:prstGeom>
                    <a:noFill/>
                  </pic:spPr>
                </pic:pic>
              </a:graphicData>
            </a:graphic>
          </wp:anchor>
        </w:drawing>
      </w:r>
    </w:p>
    <w:p>
      <w:pPr>
        <w:sectPr>
          <w:pgSz w:w="11900" w:h="16838" w:orient="portrait"/>
          <w:cols w:equalWidth="0" w:num="1">
            <w:col w:w="10740"/>
          </w:cols>
          <w:pgMar w:left="320" w:top="1440" w:right="839" w:bottom="1440" w:gutter="0" w:footer="0" w:header="0"/>
        </w:sectPr>
      </w:pPr>
    </w:p>
    <w:p>
      <w:pPr>
        <w:spacing w:after="0" w:line="38" w:lineRule="exact"/>
        <w:rPr>
          <w:sz w:val="20"/>
          <w:szCs w:val="20"/>
          <w:color w:val="auto"/>
        </w:rPr>
      </w:pPr>
    </w:p>
    <w:p>
      <w:pPr>
        <w:ind w:left="20"/>
        <w:spacing w:after="0"/>
        <w:tabs>
          <w:tab w:leader="none" w:pos="5320" w:val="left"/>
        </w:tabs>
        <w:rPr>
          <w:sz w:val="20"/>
          <w:szCs w:val="20"/>
          <w:color w:val="auto"/>
        </w:rPr>
      </w:pPr>
      <w:r>
        <w:rPr>
          <w:rFonts w:ascii="Arial" w:cs="Arial" w:eastAsia="Arial" w:hAnsi="Arial"/>
          <w:sz w:val="18"/>
          <w:szCs w:val="18"/>
          <w:color w:val="auto"/>
        </w:rPr>
        <w:t>Net income</w:t>
      </w:r>
      <w:r>
        <w:rPr>
          <w:sz w:val="20"/>
          <w:szCs w:val="20"/>
          <w:color w:val="auto"/>
        </w:rPr>
        <w:tab/>
      </w:r>
      <w:r>
        <w:rPr>
          <w:rFonts w:ascii="Arial" w:cs="Arial" w:eastAsia="Arial" w:hAnsi="Arial"/>
          <w:sz w:val="17"/>
          <w:szCs w:val="17"/>
          <w:color w:val="auto"/>
        </w:rPr>
        <w:t>$</w:t>
      </w:r>
    </w:p>
    <w:p>
      <w:pPr>
        <w:spacing w:after="0" w:line="63" w:lineRule="exact"/>
        <w:rPr>
          <w:sz w:val="20"/>
          <w:szCs w:val="20"/>
          <w:color w:val="auto"/>
        </w:rPr>
      </w:pPr>
    </w:p>
    <w:p>
      <w:pPr>
        <w:ind w:left="120"/>
        <w:spacing w:after="0"/>
        <w:rPr>
          <w:sz w:val="20"/>
          <w:szCs w:val="20"/>
          <w:color w:val="auto"/>
        </w:rPr>
      </w:pPr>
      <w:r>
        <w:rPr>
          <w:rFonts w:ascii="Arial" w:cs="Arial" w:eastAsia="Arial" w:hAnsi="Arial"/>
          <w:sz w:val="18"/>
          <w:szCs w:val="18"/>
          <w:color w:val="auto"/>
        </w:rPr>
        <w:t>Foreign currency translation adjustments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6814820" cy="17145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814820" cy="171450"/>
                    </a:xfrm>
                    <a:prstGeom prst="rect">
                      <a:avLst/>
                    </a:prstGeom>
                    <a:noFill/>
                  </pic:spPr>
                </pic:pic>
              </a:graphicData>
            </a:graphic>
          </wp:anchor>
        </w:drawing>
      </w:r>
    </w:p>
    <w:p>
      <w:pPr>
        <w:spacing w:after="0" w:line="43" w:lineRule="exact"/>
        <w:rPr>
          <w:sz w:val="20"/>
          <w:szCs w:val="20"/>
          <w:color w:val="auto"/>
        </w:rPr>
      </w:pPr>
    </w:p>
    <w:p>
      <w:pPr>
        <w:ind w:left="120"/>
        <w:spacing w:after="0"/>
        <w:rPr>
          <w:sz w:val="20"/>
          <w:szCs w:val="20"/>
          <w:color w:val="auto"/>
        </w:rPr>
      </w:pPr>
      <w:r>
        <w:rPr>
          <w:rFonts w:ascii="Arial" w:cs="Arial" w:eastAsia="Arial" w:hAnsi="Arial"/>
          <w:sz w:val="18"/>
          <w:szCs w:val="18"/>
          <w:color w:val="auto"/>
        </w:rPr>
        <w:t>Change in fair value of available-for-sale securities</w:t>
      </w:r>
    </w:p>
    <w:p>
      <w:pPr>
        <w:spacing w:after="0" w:line="50" w:lineRule="exact"/>
        <w:rPr>
          <w:sz w:val="20"/>
          <w:szCs w:val="20"/>
          <w:color w:val="auto"/>
        </w:rPr>
      </w:pPr>
    </w:p>
    <w:p>
      <w:pPr>
        <w:ind w:left="140" w:right="240"/>
        <w:spacing w:after="0" w:line="224" w:lineRule="auto"/>
        <w:rPr>
          <w:sz w:val="20"/>
          <w:szCs w:val="20"/>
          <w:color w:val="auto"/>
        </w:rPr>
      </w:pPr>
      <w:r>
        <w:rPr>
          <w:rFonts w:ascii="Arial" w:cs="Arial" w:eastAsia="Arial" w:hAnsi="Arial"/>
          <w:sz w:val="18"/>
          <w:szCs w:val="18"/>
          <w:color w:val="auto"/>
        </w:rPr>
        <w:t>Change in fair value of derivative instruments designated as cash flow hedges (net of taxes of $1,437, $14,574, $26,503 and $24,757, respectively)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1270</wp:posOffset>
            </wp:positionV>
            <wp:extent cx="6814820" cy="36830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814820" cy="368300"/>
                    </a:xfrm>
                    <a:prstGeom prst="rect">
                      <a:avLst/>
                    </a:prstGeom>
                    <a:noFill/>
                  </pic:spPr>
                </pic:pic>
              </a:graphicData>
            </a:graphic>
          </wp:anchor>
        </w:drawing>
      </w:r>
    </w:p>
    <w:p>
      <w:pPr>
        <w:jc w:val="both"/>
        <w:ind w:left="140" w:right="180"/>
        <w:spacing w:after="0" w:line="224" w:lineRule="auto"/>
        <w:rPr>
          <w:sz w:val="20"/>
          <w:szCs w:val="20"/>
          <w:color w:val="auto"/>
        </w:rPr>
      </w:pPr>
      <w:r>
        <w:rPr>
          <w:rFonts w:ascii="Arial" w:cs="Arial" w:eastAsia="Arial" w:hAnsi="Arial"/>
          <w:sz w:val="18"/>
          <w:szCs w:val="18"/>
          <w:color w:val="auto"/>
        </w:rPr>
        <w:t>Changes in pension plans including transition obligation, net actuarial loss and foreign currency translation adjustments (net of taxes of $168, $60, $485 and $186, respectively)</w:t>
      </w:r>
    </w:p>
    <w:p>
      <w:pPr>
        <w:spacing w:after="0" w:line="20" w:lineRule="exact"/>
        <w:rPr>
          <w:sz w:val="20"/>
          <w:szCs w:val="20"/>
          <w:color w:val="auto"/>
        </w:rPr>
      </w:pPr>
      <w:r>
        <w:rPr>
          <w:sz w:val="20"/>
          <w:szCs w:val="20"/>
          <w:color w:val="auto"/>
        </w:rPr>
        <w:br w:type="column"/>
      </w:r>
    </w:p>
    <w:p>
      <w:pPr>
        <w:spacing w:after="0" w:line="1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0"/>
        </w:trPr>
        <w:tc>
          <w:tcPr>
            <w:tcW w:w="720" w:type="dxa"/>
            <w:vAlign w:val="bottom"/>
          </w:tcPr>
          <w:p>
            <w:pPr>
              <w:jc w:val="right"/>
              <w:ind w:right="30"/>
              <w:spacing w:after="0"/>
              <w:rPr>
                <w:sz w:val="20"/>
                <w:szCs w:val="20"/>
                <w:color w:val="auto"/>
              </w:rPr>
            </w:pPr>
            <w:r>
              <w:rPr>
                <w:rFonts w:ascii="Arial" w:cs="Arial" w:eastAsia="Arial" w:hAnsi="Arial"/>
                <w:sz w:val="18"/>
                <w:szCs w:val="18"/>
                <w:color w:val="auto"/>
                <w:w w:val="89"/>
              </w:rPr>
              <w:t>362,665</w:t>
            </w:r>
          </w:p>
        </w:tc>
        <w:tc>
          <w:tcPr>
            <w:tcW w:w="42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50"/>
              <w:spacing w:after="0"/>
              <w:rPr>
                <w:sz w:val="20"/>
                <w:szCs w:val="20"/>
                <w:color w:val="auto"/>
              </w:rPr>
            </w:pPr>
            <w:r>
              <w:rPr>
                <w:rFonts w:ascii="Arial" w:cs="Arial" w:eastAsia="Arial" w:hAnsi="Arial"/>
                <w:sz w:val="18"/>
                <w:szCs w:val="18"/>
                <w:color w:val="auto"/>
              </w:rPr>
              <w:t>362,374</w:t>
            </w:r>
          </w:p>
        </w:tc>
        <w:tc>
          <w:tcPr>
            <w:tcW w:w="420" w:type="dxa"/>
            <w:vAlign w:val="bottom"/>
          </w:tcPr>
          <w:p>
            <w:pPr>
              <w:jc w:val="right"/>
              <w:ind w:right="170"/>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50"/>
              <w:spacing w:after="0"/>
              <w:rPr>
                <w:sz w:val="20"/>
                <w:szCs w:val="20"/>
                <w:color w:val="auto"/>
              </w:rPr>
            </w:pPr>
            <w:r>
              <w:rPr>
                <w:rFonts w:ascii="Arial" w:cs="Arial" w:eastAsia="Arial" w:hAnsi="Arial"/>
                <w:sz w:val="18"/>
                <w:szCs w:val="18"/>
                <w:color w:val="auto"/>
              </w:rPr>
              <w:t>834,235</w:t>
            </w:r>
          </w:p>
        </w:tc>
        <w:tc>
          <w:tcPr>
            <w:tcW w:w="36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1,085,317</w:t>
            </w:r>
          </w:p>
        </w:tc>
      </w:tr>
      <w:tr>
        <w:trPr>
          <w:trHeight w:val="270"/>
        </w:trPr>
        <w:tc>
          <w:tcPr>
            <w:tcW w:w="720" w:type="dxa"/>
            <w:vAlign w:val="bottom"/>
          </w:tcPr>
          <w:p>
            <w:pPr>
              <w:jc w:val="right"/>
              <w:ind w:right="30"/>
              <w:spacing w:after="0"/>
              <w:rPr>
                <w:sz w:val="20"/>
                <w:szCs w:val="20"/>
                <w:color w:val="auto"/>
              </w:rPr>
            </w:pPr>
            <w:r>
              <w:rPr>
                <w:rFonts w:ascii="Arial" w:cs="Arial" w:eastAsia="Arial" w:hAnsi="Arial"/>
                <w:sz w:val="18"/>
                <w:szCs w:val="18"/>
                <w:color w:val="auto"/>
              </w:rPr>
              <w:t>7,257</w:t>
            </w:r>
          </w:p>
        </w:tc>
        <w:tc>
          <w:tcPr>
            <w:tcW w:w="42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(4,021)</w:t>
            </w:r>
          </w:p>
        </w:tc>
        <w:tc>
          <w:tcPr>
            <w:tcW w:w="420" w:type="dxa"/>
            <w:vAlign w:val="bottom"/>
          </w:tcPr>
          <w:p>
            <w:pPr>
              <w:spacing w:after="0"/>
              <w:rPr>
                <w:sz w:val="23"/>
                <w:szCs w:val="23"/>
                <w:color w:val="auto"/>
              </w:rPr>
            </w:pPr>
          </w:p>
        </w:tc>
        <w:tc>
          <w:tcPr>
            <w:tcW w:w="960" w:type="dxa"/>
            <w:vAlign w:val="bottom"/>
          </w:tcPr>
          <w:p>
            <w:pPr>
              <w:jc w:val="right"/>
              <w:ind w:right="50"/>
              <w:spacing w:after="0"/>
              <w:rPr>
                <w:sz w:val="20"/>
                <w:szCs w:val="20"/>
                <w:color w:val="auto"/>
              </w:rPr>
            </w:pPr>
            <w:r>
              <w:rPr>
                <w:rFonts w:ascii="Arial" w:cs="Arial" w:eastAsia="Arial" w:hAnsi="Arial"/>
                <w:sz w:val="18"/>
                <w:szCs w:val="18"/>
                <w:color w:val="auto"/>
              </w:rPr>
              <w:t>197</w:t>
            </w:r>
          </w:p>
        </w:tc>
        <w:tc>
          <w:tcPr>
            <w:tcW w:w="36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(4,133)</w:t>
            </w:r>
          </w:p>
        </w:tc>
      </w:tr>
      <w:tr>
        <w:trPr>
          <w:trHeight w:val="270"/>
        </w:trPr>
        <w:tc>
          <w:tcPr>
            <w:tcW w:w="7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w:t>
            </w:r>
          </w:p>
        </w:tc>
        <w:tc>
          <w:tcPr>
            <w:tcW w:w="420" w:type="dxa"/>
            <w:vAlign w:val="bottom"/>
          </w:tcPr>
          <w:p>
            <w:pPr>
              <w:spacing w:after="0"/>
              <w:rPr>
                <w:sz w:val="23"/>
                <w:szCs w:val="23"/>
                <w:color w:val="auto"/>
              </w:rPr>
            </w:pPr>
          </w:p>
        </w:tc>
        <w:tc>
          <w:tcPr>
            <w:tcW w:w="96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580"/>
        </w:trPr>
        <w:tc>
          <w:tcPr>
            <w:tcW w:w="720" w:type="dxa"/>
            <w:vAlign w:val="bottom"/>
          </w:tcPr>
          <w:p>
            <w:pPr>
              <w:jc w:val="right"/>
              <w:spacing w:after="0"/>
              <w:rPr>
                <w:sz w:val="20"/>
                <w:szCs w:val="20"/>
                <w:color w:val="auto"/>
              </w:rPr>
            </w:pPr>
            <w:r>
              <w:rPr>
                <w:rFonts w:ascii="Arial" w:cs="Arial" w:eastAsia="Arial" w:hAnsi="Arial"/>
                <w:sz w:val="18"/>
                <w:szCs w:val="18"/>
                <w:color w:val="auto"/>
              </w:rPr>
              <w:t>(1,605)</w:t>
            </w:r>
          </w:p>
        </w:tc>
        <w:tc>
          <w:tcPr>
            <w:tcW w:w="42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(54,811)</w:t>
            </w:r>
          </w:p>
        </w:tc>
        <w:tc>
          <w:tcPr>
            <w:tcW w:w="420" w:type="dxa"/>
            <w:vAlign w:val="bottom"/>
          </w:tcPr>
          <w:p>
            <w:pPr>
              <w:spacing w:after="0"/>
              <w:rPr>
                <w:sz w:val="24"/>
                <w:szCs w:val="24"/>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(83,016)</w:t>
            </w:r>
          </w:p>
        </w:tc>
        <w:tc>
          <w:tcPr>
            <w:tcW w:w="36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(92,661)</w:t>
            </w:r>
          </w:p>
        </w:tc>
      </w:tr>
      <w:tr>
        <w:trPr>
          <w:trHeight w:val="581"/>
        </w:trPr>
        <w:tc>
          <w:tcPr>
            <w:tcW w:w="720" w:type="dxa"/>
            <w:vAlign w:val="bottom"/>
          </w:tcPr>
          <w:p>
            <w:pPr>
              <w:jc w:val="right"/>
              <w:spacing w:after="0"/>
              <w:rPr>
                <w:sz w:val="20"/>
                <w:szCs w:val="20"/>
                <w:color w:val="auto"/>
              </w:rPr>
            </w:pPr>
            <w:r>
              <w:rPr>
                <w:rFonts w:ascii="Arial" w:cs="Arial" w:eastAsia="Arial" w:hAnsi="Arial"/>
                <w:sz w:val="18"/>
                <w:szCs w:val="18"/>
                <w:color w:val="auto"/>
              </w:rPr>
              <w:t>(1,579)</w:t>
            </w:r>
          </w:p>
        </w:tc>
        <w:tc>
          <w:tcPr>
            <w:tcW w:w="420" w:type="dxa"/>
            <w:vAlign w:val="bottom"/>
          </w:tcPr>
          <w:p>
            <w:pPr>
              <w:spacing w:after="0"/>
              <w:rPr>
                <w:sz w:val="24"/>
                <w:szCs w:val="24"/>
                <w:color w:val="auto"/>
              </w:rPr>
            </w:pPr>
          </w:p>
        </w:tc>
        <w:tc>
          <w:tcPr>
            <w:tcW w:w="960" w:type="dxa"/>
            <w:vAlign w:val="bottom"/>
          </w:tcPr>
          <w:p>
            <w:pPr>
              <w:jc w:val="right"/>
              <w:ind w:right="50"/>
              <w:spacing w:after="0"/>
              <w:rPr>
                <w:sz w:val="20"/>
                <w:szCs w:val="20"/>
                <w:color w:val="auto"/>
              </w:rPr>
            </w:pPr>
            <w:r>
              <w:rPr>
                <w:rFonts w:ascii="Arial" w:cs="Arial" w:eastAsia="Arial" w:hAnsi="Arial"/>
                <w:sz w:val="18"/>
                <w:szCs w:val="18"/>
                <w:color w:val="auto"/>
              </w:rPr>
              <w:t>1,185</w:t>
            </w:r>
          </w:p>
        </w:tc>
        <w:tc>
          <w:tcPr>
            <w:tcW w:w="420" w:type="dxa"/>
            <w:vAlign w:val="bottom"/>
          </w:tcPr>
          <w:p>
            <w:pPr>
              <w:spacing w:after="0"/>
              <w:rPr>
                <w:sz w:val="24"/>
                <w:szCs w:val="24"/>
                <w:color w:val="auto"/>
              </w:rPr>
            </w:pPr>
          </w:p>
        </w:tc>
        <w:tc>
          <w:tcPr>
            <w:tcW w:w="960" w:type="dxa"/>
            <w:vAlign w:val="bottom"/>
          </w:tcPr>
          <w:p>
            <w:pPr>
              <w:jc w:val="right"/>
              <w:ind w:right="50"/>
              <w:spacing w:after="0"/>
              <w:rPr>
                <w:sz w:val="20"/>
                <w:szCs w:val="20"/>
                <w:color w:val="auto"/>
              </w:rPr>
            </w:pPr>
            <w:r>
              <w:rPr>
                <w:rFonts w:ascii="Arial" w:cs="Arial" w:eastAsia="Arial" w:hAnsi="Arial"/>
                <w:sz w:val="18"/>
                <w:szCs w:val="18"/>
                <w:color w:val="auto"/>
              </w:rPr>
              <w:t>68</w:t>
            </w:r>
          </w:p>
        </w:tc>
        <w:tc>
          <w:tcPr>
            <w:tcW w:w="36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1,551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-375920</wp:posOffset>
            </wp:positionH>
            <wp:positionV relativeFrom="paragraph">
              <wp:posOffset>17145</wp:posOffset>
            </wp:positionV>
            <wp:extent cx="3437255"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437255" cy="8255"/>
                    </a:xfrm>
                    <a:prstGeom prst="rect">
                      <a:avLst/>
                    </a:prstGeom>
                    <a:noFill/>
                  </pic:spPr>
                </pic:pic>
              </a:graphicData>
            </a:graphic>
          </wp:anchor>
        </w:drawing>
      </w:r>
    </w:p>
    <w:p>
      <w:pPr>
        <w:spacing w:after="0" w:line="53" w:lineRule="exact"/>
        <w:rPr>
          <w:sz w:val="20"/>
          <w:szCs w:val="20"/>
          <w:color w:val="auto"/>
        </w:rPr>
      </w:pPr>
    </w:p>
    <w:p>
      <w:pPr>
        <w:sectPr>
          <w:pgSz w:w="11900" w:h="16838" w:orient="portrait"/>
          <w:cols w:equalWidth="0" w:num="2">
            <w:col w:w="5440" w:space="480"/>
            <w:col w:w="4820"/>
          </w:cols>
          <w:pgMar w:left="320" w:top="1440" w:right="839" w:bottom="1440" w:gutter="0" w:footer="0" w:header="0"/>
          <w:type w:val="continuous"/>
        </w:sectPr>
      </w:pPr>
    </w:p>
    <w:tbl>
      <w:tblPr>
        <w:tblLayout w:type="fixed"/>
        <w:tblInd w:w="0" w:type="dxa"/>
        <w:tblCellMar>
          <w:top w:w="0" w:type="dxa"/>
          <w:left w:w="0" w:type="dxa"/>
          <w:bottom w:w="0" w:type="dxa"/>
          <w:right w:w="0" w:type="dxa"/>
        </w:tblCellMar>
      </w:tblPr>
      <w:tr>
        <w:trPr>
          <w:trHeight w:val="230"/>
        </w:trPr>
        <w:tc>
          <w:tcPr>
            <w:tcW w:w="5320" w:type="dxa"/>
            <w:vAlign w:val="bottom"/>
          </w:tcPr>
          <w:p>
            <w:pPr>
              <w:ind w:left="120"/>
              <w:spacing w:after="0"/>
              <w:rPr>
                <w:sz w:val="20"/>
                <w:szCs w:val="20"/>
                <w:color w:val="auto"/>
              </w:rPr>
            </w:pPr>
            <w:r>
              <w:rPr>
                <w:rFonts w:ascii="Arial" w:cs="Arial" w:eastAsia="Arial" w:hAnsi="Arial"/>
                <w:sz w:val="18"/>
                <w:szCs w:val="18"/>
                <w:color w:val="auto"/>
              </w:rPr>
              <w:t>Other comprehensive income (loss)</w:t>
            </w:r>
          </w:p>
        </w:tc>
        <w:tc>
          <w:tcPr>
            <w:tcW w:w="36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4,073</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20" w:type="dxa"/>
            <w:vAlign w:val="bottom"/>
          </w:tcPr>
          <w:p>
            <w:pPr>
              <w:ind w:left="260"/>
              <w:spacing w:after="0"/>
              <w:rPr>
                <w:sz w:val="20"/>
                <w:szCs w:val="20"/>
                <w:color w:val="auto"/>
              </w:rPr>
            </w:pPr>
            <w:r>
              <w:rPr>
                <w:rFonts w:ascii="Arial" w:cs="Arial" w:eastAsia="Arial" w:hAnsi="Arial"/>
                <w:sz w:val="18"/>
                <w:szCs w:val="18"/>
                <w:color w:val="auto"/>
                <w:w w:val="95"/>
              </w:rPr>
              <w:t>(57,652)</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00" w:type="dxa"/>
            <w:vAlign w:val="bottom"/>
          </w:tcPr>
          <w:p>
            <w:pPr>
              <w:ind w:left="260"/>
              <w:spacing w:after="0"/>
              <w:rPr>
                <w:sz w:val="20"/>
                <w:szCs w:val="20"/>
                <w:color w:val="auto"/>
              </w:rPr>
            </w:pPr>
            <w:r>
              <w:rPr>
                <w:rFonts w:ascii="Arial" w:cs="Arial" w:eastAsia="Arial" w:hAnsi="Arial"/>
                <w:sz w:val="18"/>
                <w:szCs w:val="18"/>
                <w:color w:val="auto"/>
                <w:w w:val="92"/>
              </w:rPr>
              <w:t>(82,751)</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20" w:type="dxa"/>
            <w:vAlign w:val="bottom"/>
          </w:tcPr>
          <w:p>
            <w:pPr>
              <w:ind w:left="260"/>
              <w:spacing w:after="0"/>
              <w:rPr>
                <w:sz w:val="20"/>
                <w:szCs w:val="20"/>
                <w:color w:val="auto"/>
              </w:rPr>
            </w:pPr>
            <w:r>
              <w:rPr>
                <w:rFonts w:ascii="Arial" w:cs="Arial" w:eastAsia="Arial" w:hAnsi="Arial"/>
                <w:sz w:val="18"/>
                <w:szCs w:val="18"/>
                <w:color w:val="auto"/>
                <w:w w:val="95"/>
              </w:rPr>
              <w:t>(95,233)</w:t>
            </w:r>
          </w:p>
        </w:tc>
      </w:tr>
      <w:tr>
        <w:trPr>
          <w:trHeight w:val="27"/>
        </w:trPr>
        <w:tc>
          <w:tcPr>
            <w:tcW w:w="53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89"/>
        </w:trPr>
        <w:tc>
          <w:tcPr>
            <w:tcW w:w="5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Comprehensive income</w:t>
            </w: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366,738</w:t>
            </w:r>
          </w:p>
        </w:tc>
        <w:tc>
          <w:tcPr>
            <w:tcW w:w="100" w:type="dxa"/>
            <w:vAlign w:val="bottom"/>
            <w:tcBorders>
              <w:bottom w:val="single" w:sz="8" w:color="CCEEFF"/>
            </w:tcBorders>
            <w:shd w:val="clear" w:color="auto" w:fill="CCEEFF"/>
          </w:tcPr>
          <w:p>
            <w:pPr>
              <w:spacing w:after="0"/>
              <w:rPr>
                <w:sz w:val="24"/>
                <w:szCs w:val="24"/>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shd w:val="clear" w:color="auto" w:fill="CCEEFF"/>
          </w:tcPr>
          <w:p>
            <w:pPr>
              <w:ind w:left="240"/>
              <w:spacing w:after="0"/>
              <w:rPr>
                <w:sz w:val="20"/>
                <w:szCs w:val="20"/>
                <w:color w:val="auto"/>
              </w:rPr>
            </w:pPr>
            <w:r>
              <w:rPr>
                <w:rFonts w:ascii="Arial" w:cs="Arial" w:eastAsia="Arial" w:hAnsi="Arial"/>
                <w:sz w:val="18"/>
                <w:szCs w:val="18"/>
                <w:color w:val="auto"/>
              </w:rPr>
              <w:t>304,722</w:t>
            </w:r>
          </w:p>
        </w:tc>
        <w:tc>
          <w:tcPr>
            <w:tcW w:w="100" w:type="dxa"/>
            <w:vAlign w:val="bottom"/>
            <w:tcBorders>
              <w:bottom w:val="single" w:sz="8" w:color="CCEEFF"/>
            </w:tcBorders>
            <w:shd w:val="clear" w:color="auto" w:fill="CCEEFF"/>
          </w:tcPr>
          <w:p>
            <w:pPr>
              <w:spacing w:after="0"/>
              <w:rPr>
                <w:sz w:val="24"/>
                <w:szCs w:val="24"/>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shd w:val="clear" w:color="auto" w:fill="CCEEFF"/>
          </w:tcPr>
          <w:p>
            <w:pPr>
              <w:ind w:left="240"/>
              <w:spacing w:after="0"/>
              <w:rPr>
                <w:sz w:val="20"/>
                <w:szCs w:val="20"/>
                <w:color w:val="auto"/>
              </w:rPr>
            </w:pPr>
            <w:r>
              <w:rPr>
                <w:rFonts w:ascii="Arial" w:cs="Arial" w:eastAsia="Arial" w:hAnsi="Arial"/>
                <w:sz w:val="18"/>
                <w:szCs w:val="18"/>
                <w:color w:val="auto"/>
                <w:w w:val="98"/>
              </w:rPr>
              <w:t>751,484</w:t>
            </w:r>
          </w:p>
        </w:tc>
        <w:tc>
          <w:tcPr>
            <w:tcW w:w="120" w:type="dxa"/>
            <w:vAlign w:val="bottom"/>
            <w:tcBorders>
              <w:bottom w:val="single" w:sz="8" w:color="CCEEFF"/>
            </w:tcBorders>
            <w:shd w:val="clear" w:color="auto" w:fill="CCEEFF"/>
          </w:tcPr>
          <w:p>
            <w:pPr>
              <w:spacing w:after="0"/>
              <w:rPr>
                <w:sz w:val="24"/>
                <w:szCs w:val="24"/>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shd w:val="clear" w:color="auto" w:fill="CCEEFF"/>
          </w:tcPr>
          <w:p>
            <w:pPr>
              <w:ind w:left="260"/>
              <w:spacing w:after="0"/>
              <w:rPr>
                <w:sz w:val="20"/>
                <w:szCs w:val="20"/>
                <w:color w:val="auto"/>
              </w:rPr>
            </w:pPr>
            <w:r>
              <w:rPr>
                <w:rFonts w:ascii="Arial" w:cs="Arial" w:eastAsia="Arial" w:hAnsi="Arial"/>
                <w:sz w:val="18"/>
                <w:szCs w:val="18"/>
                <w:color w:val="auto"/>
                <w:w w:val="98"/>
              </w:rPr>
              <w:t>990,084</w:t>
            </w:r>
          </w:p>
        </w:tc>
      </w:tr>
      <w:tr>
        <w:trPr>
          <w:trHeight w:val="20"/>
        </w:trPr>
        <w:tc>
          <w:tcPr>
            <w:tcW w:w="53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color w:val="auto"/>
        </w:rPr>
        <w:t>See accompanying notes.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ind w:right="-49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740"/>
          </w:cols>
          <w:pgMar w:left="320" w:top="1440" w:right="839" w:bottom="1440" w:gutter="0" w:footer="0" w:header="0"/>
          <w:type w:val="continuous"/>
        </w:sectPr>
      </w:pPr>
    </w:p>
    <w:bookmarkStart w:id="3" w:name="page4"/>
    <w:bookmarkEnd w:id="3"/>
    <w:p>
      <w:pPr>
        <w:jc w:val="center"/>
        <w:ind w:right="-19"/>
        <w:spacing w:after="0"/>
        <w:rPr>
          <w:sz w:val="20"/>
          <w:szCs w:val="20"/>
          <w:color w:val="auto"/>
        </w:rPr>
      </w:pPr>
      <w:r>
        <w:rPr>
          <w:rFonts w:ascii="Arial" w:cs="Arial" w:eastAsia="Arial" w:hAnsi="Arial"/>
          <w:sz w:val="18"/>
          <w:szCs w:val="18"/>
          <w:b w:val="1"/>
          <w:bCs w:val="1"/>
          <w:color w:val="auto"/>
        </w:rPr>
        <w:t>ANALOG DEVICES,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283" w:lineRule="exact"/>
        <w:rPr>
          <w:sz w:val="20"/>
          <w:szCs w:val="20"/>
          <w:color w:val="auto"/>
        </w:rPr>
      </w:pPr>
    </w:p>
    <w:tbl>
      <w:tblPr>
        <w:tblLayout w:type="fixed"/>
        <w:tblInd w:w="20" w:type="dxa"/>
        <w:tblCellMar>
          <w:top w:w="0" w:type="dxa"/>
          <w:left w:w="0" w:type="dxa"/>
          <w:bottom w:w="0" w:type="dxa"/>
          <w:right w:w="0" w:type="dxa"/>
        </w:tblCellMar>
      </w:tblPr>
      <w:tr>
        <w:trPr>
          <w:trHeight w:val="192"/>
        </w:trPr>
        <w:tc>
          <w:tcPr>
            <w:tcW w:w="75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620" w:type="dxa"/>
            <w:vAlign w:val="bottom"/>
            <w:gridSpan w:val="2"/>
          </w:tcPr>
          <w:p>
            <w:pPr>
              <w:ind w:left="180"/>
              <w:spacing w:after="0"/>
              <w:rPr>
                <w:sz w:val="20"/>
                <w:szCs w:val="20"/>
                <w:color w:val="auto"/>
              </w:rPr>
            </w:pPr>
            <w:r>
              <w:rPr>
                <w:rFonts w:ascii="Arial" w:cs="Arial" w:eastAsia="Arial" w:hAnsi="Arial"/>
                <w:sz w:val="14"/>
                <w:szCs w:val="14"/>
                <w:b w:val="1"/>
                <w:bCs w:val="1"/>
                <w:color w:val="auto"/>
              </w:rPr>
              <w:t>August 1, 2020</w:t>
            </w:r>
          </w:p>
        </w:tc>
        <w:tc>
          <w:tcPr>
            <w:tcW w:w="220" w:type="dxa"/>
            <w:vAlign w:val="bottom"/>
          </w:tcPr>
          <w:p>
            <w:pPr>
              <w:spacing w:after="0"/>
              <w:rPr>
                <w:sz w:val="16"/>
                <w:szCs w:val="16"/>
                <w:color w:val="auto"/>
              </w:rPr>
            </w:pPr>
          </w:p>
        </w:tc>
        <w:tc>
          <w:tcPr>
            <w:tcW w:w="1560" w:type="dxa"/>
            <w:vAlign w:val="bottom"/>
          </w:tcPr>
          <w:p>
            <w:pPr>
              <w:jc w:val="right"/>
              <w:ind w:right="259"/>
              <w:spacing w:after="0"/>
              <w:rPr>
                <w:sz w:val="20"/>
                <w:szCs w:val="20"/>
                <w:color w:val="auto"/>
              </w:rPr>
            </w:pPr>
            <w:r>
              <w:rPr>
                <w:rFonts w:ascii="Arial" w:cs="Arial" w:eastAsia="Arial" w:hAnsi="Arial"/>
                <w:sz w:val="14"/>
                <w:szCs w:val="14"/>
                <w:b w:val="1"/>
                <w:bCs w:val="1"/>
                <w:color w:val="auto"/>
              </w:rPr>
              <w:t>November 2, 2019</w:t>
            </w:r>
          </w:p>
        </w:tc>
        <w:tc>
          <w:tcPr>
            <w:tcW w:w="0" w:type="dxa"/>
            <w:vAlign w:val="bottom"/>
          </w:tcPr>
          <w:p>
            <w:pPr>
              <w:spacing w:after="0"/>
              <w:rPr>
                <w:sz w:val="1"/>
                <w:szCs w:val="1"/>
                <w:color w:val="auto"/>
              </w:rPr>
            </w:pPr>
          </w:p>
        </w:tc>
      </w:tr>
      <w:tr>
        <w:trPr>
          <w:trHeight w:val="236"/>
        </w:trPr>
        <w:tc>
          <w:tcPr>
            <w:tcW w:w="75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ASSETS</w:t>
            </w:r>
          </w:p>
        </w:tc>
        <w:tc>
          <w:tcPr>
            <w:tcW w:w="260" w:type="dxa"/>
            <w:vAlign w:val="bottom"/>
            <w:tcBorders>
              <w:top w:val="single" w:sz="8" w:color="auto"/>
              <w:bottom w:val="single" w:sz="8" w:color="CCEEFF"/>
            </w:tcBorders>
            <w:shd w:val="clear" w:color="auto" w:fill="CCEEFF"/>
          </w:tcPr>
          <w:p>
            <w:pPr>
              <w:spacing w:after="0"/>
              <w:rPr>
                <w:sz w:val="20"/>
                <w:szCs w:val="20"/>
                <w:color w:val="auto"/>
              </w:rPr>
            </w:pPr>
          </w:p>
        </w:tc>
        <w:tc>
          <w:tcPr>
            <w:tcW w:w="1520" w:type="dxa"/>
            <w:vAlign w:val="bottom"/>
            <w:tcBorders>
              <w:top w:val="single" w:sz="8" w:color="auto"/>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20" w:type="dxa"/>
            <w:vAlign w:val="bottom"/>
            <w:tcBorders>
              <w:top w:val="single" w:sz="8" w:color="auto"/>
              <w:bottom w:val="single" w:sz="8" w:color="CCEEFF"/>
            </w:tcBorders>
            <w:shd w:val="clear" w:color="auto" w:fill="CCEEFF"/>
          </w:tcPr>
          <w:p>
            <w:pPr>
              <w:spacing w:after="0"/>
              <w:rPr>
                <w:sz w:val="20"/>
                <w:szCs w:val="20"/>
                <w:color w:val="auto"/>
              </w:rPr>
            </w:pPr>
          </w:p>
        </w:tc>
        <w:tc>
          <w:tcPr>
            <w:tcW w:w="1560" w:type="dxa"/>
            <w:vAlign w:val="bottom"/>
            <w:tcBorders>
              <w:top w:val="single" w:sz="8" w:color="auto"/>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4"/>
        </w:trPr>
        <w:tc>
          <w:tcPr>
            <w:tcW w:w="7540" w:type="dxa"/>
            <w:vAlign w:val="bottom"/>
          </w:tcPr>
          <w:p>
            <w:pPr>
              <w:ind w:left="20"/>
              <w:spacing w:after="0"/>
              <w:rPr>
                <w:sz w:val="20"/>
                <w:szCs w:val="20"/>
                <w:color w:val="auto"/>
              </w:rPr>
            </w:pPr>
            <w:r>
              <w:rPr>
                <w:rFonts w:ascii="Arial" w:cs="Arial" w:eastAsia="Arial" w:hAnsi="Arial"/>
                <w:sz w:val="16"/>
                <w:szCs w:val="16"/>
                <w:b w:val="1"/>
                <w:bCs w:val="1"/>
                <w:color w:val="auto"/>
              </w:rPr>
              <w:t>Current Assets</w:t>
            </w:r>
          </w:p>
        </w:tc>
        <w:tc>
          <w:tcPr>
            <w:tcW w:w="26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3"/>
        </w:trPr>
        <w:tc>
          <w:tcPr>
            <w:tcW w:w="75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754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6"/>
                <w:szCs w:val="16"/>
                <w:color w:val="auto"/>
              </w:rPr>
              <w:t>Cash and cash equivalents</w:t>
            </w: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1,090,264</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648,322</w:t>
            </w:r>
          </w:p>
        </w:tc>
        <w:tc>
          <w:tcPr>
            <w:tcW w:w="0" w:type="dxa"/>
            <w:vAlign w:val="bottom"/>
          </w:tcPr>
          <w:p>
            <w:pPr>
              <w:spacing w:after="0"/>
              <w:rPr>
                <w:sz w:val="1"/>
                <w:szCs w:val="1"/>
                <w:color w:val="auto"/>
              </w:rPr>
            </w:pPr>
          </w:p>
        </w:tc>
      </w:tr>
      <w:tr>
        <w:trPr>
          <w:trHeight w:val="223"/>
        </w:trPr>
        <w:tc>
          <w:tcPr>
            <w:tcW w:w="7540" w:type="dxa"/>
            <w:vAlign w:val="bottom"/>
          </w:tcPr>
          <w:p>
            <w:pPr>
              <w:ind w:left="120"/>
              <w:spacing w:after="0"/>
              <w:rPr>
                <w:sz w:val="20"/>
                <w:szCs w:val="20"/>
                <w:color w:val="auto"/>
              </w:rPr>
            </w:pPr>
            <w:r>
              <w:rPr>
                <w:rFonts w:ascii="Arial" w:cs="Arial" w:eastAsia="Arial" w:hAnsi="Arial"/>
                <w:sz w:val="16"/>
                <w:szCs w:val="16"/>
                <w:color w:val="auto"/>
              </w:rPr>
              <w:t>Accounts receivable</w:t>
            </w:r>
          </w:p>
        </w:tc>
        <w:tc>
          <w:tcPr>
            <w:tcW w:w="26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681,728</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6"/>
                <w:szCs w:val="16"/>
                <w:color w:val="auto"/>
              </w:rPr>
              <w:t>635,136</w:t>
            </w:r>
          </w:p>
        </w:tc>
        <w:tc>
          <w:tcPr>
            <w:tcW w:w="0" w:type="dxa"/>
            <w:vAlign w:val="bottom"/>
          </w:tcPr>
          <w:p>
            <w:pPr>
              <w:spacing w:after="0"/>
              <w:rPr>
                <w:sz w:val="1"/>
                <w:szCs w:val="1"/>
                <w:color w:val="auto"/>
              </w:rPr>
            </w:pPr>
          </w:p>
        </w:tc>
      </w:tr>
      <w:tr>
        <w:trPr>
          <w:trHeight w:val="33"/>
        </w:trPr>
        <w:tc>
          <w:tcPr>
            <w:tcW w:w="75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754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6"/>
                <w:szCs w:val="16"/>
                <w:color w:val="auto"/>
              </w:rPr>
              <w:t>Inventories</w:t>
            </w:r>
          </w:p>
        </w:tc>
        <w:tc>
          <w:tcPr>
            <w:tcW w:w="260" w:type="dxa"/>
            <w:vAlign w:val="bottom"/>
            <w:tcBorders>
              <w:bottom w:val="single" w:sz="8" w:color="CCEEFF"/>
            </w:tcBorders>
            <w:shd w:val="clear" w:color="auto" w:fill="CCEEFF"/>
          </w:tcPr>
          <w:p>
            <w:pPr>
              <w:spacing w:after="0"/>
              <w:rPr>
                <w:sz w:val="20"/>
                <w:szCs w:val="20"/>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612,646</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609,886</w:t>
            </w:r>
          </w:p>
        </w:tc>
        <w:tc>
          <w:tcPr>
            <w:tcW w:w="0" w:type="dxa"/>
            <w:vAlign w:val="bottom"/>
          </w:tcPr>
          <w:p>
            <w:pPr>
              <w:spacing w:after="0"/>
              <w:rPr>
                <w:sz w:val="1"/>
                <w:szCs w:val="1"/>
                <w:color w:val="auto"/>
              </w:rPr>
            </w:pPr>
          </w:p>
        </w:tc>
      </w:tr>
      <w:tr>
        <w:trPr>
          <w:trHeight w:val="224"/>
        </w:trPr>
        <w:tc>
          <w:tcPr>
            <w:tcW w:w="7540" w:type="dxa"/>
            <w:vAlign w:val="bottom"/>
          </w:tcPr>
          <w:p>
            <w:pPr>
              <w:ind w:left="120"/>
              <w:spacing w:after="0"/>
              <w:rPr>
                <w:sz w:val="20"/>
                <w:szCs w:val="20"/>
                <w:color w:val="auto"/>
              </w:rPr>
            </w:pPr>
            <w:r>
              <w:rPr>
                <w:rFonts w:ascii="Arial" w:cs="Arial" w:eastAsia="Arial" w:hAnsi="Arial"/>
                <w:sz w:val="16"/>
                <w:szCs w:val="16"/>
                <w:color w:val="auto"/>
              </w:rPr>
              <w:t>Prepaid expenses and other current assets</w:t>
            </w:r>
          </w:p>
        </w:tc>
        <w:tc>
          <w:tcPr>
            <w:tcW w:w="26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100,599</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6"/>
                <w:szCs w:val="16"/>
                <w:color w:val="auto"/>
              </w:rPr>
              <w:t>91,782</w:t>
            </w:r>
          </w:p>
        </w:tc>
        <w:tc>
          <w:tcPr>
            <w:tcW w:w="0" w:type="dxa"/>
            <w:vAlign w:val="bottom"/>
          </w:tcPr>
          <w:p>
            <w:pPr>
              <w:spacing w:after="0"/>
              <w:rPr>
                <w:sz w:val="1"/>
                <w:szCs w:val="1"/>
                <w:color w:val="auto"/>
              </w:rPr>
            </w:pPr>
          </w:p>
        </w:tc>
      </w:tr>
      <w:tr>
        <w:trPr>
          <w:trHeight w:val="33"/>
        </w:trPr>
        <w:tc>
          <w:tcPr>
            <w:tcW w:w="75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754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6"/>
                <w:szCs w:val="16"/>
                <w:color w:val="auto"/>
              </w:rPr>
              <w:t>Total current assets</w:t>
            </w:r>
          </w:p>
        </w:tc>
        <w:tc>
          <w:tcPr>
            <w:tcW w:w="26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2,485,237</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1,985,126</w:t>
            </w:r>
          </w:p>
        </w:tc>
        <w:tc>
          <w:tcPr>
            <w:tcW w:w="0" w:type="dxa"/>
            <w:vAlign w:val="bottom"/>
          </w:tcPr>
          <w:p>
            <w:pPr>
              <w:spacing w:after="0"/>
              <w:rPr>
                <w:sz w:val="1"/>
                <w:szCs w:val="1"/>
                <w:color w:val="auto"/>
              </w:rPr>
            </w:pPr>
          </w:p>
        </w:tc>
      </w:tr>
      <w:tr>
        <w:trPr>
          <w:trHeight w:val="204"/>
        </w:trPr>
        <w:tc>
          <w:tcPr>
            <w:tcW w:w="7540" w:type="dxa"/>
            <w:vAlign w:val="bottom"/>
          </w:tcPr>
          <w:p>
            <w:pPr>
              <w:ind w:left="20"/>
              <w:spacing w:after="0"/>
              <w:rPr>
                <w:sz w:val="20"/>
                <w:szCs w:val="20"/>
                <w:color w:val="auto"/>
              </w:rPr>
            </w:pPr>
            <w:r>
              <w:rPr>
                <w:rFonts w:ascii="Arial" w:cs="Arial" w:eastAsia="Arial" w:hAnsi="Arial"/>
                <w:sz w:val="16"/>
                <w:szCs w:val="16"/>
                <w:b w:val="1"/>
                <w:bCs w:val="1"/>
                <w:color w:val="auto"/>
              </w:rPr>
              <w:t>Property, Plant and Equipment, at Cost</w:t>
            </w:r>
          </w:p>
        </w:tc>
        <w:tc>
          <w:tcPr>
            <w:tcW w:w="260" w:type="dxa"/>
            <w:vAlign w:val="bottom"/>
            <w:tcBorders>
              <w:top w:val="single" w:sz="8" w:color="auto"/>
            </w:tcBorders>
          </w:tcPr>
          <w:p>
            <w:pPr>
              <w:spacing w:after="0"/>
              <w:rPr>
                <w:sz w:val="17"/>
                <w:szCs w:val="17"/>
                <w:color w:val="auto"/>
              </w:rPr>
            </w:pPr>
          </w:p>
        </w:tc>
        <w:tc>
          <w:tcPr>
            <w:tcW w:w="152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156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33"/>
        </w:trPr>
        <w:tc>
          <w:tcPr>
            <w:tcW w:w="75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754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6"/>
                <w:szCs w:val="16"/>
                <w:color w:val="auto"/>
              </w:rPr>
              <w:t>Land and buildings</w:t>
            </w:r>
          </w:p>
        </w:tc>
        <w:tc>
          <w:tcPr>
            <w:tcW w:w="260" w:type="dxa"/>
            <w:vAlign w:val="bottom"/>
            <w:tcBorders>
              <w:bottom w:val="single" w:sz="8" w:color="CCEEFF"/>
            </w:tcBorders>
            <w:shd w:val="clear" w:color="auto" w:fill="CCEEFF"/>
          </w:tcPr>
          <w:p>
            <w:pPr>
              <w:spacing w:after="0"/>
              <w:rPr>
                <w:sz w:val="20"/>
                <w:szCs w:val="20"/>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968,527</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956,099</w:t>
            </w:r>
          </w:p>
        </w:tc>
        <w:tc>
          <w:tcPr>
            <w:tcW w:w="0" w:type="dxa"/>
            <w:vAlign w:val="bottom"/>
          </w:tcPr>
          <w:p>
            <w:pPr>
              <w:spacing w:after="0"/>
              <w:rPr>
                <w:sz w:val="1"/>
                <w:szCs w:val="1"/>
                <w:color w:val="auto"/>
              </w:rPr>
            </w:pPr>
          </w:p>
        </w:tc>
      </w:tr>
      <w:tr>
        <w:trPr>
          <w:trHeight w:val="223"/>
        </w:trPr>
        <w:tc>
          <w:tcPr>
            <w:tcW w:w="7540" w:type="dxa"/>
            <w:vAlign w:val="bottom"/>
          </w:tcPr>
          <w:p>
            <w:pPr>
              <w:ind w:left="120"/>
              <w:spacing w:after="0"/>
              <w:rPr>
                <w:sz w:val="20"/>
                <w:szCs w:val="20"/>
                <w:color w:val="auto"/>
              </w:rPr>
            </w:pPr>
            <w:r>
              <w:rPr>
                <w:rFonts w:ascii="Arial" w:cs="Arial" w:eastAsia="Arial" w:hAnsi="Arial"/>
                <w:sz w:val="16"/>
                <w:szCs w:val="16"/>
                <w:color w:val="auto"/>
              </w:rPr>
              <w:t>Machinery and equipment</w:t>
            </w:r>
          </w:p>
        </w:tc>
        <w:tc>
          <w:tcPr>
            <w:tcW w:w="26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2,642,254</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6"/>
                <w:szCs w:val="16"/>
                <w:color w:val="auto"/>
              </w:rPr>
              <w:t>2,609,493</w:t>
            </w:r>
          </w:p>
        </w:tc>
        <w:tc>
          <w:tcPr>
            <w:tcW w:w="0" w:type="dxa"/>
            <w:vAlign w:val="bottom"/>
          </w:tcPr>
          <w:p>
            <w:pPr>
              <w:spacing w:after="0"/>
              <w:rPr>
                <w:sz w:val="1"/>
                <w:szCs w:val="1"/>
                <w:color w:val="auto"/>
              </w:rPr>
            </w:pPr>
          </w:p>
        </w:tc>
      </w:tr>
      <w:tr>
        <w:trPr>
          <w:trHeight w:val="33"/>
        </w:trPr>
        <w:tc>
          <w:tcPr>
            <w:tcW w:w="75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754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6"/>
                <w:szCs w:val="16"/>
                <w:color w:val="auto"/>
              </w:rPr>
              <w:t>Office equipment</w:t>
            </w:r>
          </w:p>
        </w:tc>
        <w:tc>
          <w:tcPr>
            <w:tcW w:w="260" w:type="dxa"/>
            <w:vAlign w:val="bottom"/>
            <w:tcBorders>
              <w:bottom w:val="single" w:sz="8" w:color="CCEEFF"/>
            </w:tcBorders>
            <w:shd w:val="clear" w:color="auto" w:fill="CCEEFF"/>
          </w:tcPr>
          <w:p>
            <w:pPr>
              <w:spacing w:after="0"/>
              <w:rPr>
                <w:sz w:val="20"/>
                <w:szCs w:val="20"/>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84,887</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85,490</w:t>
            </w:r>
          </w:p>
        </w:tc>
        <w:tc>
          <w:tcPr>
            <w:tcW w:w="0" w:type="dxa"/>
            <w:vAlign w:val="bottom"/>
          </w:tcPr>
          <w:p>
            <w:pPr>
              <w:spacing w:after="0"/>
              <w:rPr>
                <w:sz w:val="1"/>
                <w:szCs w:val="1"/>
                <w:color w:val="auto"/>
              </w:rPr>
            </w:pPr>
          </w:p>
        </w:tc>
      </w:tr>
      <w:tr>
        <w:trPr>
          <w:trHeight w:val="224"/>
        </w:trPr>
        <w:tc>
          <w:tcPr>
            <w:tcW w:w="7540" w:type="dxa"/>
            <w:vAlign w:val="bottom"/>
          </w:tcPr>
          <w:p>
            <w:pPr>
              <w:ind w:left="120"/>
              <w:spacing w:after="0"/>
              <w:rPr>
                <w:sz w:val="20"/>
                <w:szCs w:val="20"/>
                <w:color w:val="auto"/>
              </w:rPr>
            </w:pPr>
            <w:r>
              <w:rPr>
                <w:rFonts w:ascii="Arial" w:cs="Arial" w:eastAsia="Arial" w:hAnsi="Arial"/>
                <w:sz w:val="16"/>
                <w:szCs w:val="16"/>
                <w:color w:val="auto"/>
              </w:rPr>
              <w:t>Leasehold improvements</w:t>
            </w:r>
          </w:p>
        </w:tc>
        <w:tc>
          <w:tcPr>
            <w:tcW w:w="26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157,196</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6"/>
                <w:szCs w:val="16"/>
                <w:color w:val="auto"/>
              </w:rPr>
              <w:t>160,175</w:t>
            </w:r>
          </w:p>
        </w:tc>
        <w:tc>
          <w:tcPr>
            <w:tcW w:w="0" w:type="dxa"/>
            <w:vAlign w:val="bottom"/>
          </w:tcPr>
          <w:p>
            <w:pPr>
              <w:spacing w:after="0"/>
              <w:rPr>
                <w:sz w:val="1"/>
                <w:szCs w:val="1"/>
                <w:color w:val="auto"/>
              </w:rPr>
            </w:pPr>
          </w:p>
        </w:tc>
      </w:tr>
      <w:tr>
        <w:trPr>
          <w:trHeight w:val="33"/>
        </w:trPr>
        <w:tc>
          <w:tcPr>
            <w:tcW w:w="75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754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3,852,864</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3,811,257</w:t>
            </w:r>
          </w:p>
        </w:tc>
        <w:tc>
          <w:tcPr>
            <w:tcW w:w="0" w:type="dxa"/>
            <w:vAlign w:val="bottom"/>
          </w:tcPr>
          <w:p>
            <w:pPr>
              <w:spacing w:after="0"/>
              <w:rPr>
                <w:sz w:val="1"/>
                <w:szCs w:val="1"/>
                <w:color w:val="auto"/>
              </w:rPr>
            </w:pPr>
          </w:p>
        </w:tc>
      </w:tr>
      <w:tr>
        <w:trPr>
          <w:trHeight w:val="223"/>
        </w:trPr>
        <w:tc>
          <w:tcPr>
            <w:tcW w:w="7540" w:type="dxa"/>
            <w:vAlign w:val="bottom"/>
          </w:tcPr>
          <w:p>
            <w:pPr>
              <w:ind w:left="120"/>
              <w:spacing w:after="0"/>
              <w:rPr>
                <w:sz w:val="20"/>
                <w:szCs w:val="20"/>
                <w:color w:val="auto"/>
              </w:rPr>
            </w:pPr>
            <w:r>
              <w:rPr>
                <w:rFonts w:ascii="Arial" w:cs="Arial" w:eastAsia="Arial" w:hAnsi="Arial"/>
                <w:sz w:val="16"/>
                <w:szCs w:val="16"/>
                <w:color w:val="auto"/>
              </w:rPr>
              <w:t>Less accumulated depreciation and amortization</w:t>
            </w:r>
          </w:p>
        </w:tc>
        <w:tc>
          <w:tcPr>
            <w:tcW w:w="26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2,718,628</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6"/>
                <w:szCs w:val="16"/>
                <w:color w:val="auto"/>
              </w:rPr>
              <w:t>2,591,268</w:t>
            </w:r>
          </w:p>
        </w:tc>
        <w:tc>
          <w:tcPr>
            <w:tcW w:w="0" w:type="dxa"/>
            <w:vAlign w:val="bottom"/>
          </w:tcPr>
          <w:p>
            <w:pPr>
              <w:spacing w:after="0"/>
              <w:rPr>
                <w:sz w:val="1"/>
                <w:szCs w:val="1"/>
                <w:color w:val="auto"/>
              </w:rPr>
            </w:pPr>
          </w:p>
        </w:tc>
      </w:tr>
      <w:tr>
        <w:trPr>
          <w:trHeight w:val="33"/>
        </w:trPr>
        <w:tc>
          <w:tcPr>
            <w:tcW w:w="75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754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6"/>
                <w:szCs w:val="16"/>
                <w:color w:val="auto"/>
              </w:rPr>
              <w:t>Net property, plant and equipment</w:t>
            </w:r>
          </w:p>
        </w:tc>
        <w:tc>
          <w:tcPr>
            <w:tcW w:w="26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1,134,236</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1,219,989</w:t>
            </w:r>
          </w:p>
        </w:tc>
        <w:tc>
          <w:tcPr>
            <w:tcW w:w="0" w:type="dxa"/>
            <w:vAlign w:val="bottom"/>
          </w:tcPr>
          <w:p>
            <w:pPr>
              <w:spacing w:after="0"/>
              <w:rPr>
                <w:sz w:val="1"/>
                <w:szCs w:val="1"/>
                <w:color w:val="auto"/>
              </w:rPr>
            </w:pPr>
          </w:p>
        </w:tc>
      </w:tr>
      <w:tr>
        <w:trPr>
          <w:trHeight w:val="203"/>
        </w:trPr>
        <w:tc>
          <w:tcPr>
            <w:tcW w:w="7540" w:type="dxa"/>
            <w:vAlign w:val="bottom"/>
          </w:tcPr>
          <w:p>
            <w:pPr>
              <w:ind w:left="20"/>
              <w:spacing w:after="0"/>
              <w:rPr>
                <w:sz w:val="20"/>
                <w:szCs w:val="20"/>
                <w:color w:val="auto"/>
              </w:rPr>
            </w:pPr>
            <w:r>
              <w:rPr>
                <w:rFonts w:ascii="Arial" w:cs="Arial" w:eastAsia="Arial" w:hAnsi="Arial"/>
                <w:sz w:val="16"/>
                <w:szCs w:val="16"/>
                <w:b w:val="1"/>
                <w:bCs w:val="1"/>
                <w:color w:val="auto"/>
              </w:rPr>
              <w:t>Other Assets</w:t>
            </w:r>
          </w:p>
        </w:tc>
        <w:tc>
          <w:tcPr>
            <w:tcW w:w="260" w:type="dxa"/>
            <w:vAlign w:val="bottom"/>
            <w:tcBorders>
              <w:top w:val="single" w:sz="8" w:color="auto"/>
            </w:tcBorders>
          </w:tcPr>
          <w:p>
            <w:pPr>
              <w:spacing w:after="0"/>
              <w:rPr>
                <w:sz w:val="17"/>
                <w:szCs w:val="17"/>
                <w:color w:val="auto"/>
              </w:rPr>
            </w:pPr>
          </w:p>
        </w:tc>
        <w:tc>
          <w:tcPr>
            <w:tcW w:w="152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156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33"/>
        </w:trPr>
        <w:tc>
          <w:tcPr>
            <w:tcW w:w="75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754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6"/>
                <w:szCs w:val="16"/>
                <w:color w:val="auto"/>
              </w:rPr>
              <w:t>Other investments</w:t>
            </w:r>
          </w:p>
        </w:tc>
        <w:tc>
          <w:tcPr>
            <w:tcW w:w="260" w:type="dxa"/>
            <w:vAlign w:val="bottom"/>
            <w:tcBorders>
              <w:bottom w:val="single" w:sz="8" w:color="CCEEFF"/>
            </w:tcBorders>
            <w:shd w:val="clear" w:color="auto" w:fill="CCEEFF"/>
          </w:tcPr>
          <w:p>
            <w:pPr>
              <w:spacing w:after="0"/>
              <w:rPr>
                <w:sz w:val="20"/>
                <w:szCs w:val="20"/>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82,953</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77,324</w:t>
            </w:r>
          </w:p>
        </w:tc>
        <w:tc>
          <w:tcPr>
            <w:tcW w:w="0" w:type="dxa"/>
            <w:vAlign w:val="bottom"/>
          </w:tcPr>
          <w:p>
            <w:pPr>
              <w:spacing w:after="0"/>
              <w:rPr>
                <w:sz w:val="1"/>
                <w:szCs w:val="1"/>
                <w:color w:val="auto"/>
              </w:rPr>
            </w:pPr>
          </w:p>
        </w:tc>
      </w:tr>
      <w:tr>
        <w:trPr>
          <w:trHeight w:val="224"/>
        </w:trPr>
        <w:tc>
          <w:tcPr>
            <w:tcW w:w="7540" w:type="dxa"/>
            <w:vAlign w:val="bottom"/>
          </w:tcPr>
          <w:p>
            <w:pPr>
              <w:ind w:left="120"/>
              <w:spacing w:after="0"/>
              <w:rPr>
                <w:sz w:val="20"/>
                <w:szCs w:val="20"/>
                <w:color w:val="auto"/>
              </w:rPr>
            </w:pPr>
            <w:r>
              <w:rPr>
                <w:rFonts w:ascii="Arial" w:cs="Arial" w:eastAsia="Arial" w:hAnsi="Arial"/>
                <w:sz w:val="16"/>
                <w:szCs w:val="16"/>
                <w:color w:val="auto"/>
              </w:rPr>
              <w:t>Goodwill</w:t>
            </w:r>
          </w:p>
        </w:tc>
        <w:tc>
          <w:tcPr>
            <w:tcW w:w="26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12,273,799</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6"/>
                <w:szCs w:val="16"/>
                <w:color w:val="auto"/>
              </w:rPr>
              <w:t>12,256,880</w:t>
            </w:r>
          </w:p>
        </w:tc>
        <w:tc>
          <w:tcPr>
            <w:tcW w:w="0" w:type="dxa"/>
            <w:vAlign w:val="bottom"/>
          </w:tcPr>
          <w:p>
            <w:pPr>
              <w:spacing w:after="0"/>
              <w:rPr>
                <w:sz w:val="1"/>
                <w:szCs w:val="1"/>
                <w:color w:val="auto"/>
              </w:rPr>
            </w:pPr>
          </w:p>
        </w:tc>
      </w:tr>
      <w:tr>
        <w:trPr>
          <w:trHeight w:val="33"/>
        </w:trPr>
        <w:tc>
          <w:tcPr>
            <w:tcW w:w="75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6"/>
        </w:trPr>
        <w:tc>
          <w:tcPr>
            <w:tcW w:w="754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6"/>
                <w:szCs w:val="16"/>
                <w:color w:val="auto"/>
              </w:rPr>
              <w:t>Intangible assets, net</w:t>
            </w:r>
          </w:p>
        </w:tc>
        <w:tc>
          <w:tcPr>
            <w:tcW w:w="260" w:type="dxa"/>
            <w:vAlign w:val="bottom"/>
            <w:tcBorders>
              <w:bottom w:val="single" w:sz="8" w:color="CCEEFF"/>
            </w:tcBorders>
            <w:shd w:val="clear" w:color="auto" w:fill="CCEEFF"/>
          </w:tcPr>
          <w:p>
            <w:pPr>
              <w:spacing w:after="0"/>
              <w:rPr>
                <w:sz w:val="20"/>
                <w:szCs w:val="20"/>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3,796,932</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4,217,224</w:t>
            </w:r>
          </w:p>
        </w:tc>
        <w:tc>
          <w:tcPr>
            <w:tcW w:w="0" w:type="dxa"/>
            <w:vAlign w:val="bottom"/>
          </w:tcPr>
          <w:p>
            <w:pPr>
              <w:spacing w:after="0"/>
              <w:rPr>
                <w:sz w:val="1"/>
                <w:szCs w:val="1"/>
                <w:color w:val="auto"/>
              </w:rPr>
            </w:pPr>
          </w:p>
        </w:tc>
      </w:tr>
      <w:tr>
        <w:trPr>
          <w:trHeight w:val="224"/>
        </w:trPr>
        <w:tc>
          <w:tcPr>
            <w:tcW w:w="7540" w:type="dxa"/>
            <w:vAlign w:val="bottom"/>
          </w:tcPr>
          <w:p>
            <w:pPr>
              <w:ind w:left="120"/>
              <w:spacing w:after="0"/>
              <w:rPr>
                <w:sz w:val="20"/>
                <w:szCs w:val="20"/>
                <w:color w:val="auto"/>
              </w:rPr>
            </w:pPr>
            <w:r>
              <w:rPr>
                <w:rFonts w:ascii="Arial" w:cs="Arial" w:eastAsia="Arial" w:hAnsi="Arial"/>
                <w:sz w:val="16"/>
                <w:szCs w:val="16"/>
                <w:color w:val="auto"/>
              </w:rPr>
              <w:t>Deferred tax assets</w:t>
            </w:r>
          </w:p>
        </w:tc>
        <w:tc>
          <w:tcPr>
            <w:tcW w:w="26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1,522,772</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6"/>
                <w:szCs w:val="16"/>
                <w:color w:val="auto"/>
              </w:rPr>
              <w:t>1,582,382</w:t>
            </w:r>
          </w:p>
        </w:tc>
        <w:tc>
          <w:tcPr>
            <w:tcW w:w="0" w:type="dxa"/>
            <w:vAlign w:val="bottom"/>
          </w:tcPr>
          <w:p>
            <w:pPr>
              <w:spacing w:after="0"/>
              <w:rPr>
                <w:sz w:val="1"/>
                <w:szCs w:val="1"/>
                <w:color w:val="auto"/>
              </w:rPr>
            </w:pPr>
          </w:p>
        </w:tc>
      </w:tr>
      <w:tr>
        <w:trPr>
          <w:trHeight w:val="33"/>
        </w:trPr>
        <w:tc>
          <w:tcPr>
            <w:tcW w:w="75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7"/>
        </w:trPr>
        <w:tc>
          <w:tcPr>
            <w:tcW w:w="754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6"/>
                <w:szCs w:val="16"/>
                <w:color w:val="auto"/>
              </w:rPr>
              <w:t>Other assets</w:t>
            </w:r>
          </w:p>
        </w:tc>
        <w:tc>
          <w:tcPr>
            <w:tcW w:w="260" w:type="dxa"/>
            <w:vAlign w:val="bottom"/>
            <w:tcBorders>
              <w:bottom w:val="single" w:sz="8" w:color="CCEEFF"/>
            </w:tcBorders>
            <w:shd w:val="clear" w:color="auto" w:fill="CCEEFF"/>
          </w:tcPr>
          <w:p>
            <w:pPr>
              <w:spacing w:after="0"/>
              <w:rPr>
                <w:sz w:val="22"/>
                <w:szCs w:val="22"/>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303,639</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53,716</w:t>
            </w:r>
          </w:p>
        </w:tc>
        <w:tc>
          <w:tcPr>
            <w:tcW w:w="0" w:type="dxa"/>
            <w:vAlign w:val="bottom"/>
          </w:tcPr>
          <w:p>
            <w:pPr>
              <w:spacing w:after="0"/>
              <w:rPr>
                <w:sz w:val="1"/>
                <w:szCs w:val="1"/>
                <w:color w:val="auto"/>
              </w:rPr>
            </w:pPr>
          </w:p>
        </w:tc>
      </w:tr>
      <w:tr>
        <w:trPr>
          <w:trHeight w:val="217"/>
        </w:trPr>
        <w:tc>
          <w:tcPr>
            <w:tcW w:w="7540" w:type="dxa"/>
            <w:vAlign w:val="bottom"/>
          </w:tcPr>
          <w:p>
            <w:pPr>
              <w:ind w:left="120"/>
              <w:spacing w:after="0"/>
              <w:rPr>
                <w:sz w:val="20"/>
                <w:szCs w:val="20"/>
                <w:color w:val="auto"/>
              </w:rPr>
            </w:pPr>
            <w:r>
              <w:rPr>
                <w:rFonts w:ascii="Arial" w:cs="Arial" w:eastAsia="Arial" w:hAnsi="Arial"/>
                <w:sz w:val="16"/>
                <w:szCs w:val="16"/>
                <w:color w:val="auto"/>
              </w:rPr>
              <w:t>Total other assets</w:t>
            </w:r>
          </w:p>
        </w:tc>
        <w:tc>
          <w:tcPr>
            <w:tcW w:w="260" w:type="dxa"/>
            <w:vAlign w:val="bottom"/>
            <w:tcBorders>
              <w:top w:val="single" w:sz="8" w:color="auto"/>
            </w:tcBorders>
          </w:tcPr>
          <w:p>
            <w:pPr>
              <w:spacing w:after="0"/>
              <w:rPr>
                <w:sz w:val="18"/>
                <w:szCs w:val="18"/>
                <w:color w:val="auto"/>
              </w:rPr>
            </w:pPr>
          </w:p>
        </w:tc>
        <w:tc>
          <w:tcPr>
            <w:tcW w:w="15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17,980,095</w:t>
            </w:r>
          </w:p>
        </w:tc>
        <w:tc>
          <w:tcPr>
            <w:tcW w:w="10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5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18,187,526</w:t>
            </w:r>
          </w:p>
        </w:tc>
        <w:tc>
          <w:tcPr>
            <w:tcW w:w="0" w:type="dxa"/>
            <w:vAlign w:val="bottom"/>
          </w:tcPr>
          <w:p>
            <w:pPr>
              <w:spacing w:after="0"/>
              <w:rPr>
                <w:sz w:val="1"/>
                <w:szCs w:val="1"/>
                <w:color w:val="auto"/>
              </w:rPr>
            </w:pPr>
          </w:p>
        </w:tc>
      </w:tr>
      <w:tr>
        <w:trPr>
          <w:trHeight w:val="33"/>
        </w:trPr>
        <w:tc>
          <w:tcPr>
            <w:tcW w:w="75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75"/>
        </w:trPr>
        <w:tc>
          <w:tcPr>
            <w:tcW w:w="754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21,599,568</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21,392,641</w:t>
            </w:r>
          </w:p>
        </w:tc>
        <w:tc>
          <w:tcPr>
            <w:tcW w:w="0" w:type="dxa"/>
            <w:vAlign w:val="bottom"/>
          </w:tcPr>
          <w:p>
            <w:pPr>
              <w:spacing w:after="0"/>
              <w:rPr>
                <w:sz w:val="1"/>
                <w:szCs w:val="1"/>
                <w:color w:val="auto"/>
              </w:rPr>
            </w:pPr>
          </w:p>
        </w:tc>
      </w:tr>
      <w:tr>
        <w:trPr>
          <w:trHeight w:val="20"/>
        </w:trPr>
        <w:tc>
          <w:tcPr>
            <w:tcW w:w="754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6"/>
                <w:szCs w:val="16"/>
                <w:b w:val="1"/>
                <w:bCs w:val="1"/>
                <w:color w:val="auto"/>
              </w:rPr>
              <w:t>LIABILITIES AND SHAREHOLDERS’ EQUITY</w:t>
            </w:r>
          </w:p>
        </w:tc>
        <w:tc>
          <w:tcPr>
            <w:tcW w:w="260" w:type="dxa"/>
            <w:vAlign w:val="bottom"/>
            <w:tcBorders>
              <w:top w:val="single" w:sz="8" w:color="auto"/>
              <w:bottom w:val="single" w:sz="8" w:color="auto"/>
            </w:tcBorders>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7540" w:type="dxa"/>
            <w:vAlign w:val="bottom"/>
            <w:vMerge w:val="continue"/>
          </w:tcPr>
          <w:p>
            <w:pPr>
              <w:spacing w:after="0"/>
              <w:rPr>
                <w:sz w:val="14"/>
                <w:szCs w:val="14"/>
                <w:color w:val="auto"/>
              </w:rPr>
            </w:pPr>
          </w:p>
        </w:tc>
        <w:tc>
          <w:tcPr>
            <w:tcW w:w="26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3"/>
        </w:trPr>
        <w:tc>
          <w:tcPr>
            <w:tcW w:w="75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6"/>
        </w:trPr>
        <w:tc>
          <w:tcPr>
            <w:tcW w:w="75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Current Liabilities</w:t>
            </w:r>
          </w:p>
        </w:tc>
        <w:tc>
          <w:tcPr>
            <w:tcW w:w="260" w:type="dxa"/>
            <w:vAlign w:val="bottom"/>
            <w:tcBorders>
              <w:bottom w:val="single" w:sz="8" w:color="CCEEFF"/>
            </w:tcBorders>
            <w:shd w:val="clear" w:color="auto" w:fill="CCEEFF"/>
          </w:tcPr>
          <w:p>
            <w:pPr>
              <w:spacing w:after="0"/>
              <w:rPr>
                <w:sz w:val="20"/>
                <w:szCs w:val="20"/>
                <w:color w:val="auto"/>
              </w:rPr>
            </w:pPr>
          </w:p>
        </w:tc>
        <w:tc>
          <w:tcPr>
            <w:tcW w:w="15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56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4"/>
        </w:trPr>
        <w:tc>
          <w:tcPr>
            <w:tcW w:w="7540" w:type="dxa"/>
            <w:vAlign w:val="bottom"/>
          </w:tcPr>
          <w:p>
            <w:pPr>
              <w:ind w:left="120"/>
              <w:spacing w:after="0"/>
              <w:rPr>
                <w:sz w:val="20"/>
                <w:szCs w:val="20"/>
                <w:color w:val="auto"/>
              </w:rPr>
            </w:pPr>
            <w:r>
              <w:rPr>
                <w:rFonts w:ascii="Arial" w:cs="Arial" w:eastAsia="Arial" w:hAnsi="Arial"/>
                <w:sz w:val="16"/>
                <w:szCs w:val="16"/>
                <w:color w:val="auto"/>
              </w:rPr>
              <w:t>Accounts payable</w:t>
            </w: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1520" w:type="dxa"/>
            <w:vAlign w:val="bottom"/>
          </w:tcPr>
          <w:p>
            <w:pPr>
              <w:jc w:val="right"/>
              <w:spacing w:after="0"/>
              <w:rPr>
                <w:sz w:val="20"/>
                <w:szCs w:val="20"/>
                <w:color w:val="auto"/>
              </w:rPr>
            </w:pPr>
            <w:r>
              <w:rPr>
                <w:rFonts w:ascii="Arial" w:cs="Arial" w:eastAsia="Arial" w:hAnsi="Arial"/>
                <w:sz w:val="16"/>
                <w:szCs w:val="16"/>
                <w:color w:val="auto"/>
              </w:rPr>
              <w:t>215,894</w:t>
            </w:r>
          </w:p>
        </w:tc>
        <w:tc>
          <w:tcPr>
            <w:tcW w:w="100" w:type="dxa"/>
            <w:vAlign w:val="bottom"/>
          </w:tcPr>
          <w:p>
            <w:pPr>
              <w:spacing w:after="0"/>
              <w:rPr>
                <w:sz w:val="19"/>
                <w:szCs w:val="19"/>
                <w:color w:val="auto"/>
              </w:rPr>
            </w:pP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1560" w:type="dxa"/>
            <w:vAlign w:val="bottom"/>
          </w:tcPr>
          <w:p>
            <w:pPr>
              <w:jc w:val="right"/>
              <w:spacing w:after="0"/>
              <w:rPr>
                <w:sz w:val="20"/>
                <w:szCs w:val="20"/>
                <w:color w:val="auto"/>
              </w:rPr>
            </w:pPr>
            <w:r>
              <w:rPr>
                <w:rFonts w:ascii="Arial" w:cs="Arial" w:eastAsia="Arial" w:hAnsi="Arial"/>
                <w:sz w:val="16"/>
                <w:szCs w:val="16"/>
                <w:color w:val="auto"/>
              </w:rPr>
              <w:t>225,270</w:t>
            </w:r>
          </w:p>
        </w:tc>
        <w:tc>
          <w:tcPr>
            <w:tcW w:w="0" w:type="dxa"/>
            <w:vAlign w:val="bottom"/>
          </w:tcPr>
          <w:p>
            <w:pPr>
              <w:spacing w:after="0"/>
              <w:rPr>
                <w:sz w:val="1"/>
                <w:szCs w:val="1"/>
                <w:color w:val="auto"/>
              </w:rPr>
            </w:pPr>
          </w:p>
        </w:tc>
      </w:tr>
      <w:tr>
        <w:trPr>
          <w:trHeight w:val="33"/>
        </w:trPr>
        <w:tc>
          <w:tcPr>
            <w:tcW w:w="75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6"/>
        </w:trPr>
        <w:tc>
          <w:tcPr>
            <w:tcW w:w="754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6"/>
                <w:szCs w:val="16"/>
                <w:color w:val="auto"/>
              </w:rPr>
              <w:t>Income taxes payable</w:t>
            </w:r>
          </w:p>
        </w:tc>
        <w:tc>
          <w:tcPr>
            <w:tcW w:w="260" w:type="dxa"/>
            <w:vAlign w:val="bottom"/>
            <w:tcBorders>
              <w:bottom w:val="single" w:sz="8" w:color="CCEEFF"/>
            </w:tcBorders>
            <w:shd w:val="clear" w:color="auto" w:fill="CCEEFF"/>
          </w:tcPr>
          <w:p>
            <w:pPr>
              <w:spacing w:after="0"/>
              <w:rPr>
                <w:sz w:val="20"/>
                <w:szCs w:val="20"/>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149,376</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187,879</w:t>
            </w:r>
          </w:p>
        </w:tc>
        <w:tc>
          <w:tcPr>
            <w:tcW w:w="0" w:type="dxa"/>
            <w:vAlign w:val="bottom"/>
          </w:tcPr>
          <w:p>
            <w:pPr>
              <w:spacing w:after="0"/>
              <w:rPr>
                <w:sz w:val="1"/>
                <w:szCs w:val="1"/>
                <w:color w:val="auto"/>
              </w:rPr>
            </w:pPr>
          </w:p>
        </w:tc>
      </w:tr>
      <w:tr>
        <w:trPr>
          <w:trHeight w:val="224"/>
        </w:trPr>
        <w:tc>
          <w:tcPr>
            <w:tcW w:w="7540" w:type="dxa"/>
            <w:vAlign w:val="bottom"/>
          </w:tcPr>
          <w:p>
            <w:pPr>
              <w:ind w:left="120"/>
              <w:spacing w:after="0"/>
              <w:rPr>
                <w:sz w:val="20"/>
                <w:szCs w:val="20"/>
                <w:color w:val="auto"/>
              </w:rPr>
            </w:pPr>
            <w:r>
              <w:rPr>
                <w:rFonts w:ascii="Arial" w:cs="Arial" w:eastAsia="Arial" w:hAnsi="Arial"/>
                <w:sz w:val="16"/>
                <w:szCs w:val="16"/>
                <w:color w:val="auto"/>
              </w:rPr>
              <w:t>Debt, current</w:t>
            </w:r>
          </w:p>
        </w:tc>
        <w:tc>
          <w:tcPr>
            <w:tcW w:w="26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449,324</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6"/>
                <w:szCs w:val="16"/>
                <w:color w:val="auto"/>
              </w:rPr>
              <w:t>299,667</w:t>
            </w:r>
          </w:p>
        </w:tc>
        <w:tc>
          <w:tcPr>
            <w:tcW w:w="0" w:type="dxa"/>
            <w:vAlign w:val="bottom"/>
          </w:tcPr>
          <w:p>
            <w:pPr>
              <w:spacing w:after="0"/>
              <w:rPr>
                <w:sz w:val="1"/>
                <w:szCs w:val="1"/>
                <w:color w:val="auto"/>
              </w:rPr>
            </w:pPr>
          </w:p>
        </w:tc>
      </w:tr>
      <w:tr>
        <w:trPr>
          <w:trHeight w:val="33"/>
        </w:trPr>
        <w:tc>
          <w:tcPr>
            <w:tcW w:w="75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7"/>
        </w:trPr>
        <w:tc>
          <w:tcPr>
            <w:tcW w:w="754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6"/>
                <w:szCs w:val="16"/>
                <w:color w:val="auto"/>
              </w:rPr>
              <w:t>Accrued liabilities</w:t>
            </w:r>
          </w:p>
        </w:tc>
        <w:tc>
          <w:tcPr>
            <w:tcW w:w="260" w:type="dxa"/>
            <w:vAlign w:val="bottom"/>
            <w:tcBorders>
              <w:bottom w:val="single" w:sz="8" w:color="CCEEFF"/>
            </w:tcBorders>
            <w:shd w:val="clear" w:color="auto" w:fill="CCEEFF"/>
          </w:tcPr>
          <w:p>
            <w:pPr>
              <w:spacing w:after="0"/>
              <w:rPr>
                <w:sz w:val="22"/>
                <w:szCs w:val="22"/>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873,182</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795,816</w:t>
            </w:r>
          </w:p>
        </w:tc>
        <w:tc>
          <w:tcPr>
            <w:tcW w:w="0" w:type="dxa"/>
            <w:vAlign w:val="bottom"/>
          </w:tcPr>
          <w:p>
            <w:pPr>
              <w:spacing w:after="0"/>
              <w:rPr>
                <w:sz w:val="1"/>
                <w:szCs w:val="1"/>
                <w:color w:val="auto"/>
              </w:rPr>
            </w:pPr>
          </w:p>
        </w:tc>
      </w:tr>
      <w:tr>
        <w:trPr>
          <w:trHeight w:val="217"/>
        </w:trPr>
        <w:tc>
          <w:tcPr>
            <w:tcW w:w="7540" w:type="dxa"/>
            <w:vAlign w:val="bottom"/>
          </w:tcPr>
          <w:p>
            <w:pPr>
              <w:ind w:left="120"/>
              <w:spacing w:after="0"/>
              <w:rPr>
                <w:sz w:val="20"/>
                <w:szCs w:val="20"/>
                <w:color w:val="auto"/>
              </w:rPr>
            </w:pPr>
            <w:r>
              <w:rPr>
                <w:rFonts w:ascii="Arial" w:cs="Arial" w:eastAsia="Arial" w:hAnsi="Arial"/>
                <w:sz w:val="16"/>
                <w:szCs w:val="16"/>
                <w:color w:val="auto"/>
              </w:rPr>
              <w:t>Total current liabilities</w:t>
            </w:r>
          </w:p>
        </w:tc>
        <w:tc>
          <w:tcPr>
            <w:tcW w:w="260" w:type="dxa"/>
            <w:vAlign w:val="bottom"/>
            <w:tcBorders>
              <w:top w:val="single" w:sz="8" w:color="auto"/>
            </w:tcBorders>
          </w:tcPr>
          <w:p>
            <w:pPr>
              <w:spacing w:after="0"/>
              <w:rPr>
                <w:sz w:val="18"/>
                <w:szCs w:val="18"/>
                <w:color w:val="auto"/>
              </w:rPr>
            </w:pPr>
          </w:p>
        </w:tc>
        <w:tc>
          <w:tcPr>
            <w:tcW w:w="15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1,687,776</w:t>
            </w:r>
          </w:p>
        </w:tc>
        <w:tc>
          <w:tcPr>
            <w:tcW w:w="10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5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1,508,632</w:t>
            </w:r>
          </w:p>
        </w:tc>
        <w:tc>
          <w:tcPr>
            <w:tcW w:w="0" w:type="dxa"/>
            <w:vAlign w:val="bottom"/>
          </w:tcPr>
          <w:p>
            <w:pPr>
              <w:spacing w:after="0"/>
              <w:rPr>
                <w:sz w:val="1"/>
                <w:szCs w:val="1"/>
                <w:color w:val="auto"/>
              </w:rPr>
            </w:pPr>
          </w:p>
        </w:tc>
      </w:tr>
      <w:tr>
        <w:trPr>
          <w:trHeight w:val="33"/>
        </w:trPr>
        <w:tc>
          <w:tcPr>
            <w:tcW w:w="75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6"/>
        </w:trPr>
        <w:tc>
          <w:tcPr>
            <w:tcW w:w="75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Non-current liabilities</w:t>
            </w:r>
          </w:p>
        </w:tc>
        <w:tc>
          <w:tcPr>
            <w:tcW w:w="260" w:type="dxa"/>
            <w:vAlign w:val="bottom"/>
            <w:tcBorders>
              <w:bottom w:val="single" w:sz="8" w:color="CCEEFF"/>
            </w:tcBorders>
            <w:shd w:val="clear" w:color="auto" w:fill="CCEEFF"/>
          </w:tcPr>
          <w:p>
            <w:pPr>
              <w:spacing w:after="0"/>
              <w:rPr>
                <w:sz w:val="18"/>
                <w:szCs w:val="18"/>
                <w:color w:val="auto"/>
              </w:rPr>
            </w:pPr>
          </w:p>
        </w:tc>
        <w:tc>
          <w:tcPr>
            <w:tcW w:w="15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156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7540" w:type="dxa"/>
            <w:vAlign w:val="bottom"/>
          </w:tcPr>
          <w:p>
            <w:pPr>
              <w:ind w:left="120"/>
              <w:spacing w:after="0"/>
              <w:rPr>
                <w:sz w:val="20"/>
                <w:szCs w:val="20"/>
                <w:color w:val="auto"/>
              </w:rPr>
            </w:pPr>
            <w:r>
              <w:rPr>
                <w:rFonts w:ascii="Arial" w:cs="Arial" w:eastAsia="Arial" w:hAnsi="Arial"/>
                <w:sz w:val="16"/>
                <w:szCs w:val="16"/>
                <w:color w:val="auto"/>
              </w:rPr>
              <w:t>Long-term debt</w:t>
            </w:r>
          </w:p>
        </w:tc>
        <w:tc>
          <w:tcPr>
            <w:tcW w:w="26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5,143,653</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6"/>
                <w:szCs w:val="16"/>
                <w:color w:val="auto"/>
              </w:rPr>
              <w:t>5,192,252</w:t>
            </w:r>
          </w:p>
        </w:tc>
        <w:tc>
          <w:tcPr>
            <w:tcW w:w="0" w:type="dxa"/>
            <w:vAlign w:val="bottom"/>
          </w:tcPr>
          <w:p>
            <w:pPr>
              <w:spacing w:after="0"/>
              <w:rPr>
                <w:sz w:val="1"/>
                <w:szCs w:val="1"/>
                <w:color w:val="auto"/>
              </w:rPr>
            </w:pPr>
          </w:p>
        </w:tc>
      </w:tr>
      <w:tr>
        <w:trPr>
          <w:trHeight w:val="33"/>
        </w:trPr>
        <w:tc>
          <w:tcPr>
            <w:tcW w:w="75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6"/>
        </w:trPr>
        <w:tc>
          <w:tcPr>
            <w:tcW w:w="754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6"/>
                <w:szCs w:val="16"/>
                <w:color w:val="auto"/>
              </w:rPr>
              <w:t>Deferred income taxes</w:t>
            </w:r>
          </w:p>
        </w:tc>
        <w:tc>
          <w:tcPr>
            <w:tcW w:w="260" w:type="dxa"/>
            <w:vAlign w:val="bottom"/>
            <w:tcBorders>
              <w:bottom w:val="single" w:sz="8" w:color="CCEEFF"/>
            </w:tcBorders>
            <w:shd w:val="clear" w:color="auto" w:fill="CCEEFF"/>
          </w:tcPr>
          <w:p>
            <w:pPr>
              <w:spacing w:after="0"/>
              <w:rPr>
                <w:sz w:val="20"/>
                <w:szCs w:val="20"/>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1,961,009</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2,088,212</w:t>
            </w:r>
          </w:p>
        </w:tc>
        <w:tc>
          <w:tcPr>
            <w:tcW w:w="0" w:type="dxa"/>
            <w:vAlign w:val="bottom"/>
          </w:tcPr>
          <w:p>
            <w:pPr>
              <w:spacing w:after="0"/>
              <w:rPr>
                <w:sz w:val="1"/>
                <w:szCs w:val="1"/>
                <w:color w:val="auto"/>
              </w:rPr>
            </w:pPr>
          </w:p>
        </w:tc>
      </w:tr>
      <w:tr>
        <w:trPr>
          <w:trHeight w:val="223"/>
        </w:trPr>
        <w:tc>
          <w:tcPr>
            <w:tcW w:w="7540" w:type="dxa"/>
            <w:vAlign w:val="bottom"/>
          </w:tcPr>
          <w:p>
            <w:pPr>
              <w:ind w:left="120"/>
              <w:spacing w:after="0"/>
              <w:rPr>
                <w:sz w:val="20"/>
                <w:szCs w:val="20"/>
                <w:color w:val="auto"/>
              </w:rPr>
            </w:pPr>
            <w:r>
              <w:rPr>
                <w:rFonts w:ascii="Arial" w:cs="Arial" w:eastAsia="Arial" w:hAnsi="Arial"/>
                <w:sz w:val="16"/>
                <w:szCs w:val="16"/>
                <w:color w:val="auto"/>
              </w:rPr>
              <w:t>Income taxes payable</w:t>
            </w:r>
          </w:p>
        </w:tc>
        <w:tc>
          <w:tcPr>
            <w:tcW w:w="26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591,509</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6"/>
                <w:szCs w:val="16"/>
                <w:color w:val="auto"/>
              </w:rPr>
              <w:t>654,420</w:t>
            </w:r>
          </w:p>
        </w:tc>
        <w:tc>
          <w:tcPr>
            <w:tcW w:w="0" w:type="dxa"/>
            <w:vAlign w:val="bottom"/>
          </w:tcPr>
          <w:p>
            <w:pPr>
              <w:spacing w:after="0"/>
              <w:rPr>
                <w:sz w:val="1"/>
                <w:szCs w:val="1"/>
                <w:color w:val="auto"/>
              </w:rPr>
            </w:pPr>
          </w:p>
        </w:tc>
      </w:tr>
      <w:tr>
        <w:trPr>
          <w:trHeight w:val="33"/>
        </w:trPr>
        <w:tc>
          <w:tcPr>
            <w:tcW w:w="75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6"/>
        </w:trPr>
        <w:tc>
          <w:tcPr>
            <w:tcW w:w="754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6"/>
                <w:szCs w:val="16"/>
                <w:color w:val="auto"/>
              </w:rPr>
              <w:t>Other non-current liabilities</w:t>
            </w:r>
          </w:p>
        </w:tc>
        <w:tc>
          <w:tcPr>
            <w:tcW w:w="260" w:type="dxa"/>
            <w:vAlign w:val="bottom"/>
            <w:tcBorders>
              <w:bottom w:val="single" w:sz="8" w:color="CCEEFF"/>
            </w:tcBorders>
            <w:shd w:val="clear" w:color="auto" w:fill="CCEEFF"/>
          </w:tcPr>
          <w:p>
            <w:pPr>
              <w:spacing w:after="0"/>
              <w:rPr>
                <w:sz w:val="22"/>
                <w:szCs w:val="22"/>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438,061</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239,937</w:t>
            </w:r>
          </w:p>
        </w:tc>
        <w:tc>
          <w:tcPr>
            <w:tcW w:w="0" w:type="dxa"/>
            <w:vAlign w:val="bottom"/>
          </w:tcPr>
          <w:p>
            <w:pPr>
              <w:spacing w:after="0"/>
              <w:rPr>
                <w:sz w:val="1"/>
                <w:szCs w:val="1"/>
                <w:color w:val="auto"/>
              </w:rPr>
            </w:pPr>
          </w:p>
        </w:tc>
      </w:tr>
      <w:tr>
        <w:trPr>
          <w:trHeight w:val="217"/>
        </w:trPr>
        <w:tc>
          <w:tcPr>
            <w:tcW w:w="7540" w:type="dxa"/>
            <w:vAlign w:val="bottom"/>
          </w:tcPr>
          <w:p>
            <w:pPr>
              <w:ind w:left="120"/>
              <w:spacing w:after="0"/>
              <w:rPr>
                <w:sz w:val="20"/>
                <w:szCs w:val="20"/>
                <w:color w:val="auto"/>
              </w:rPr>
            </w:pPr>
            <w:r>
              <w:rPr>
                <w:rFonts w:ascii="Arial" w:cs="Arial" w:eastAsia="Arial" w:hAnsi="Arial"/>
                <w:sz w:val="16"/>
                <w:szCs w:val="16"/>
                <w:color w:val="auto"/>
              </w:rPr>
              <w:t>Total non-current liabilities</w:t>
            </w:r>
          </w:p>
        </w:tc>
        <w:tc>
          <w:tcPr>
            <w:tcW w:w="260" w:type="dxa"/>
            <w:vAlign w:val="bottom"/>
            <w:tcBorders>
              <w:top w:val="single" w:sz="8" w:color="auto"/>
            </w:tcBorders>
          </w:tcPr>
          <w:p>
            <w:pPr>
              <w:spacing w:after="0"/>
              <w:rPr>
                <w:sz w:val="18"/>
                <w:szCs w:val="18"/>
                <w:color w:val="auto"/>
              </w:rPr>
            </w:pPr>
          </w:p>
        </w:tc>
        <w:tc>
          <w:tcPr>
            <w:tcW w:w="15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8,134,232</w:t>
            </w:r>
          </w:p>
        </w:tc>
        <w:tc>
          <w:tcPr>
            <w:tcW w:w="10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5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8,174,821</w:t>
            </w:r>
          </w:p>
        </w:tc>
        <w:tc>
          <w:tcPr>
            <w:tcW w:w="0" w:type="dxa"/>
            <w:vAlign w:val="bottom"/>
          </w:tcPr>
          <w:p>
            <w:pPr>
              <w:spacing w:after="0"/>
              <w:rPr>
                <w:sz w:val="1"/>
                <w:szCs w:val="1"/>
                <w:color w:val="auto"/>
              </w:rPr>
            </w:pPr>
          </w:p>
        </w:tc>
      </w:tr>
      <w:tr>
        <w:trPr>
          <w:trHeight w:val="33"/>
        </w:trPr>
        <w:tc>
          <w:tcPr>
            <w:tcW w:w="75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7540" w:type="dxa"/>
            <w:vAlign w:val="bottom"/>
            <w:shd w:val="clear" w:color="auto" w:fill="CCEEFF"/>
          </w:tcPr>
          <w:p>
            <w:pPr>
              <w:ind w:left="120"/>
              <w:spacing w:after="0"/>
              <w:rPr>
                <w:sz w:val="20"/>
                <w:szCs w:val="20"/>
                <w:color w:val="auto"/>
              </w:rPr>
            </w:pPr>
            <w:r>
              <w:rPr>
                <w:rFonts w:ascii="Arial" w:cs="Arial" w:eastAsia="Arial" w:hAnsi="Arial"/>
                <w:sz w:val="16"/>
                <w:szCs w:val="16"/>
                <w:color w:val="auto"/>
              </w:rPr>
              <w:t>Commitments and contingencies</w:t>
            </w:r>
          </w:p>
        </w:tc>
        <w:tc>
          <w:tcPr>
            <w:tcW w:w="26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8"/>
                <w:szCs w:val="18"/>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754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5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56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3" w:lineRule="exact"/>
        <w:rPr>
          <w:sz w:val="20"/>
          <w:szCs w:val="20"/>
          <w:color w:val="auto"/>
        </w:rPr>
      </w:pPr>
    </w:p>
    <w:p>
      <w:pPr>
        <w:sectPr>
          <w:pgSz w:w="11900" w:h="16838" w:orient="portrait"/>
          <w:cols w:equalWidth="0" w:num="1">
            <w:col w:w="11220"/>
          </w:cols>
          <w:pgMar w:left="320" w:top="1012" w:right="359" w:bottom="1027" w:gutter="0" w:footer="0" w:header="0"/>
        </w:sectPr>
      </w:pPr>
    </w:p>
    <w:p>
      <w:pPr>
        <w:ind w:left="40"/>
        <w:spacing w:after="0"/>
        <w:rPr>
          <w:sz w:val="20"/>
          <w:szCs w:val="20"/>
          <w:color w:val="auto"/>
        </w:rPr>
      </w:pPr>
      <w:r>
        <w:rPr>
          <w:rFonts w:ascii="Arial" w:cs="Arial" w:eastAsia="Arial" w:hAnsi="Arial"/>
          <w:sz w:val="16"/>
          <w:szCs w:val="16"/>
          <w:b w:val="1"/>
          <w:bCs w:val="1"/>
          <w:color w:val="auto"/>
        </w:rPr>
        <w:t>Shareholders’ Equity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37465</wp:posOffset>
            </wp:positionV>
            <wp:extent cx="7115175" cy="16319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15175" cy="163195"/>
                    </a:xfrm>
                    <a:prstGeom prst="rect">
                      <a:avLst/>
                    </a:prstGeom>
                    <a:noFill/>
                  </pic:spPr>
                </pic:pic>
              </a:graphicData>
            </a:graphic>
          </wp:anchor>
        </w:drawing>
      </w:r>
    </w:p>
    <w:p>
      <w:pPr>
        <w:spacing w:after="0" w:line="84" w:lineRule="exact"/>
        <w:rPr>
          <w:sz w:val="20"/>
          <w:szCs w:val="20"/>
          <w:color w:val="auto"/>
        </w:rPr>
      </w:pPr>
    </w:p>
    <w:p>
      <w:pPr>
        <w:ind w:left="160"/>
        <w:spacing w:after="0"/>
        <w:rPr>
          <w:sz w:val="20"/>
          <w:szCs w:val="20"/>
          <w:color w:val="auto"/>
        </w:rPr>
      </w:pPr>
      <w:r>
        <w:rPr>
          <w:rFonts w:ascii="Arial" w:cs="Arial" w:eastAsia="Arial" w:hAnsi="Arial"/>
          <w:sz w:val="16"/>
          <w:szCs w:val="16"/>
          <w:color w:val="auto"/>
        </w:rPr>
        <w:t>Preferred stock, $1.00 par value, 471,934 shares authorized, none outstanding</w:t>
      </w:r>
    </w:p>
    <w:p>
      <w:pPr>
        <w:spacing w:after="0" w:line="32" w:lineRule="exact"/>
        <w:rPr>
          <w:sz w:val="20"/>
          <w:szCs w:val="20"/>
          <w:color w:val="auto"/>
        </w:rPr>
      </w:pPr>
    </w:p>
    <w:p>
      <w:pPr>
        <w:ind w:left="160" w:right="140"/>
        <w:spacing w:after="0"/>
        <w:rPr>
          <w:sz w:val="20"/>
          <w:szCs w:val="20"/>
          <w:color w:val="auto"/>
        </w:rPr>
      </w:pPr>
      <w:r>
        <w:rPr>
          <w:rFonts w:ascii="Arial" w:cs="Arial" w:eastAsia="Arial" w:hAnsi="Arial"/>
          <w:sz w:val="16"/>
          <w:szCs w:val="16"/>
          <w:color w:val="auto"/>
        </w:rPr>
        <w:t>Common stock, 0.16 2/3 par value, 1,200,000,000 shares authorized, 369,166,257 shares outstanding (368,302,369 on November 2,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3810</wp:posOffset>
            </wp:positionV>
            <wp:extent cx="7115175" cy="16256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15175" cy="162560"/>
                    </a:xfrm>
                    <a:prstGeom prst="rect">
                      <a:avLst/>
                    </a:prstGeom>
                    <a:noFill/>
                  </pic:spPr>
                </pic:pic>
              </a:graphicData>
            </a:graphic>
          </wp:anchor>
        </w:drawing>
      </w:r>
    </w:p>
    <w:p>
      <w:pPr>
        <w:spacing w:after="0" w:line="4" w:lineRule="exact"/>
        <w:rPr>
          <w:sz w:val="20"/>
          <w:szCs w:val="20"/>
          <w:color w:val="auto"/>
        </w:rPr>
      </w:pPr>
    </w:p>
    <w:p>
      <w:pPr>
        <w:ind w:left="140"/>
        <w:spacing w:after="0"/>
        <w:rPr>
          <w:sz w:val="20"/>
          <w:szCs w:val="20"/>
          <w:color w:val="auto"/>
        </w:rPr>
      </w:pPr>
      <w:r>
        <w:rPr>
          <w:rFonts w:ascii="Arial" w:cs="Arial" w:eastAsia="Arial" w:hAnsi="Arial"/>
          <w:sz w:val="16"/>
          <w:szCs w:val="16"/>
          <w:color w:val="auto"/>
        </w:rPr>
        <w:t>Capital in excess of par value</w:t>
      </w:r>
    </w:p>
    <w:p>
      <w:pPr>
        <w:spacing w:after="0" w:line="73" w:lineRule="exact"/>
        <w:rPr>
          <w:sz w:val="20"/>
          <w:szCs w:val="20"/>
          <w:color w:val="auto"/>
        </w:rPr>
      </w:pPr>
    </w:p>
    <w:p>
      <w:pPr>
        <w:ind w:left="140"/>
        <w:spacing w:after="0"/>
        <w:rPr>
          <w:sz w:val="20"/>
          <w:szCs w:val="20"/>
          <w:color w:val="auto"/>
        </w:rPr>
      </w:pPr>
      <w:r>
        <w:rPr>
          <w:rFonts w:ascii="Arial" w:cs="Arial" w:eastAsia="Arial" w:hAnsi="Arial"/>
          <w:sz w:val="16"/>
          <w:szCs w:val="16"/>
          <w:color w:val="auto"/>
        </w:rPr>
        <w:t>Retained earnings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34925</wp:posOffset>
            </wp:positionV>
            <wp:extent cx="7115175" cy="16256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15175" cy="162560"/>
                    </a:xfrm>
                    <a:prstGeom prst="rect">
                      <a:avLst/>
                    </a:prstGeom>
                    <a:noFill/>
                  </pic:spPr>
                </pic:pic>
              </a:graphicData>
            </a:graphic>
          </wp:anchor>
        </w:drawing>
      </w:r>
    </w:p>
    <w:p>
      <w:pPr>
        <w:spacing w:after="0" w:line="53" w:lineRule="exact"/>
        <w:rPr>
          <w:sz w:val="20"/>
          <w:szCs w:val="20"/>
          <w:color w:val="auto"/>
        </w:rPr>
      </w:pPr>
    </w:p>
    <w:p>
      <w:pPr>
        <w:ind w:left="140"/>
        <w:spacing w:after="0"/>
        <w:rPr>
          <w:sz w:val="20"/>
          <w:szCs w:val="20"/>
          <w:color w:val="auto"/>
        </w:rPr>
      </w:pPr>
      <w:r>
        <w:rPr>
          <w:rFonts w:ascii="Arial" w:cs="Arial" w:eastAsia="Arial" w:hAnsi="Arial"/>
          <w:sz w:val="16"/>
          <w:szCs w:val="16"/>
          <w:color w:val="auto"/>
        </w:rPr>
        <w:t>Accumulated other comprehensive loss</w:t>
      </w:r>
    </w:p>
    <w:p>
      <w:pPr>
        <w:spacing w:after="0" w:line="86" w:lineRule="exact"/>
        <w:rPr>
          <w:sz w:val="20"/>
          <w:szCs w:val="20"/>
          <w:color w:val="auto"/>
        </w:rPr>
      </w:pPr>
    </w:p>
    <w:p>
      <w:pPr>
        <w:ind w:left="140"/>
        <w:spacing w:after="0"/>
        <w:rPr>
          <w:sz w:val="20"/>
          <w:szCs w:val="20"/>
          <w:color w:val="auto"/>
        </w:rPr>
      </w:pPr>
      <w:r>
        <w:rPr>
          <w:rFonts w:ascii="Arial" w:cs="Arial" w:eastAsia="Arial" w:hAnsi="Arial"/>
          <w:sz w:val="16"/>
          <w:szCs w:val="16"/>
          <w:color w:val="auto"/>
        </w:rPr>
        <w:t>Total shareholders’ equity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34925</wp:posOffset>
            </wp:positionV>
            <wp:extent cx="7115175" cy="18859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15175" cy="18859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41" w:lineRule="exact"/>
        <w:rPr>
          <w:sz w:val="20"/>
          <w:szCs w:val="20"/>
          <w:color w:val="auto"/>
        </w:rPr>
      </w:pPr>
    </w:p>
    <w:p>
      <w:pPr>
        <w:ind w:left="1520"/>
        <w:spacing w:after="0"/>
        <w:tabs>
          <w:tab w:leader="none" w:pos="3380" w:val="left"/>
        </w:tabs>
        <w:rPr>
          <w:sz w:val="20"/>
          <w:szCs w:val="20"/>
          <w:color w:val="auto"/>
        </w:rPr>
      </w:pPr>
      <w:r>
        <w:rPr>
          <w:rFonts w:ascii="Arial" w:cs="Arial" w:eastAsia="Arial" w:hAnsi="Arial"/>
          <w:sz w:val="16"/>
          <w:szCs w:val="16"/>
          <w:color w:val="auto"/>
        </w:rPr>
        <w:t>—</w:t>
      </w:r>
      <w:r>
        <w:rPr>
          <w:sz w:val="20"/>
          <w:szCs w:val="20"/>
          <w:color w:val="auto"/>
        </w:rPr>
        <w:tab/>
      </w:r>
      <w:r>
        <w:rPr>
          <w:rFonts w:ascii="Arial" w:cs="Arial" w:eastAsia="Arial" w:hAnsi="Arial"/>
          <w:sz w:val="16"/>
          <w:szCs w:val="16"/>
          <w:color w:val="auto"/>
        </w:rPr>
        <w:t>—</w:t>
      </w:r>
    </w:p>
    <w:p>
      <w:pPr>
        <w:spacing w:after="0" w:line="194" w:lineRule="exact"/>
        <w:rPr>
          <w:sz w:val="20"/>
          <w:szCs w:val="20"/>
          <w:color w:val="auto"/>
        </w:rPr>
      </w:pPr>
    </w:p>
    <w:p>
      <w:pPr>
        <w:ind w:left="1240"/>
        <w:spacing w:after="0"/>
        <w:tabs>
          <w:tab w:leader="none" w:pos="3100" w:val="left"/>
        </w:tabs>
        <w:rPr>
          <w:sz w:val="20"/>
          <w:szCs w:val="20"/>
          <w:color w:val="auto"/>
        </w:rPr>
      </w:pPr>
      <w:r>
        <w:rPr>
          <w:rFonts w:ascii="Arial" w:cs="Arial" w:eastAsia="Arial" w:hAnsi="Arial"/>
          <w:sz w:val="15"/>
          <w:szCs w:val="15"/>
          <w:color w:val="auto"/>
        </w:rPr>
        <w:t>61,529</w:t>
      </w:r>
      <w:r>
        <w:rPr>
          <w:sz w:val="20"/>
          <w:szCs w:val="20"/>
          <w:color w:val="auto"/>
        </w:rPr>
        <w:tab/>
      </w:r>
      <w:r>
        <w:rPr>
          <w:rFonts w:ascii="Arial" w:cs="Arial" w:eastAsia="Arial" w:hAnsi="Arial"/>
          <w:sz w:val="15"/>
          <w:szCs w:val="15"/>
          <w:color w:val="auto"/>
        </w:rPr>
        <w:t>61,385</w:t>
      </w:r>
    </w:p>
    <w:p>
      <w:pPr>
        <w:spacing w:after="0" w:line="84" w:lineRule="exact"/>
        <w:rPr>
          <w:sz w:val="20"/>
          <w:szCs w:val="20"/>
          <w:color w:val="auto"/>
        </w:rPr>
      </w:pPr>
    </w:p>
    <w:p>
      <w:pPr>
        <w:ind w:left="1020"/>
        <w:spacing w:after="0"/>
        <w:tabs>
          <w:tab w:leader="none" w:pos="2900" w:val="left"/>
        </w:tabs>
        <w:rPr>
          <w:sz w:val="20"/>
          <w:szCs w:val="20"/>
          <w:color w:val="auto"/>
        </w:rPr>
      </w:pPr>
      <w:r>
        <w:rPr>
          <w:rFonts w:ascii="Arial" w:cs="Arial" w:eastAsia="Arial" w:hAnsi="Arial"/>
          <w:sz w:val="15"/>
          <w:szCs w:val="15"/>
          <w:color w:val="auto"/>
        </w:rPr>
        <w:t>4,909,651</w:t>
      </w:r>
      <w:r>
        <w:rPr>
          <w:sz w:val="20"/>
          <w:szCs w:val="20"/>
          <w:color w:val="auto"/>
        </w:rPr>
        <w:tab/>
      </w:r>
      <w:r>
        <w:rPr>
          <w:rFonts w:ascii="Arial" w:cs="Arial" w:eastAsia="Arial" w:hAnsi="Arial"/>
          <w:sz w:val="15"/>
          <w:szCs w:val="15"/>
          <w:color w:val="auto"/>
        </w:rPr>
        <w:t>4,936,349</w:t>
      </w:r>
    </w:p>
    <w:p>
      <w:pPr>
        <w:spacing w:after="0" w:line="84" w:lineRule="exact"/>
        <w:rPr>
          <w:sz w:val="20"/>
          <w:szCs w:val="20"/>
          <w:color w:val="auto"/>
        </w:rPr>
      </w:pPr>
    </w:p>
    <w:p>
      <w:pPr>
        <w:ind w:left="1020"/>
        <w:spacing w:after="0"/>
        <w:tabs>
          <w:tab w:leader="none" w:pos="2900" w:val="left"/>
        </w:tabs>
        <w:rPr>
          <w:sz w:val="20"/>
          <w:szCs w:val="20"/>
          <w:color w:val="auto"/>
        </w:rPr>
      </w:pPr>
      <w:r>
        <w:rPr>
          <w:rFonts w:ascii="Arial" w:cs="Arial" w:eastAsia="Arial" w:hAnsi="Arial"/>
          <w:sz w:val="15"/>
          <w:szCs w:val="15"/>
          <w:color w:val="auto"/>
        </w:rPr>
        <w:t>7,079,309</w:t>
      </w:r>
      <w:r>
        <w:rPr>
          <w:sz w:val="20"/>
          <w:szCs w:val="20"/>
          <w:color w:val="auto"/>
        </w:rPr>
        <w:tab/>
      </w:r>
      <w:r>
        <w:rPr>
          <w:rFonts w:ascii="Arial" w:cs="Arial" w:eastAsia="Arial" w:hAnsi="Arial"/>
          <w:sz w:val="15"/>
          <w:szCs w:val="15"/>
          <w:color w:val="auto"/>
        </w:rPr>
        <w:t>6,899,253</w:t>
      </w:r>
    </w:p>
    <w:p>
      <w:pPr>
        <w:spacing w:after="0" w:line="84" w:lineRule="exact"/>
        <w:rPr>
          <w:sz w:val="20"/>
          <w:szCs w:val="20"/>
          <w:color w:val="auto"/>
        </w:rPr>
      </w:pPr>
    </w:p>
    <w:p>
      <w:pPr>
        <w:jc w:val="both"/>
        <w:ind w:left="1080"/>
        <w:spacing w:after="0"/>
        <w:tabs>
          <w:tab w:leader="none" w:pos="2960" w:val="left"/>
        </w:tabs>
        <w:rPr>
          <w:sz w:val="20"/>
          <w:szCs w:val="20"/>
          <w:color w:val="auto"/>
        </w:rPr>
      </w:pPr>
      <w:r>
        <w:rPr>
          <w:rFonts w:ascii="Arial" w:cs="Arial" w:eastAsia="Arial" w:hAnsi="Arial"/>
          <w:sz w:val="16"/>
          <w:szCs w:val="16"/>
          <w:color w:val="auto"/>
        </w:rPr>
        <w:t>(272,929)</w:t>
      </w:r>
      <w:r>
        <w:rPr>
          <w:sz w:val="20"/>
          <w:szCs w:val="20"/>
          <w:color w:val="auto"/>
        </w:rPr>
        <w:tab/>
      </w:r>
      <w:r>
        <w:rPr>
          <w:rFonts w:ascii="Arial" w:cs="Arial" w:eastAsia="Arial" w:hAnsi="Arial"/>
          <w:sz w:val="16"/>
          <w:szCs w:val="16"/>
          <w:color w:val="auto"/>
        </w:rPr>
        <w:t>(187,799)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34925</wp:posOffset>
            </wp:positionV>
            <wp:extent cx="233172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2331720" cy="8890"/>
                    </a:xfrm>
                    <a:prstGeom prst="rect">
                      <a:avLst/>
                    </a:prstGeom>
                    <a:noFill/>
                  </pic:spPr>
                </pic:pic>
              </a:graphicData>
            </a:graphic>
          </wp:anchor>
        </w:drawing>
      </w:r>
    </w:p>
    <w:p>
      <w:pPr>
        <w:spacing w:after="0" w:line="66" w:lineRule="exact"/>
        <w:rPr>
          <w:sz w:val="20"/>
          <w:szCs w:val="20"/>
          <w:color w:val="auto"/>
        </w:rPr>
      </w:pPr>
    </w:p>
    <w:p>
      <w:pPr>
        <w:ind w:left="960"/>
        <w:spacing w:after="0"/>
        <w:tabs>
          <w:tab w:leader="none" w:pos="2820" w:val="left"/>
        </w:tabs>
        <w:rPr>
          <w:sz w:val="20"/>
          <w:szCs w:val="20"/>
          <w:color w:val="auto"/>
        </w:rPr>
      </w:pPr>
      <w:r>
        <w:rPr>
          <w:rFonts w:ascii="Arial" w:cs="Arial" w:eastAsia="Arial" w:hAnsi="Arial"/>
          <w:sz w:val="15"/>
          <w:szCs w:val="15"/>
          <w:color w:val="auto"/>
        </w:rPr>
        <w:t>11,777,560</w:t>
      </w:r>
      <w:r>
        <w:rPr>
          <w:sz w:val="20"/>
          <w:szCs w:val="20"/>
          <w:color w:val="auto"/>
        </w:rPr>
        <w:tab/>
      </w:r>
      <w:r>
        <w:rPr>
          <w:rFonts w:ascii="Arial" w:cs="Arial" w:eastAsia="Arial" w:hAnsi="Arial"/>
          <w:sz w:val="15"/>
          <w:szCs w:val="15"/>
          <w:color w:val="auto"/>
        </w:rPr>
        <w:t>11,709,188</w:t>
      </w:r>
    </w:p>
    <w:p>
      <w:pPr>
        <w:spacing w:after="0" w:line="98" w:lineRule="exact"/>
        <w:rPr>
          <w:sz w:val="20"/>
          <w:szCs w:val="20"/>
          <w:color w:val="auto"/>
        </w:rPr>
      </w:pPr>
    </w:p>
    <w:p>
      <w:pPr>
        <w:spacing w:after="0"/>
        <w:tabs>
          <w:tab w:leader="none" w:pos="920" w:val="left"/>
          <w:tab w:leader="none" w:pos="1860" w:val="left"/>
          <w:tab w:leader="none" w:pos="2820" w:val="left"/>
        </w:tabs>
        <w:rPr>
          <w:sz w:val="20"/>
          <w:szCs w:val="20"/>
          <w:color w:val="auto"/>
        </w:rPr>
      </w:pPr>
      <w:r>
        <w:rPr>
          <w:rFonts w:ascii="Arial" w:cs="Arial" w:eastAsia="Arial" w:hAnsi="Arial"/>
          <w:sz w:val="16"/>
          <w:szCs w:val="16"/>
          <w:color w:val="auto"/>
        </w:rPr>
        <w:t>$</w:t>
      </w:r>
      <w:r>
        <w:rPr>
          <w:sz w:val="20"/>
          <w:szCs w:val="20"/>
          <w:color w:val="auto"/>
        </w:rPr>
        <w:tab/>
      </w:r>
      <w:r>
        <w:rPr>
          <w:rFonts w:ascii="Arial" w:cs="Arial" w:eastAsia="Arial" w:hAnsi="Arial"/>
          <w:sz w:val="16"/>
          <w:szCs w:val="16"/>
          <w:color w:val="auto"/>
        </w:rPr>
        <w:t>21,599,568</w:t>
        <w:tab/>
        <w:t>$</w:t>
      </w:r>
      <w:r>
        <w:rPr>
          <w:sz w:val="20"/>
          <w:szCs w:val="20"/>
          <w:color w:val="auto"/>
        </w:rPr>
        <w:tab/>
      </w:r>
      <w:r>
        <w:rPr>
          <w:rFonts w:ascii="Arial" w:cs="Arial" w:eastAsia="Arial" w:hAnsi="Arial"/>
          <w:sz w:val="14"/>
          <w:szCs w:val="14"/>
          <w:color w:val="auto"/>
        </w:rPr>
        <w:t>21,392,641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60960</wp:posOffset>
            </wp:positionV>
            <wp:extent cx="233172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2331720" cy="889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6860" w:space="720"/>
            <w:col w:w="3640"/>
          </w:cols>
          <w:pgMar w:left="320" w:top="1012" w:right="359" w:bottom="1027" w:gutter="0" w:footer="0" w:header="0"/>
          <w:type w:val="continuous"/>
        </w:sectPr>
      </w:pPr>
    </w:p>
    <w:p>
      <w:pPr>
        <w:spacing w:after="0" w:line="8" w:lineRule="exact"/>
        <w:rPr>
          <w:sz w:val="20"/>
          <w:szCs w:val="20"/>
          <w:color w:val="auto"/>
        </w:rPr>
      </w:pPr>
    </w:p>
    <w:p>
      <w:pPr>
        <w:spacing w:after="0"/>
        <w:rPr>
          <w:sz w:val="20"/>
          <w:szCs w:val="20"/>
          <w:color w:val="auto"/>
        </w:rPr>
      </w:pPr>
      <w:r>
        <w:rPr>
          <w:rFonts w:ascii="Arial" w:cs="Arial" w:eastAsia="Arial" w:hAnsi="Arial"/>
          <w:sz w:val="14"/>
          <w:szCs w:val="14"/>
          <w:color w:val="auto"/>
        </w:rPr>
        <w:t>See accompanying notes.</w:t>
      </w:r>
    </w:p>
    <w:p>
      <w:pPr>
        <w:sectPr>
          <w:pgSz w:w="11900" w:h="16838" w:orient="portrait"/>
          <w:cols w:equalWidth="0" w:num="1">
            <w:col w:w="11220"/>
          </w:cols>
          <w:pgMar w:left="320" w:top="1012" w:right="359" w:bottom="1027" w:gutter="0" w:footer="0" w:header="0"/>
          <w:type w:val="continuous"/>
        </w:sectPr>
      </w:pPr>
    </w:p>
    <w:p>
      <w:pPr>
        <w:spacing w:after="0" w:line="200" w:lineRule="exact"/>
        <w:rPr>
          <w:sz w:val="20"/>
          <w:szCs w:val="20"/>
          <w:color w:val="auto"/>
        </w:rPr>
      </w:pPr>
    </w:p>
    <w:p>
      <w:pPr>
        <w:spacing w:after="0" w:line="377"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012" w:right="359" w:bottom="1027" w:gutter="0" w:footer="0" w:header="0"/>
          <w:type w:val="continuous"/>
        </w:sectPr>
      </w:pPr>
    </w:p>
    <w:bookmarkStart w:id="4" w:name="page5"/>
    <w:bookmarkEnd w:id="4"/>
    <w:p>
      <w:pPr>
        <w:jc w:val="center"/>
        <w:ind w:right="-39"/>
        <w:spacing w:after="0"/>
        <w:rPr>
          <w:sz w:val="20"/>
          <w:szCs w:val="20"/>
          <w:color w:val="auto"/>
        </w:rPr>
      </w:pPr>
      <w:r>
        <w:rPr>
          <w:rFonts w:ascii="Arial" w:cs="Arial" w:eastAsia="Arial" w:hAnsi="Arial"/>
          <w:sz w:val="18"/>
          <w:szCs w:val="18"/>
          <w:b w:val="1"/>
          <w:bCs w:val="1"/>
          <w:color w:val="auto"/>
        </w:rPr>
        <w:t>ANALOG DEVICES, INC.</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7"/>
          <w:szCs w:val="17"/>
          <w:b w:val="1"/>
          <w:bCs w:val="1"/>
          <w:color w:val="auto"/>
        </w:rPr>
        <w:t>CONDENSED CONSOLIDATED STATEMENTS OF SHAREHOLDERS' EQUITY</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(in thousands)</w:t>
      </w:r>
    </w:p>
    <w:p>
      <w:pPr>
        <w:sectPr>
          <w:pgSz w:w="11900" w:h="16838" w:orient="portrait"/>
          <w:cols w:equalWidth="0" w:num="1">
            <w:col w:w="11200"/>
          </w:cols>
          <w:pgMar w:left="320" w:top="1012" w:right="3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BALANCE, MAY 2, 2020</w:t>
      </w:r>
    </w:p>
    <w:p>
      <w:pPr>
        <w:spacing w:after="0" w:line="40" w:lineRule="exact"/>
        <w:rPr>
          <w:sz w:val="20"/>
          <w:szCs w:val="20"/>
          <w:color w:val="auto"/>
        </w:rPr>
      </w:pPr>
    </w:p>
    <w:p>
      <w:pPr>
        <w:ind w:left="20"/>
        <w:spacing w:after="0"/>
        <w:rPr>
          <w:sz w:val="20"/>
          <w:szCs w:val="20"/>
          <w:color w:val="auto"/>
        </w:rPr>
      </w:pPr>
      <w:r>
        <w:rPr>
          <w:rFonts w:ascii="Arial" w:cs="Arial" w:eastAsia="Arial" w:hAnsi="Arial"/>
          <w:sz w:val="18"/>
          <w:szCs w:val="18"/>
          <w:color w:val="auto"/>
        </w:rPr>
        <w:t>Net income</w:t>
      </w:r>
    </w:p>
    <w:p>
      <w:pPr>
        <w:spacing w:after="0" w:line="90" w:lineRule="exact"/>
        <w:rPr>
          <w:sz w:val="20"/>
          <w:szCs w:val="20"/>
          <w:color w:val="auto"/>
        </w:rPr>
      </w:pPr>
    </w:p>
    <w:p>
      <w:pPr>
        <w:ind w:left="20" w:right="680"/>
        <w:spacing w:after="0" w:line="334" w:lineRule="auto"/>
        <w:rPr>
          <w:sz w:val="20"/>
          <w:szCs w:val="20"/>
          <w:color w:val="auto"/>
        </w:rPr>
      </w:pPr>
      <w:r>
        <w:rPr>
          <w:rFonts w:ascii="Arial" w:cs="Arial" w:eastAsia="Arial" w:hAnsi="Arial"/>
          <w:sz w:val="16"/>
          <w:szCs w:val="16"/>
          <w:color w:val="auto"/>
        </w:rPr>
        <w:t>Dividends declared and paid - $0.62 per share Issuance of stock under stock plans and other</w:t>
      </w:r>
    </w:p>
    <w:p>
      <w:pPr>
        <w:spacing w:after="0" w:line="1" w:lineRule="exact"/>
        <w:rPr>
          <w:sz w:val="20"/>
          <w:szCs w:val="20"/>
          <w:color w:val="auto"/>
        </w:rPr>
      </w:pPr>
    </w:p>
    <w:p>
      <w:pPr>
        <w:ind w:left="20"/>
        <w:spacing w:after="0"/>
        <w:rPr>
          <w:sz w:val="20"/>
          <w:szCs w:val="20"/>
          <w:color w:val="auto"/>
        </w:rPr>
      </w:pPr>
      <w:r>
        <w:rPr>
          <w:rFonts w:ascii="Arial" w:cs="Arial" w:eastAsia="Arial" w:hAnsi="Arial"/>
          <w:sz w:val="18"/>
          <w:szCs w:val="18"/>
          <w:color w:val="auto"/>
        </w:rPr>
        <w:t>Stock-based compensation expense</w:t>
      </w:r>
    </w:p>
    <w:p>
      <w:pPr>
        <w:spacing w:after="0" w:line="63" w:lineRule="exact"/>
        <w:rPr>
          <w:sz w:val="20"/>
          <w:szCs w:val="20"/>
          <w:color w:val="auto"/>
        </w:rPr>
      </w:pPr>
    </w:p>
    <w:p>
      <w:pPr>
        <w:ind w:left="20"/>
        <w:spacing w:after="0"/>
        <w:rPr>
          <w:sz w:val="20"/>
          <w:szCs w:val="20"/>
          <w:color w:val="auto"/>
        </w:rPr>
      </w:pPr>
      <w:r>
        <w:rPr>
          <w:rFonts w:ascii="Arial" w:cs="Arial" w:eastAsia="Arial" w:hAnsi="Arial"/>
          <w:sz w:val="18"/>
          <w:szCs w:val="18"/>
          <w:color w:val="auto"/>
        </w:rPr>
        <w:t>Other comprehensive income</w:t>
      </w:r>
    </w:p>
    <w:p>
      <w:pPr>
        <w:spacing w:after="0" w:line="63" w:lineRule="exact"/>
        <w:rPr>
          <w:sz w:val="20"/>
          <w:szCs w:val="20"/>
          <w:color w:val="auto"/>
        </w:rPr>
      </w:pPr>
    </w:p>
    <w:p>
      <w:pPr>
        <w:ind w:left="20"/>
        <w:spacing w:after="0"/>
        <w:rPr>
          <w:sz w:val="20"/>
          <w:szCs w:val="20"/>
          <w:color w:val="auto"/>
        </w:rPr>
      </w:pPr>
      <w:r>
        <w:rPr>
          <w:rFonts w:ascii="Arial" w:cs="Arial" w:eastAsia="Arial" w:hAnsi="Arial"/>
          <w:sz w:val="18"/>
          <w:szCs w:val="18"/>
          <w:color w:val="auto"/>
        </w:rPr>
        <w:t>Common stock repurchased</w:t>
      </w:r>
    </w:p>
    <w:p>
      <w:pPr>
        <w:spacing w:after="0" w:line="127"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BALANCE, AUGUST 1, 2020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BALANCE, NOVEMBER 2, 2019</w:t>
      </w:r>
    </w:p>
    <w:p>
      <w:pPr>
        <w:spacing w:after="0" w:line="67" w:lineRule="exact"/>
        <w:rPr>
          <w:sz w:val="20"/>
          <w:szCs w:val="20"/>
          <w:color w:val="auto"/>
        </w:rPr>
      </w:pPr>
    </w:p>
    <w:p>
      <w:pPr>
        <w:ind w:left="20" w:right="520"/>
        <w:spacing w:after="0" w:line="308" w:lineRule="auto"/>
        <w:rPr>
          <w:sz w:val="20"/>
          <w:szCs w:val="20"/>
          <w:color w:val="auto"/>
        </w:rPr>
      </w:pPr>
      <w:r>
        <w:rPr>
          <w:rFonts w:ascii="Arial" w:cs="Arial" w:eastAsia="Arial" w:hAnsi="Arial"/>
          <w:sz w:val="18"/>
          <w:szCs w:val="18"/>
          <w:color w:val="auto"/>
        </w:rPr>
        <w:t>Effect of Accounting Standards Update 2018-02 Net income</w:t>
      </w:r>
    </w:p>
    <w:p>
      <w:pPr>
        <w:spacing w:after="0" w:line="9" w:lineRule="exact"/>
        <w:rPr>
          <w:sz w:val="20"/>
          <w:szCs w:val="20"/>
          <w:color w:val="auto"/>
        </w:rPr>
      </w:pPr>
    </w:p>
    <w:p>
      <w:pPr>
        <w:ind w:left="20" w:right="680"/>
        <w:spacing w:after="0" w:line="334" w:lineRule="auto"/>
        <w:rPr>
          <w:sz w:val="20"/>
          <w:szCs w:val="20"/>
          <w:color w:val="auto"/>
        </w:rPr>
      </w:pPr>
      <w:r>
        <w:rPr>
          <w:rFonts w:ascii="Arial" w:cs="Arial" w:eastAsia="Arial" w:hAnsi="Arial"/>
          <w:sz w:val="16"/>
          <w:szCs w:val="16"/>
          <w:color w:val="auto"/>
        </w:rPr>
        <w:t>Dividends declared and paid - $1.78 per share Issuance of stock as charitable contribution</w:t>
      </w:r>
    </w:p>
    <w:p>
      <w:pPr>
        <w:spacing w:after="0" w:line="1" w:lineRule="exact"/>
        <w:rPr>
          <w:sz w:val="20"/>
          <w:szCs w:val="20"/>
          <w:color w:val="auto"/>
        </w:rPr>
      </w:pPr>
    </w:p>
    <w:p>
      <w:pPr>
        <w:ind w:left="20"/>
        <w:spacing w:after="0"/>
        <w:rPr>
          <w:sz w:val="20"/>
          <w:szCs w:val="20"/>
          <w:color w:val="auto"/>
        </w:rPr>
      </w:pPr>
      <w:r>
        <w:rPr>
          <w:rFonts w:ascii="Arial" w:cs="Arial" w:eastAsia="Arial" w:hAnsi="Arial"/>
          <w:sz w:val="17"/>
          <w:szCs w:val="17"/>
          <w:color w:val="auto"/>
        </w:rPr>
        <w:t>Issuance of stock under stock plans and other</w:t>
      </w:r>
    </w:p>
    <w:p>
      <w:pPr>
        <w:spacing w:after="0" w:line="75" w:lineRule="exact"/>
        <w:rPr>
          <w:sz w:val="20"/>
          <w:szCs w:val="20"/>
          <w:color w:val="auto"/>
        </w:rPr>
      </w:pPr>
    </w:p>
    <w:p>
      <w:pPr>
        <w:ind w:left="20"/>
        <w:spacing w:after="0"/>
        <w:rPr>
          <w:sz w:val="20"/>
          <w:szCs w:val="20"/>
          <w:color w:val="auto"/>
        </w:rPr>
      </w:pPr>
      <w:r>
        <w:rPr>
          <w:rFonts w:ascii="Arial" w:cs="Arial" w:eastAsia="Arial" w:hAnsi="Arial"/>
          <w:sz w:val="18"/>
          <w:szCs w:val="18"/>
          <w:color w:val="auto"/>
        </w:rPr>
        <w:t>Stock-based compensation expense</w:t>
      </w:r>
    </w:p>
    <w:p>
      <w:pPr>
        <w:spacing w:after="0" w:line="63" w:lineRule="exact"/>
        <w:rPr>
          <w:sz w:val="20"/>
          <w:szCs w:val="20"/>
          <w:color w:val="auto"/>
        </w:rPr>
      </w:pPr>
    </w:p>
    <w:p>
      <w:pPr>
        <w:ind w:left="20"/>
        <w:spacing w:after="0"/>
        <w:rPr>
          <w:sz w:val="20"/>
          <w:szCs w:val="20"/>
          <w:color w:val="auto"/>
        </w:rPr>
      </w:pPr>
      <w:r>
        <w:rPr>
          <w:rFonts w:ascii="Arial" w:cs="Arial" w:eastAsia="Arial" w:hAnsi="Arial"/>
          <w:sz w:val="18"/>
          <w:szCs w:val="18"/>
          <w:color w:val="auto"/>
        </w:rPr>
        <w:t>Other comprehensive loss</w:t>
      </w:r>
    </w:p>
    <w:p>
      <w:pPr>
        <w:spacing w:after="0" w:line="63" w:lineRule="exact"/>
        <w:rPr>
          <w:sz w:val="20"/>
          <w:szCs w:val="20"/>
          <w:color w:val="auto"/>
        </w:rPr>
      </w:pPr>
    </w:p>
    <w:p>
      <w:pPr>
        <w:ind w:left="20"/>
        <w:spacing w:after="0"/>
        <w:rPr>
          <w:sz w:val="20"/>
          <w:szCs w:val="20"/>
          <w:color w:val="auto"/>
        </w:rPr>
      </w:pPr>
      <w:r>
        <w:rPr>
          <w:rFonts w:ascii="Arial" w:cs="Arial" w:eastAsia="Arial" w:hAnsi="Arial"/>
          <w:sz w:val="18"/>
          <w:szCs w:val="18"/>
          <w:color w:val="auto"/>
        </w:rPr>
        <w:t>Common stock repurchased</w:t>
      </w:r>
    </w:p>
    <w:p>
      <w:pPr>
        <w:spacing w:after="0" w:line="100"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BALANCE, AUGUST 1, 2020</w:t>
      </w:r>
    </w:p>
    <w:p>
      <w:pPr>
        <w:spacing w:after="0" w:line="20" w:lineRule="exact"/>
        <w:rPr>
          <w:sz w:val="20"/>
          <w:szCs w:val="20"/>
          <w:color w:val="auto"/>
        </w:rPr>
      </w:pPr>
      <w:r>
        <w:rPr>
          <w:sz w:val="20"/>
          <w:szCs w:val="20"/>
          <w:color w:val="auto"/>
        </w:rPr>
        <w:br w:type="column"/>
      </w:r>
    </w:p>
    <w:p>
      <w:pPr>
        <w:spacing w:after="0" w:line="263" w:lineRule="exact"/>
        <w:rPr>
          <w:sz w:val="20"/>
          <w:szCs w:val="20"/>
          <w:color w:val="auto"/>
        </w:rPr>
      </w:pPr>
    </w:p>
    <w:p>
      <w:pPr>
        <w:ind w:left="2100"/>
        <w:spacing w:after="0"/>
        <w:rPr>
          <w:sz w:val="20"/>
          <w:szCs w:val="20"/>
          <w:color w:val="auto"/>
        </w:rPr>
      </w:pPr>
      <w:r>
        <w:rPr>
          <w:rFonts w:ascii="Arial" w:cs="Arial" w:eastAsia="Arial" w:hAnsi="Arial"/>
          <w:sz w:val="14"/>
          <w:szCs w:val="14"/>
          <w:b w:val="1"/>
          <w:bCs w:val="1"/>
          <w:color w:val="auto"/>
        </w:rPr>
        <w:t>Three Months Ended August 1,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23495</wp:posOffset>
            </wp:positionV>
            <wp:extent cx="410591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4105910" cy="8255"/>
                    </a:xfrm>
                    <a:prstGeom prst="rect">
                      <a:avLst/>
                    </a:prstGeom>
                    <a:noFill/>
                  </pic:spPr>
                </pic:pic>
              </a:graphicData>
            </a:graphic>
          </wp:anchor>
        </w:drawing>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20" w:type="dxa"/>
            <w:vAlign w:val="bottom"/>
            <w:gridSpan w:val="2"/>
            <w:vMerge w:val="restart"/>
          </w:tcPr>
          <w:p>
            <w:pPr>
              <w:jc w:val="center"/>
              <w:ind w:right="320"/>
              <w:spacing w:after="0"/>
              <w:rPr>
                <w:sz w:val="20"/>
                <w:szCs w:val="20"/>
                <w:color w:val="auto"/>
              </w:rPr>
            </w:pPr>
            <w:r>
              <w:rPr>
                <w:rFonts w:ascii="Arial" w:cs="Arial" w:eastAsia="Arial" w:hAnsi="Arial"/>
                <w:sz w:val="14"/>
                <w:szCs w:val="14"/>
                <w:b w:val="1"/>
                <w:bCs w:val="1"/>
                <w:color w:val="auto"/>
                <w:w w:val="95"/>
              </w:rPr>
              <w:t>Capital in</w:t>
            </w:r>
          </w:p>
        </w:tc>
        <w:tc>
          <w:tcPr>
            <w:tcW w:w="2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60" w:type="dxa"/>
            <w:vAlign w:val="bottom"/>
          </w:tcPr>
          <w:p>
            <w:pPr>
              <w:jc w:val="center"/>
              <w:ind w:right="120"/>
              <w:spacing w:after="0"/>
              <w:rPr>
                <w:sz w:val="20"/>
                <w:szCs w:val="20"/>
                <w:color w:val="auto"/>
              </w:rPr>
            </w:pPr>
            <w:r>
              <w:rPr>
                <w:rFonts w:ascii="Arial" w:cs="Arial" w:eastAsia="Arial" w:hAnsi="Arial"/>
                <w:sz w:val="14"/>
                <w:szCs w:val="14"/>
                <w:b w:val="1"/>
                <w:bCs w:val="1"/>
                <w:color w:val="auto"/>
                <w:w w:val="93"/>
              </w:rPr>
              <w:t>Accumulated</w:t>
            </w:r>
          </w:p>
        </w:tc>
        <w:tc>
          <w:tcPr>
            <w:tcW w:w="0" w:type="dxa"/>
            <w:vAlign w:val="bottom"/>
          </w:tcPr>
          <w:p>
            <w:pPr>
              <w:spacing w:after="0"/>
              <w:rPr>
                <w:sz w:val="1"/>
                <w:szCs w:val="1"/>
                <w:color w:val="auto"/>
              </w:rPr>
            </w:pPr>
          </w:p>
        </w:tc>
      </w:tr>
      <w:tr>
        <w:trPr>
          <w:trHeight w:val="186"/>
        </w:trPr>
        <w:tc>
          <w:tcPr>
            <w:tcW w:w="1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2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60" w:type="dxa"/>
            <w:vAlign w:val="bottom"/>
          </w:tcPr>
          <w:p>
            <w:pPr>
              <w:jc w:val="center"/>
              <w:ind w:right="100"/>
              <w:spacing w:after="0"/>
              <w:rPr>
                <w:sz w:val="20"/>
                <w:szCs w:val="20"/>
                <w:color w:val="auto"/>
              </w:rPr>
            </w:pPr>
            <w:r>
              <w:rPr>
                <w:rFonts w:ascii="Arial" w:cs="Arial" w:eastAsia="Arial" w:hAnsi="Arial"/>
                <w:sz w:val="14"/>
                <w:szCs w:val="14"/>
                <w:b w:val="1"/>
                <w:bCs w:val="1"/>
                <w:color w:val="auto"/>
                <w:w w:val="96"/>
              </w:rPr>
              <w:t>Other</w:t>
            </w:r>
          </w:p>
        </w:tc>
        <w:tc>
          <w:tcPr>
            <w:tcW w:w="0" w:type="dxa"/>
            <w:vAlign w:val="bottom"/>
          </w:tcPr>
          <w:p>
            <w:pPr>
              <w:spacing w:after="0"/>
              <w:rPr>
                <w:sz w:val="1"/>
                <w:szCs w:val="1"/>
                <w:color w:val="auto"/>
              </w:rPr>
            </w:pPr>
          </w:p>
        </w:tc>
      </w:tr>
      <w:tr>
        <w:trPr>
          <w:trHeight w:val="208"/>
        </w:trPr>
        <w:tc>
          <w:tcPr>
            <w:tcW w:w="2280" w:type="dxa"/>
            <w:vAlign w:val="bottom"/>
            <w:tcBorders>
              <w:bottom w:val="single" w:sz="8" w:color="auto"/>
            </w:tcBorders>
            <w:gridSpan w:val="4"/>
          </w:tcPr>
          <w:p>
            <w:pPr>
              <w:jc w:val="right"/>
              <w:ind w:right="595"/>
              <w:spacing w:after="0"/>
              <w:rPr>
                <w:sz w:val="20"/>
                <w:szCs w:val="20"/>
                <w:color w:val="auto"/>
              </w:rPr>
            </w:pPr>
            <w:r>
              <w:rPr>
                <w:rFonts w:ascii="Arial" w:cs="Arial" w:eastAsia="Arial" w:hAnsi="Arial"/>
                <w:sz w:val="14"/>
                <w:szCs w:val="14"/>
                <w:b w:val="1"/>
                <w:bCs w:val="1"/>
                <w:color w:val="auto"/>
              </w:rPr>
              <w:t>Common Stock</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85"/>
              </w:rPr>
              <w:t>Excess of</w:t>
            </w:r>
          </w:p>
        </w:tc>
        <w:tc>
          <w:tcPr>
            <w:tcW w:w="200" w:type="dxa"/>
            <w:vAlign w:val="bottom"/>
          </w:tcPr>
          <w:p>
            <w:pPr>
              <w:spacing w:after="0"/>
              <w:rPr>
                <w:sz w:val="18"/>
                <w:szCs w:val="18"/>
                <w:color w:val="auto"/>
              </w:rPr>
            </w:pPr>
          </w:p>
        </w:tc>
        <w:tc>
          <w:tcPr>
            <w:tcW w:w="1120" w:type="dxa"/>
            <w:vAlign w:val="bottom"/>
            <w:gridSpan w:val="2"/>
          </w:tcPr>
          <w:p>
            <w:pPr>
              <w:ind w:left="120"/>
              <w:spacing w:after="0"/>
              <w:rPr>
                <w:sz w:val="20"/>
                <w:szCs w:val="20"/>
                <w:color w:val="auto"/>
              </w:rPr>
            </w:pPr>
            <w:r>
              <w:rPr>
                <w:rFonts w:ascii="Arial" w:cs="Arial" w:eastAsia="Arial" w:hAnsi="Arial"/>
                <w:sz w:val="14"/>
                <w:szCs w:val="14"/>
                <w:b w:val="1"/>
                <w:bCs w:val="1"/>
                <w:color w:val="auto"/>
              </w:rPr>
              <w:t>Retained</w:t>
            </w:r>
          </w:p>
        </w:tc>
        <w:tc>
          <w:tcPr>
            <w:tcW w:w="180" w:type="dxa"/>
            <w:vAlign w:val="bottom"/>
          </w:tcPr>
          <w:p>
            <w:pPr>
              <w:spacing w:after="0"/>
              <w:rPr>
                <w:sz w:val="18"/>
                <w:szCs w:val="18"/>
                <w:color w:val="auto"/>
              </w:rPr>
            </w:pPr>
          </w:p>
        </w:tc>
        <w:tc>
          <w:tcPr>
            <w:tcW w:w="1260" w:type="dxa"/>
            <w:vAlign w:val="bottom"/>
          </w:tcPr>
          <w:p>
            <w:pPr>
              <w:jc w:val="center"/>
              <w:ind w:right="100"/>
              <w:spacing w:after="0"/>
              <w:rPr>
                <w:sz w:val="20"/>
                <w:szCs w:val="20"/>
                <w:color w:val="auto"/>
              </w:rPr>
            </w:pPr>
            <w:r>
              <w:rPr>
                <w:rFonts w:ascii="Arial" w:cs="Arial" w:eastAsia="Arial" w:hAnsi="Arial"/>
                <w:sz w:val="14"/>
                <w:szCs w:val="14"/>
                <w:b w:val="1"/>
                <w:bCs w:val="1"/>
                <w:color w:val="auto"/>
                <w:w w:val="91"/>
              </w:rPr>
              <w:t>Comprehensive</w:t>
            </w:r>
          </w:p>
        </w:tc>
        <w:tc>
          <w:tcPr>
            <w:tcW w:w="0" w:type="dxa"/>
            <w:vAlign w:val="bottom"/>
          </w:tcPr>
          <w:p>
            <w:pPr>
              <w:spacing w:after="0"/>
              <w:rPr>
                <w:sz w:val="1"/>
                <w:szCs w:val="1"/>
                <w:color w:val="auto"/>
              </w:rPr>
            </w:pPr>
          </w:p>
        </w:tc>
      </w:tr>
      <w:tr>
        <w:trPr>
          <w:trHeight w:val="196"/>
        </w:trPr>
        <w:tc>
          <w:tcPr>
            <w:tcW w:w="1160" w:type="dxa"/>
            <w:vAlign w:val="bottom"/>
            <w:gridSpan w:val="2"/>
          </w:tcPr>
          <w:p>
            <w:pPr>
              <w:ind w:left="320"/>
              <w:spacing w:after="0"/>
              <w:rPr>
                <w:sz w:val="20"/>
                <w:szCs w:val="20"/>
                <w:color w:val="auto"/>
              </w:rPr>
            </w:pPr>
            <w:r>
              <w:rPr>
                <w:rFonts w:ascii="Arial" w:cs="Arial" w:eastAsia="Arial" w:hAnsi="Arial"/>
                <w:sz w:val="14"/>
                <w:szCs w:val="14"/>
                <w:b w:val="1"/>
                <w:bCs w:val="1"/>
                <w:color w:val="auto"/>
              </w:rPr>
              <w:t>Shares</w:t>
            </w:r>
          </w:p>
        </w:tc>
        <w:tc>
          <w:tcPr>
            <w:tcW w:w="200" w:type="dxa"/>
            <w:vAlign w:val="bottom"/>
          </w:tcPr>
          <w:p>
            <w:pPr>
              <w:spacing w:after="0"/>
              <w:rPr>
                <w:sz w:val="17"/>
                <w:szCs w:val="17"/>
                <w:color w:val="auto"/>
              </w:rPr>
            </w:pPr>
          </w:p>
        </w:tc>
        <w:tc>
          <w:tcPr>
            <w:tcW w:w="1020" w:type="dxa"/>
            <w:vAlign w:val="bottom"/>
            <w:gridSpan w:val="2"/>
          </w:tcPr>
          <w:p>
            <w:pPr>
              <w:ind w:left="100"/>
              <w:spacing w:after="0"/>
              <w:rPr>
                <w:sz w:val="20"/>
                <w:szCs w:val="20"/>
                <w:color w:val="auto"/>
              </w:rPr>
            </w:pPr>
            <w:r>
              <w:rPr>
                <w:rFonts w:ascii="Arial" w:cs="Arial" w:eastAsia="Arial" w:hAnsi="Arial"/>
                <w:sz w:val="14"/>
                <w:szCs w:val="14"/>
                <w:b w:val="1"/>
                <w:bCs w:val="1"/>
                <w:color w:val="auto"/>
              </w:rPr>
              <w:t>Amount</w:t>
            </w:r>
          </w:p>
        </w:tc>
        <w:tc>
          <w:tcPr>
            <w:tcW w:w="200" w:type="dxa"/>
            <w:vAlign w:val="bottom"/>
          </w:tcPr>
          <w:p>
            <w:pPr>
              <w:spacing w:after="0"/>
              <w:rPr>
                <w:sz w:val="17"/>
                <w:szCs w:val="17"/>
                <w:color w:val="auto"/>
              </w:rPr>
            </w:pPr>
          </w:p>
        </w:tc>
        <w:tc>
          <w:tcPr>
            <w:tcW w:w="112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3"/>
              </w:rPr>
              <w:t>Par Value</w:t>
            </w:r>
          </w:p>
        </w:tc>
        <w:tc>
          <w:tcPr>
            <w:tcW w:w="200" w:type="dxa"/>
            <w:vAlign w:val="bottom"/>
          </w:tcPr>
          <w:p>
            <w:pPr>
              <w:spacing w:after="0"/>
              <w:rPr>
                <w:sz w:val="17"/>
                <w:szCs w:val="17"/>
                <w:color w:val="auto"/>
              </w:rPr>
            </w:pPr>
          </w:p>
        </w:tc>
        <w:tc>
          <w:tcPr>
            <w:tcW w:w="1120" w:type="dxa"/>
            <w:vAlign w:val="bottom"/>
            <w:gridSpan w:val="2"/>
          </w:tcPr>
          <w:p>
            <w:pPr>
              <w:ind w:left="120"/>
              <w:spacing w:after="0"/>
              <w:rPr>
                <w:sz w:val="20"/>
                <w:szCs w:val="20"/>
                <w:color w:val="auto"/>
              </w:rPr>
            </w:pPr>
            <w:r>
              <w:rPr>
                <w:rFonts w:ascii="Arial" w:cs="Arial" w:eastAsia="Arial" w:hAnsi="Arial"/>
                <w:sz w:val="14"/>
                <w:szCs w:val="14"/>
                <w:b w:val="1"/>
                <w:bCs w:val="1"/>
                <w:color w:val="auto"/>
              </w:rPr>
              <w:t>Earnings</w:t>
            </w:r>
          </w:p>
        </w:tc>
        <w:tc>
          <w:tcPr>
            <w:tcW w:w="180" w:type="dxa"/>
            <w:vAlign w:val="bottom"/>
          </w:tcPr>
          <w:p>
            <w:pPr>
              <w:spacing w:after="0"/>
              <w:rPr>
                <w:sz w:val="17"/>
                <w:szCs w:val="17"/>
                <w:color w:val="auto"/>
              </w:rPr>
            </w:pPr>
          </w:p>
        </w:tc>
        <w:tc>
          <w:tcPr>
            <w:tcW w:w="1260" w:type="dxa"/>
            <w:vAlign w:val="bottom"/>
          </w:tcPr>
          <w:p>
            <w:pPr>
              <w:jc w:val="center"/>
              <w:ind w:right="100"/>
              <w:spacing w:after="0"/>
              <w:rPr>
                <w:sz w:val="20"/>
                <w:szCs w:val="20"/>
                <w:color w:val="auto"/>
              </w:rPr>
            </w:pPr>
            <w:r>
              <w:rPr>
                <w:rFonts w:ascii="Arial" w:cs="Arial" w:eastAsia="Arial" w:hAnsi="Arial"/>
                <w:sz w:val="14"/>
                <w:szCs w:val="14"/>
                <w:b w:val="1"/>
                <w:bCs w:val="1"/>
                <w:color w:val="auto"/>
                <w:w w:val="85"/>
              </w:rPr>
              <w:t>Loss</w:t>
            </w:r>
          </w:p>
        </w:tc>
        <w:tc>
          <w:tcPr>
            <w:tcW w:w="0" w:type="dxa"/>
            <w:vAlign w:val="bottom"/>
          </w:tcPr>
          <w:p>
            <w:pPr>
              <w:spacing w:after="0"/>
              <w:rPr>
                <w:sz w:val="1"/>
                <w:szCs w:val="1"/>
                <w:color w:val="auto"/>
              </w:rPr>
            </w:pPr>
          </w:p>
        </w:tc>
      </w:tr>
      <w:tr>
        <w:trPr>
          <w:trHeight w:val="243"/>
        </w:trPr>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368,425</w:t>
            </w:r>
          </w:p>
        </w:tc>
        <w:tc>
          <w:tcPr>
            <w:tcW w:w="120" w:type="dxa"/>
            <w:vAlign w:val="bottom"/>
          </w:tcPr>
          <w:p>
            <w:pPr>
              <w:spacing w:after="0"/>
              <w:rPr>
                <w:sz w:val="21"/>
                <w:szCs w:val="21"/>
                <w:color w:val="auto"/>
              </w:rPr>
            </w:pPr>
          </w:p>
        </w:tc>
        <w:tc>
          <w:tcPr>
            <w:tcW w:w="2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tcBorders>
          </w:tcPr>
          <w:p>
            <w:pPr>
              <w:jc w:val="right"/>
              <w:ind w:right="15"/>
              <w:spacing w:after="0"/>
              <w:rPr>
                <w:sz w:val="20"/>
                <w:szCs w:val="20"/>
                <w:color w:val="auto"/>
              </w:rPr>
            </w:pPr>
            <w:r>
              <w:rPr>
                <w:rFonts w:ascii="Arial" w:cs="Arial" w:eastAsia="Arial" w:hAnsi="Arial"/>
                <w:sz w:val="18"/>
                <w:szCs w:val="18"/>
                <w:color w:val="auto"/>
              </w:rPr>
              <w:t>61,405</w:t>
            </w:r>
          </w:p>
        </w:tc>
        <w:tc>
          <w:tcPr>
            <w:tcW w:w="100" w:type="dxa"/>
            <w:vAlign w:val="bottom"/>
          </w:tcPr>
          <w:p>
            <w:pPr>
              <w:spacing w:after="0"/>
              <w:rPr>
                <w:sz w:val="21"/>
                <w:szCs w:val="21"/>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4,861,013</w:t>
            </w:r>
          </w:p>
        </w:tc>
        <w:tc>
          <w:tcPr>
            <w:tcW w:w="120" w:type="dxa"/>
            <w:vAlign w:val="bottom"/>
          </w:tcPr>
          <w:p>
            <w:pPr>
              <w:spacing w:after="0"/>
              <w:rPr>
                <w:sz w:val="21"/>
                <w:szCs w:val="21"/>
                <w:color w:val="auto"/>
              </w:rPr>
            </w:pPr>
          </w:p>
        </w:tc>
        <w:tc>
          <w:tcPr>
            <w:tcW w:w="2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6,945,442</w:t>
            </w:r>
          </w:p>
        </w:tc>
        <w:tc>
          <w:tcPr>
            <w:tcW w:w="120" w:type="dxa"/>
            <w:vAlign w:val="bottom"/>
          </w:tcPr>
          <w:p>
            <w:pPr>
              <w:spacing w:after="0"/>
              <w:rPr>
                <w:sz w:val="21"/>
                <w:szCs w:val="21"/>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(277,002)</w:t>
            </w:r>
          </w:p>
        </w:tc>
        <w:tc>
          <w:tcPr>
            <w:tcW w:w="0" w:type="dxa"/>
            <w:vAlign w:val="bottom"/>
          </w:tcPr>
          <w:p>
            <w:pPr>
              <w:spacing w:after="0"/>
              <w:rPr>
                <w:sz w:val="1"/>
                <w:szCs w:val="1"/>
                <w:color w:val="auto"/>
              </w:rPr>
            </w:pPr>
          </w:p>
        </w:tc>
      </w:tr>
      <w:tr>
        <w:trPr>
          <w:trHeight w:val="270"/>
        </w:trPr>
        <w:tc>
          <w:tcPr>
            <w:tcW w:w="10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362,665</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10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(228,798)</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1040" w:type="dxa"/>
            <w:vAlign w:val="bottom"/>
          </w:tcPr>
          <w:p>
            <w:pPr>
              <w:jc w:val="right"/>
              <w:spacing w:after="0"/>
              <w:rPr>
                <w:sz w:val="20"/>
                <w:szCs w:val="20"/>
                <w:color w:val="auto"/>
              </w:rPr>
            </w:pPr>
            <w:r>
              <w:rPr>
                <w:rFonts w:ascii="Arial" w:cs="Arial" w:eastAsia="Arial" w:hAnsi="Arial"/>
                <w:sz w:val="18"/>
                <w:szCs w:val="18"/>
                <w:color w:val="auto"/>
              </w:rPr>
              <w:t>892</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920" w:type="dxa"/>
            <w:vAlign w:val="bottom"/>
          </w:tcPr>
          <w:p>
            <w:pPr>
              <w:jc w:val="right"/>
              <w:ind w:right="15"/>
              <w:spacing w:after="0"/>
              <w:rPr>
                <w:sz w:val="20"/>
                <w:szCs w:val="20"/>
                <w:color w:val="auto"/>
              </w:rPr>
            </w:pPr>
            <w:r>
              <w:rPr>
                <w:rFonts w:ascii="Arial" w:cs="Arial" w:eastAsia="Arial" w:hAnsi="Arial"/>
                <w:sz w:val="18"/>
                <w:szCs w:val="18"/>
                <w:color w:val="auto"/>
              </w:rPr>
              <w:t>149</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26,704</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10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39,560</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10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4,073</w:t>
            </w:r>
          </w:p>
        </w:tc>
        <w:tc>
          <w:tcPr>
            <w:tcW w:w="0" w:type="dxa"/>
            <w:vAlign w:val="bottom"/>
          </w:tcPr>
          <w:p>
            <w:pPr>
              <w:spacing w:after="0"/>
              <w:rPr>
                <w:sz w:val="1"/>
                <w:szCs w:val="1"/>
                <w:color w:val="auto"/>
              </w:rPr>
            </w:pPr>
          </w:p>
        </w:tc>
      </w:tr>
      <w:tr>
        <w:trPr>
          <w:trHeight w:val="270"/>
        </w:trPr>
        <w:tc>
          <w:tcPr>
            <w:tcW w:w="1040" w:type="dxa"/>
            <w:vAlign w:val="bottom"/>
          </w:tcPr>
          <w:p>
            <w:pPr>
              <w:jc w:val="right"/>
              <w:spacing w:after="0"/>
              <w:rPr>
                <w:sz w:val="20"/>
                <w:szCs w:val="20"/>
                <w:color w:val="auto"/>
              </w:rPr>
            </w:pPr>
            <w:r>
              <w:rPr>
                <w:rFonts w:ascii="Arial" w:cs="Arial" w:eastAsia="Arial" w:hAnsi="Arial"/>
                <w:sz w:val="18"/>
                <w:szCs w:val="18"/>
                <w:color w:val="auto"/>
              </w:rPr>
              <w:t>(151)</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(25)</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(17,626)</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
        </w:trPr>
        <w:tc>
          <w:tcPr>
            <w:tcW w:w="10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1040" w:type="dxa"/>
            <w:vAlign w:val="bottom"/>
          </w:tcPr>
          <w:p>
            <w:pPr>
              <w:jc w:val="right"/>
              <w:spacing w:after="0"/>
              <w:rPr>
                <w:sz w:val="20"/>
                <w:szCs w:val="20"/>
                <w:color w:val="auto"/>
              </w:rPr>
            </w:pPr>
            <w:r>
              <w:rPr>
                <w:rFonts w:ascii="Arial" w:cs="Arial" w:eastAsia="Arial" w:hAnsi="Arial"/>
                <w:sz w:val="18"/>
                <w:szCs w:val="18"/>
                <w:color w:val="auto"/>
              </w:rPr>
              <w:t>369,166</w:t>
            </w:r>
          </w:p>
        </w:tc>
        <w:tc>
          <w:tcPr>
            <w:tcW w:w="120" w:type="dxa"/>
            <w:vAlign w:val="bottom"/>
          </w:tcPr>
          <w:p>
            <w:pPr>
              <w:spacing w:after="0"/>
              <w:rPr>
                <w:sz w:val="20"/>
                <w:szCs w:val="20"/>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ind w:right="15"/>
              <w:spacing w:after="0"/>
              <w:rPr>
                <w:sz w:val="20"/>
                <w:szCs w:val="20"/>
                <w:color w:val="auto"/>
              </w:rPr>
            </w:pPr>
            <w:r>
              <w:rPr>
                <w:rFonts w:ascii="Arial" w:cs="Arial" w:eastAsia="Arial" w:hAnsi="Arial"/>
                <w:sz w:val="18"/>
                <w:szCs w:val="18"/>
                <w:color w:val="auto"/>
              </w:rPr>
              <w:t>61,529</w:t>
            </w:r>
          </w:p>
        </w:tc>
        <w:tc>
          <w:tcPr>
            <w:tcW w:w="100" w:type="dxa"/>
            <w:vAlign w:val="bottom"/>
          </w:tcPr>
          <w:p>
            <w:pPr>
              <w:spacing w:after="0"/>
              <w:rPr>
                <w:sz w:val="20"/>
                <w:szCs w:val="20"/>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4,909,651</w:t>
            </w:r>
          </w:p>
        </w:tc>
        <w:tc>
          <w:tcPr>
            <w:tcW w:w="120" w:type="dxa"/>
            <w:vAlign w:val="bottom"/>
          </w:tcPr>
          <w:p>
            <w:pPr>
              <w:spacing w:after="0"/>
              <w:rPr>
                <w:sz w:val="20"/>
                <w:szCs w:val="20"/>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7,079,309</w:t>
            </w:r>
          </w:p>
        </w:tc>
        <w:tc>
          <w:tcPr>
            <w:tcW w:w="12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(272,929)</w:t>
            </w:r>
          </w:p>
        </w:tc>
        <w:tc>
          <w:tcPr>
            <w:tcW w:w="0" w:type="dxa"/>
            <w:vAlign w:val="bottom"/>
          </w:tcPr>
          <w:p>
            <w:pPr>
              <w:spacing w:after="0"/>
              <w:rPr>
                <w:sz w:val="1"/>
                <w:szCs w:val="1"/>
                <w:color w:val="auto"/>
              </w:rPr>
            </w:pPr>
          </w:p>
        </w:tc>
      </w:tr>
      <w:tr>
        <w:trPr>
          <w:trHeight w:val="27"/>
        </w:trPr>
        <w:tc>
          <w:tcPr>
            <w:tcW w:w="10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0" w:type="dxa"/>
            <w:vAlign w:val="bottom"/>
            <w:tcBorders>
              <w:bottom w:val="single" w:sz="8" w:color="auto"/>
            </w:tcBorders>
            <w:gridSpan w:val="2"/>
          </w:tcPr>
          <w:p>
            <w:pPr>
              <w:spacing w:after="0"/>
              <w:rPr>
                <w:sz w:val="2"/>
                <w:szCs w:val="2"/>
                <w:color w:val="auto"/>
              </w:rPr>
            </w:pPr>
          </w:p>
        </w:tc>
        <w:tc>
          <w:tcPr>
            <w:tcW w:w="120" w:type="dxa"/>
            <w:vAlign w:val="bottom"/>
          </w:tcPr>
          <w:p>
            <w:pPr>
              <w:spacing w:after="0"/>
              <w:rPr>
                <w:sz w:val="2"/>
                <w:szCs w:val="2"/>
                <w:color w:val="auto"/>
              </w:rPr>
            </w:pPr>
          </w:p>
        </w:tc>
        <w:tc>
          <w:tcPr>
            <w:tcW w:w="1200" w:type="dxa"/>
            <w:vAlign w:val="bottom"/>
            <w:tcBorders>
              <w:bottom w:val="single" w:sz="8" w:color="auto"/>
            </w:tcBorders>
            <w:gridSpan w:val="2"/>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
        </w:trPr>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25"/>
        </w:trPr>
        <w:tc>
          <w:tcPr>
            <w:tcW w:w="10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3660" w:type="dxa"/>
            <w:vAlign w:val="bottom"/>
            <w:tcBorders>
              <w:bottom w:val="single" w:sz="8" w:color="auto"/>
            </w:tcBorders>
            <w:gridSpan w:val="8"/>
          </w:tcPr>
          <w:p>
            <w:pPr>
              <w:ind w:left="780"/>
              <w:spacing w:after="0"/>
              <w:rPr>
                <w:sz w:val="20"/>
                <w:szCs w:val="20"/>
                <w:color w:val="auto"/>
              </w:rPr>
            </w:pPr>
            <w:r>
              <w:rPr>
                <w:rFonts w:ascii="Arial" w:cs="Arial" w:eastAsia="Arial" w:hAnsi="Arial"/>
                <w:sz w:val="14"/>
                <w:szCs w:val="14"/>
                <w:b w:val="1"/>
                <w:bCs w:val="1"/>
                <w:color w:val="auto"/>
              </w:rPr>
              <w:t>Nine Months Ended August 1, 2020</w:t>
            </w:r>
          </w:p>
        </w:tc>
        <w:tc>
          <w:tcPr>
            <w:tcW w:w="18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2"/>
        </w:trPr>
        <w:tc>
          <w:tcPr>
            <w:tcW w:w="10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20" w:type="dxa"/>
            <w:vAlign w:val="bottom"/>
            <w:gridSpan w:val="2"/>
            <w:vMerge w:val="restart"/>
          </w:tcPr>
          <w:p>
            <w:pPr>
              <w:jc w:val="center"/>
              <w:ind w:right="320"/>
              <w:spacing w:after="0"/>
              <w:rPr>
                <w:sz w:val="20"/>
                <w:szCs w:val="20"/>
                <w:color w:val="auto"/>
              </w:rPr>
            </w:pPr>
            <w:r>
              <w:rPr>
                <w:rFonts w:ascii="Arial" w:cs="Arial" w:eastAsia="Arial" w:hAnsi="Arial"/>
                <w:sz w:val="14"/>
                <w:szCs w:val="14"/>
                <w:b w:val="1"/>
                <w:bCs w:val="1"/>
                <w:color w:val="auto"/>
                <w:w w:val="95"/>
              </w:rPr>
              <w:t>Capital in</w:t>
            </w:r>
          </w:p>
        </w:tc>
        <w:tc>
          <w:tcPr>
            <w:tcW w:w="2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60" w:type="dxa"/>
            <w:vAlign w:val="bottom"/>
          </w:tcPr>
          <w:p>
            <w:pPr>
              <w:jc w:val="center"/>
              <w:ind w:right="120"/>
              <w:spacing w:after="0" w:line="153" w:lineRule="exact"/>
              <w:rPr>
                <w:sz w:val="20"/>
                <w:szCs w:val="20"/>
                <w:color w:val="auto"/>
              </w:rPr>
            </w:pPr>
            <w:r>
              <w:rPr>
                <w:rFonts w:ascii="Arial" w:cs="Arial" w:eastAsia="Arial" w:hAnsi="Arial"/>
                <w:sz w:val="14"/>
                <w:szCs w:val="14"/>
                <w:b w:val="1"/>
                <w:bCs w:val="1"/>
                <w:color w:val="auto"/>
                <w:w w:val="93"/>
              </w:rPr>
              <w:t>Accumulated</w:t>
            </w:r>
          </w:p>
        </w:tc>
        <w:tc>
          <w:tcPr>
            <w:tcW w:w="0" w:type="dxa"/>
            <w:vAlign w:val="bottom"/>
          </w:tcPr>
          <w:p>
            <w:pPr>
              <w:spacing w:after="0"/>
              <w:rPr>
                <w:sz w:val="1"/>
                <w:szCs w:val="1"/>
                <w:color w:val="auto"/>
              </w:rPr>
            </w:pPr>
          </w:p>
        </w:tc>
      </w:tr>
      <w:tr>
        <w:trPr>
          <w:trHeight w:val="186"/>
        </w:trPr>
        <w:tc>
          <w:tcPr>
            <w:tcW w:w="1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2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60" w:type="dxa"/>
            <w:vAlign w:val="bottom"/>
          </w:tcPr>
          <w:p>
            <w:pPr>
              <w:jc w:val="center"/>
              <w:ind w:right="100"/>
              <w:spacing w:after="0"/>
              <w:rPr>
                <w:sz w:val="20"/>
                <w:szCs w:val="20"/>
                <w:color w:val="auto"/>
              </w:rPr>
            </w:pPr>
            <w:r>
              <w:rPr>
                <w:rFonts w:ascii="Arial" w:cs="Arial" w:eastAsia="Arial" w:hAnsi="Arial"/>
                <w:sz w:val="14"/>
                <w:szCs w:val="14"/>
                <w:b w:val="1"/>
                <w:bCs w:val="1"/>
                <w:color w:val="auto"/>
                <w:w w:val="96"/>
              </w:rPr>
              <w:t>Other</w:t>
            </w:r>
          </w:p>
        </w:tc>
        <w:tc>
          <w:tcPr>
            <w:tcW w:w="0" w:type="dxa"/>
            <w:vAlign w:val="bottom"/>
          </w:tcPr>
          <w:p>
            <w:pPr>
              <w:spacing w:after="0"/>
              <w:rPr>
                <w:sz w:val="1"/>
                <w:szCs w:val="1"/>
                <w:color w:val="auto"/>
              </w:rPr>
            </w:pPr>
          </w:p>
        </w:tc>
      </w:tr>
      <w:tr>
        <w:trPr>
          <w:trHeight w:val="208"/>
        </w:trPr>
        <w:tc>
          <w:tcPr>
            <w:tcW w:w="2280" w:type="dxa"/>
            <w:vAlign w:val="bottom"/>
            <w:tcBorders>
              <w:bottom w:val="single" w:sz="8" w:color="auto"/>
            </w:tcBorders>
            <w:gridSpan w:val="4"/>
          </w:tcPr>
          <w:p>
            <w:pPr>
              <w:jc w:val="right"/>
              <w:ind w:right="595"/>
              <w:spacing w:after="0"/>
              <w:rPr>
                <w:sz w:val="20"/>
                <w:szCs w:val="20"/>
                <w:color w:val="auto"/>
              </w:rPr>
            </w:pPr>
            <w:r>
              <w:rPr>
                <w:rFonts w:ascii="Arial" w:cs="Arial" w:eastAsia="Arial" w:hAnsi="Arial"/>
                <w:sz w:val="14"/>
                <w:szCs w:val="14"/>
                <w:b w:val="1"/>
                <w:bCs w:val="1"/>
                <w:color w:val="auto"/>
              </w:rPr>
              <w:t>Common Stock</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85"/>
              </w:rPr>
              <w:t>Excess of</w:t>
            </w:r>
          </w:p>
        </w:tc>
        <w:tc>
          <w:tcPr>
            <w:tcW w:w="200" w:type="dxa"/>
            <w:vAlign w:val="bottom"/>
          </w:tcPr>
          <w:p>
            <w:pPr>
              <w:spacing w:after="0"/>
              <w:rPr>
                <w:sz w:val="18"/>
                <w:szCs w:val="18"/>
                <w:color w:val="auto"/>
              </w:rPr>
            </w:pPr>
          </w:p>
        </w:tc>
        <w:tc>
          <w:tcPr>
            <w:tcW w:w="1120" w:type="dxa"/>
            <w:vAlign w:val="bottom"/>
            <w:gridSpan w:val="2"/>
          </w:tcPr>
          <w:p>
            <w:pPr>
              <w:ind w:left="120"/>
              <w:spacing w:after="0"/>
              <w:rPr>
                <w:sz w:val="20"/>
                <w:szCs w:val="20"/>
                <w:color w:val="auto"/>
              </w:rPr>
            </w:pPr>
            <w:r>
              <w:rPr>
                <w:rFonts w:ascii="Arial" w:cs="Arial" w:eastAsia="Arial" w:hAnsi="Arial"/>
                <w:sz w:val="14"/>
                <w:szCs w:val="14"/>
                <w:b w:val="1"/>
                <w:bCs w:val="1"/>
                <w:color w:val="auto"/>
              </w:rPr>
              <w:t>Retained</w:t>
            </w:r>
          </w:p>
        </w:tc>
        <w:tc>
          <w:tcPr>
            <w:tcW w:w="180" w:type="dxa"/>
            <w:vAlign w:val="bottom"/>
          </w:tcPr>
          <w:p>
            <w:pPr>
              <w:spacing w:after="0"/>
              <w:rPr>
                <w:sz w:val="18"/>
                <w:szCs w:val="18"/>
                <w:color w:val="auto"/>
              </w:rPr>
            </w:pPr>
          </w:p>
        </w:tc>
        <w:tc>
          <w:tcPr>
            <w:tcW w:w="1260" w:type="dxa"/>
            <w:vAlign w:val="bottom"/>
          </w:tcPr>
          <w:p>
            <w:pPr>
              <w:jc w:val="center"/>
              <w:ind w:right="100"/>
              <w:spacing w:after="0"/>
              <w:rPr>
                <w:sz w:val="20"/>
                <w:szCs w:val="20"/>
                <w:color w:val="auto"/>
              </w:rPr>
            </w:pPr>
            <w:r>
              <w:rPr>
                <w:rFonts w:ascii="Arial" w:cs="Arial" w:eastAsia="Arial" w:hAnsi="Arial"/>
                <w:sz w:val="14"/>
                <w:szCs w:val="14"/>
                <w:b w:val="1"/>
                <w:bCs w:val="1"/>
                <w:color w:val="auto"/>
                <w:w w:val="91"/>
              </w:rPr>
              <w:t>Comprehensive</w:t>
            </w:r>
          </w:p>
        </w:tc>
        <w:tc>
          <w:tcPr>
            <w:tcW w:w="0" w:type="dxa"/>
            <w:vAlign w:val="bottom"/>
          </w:tcPr>
          <w:p>
            <w:pPr>
              <w:spacing w:after="0"/>
              <w:rPr>
                <w:sz w:val="1"/>
                <w:szCs w:val="1"/>
                <w:color w:val="auto"/>
              </w:rPr>
            </w:pPr>
          </w:p>
        </w:tc>
      </w:tr>
      <w:tr>
        <w:trPr>
          <w:trHeight w:val="196"/>
        </w:trPr>
        <w:tc>
          <w:tcPr>
            <w:tcW w:w="1160" w:type="dxa"/>
            <w:vAlign w:val="bottom"/>
            <w:gridSpan w:val="2"/>
          </w:tcPr>
          <w:p>
            <w:pPr>
              <w:ind w:left="320"/>
              <w:spacing w:after="0"/>
              <w:rPr>
                <w:sz w:val="20"/>
                <w:szCs w:val="20"/>
                <w:color w:val="auto"/>
              </w:rPr>
            </w:pPr>
            <w:r>
              <w:rPr>
                <w:rFonts w:ascii="Arial" w:cs="Arial" w:eastAsia="Arial" w:hAnsi="Arial"/>
                <w:sz w:val="14"/>
                <w:szCs w:val="14"/>
                <w:b w:val="1"/>
                <w:bCs w:val="1"/>
                <w:color w:val="auto"/>
              </w:rPr>
              <w:t>Shares</w:t>
            </w:r>
          </w:p>
        </w:tc>
        <w:tc>
          <w:tcPr>
            <w:tcW w:w="200" w:type="dxa"/>
            <w:vAlign w:val="bottom"/>
          </w:tcPr>
          <w:p>
            <w:pPr>
              <w:spacing w:after="0"/>
              <w:rPr>
                <w:sz w:val="17"/>
                <w:szCs w:val="17"/>
                <w:color w:val="auto"/>
              </w:rPr>
            </w:pPr>
          </w:p>
        </w:tc>
        <w:tc>
          <w:tcPr>
            <w:tcW w:w="1020" w:type="dxa"/>
            <w:vAlign w:val="bottom"/>
            <w:gridSpan w:val="2"/>
          </w:tcPr>
          <w:p>
            <w:pPr>
              <w:ind w:left="100"/>
              <w:spacing w:after="0"/>
              <w:rPr>
                <w:sz w:val="20"/>
                <w:szCs w:val="20"/>
                <w:color w:val="auto"/>
              </w:rPr>
            </w:pPr>
            <w:r>
              <w:rPr>
                <w:rFonts w:ascii="Arial" w:cs="Arial" w:eastAsia="Arial" w:hAnsi="Arial"/>
                <w:sz w:val="14"/>
                <w:szCs w:val="14"/>
                <w:b w:val="1"/>
                <w:bCs w:val="1"/>
                <w:color w:val="auto"/>
              </w:rPr>
              <w:t>Amount</w:t>
            </w:r>
          </w:p>
        </w:tc>
        <w:tc>
          <w:tcPr>
            <w:tcW w:w="200" w:type="dxa"/>
            <w:vAlign w:val="bottom"/>
          </w:tcPr>
          <w:p>
            <w:pPr>
              <w:spacing w:after="0"/>
              <w:rPr>
                <w:sz w:val="17"/>
                <w:szCs w:val="17"/>
                <w:color w:val="auto"/>
              </w:rPr>
            </w:pPr>
          </w:p>
        </w:tc>
        <w:tc>
          <w:tcPr>
            <w:tcW w:w="112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3"/>
              </w:rPr>
              <w:t>Par Value</w:t>
            </w:r>
          </w:p>
        </w:tc>
        <w:tc>
          <w:tcPr>
            <w:tcW w:w="200" w:type="dxa"/>
            <w:vAlign w:val="bottom"/>
          </w:tcPr>
          <w:p>
            <w:pPr>
              <w:spacing w:after="0"/>
              <w:rPr>
                <w:sz w:val="17"/>
                <w:szCs w:val="17"/>
                <w:color w:val="auto"/>
              </w:rPr>
            </w:pPr>
          </w:p>
        </w:tc>
        <w:tc>
          <w:tcPr>
            <w:tcW w:w="1120" w:type="dxa"/>
            <w:vAlign w:val="bottom"/>
            <w:gridSpan w:val="2"/>
          </w:tcPr>
          <w:p>
            <w:pPr>
              <w:ind w:left="120"/>
              <w:spacing w:after="0"/>
              <w:rPr>
                <w:sz w:val="20"/>
                <w:szCs w:val="20"/>
                <w:color w:val="auto"/>
              </w:rPr>
            </w:pPr>
            <w:r>
              <w:rPr>
                <w:rFonts w:ascii="Arial" w:cs="Arial" w:eastAsia="Arial" w:hAnsi="Arial"/>
                <w:sz w:val="14"/>
                <w:szCs w:val="14"/>
                <w:b w:val="1"/>
                <w:bCs w:val="1"/>
                <w:color w:val="auto"/>
              </w:rPr>
              <w:t>Earnings</w:t>
            </w:r>
          </w:p>
        </w:tc>
        <w:tc>
          <w:tcPr>
            <w:tcW w:w="180" w:type="dxa"/>
            <w:vAlign w:val="bottom"/>
          </w:tcPr>
          <w:p>
            <w:pPr>
              <w:spacing w:after="0"/>
              <w:rPr>
                <w:sz w:val="17"/>
                <w:szCs w:val="17"/>
                <w:color w:val="auto"/>
              </w:rPr>
            </w:pPr>
          </w:p>
        </w:tc>
        <w:tc>
          <w:tcPr>
            <w:tcW w:w="1260" w:type="dxa"/>
            <w:vAlign w:val="bottom"/>
          </w:tcPr>
          <w:p>
            <w:pPr>
              <w:jc w:val="center"/>
              <w:ind w:right="100"/>
              <w:spacing w:after="0"/>
              <w:rPr>
                <w:sz w:val="20"/>
                <w:szCs w:val="20"/>
                <w:color w:val="auto"/>
              </w:rPr>
            </w:pPr>
            <w:r>
              <w:rPr>
                <w:rFonts w:ascii="Arial" w:cs="Arial" w:eastAsia="Arial" w:hAnsi="Arial"/>
                <w:sz w:val="14"/>
                <w:szCs w:val="14"/>
                <w:b w:val="1"/>
                <w:bCs w:val="1"/>
                <w:color w:val="auto"/>
                <w:w w:val="85"/>
              </w:rPr>
              <w:t>Loss</w:t>
            </w:r>
          </w:p>
        </w:tc>
        <w:tc>
          <w:tcPr>
            <w:tcW w:w="0" w:type="dxa"/>
            <w:vAlign w:val="bottom"/>
          </w:tcPr>
          <w:p>
            <w:pPr>
              <w:spacing w:after="0"/>
              <w:rPr>
                <w:sz w:val="1"/>
                <w:szCs w:val="1"/>
                <w:color w:val="auto"/>
              </w:rPr>
            </w:pPr>
          </w:p>
        </w:tc>
      </w:tr>
      <w:tr>
        <w:trPr>
          <w:trHeight w:val="243"/>
        </w:trPr>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368,302</w:t>
            </w:r>
          </w:p>
        </w:tc>
        <w:tc>
          <w:tcPr>
            <w:tcW w:w="120" w:type="dxa"/>
            <w:vAlign w:val="bottom"/>
          </w:tcPr>
          <w:p>
            <w:pPr>
              <w:spacing w:after="0"/>
              <w:rPr>
                <w:sz w:val="21"/>
                <w:szCs w:val="21"/>
                <w:color w:val="auto"/>
              </w:rPr>
            </w:pPr>
          </w:p>
        </w:tc>
        <w:tc>
          <w:tcPr>
            <w:tcW w:w="2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tcBorders>
          </w:tcPr>
          <w:p>
            <w:pPr>
              <w:jc w:val="right"/>
              <w:ind w:right="15"/>
              <w:spacing w:after="0"/>
              <w:rPr>
                <w:sz w:val="20"/>
                <w:szCs w:val="20"/>
                <w:color w:val="auto"/>
              </w:rPr>
            </w:pPr>
            <w:r>
              <w:rPr>
                <w:rFonts w:ascii="Arial" w:cs="Arial" w:eastAsia="Arial" w:hAnsi="Arial"/>
                <w:sz w:val="18"/>
                <w:szCs w:val="18"/>
                <w:color w:val="auto"/>
              </w:rPr>
              <w:t>61,385</w:t>
            </w:r>
          </w:p>
        </w:tc>
        <w:tc>
          <w:tcPr>
            <w:tcW w:w="100" w:type="dxa"/>
            <w:vAlign w:val="bottom"/>
          </w:tcPr>
          <w:p>
            <w:pPr>
              <w:spacing w:after="0"/>
              <w:rPr>
                <w:sz w:val="21"/>
                <w:szCs w:val="21"/>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4,936,349</w:t>
            </w:r>
          </w:p>
        </w:tc>
        <w:tc>
          <w:tcPr>
            <w:tcW w:w="120" w:type="dxa"/>
            <w:vAlign w:val="bottom"/>
          </w:tcPr>
          <w:p>
            <w:pPr>
              <w:spacing w:after="0"/>
              <w:rPr>
                <w:sz w:val="21"/>
                <w:szCs w:val="21"/>
                <w:color w:val="auto"/>
              </w:rPr>
            </w:pPr>
          </w:p>
        </w:tc>
        <w:tc>
          <w:tcPr>
            <w:tcW w:w="2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6,899,253</w:t>
            </w:r>
          </w:p>
        </w:tc>
        <w:tc>
          <w:tcPr>
            <w:tcW w:w="120" w:type="dxa"/>
            <w:vAlign w:val="bottom"/>
          </w:tcPr>
          <w:p>
            <w:pPr>
              <w:spacing w:after="0"/>
              <w:rPr>
                <w:sz w:val="21"/>
                <w:szCs w:val="21"/>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(187,799)</w:t>
            </w:r>
          </w:p>
        </w:tc>
        <w:tc>
          <w:tcPr>
            <w:tcW w:w="0" w:type="dxa"/>
            <w:vAlign w:val="bottom"/>
          </w:tcPr>
          <w:p>
            <w:pPr>
              <w:spacing w:after="0"/>
              <w:rPr>
                <w:sz w:val="1"/>
                <w:szCs w:val="1"/>
                <w:color w:val="auto"/>
              </w:rPr>
            </w:pPr>
          </w:p>
        </w:tc>
      </w:tr>
      <w:tr>
        <w:trPr>
          <w:trHeight w:val="270"/>
        </w:trPr>
        <w:tc>
          <w:tcPr>
            <w:tcW w:w="10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2,379</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(2,379)</w:t>
            </w:r>
          </w:p>
        </w:tc>
        <w:tc>
          <w:tcPr>
            <w:tcW w:w="0" w:type="dxa"/>
            <w:vAlign w:val="bottom"/>
          </w:tcPr>
          <w:p>
            <w:pPr>
              <w:spacing w:after="0"/>
              <w:rPr>
                <w:sz w:val="1"/>
                <w:szCs w:val="1"/>
                <w:color w:val="auto"/>
              </w:rPr>
            </w:pPr>
          </w:p>
        </w:tc>
      </w:tr>
      <w:tr>
        <w:trPr>
          <w:trHeight w:val="270"/>
        </w:trPr>
        <w:tc>
          <w:tcPr>
            <w:tcW w:w="10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834,235</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10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(656,558)</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1040" w:type="dxa"/>
            <w:vAlign w:val="bottom"/>
          </w:tcPr>
          <w:p>
            <w:pPr>
              <w:jc w:val="right"/>
              <w:spacing w:after="0"/>
              <w:rPr>
                <w:sz w:val="20"/>
                <w:szCs w:val="20"/>
                <w:color w:val="auto"/>
              </w:rPr>
            </w:pPr>
            <w:r>
              <w:rPr>
                <w:rFonts w:ascii="Arial" w:cs="Arial" w:eastAsia="Arial" w:hAnsi="Arial"/>
                <w:sz w:val="18"/>
                <w:szCs w:val="18"/>
                <w:color w:val="auto"/>
              </w:rPr>
              <w:t>336</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920" w:type="dxa"/>
            <w:vAlign w:val="bottom"/>
          </w:tcPr>
          <w:p>
            <w:pPr>
              <w:jc w:val="right"/>
              <w:ind w:right="15"/>
              <w:spacing w:after="0"/>
              <w:rPr>
                <w:sz w:val="20"/>
                <w:szCs w:val="20"/>
                <w:color w:val="auto"/>
              </w:rPr>
            </w:pPr>
            <w:r>
              <w:rPr>
                <w:rFonts w:ascii="Arial" w:cs="Arial" w:eastAsia="Arial" w:hAnsi="Arial"/>
                <w:sz w:val="18"/>
                <w:szCs w:val="18"/>
                <w:color w:val="auto"/>
              </w:rPr>
              <w:t>56</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39,944</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1040" w:type="dxa"/>
            <w:vAlign w:val="bottom"/>
          </w:tcPr>
          <w:p>
            <w:pPr>
              <w:jc w:val="right"/>
              <w:spacing w:after="0"/>
              <w:rPr>
                <w:sz w:val="20"/>
                <w:szCs w:val="20"/>
                <w:color w:val="auto"/>
              </w:rPr>
            </w:pPr>
            <w:r>
              <w:rPr>
                <w:rFonts w:ascii="Arial" w:cs="Arial" w:eastAsia="Arial" w:hAnsi="Arial"/>
                <w:sz w:val="18"/>
                <w:szCs w:val="18"/>
                <w:color w:val="auto"/>
              </w:rPr>
              <w:t>2,730</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920" w:type="dxa"/>
            <w:vAlign w:val="bottom"/>
          </w:tcPr>
          <w:p>
            <w:pPr>
              <w:jc w:val="right"/>
              <w:ind w:right="15"/>
              <w:spacing w:after="0"/>
              <w:rPr>
                <w:sz w:val="20"/>
                <w:szCs w:val="20"/>
                <w:color w:val="auto"/>
              </w:rPr>
            </w:pPr>
            <w:r>
              <w:rPr>
                <w:rFonts w:ascii="Arial" w:cs="Arial" w:eastAsia="Arial" w:hAnsi="Arial"/>
                <w:sz w:val="18"/>
                <w:szCs w:val="18"/>
                <w:color w:val="auto"/>
              </w:rPr>
              <w:t>455</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57,295</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10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112,961</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10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(82,751)</w:t>
            </w:r>
          </w:p>
        </w:tc>
        <w:tc>
          <w:tcPr>
            <w:tcW w:w="0" w:type="dxa"/>
            <w:vAlign w:val="bottom"/>
          </w:tcPr>
          <w:p>
            <w:pPr>
              <w:spacing w:after="0"/>
              <w:rPr>
                <w:sz w:val="1"/>
                <w:szCs w:val="1"/>
                <w:color w:val="auto"/>
              </w:rPr>
            </w:pPr>
          </w:p>
        </w:tc>
      </w:tr>
      <w:tr>
        <w:trPr>
          <w:trHeight w:val="270"/>
        </w:trPr>
        <w:tc>
          <w:tcPr>
            <w:tcW w:w="1040" w:type="dxa"/>
            <w:vAlign w:val="bottom"/>
          </w:tcPr>
          <w:p>
            <w:pPr>
              <w:jc w:val="right"/>
              <w:spacing w:after="0"/>
              <w:rPr>
                <w:sz w:val="20"/>
                <w:szCs w:val="20"/>
                <w:color w:val="auto"/>
              </w:rPr>
            </w:pPr>
            <w:r>
              <w:rPr>
                <w:rFonts w:ascii="Arial" w:cs="Arial" w:eastAsia="Arial" w:hAnsi="Arial"/>
                <w:sz w:val="18"/>
                <w:szCs w:val="18"/>
                <w:color w:val="auto"/>
              </w:rPr>
              <w:t>(2,202)</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(367)</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(236,898)</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
        </w:trPr>
        <w:tc>
          <w:tcPr>
            <w:tcW w:w="10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1040" w:type="dxa"/>
            <w:vAlign w:val="bottom"/>
          </w:tcPr>
          <w:p>
            <w:pPr>
              <w:jc w:val="right"/>
              <w:spacing w:after="0"/>
              <w:rPr>
                <w:sz w:val="20"/>
                <w:szCs w:val="20"/>
                <w:color w:val="auto"/>
              </w:rPr>
            </w:pPr>
            <w:r>
              <w:rPr>
                <w:rFonts w:ascii="Arial" w:cs="Arial" w:eastAsia="Arial" w:hAnsi="Arial"/>
                <w:sz w:val="18"/>
                <w:szCs w:val="18"/>
                <w:color w:val="auto"/>
              </w:rPr>
              <w:t>369,166</w:t>
            </w:r>
          </w:p>
        </w:tc>
        <w:tc>
          <w:tcPr>
            <w:tcW w:w="120" w:type="dxa"/>
            <w:vAlign w:val="bottom"/>
          </w:tcPr>
          <w:p>
            <w:pPr>
              <w:spacing w:after="0"/>
              <w:rPr>
                <w:sz w:val="20"/>
                <w:szCs w:val="20"/>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ind w:right="15"/>
              <w:spacing w:after="0"/>
              <w:rPr>
                <w:sz w:val="20"/>
                <w:szCs w:val="20"/>
                <w:color w:val="auto"/>
              </w:rPr>
            </w:pPr>
            <w:r>
              <w:rPr>
                <w:rFonts w:ascii="Arial" w:cs="Arial" w:eastAsia="Arial" w:hAnsi="Arial"/>
                <w:sz w:val="18"/>
                <w:szCs w:val="18"/>
                <w:color w:val="auto"/>
              </w:rPr>
              <w:t>61,529</w:t>
            </w:r>
          </w:p>
        </w:tc>
        <w:tc>
          <w:tcPr>
            <w:tcW w:w="100" w:type="dxa"/>
            <w:vAlign w:val="bottom"/>
          </w:tcPr>
          <w:p>
            <w:pPr>
              <w:spacing w:after="0"/>
              <w:rPr>
                <w:sz w:val="20"/>
                <w:szCs w:val="20"/>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4,909,651</w:t>
            </w:r>
          </w:p>
        </w:tc>
        <w:tc>
          <w:tcPr>
            <w:tcW w:w="120" w:type="dxa"/>
            <w:vAlign w:val="bottom"/>
          </w:tcPr>
          <w:p>
            <w:pPr>
              <w:spacing w:after="0"/>
              <w:rPr>
                <w:sz w:val="20"/>
                <w:szCs w:val="20"/>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7,079,309</w:t>
            </w:r>
          </w:p>
        </w:tc>
        <w:tc>
          <w:tcPr>
            <w:tcW w:w="12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(272,929)</w:t>
            </w:r>
          </w:p>
        </w:tc>
        <w:tc>
          <w:tcPr>
            <w:tcW w:w="0" w:type="dxa"/>
            <w:vAlign w:val="bottom"/>
          </w:tcPr>
          <w:p>
            <w:pPr>
              <w:spacing w:after="0"/>
              <w:rPr>
                <w:sz w:val="1"/>
                <w:szCs w:val="1"/>
                <w:color w:val="auto"/>
              </w:rPr>
            </w:pPr>
          </w:p>
        </w:tc>
      </w:tr>
      <w:tr>
        <w:trPr>
          <w:trHeight w:val="27"/>
        </w:trPr>
        <w:tc>
          <w:tcPr>
            <w:tcW w:w="10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-3004185</wp:posOffset>
            </wp:positionH>
            <wp:positionV relativeFrom="paragraph">
              <wp:posOffset>-3899535</wp:posOffset>
            </wp:positionV>
            <wp:extent cx="7106285" cy="17970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06285" cy="179705"/>
                    </a:xfrm>
                    <a:prstGeom prst="rect">
                      <a:avLst/>
                    </a:prstGeom>
                    <a:noFill/>
                  </pic:spPr>
                </pic:pic>
              </a:graphicData>
            </a:graphic>
          </wp:anchor>
        </w:drawing>
        <w:drawing>
          <wp:anchor simplePos="0" relativeHeight="251657728" behindDoc="1" locked="0" layoutInCell="0" allowOverlap="1">
            <wp:simplePos x="0" y="0"/>
            <wp:positionH relativeFrom="column">
              <wp:posOffset>-3004185</wp:posOffset>
            </wp:positionH>
            <wp:positionV relativeFrom="paragraph">
              <wp:posOffset>-3548380</wp:posOffset>
            </wp:positionV>
            <wp:extent cx="7106285" cy="17145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06285" cy="171450"/>
                    </a:xfrm>
                    <a:prstGeom prst="rect">
                      <a:avLst/>
                    </a:prstGeom>
                    <a:noFill/>
                  </pic:spPr>
                </pic:pic>
              </a:graphicData>
            </a:graphic>
          </wp:anchor>
        </w:drawing>
        <w:drawing>
          <wp:anchor simplePos="0" relativeHeight="251657728" behindDoc="1" locked="0" layoutInCell="0" allowOverlap="1">
            <wp:simplePos x="0" y="0"/>
            <wp:positionH relativeFrom="column">
              <wp:posOffset>-3004185</wp:posOffset>
            </wp:positionH>
            <wp:positionV relativeFrom="paragraph">
              <wp:posOffset>-3205480</wp:posOffset>
            </wp:positionV>
            <wp:extent cx="7106285" cy="17145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06285" cy="171450"/>
                    </a:xfrm>
                    <a:prstGeom prst="rect">
                      <a:avLst/>
                    </a:prstGeom>
                    <a:noFill/>
                  </pic:spPr>
                </pic:pic>
              </a:graphicData>
            </a:graphic>
          </wp:anchor>
        </w:drawing>
        <w:drawing>
          <wp:anchor simplePos="0" relativeHeight="251657728" behindDoc="1" locked="0" layoutInCell="0" allowOverlap="1">
            <wp:simplePos x="0" y="0"/>
            <wp:positionH relativeFrom="column">
              <wp:posOffset>-3004185</wp:posOffset>
            </wp:positionH>
            <wp:positionV relativeFrom="paragraph">
              <wp:posOffset>-2862580</wp:posOffset>
            </wp:positionV>
            <wp:extent cx="7106285" cy="17145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06285" cy="171450"/>
                    </a:xfrm>
                    <a:prstGeom prst="rect">
                      <a:avLst/>
                    </a:prstGeom>
                    <a:noFill/>
                  </pic:spPr>
                </pic:pic>
              </a:graphicData>
            </a:graphic>
          </wp:anchor>
        </w:drawing>
        <w:drawing>
          <wp:anchor simplePos="0" relativeHeight="251657728" behindDoc="1" locked="0" layoutInCell="0" allowOverlap="1">
            <wp:simplePos x="0" y="0"/>
            <wp:positionH relativeFrom="column">
              <wp:posOffset>-3004185</wp:posOffset>
            </wp:positionH>
            <wp:positionV relativeFrom="paragraph">
              <wp:posOffset>-1765300</wp:posOffset>
            </wp:positionV>
            <wp:extent cx="7106285" cy="18034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06285" cy="180340"/>
                    </a:xfrm>
                    <a:prstGeom prst="rect">
                      <a:avLst/>
                    </a:prstGeom>
                    <a:noFill/>
                  </pic:spPr>
                </pic:pic>
              </a:graphicData>
            </a:graphic>
          </wp:anchor>
        </w:drawing>
        <w:drawing>
          <wp:anchor simplePos="0" relativeHeight="251657728" behindDoc="1" locked="0" layoutInCell="0" allowOverlap="1">
            <wp:simplePos x="0" y="0"/>
            <wp:positionH relativeFrom="column">
              <wp:posOffset>-3004185</wp:posOffset>
            </wp:positionH>
            <wp:positionV relativeFrom="paragraph">
              <wp:posOffset>-1413510</wp:posOffset>
            </wp:positionV>
            <wp:extent cx="7106285" cy="17145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06285" cy="171450"/>
                    </a:xfrm>
                    <a:prstGeom prst="rect">
                      <a:avLst/>
                    </a:prstGeom>
                    <a:noFill/>
                  </pic:spPr>
                </pic:pic>
              </a:graphicData>
            </a:graphic>
          </wp:anchor>
        </w:drawing>
        <w:drawing>
          <wp:anchor simplePos="0" relativeHeight="251657728" behindDoc="1" locked="0" layoutInCell="0" allowOverlap="1">
            <wp:simplePos x="0" y="0"/>
            <wp:positionH relativeFrom="column">
              <wp:posOffset>-3004185</wp:posOffset>
            </wp:positionH>
            <wp:positionV relativeFrom="paragraph">
              <wp:posOffset>-1070610</wp:posOffset>
            </wp:positionV>
            <wp:extent cx="7106285" cy="17145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06285" cy="171450"/>
                    </a:xfrm>
                    <a:prstGeom prst="rect">
                      <a:avLst/>
                    </a:prstGeom>
                    <a:noFill/>
                  </pic:spPr>
                </pic:pic>
              </a:graphicData>
            </a:graphic>
          </wp:anchor>
        </w:drawing>
        <w:drawing>
          <wp:anchor simplePos="0" relativeHeight="251657728" behindDoc="1" locked="0" layoutInCell="0" allowOverlap="1">
            <wp:simplePos x="0" y="0"/>
            <wp:positionH relativeFrom="column">
              <wp:posOffset>-3004185</wp:posOffset>
            </wp:positionH>
            <wp:positionV relativeFrom="paragraph">
              <wp:posOffset>-727710</wp:posOffset>
            </wp:positionV>
            <wp:extent cx="7106285" cy="17145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06285" cy="171450"/>
                    </a:xfrm>
                    <a:prstGeom prst="rect">
                      <a:avLst/>
                    </a:prstGeom>
                    <a:noFill/>
                  </pic:spPr>
                </pic:pic>
              </a:graphicData>
            </a:graphic>
          </wp:anchor>
        </w:drawing>
        <w:drawing>
          <wp:anchor simplePos="0" relativeHeight="251657728" behindDoc="1" locked="0" layoutInCell="0" allowOverlap="1">
            <wp:simplePos x="0" y="0"/>
            <wp:positionH relativeFrom="column">
              <wp:posOffset>-3004185</wp:posOffset>
            </wp:positionH>
            <wp:positionV relativeFrom="paragraph">
              <wp:posOffset>-385445</wp:posOffset>
            </wp:positionV>
            <wp:extent cx="7106285" cy="17145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06285" cy="17145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4020" w:space="720"/>
            <w:col w:w="6460"/>
          </w:cols>
          <w:pgMar w:left="320" w:top="1012" w:right="379" w:bottom="1440" w:gutter="0" w:footer="0" w:header="0"/>
          <w:type w:val="continuous"/>
        </w:sectPr>
      </w:pPr>
    </w:p>
    <w:p>
      <w:pPr>
        <w:spacing w:after="0" w:line="249" w:lineRule="exact"/>
        <w:rPr>
          <w:sz w:val="20"/>
          <w:szCs w:val="20"/>
          <w:color w:val="auto"/>
        </w:rPr>
      </w:pPr>
    </w:p>
    <w:p>
      <w:pPr>
        <w:spacing w:after="0"/>
        <w:rPr>
          <w:sz w:val="20"/>
          <w:szCs w:val="20"/>
          <w:color w:val="auto"/>
        </w:rPr>
      </w:pPr>
      <w:r>
        <w:rPr>
          <w:rFonts w:ascii="Arial" w:cs="Arial" w:eastAsia="Arial" w:hAnsi="Arial"/>
          <w:sz w:val="14"/>
          <w:szCs w:val="14"/>
          <w:color w:val="auto"/>
        </w:rPr>
        <w:t>See accompanying notes.</w:t>
      </w:r>
    </w:p>
    <w:p>
      <w:pPr>
        <w:sectPr>
          <w:pgSz w:w="11900" w:h="16838" w:orient="portrait"/>
          <w:cols w:equalWidth="0" w:num="1">
            <w:col w:w="11200"/>
          </w:cols>
          <w:pgMar w:left="320" w:top="1012" w:right="37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ind w:right="-39"/>
        <w:spacing w:after="0"/>
        <w:rPr>
          <w:sz w:val="20"/>
          <w:szCs w:val="20"/>
          <w:color w:val="auto"/>
        </w:rPr>
      </w:pPr>
      <w:r>
        <w:rPr>
          <w:rFonts w:ascii="Arial" w:cs="Arial" w:eastAsia="Arial" w:hAnsi="Arial"/>
          <w:sz w:val="13"/>
          <w:szCs w:val="13"/>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012" w:right="379" w:bottom="1440" w:gutter="0" w:footer="0" w:header="0"/>
          <w:type w:val="continuous"/>
        </w:sectPr>
      </w:pPr>
    </w:p>
    <w:bookmarkStart w:id="5" w:name="page6"/>
    <w:bookmarkEnd w:id="5"/>
    <w:p>
      <w:pPr>
        <w:jc w:val="center"/>
        <w:ind w:right="-39"/>
        <w:spacing w:after="0"/>
        <w:rPr>
          <w:sz w:val="20"/>
          <w:szCs w:val="20"/>
          <w:color w:val="auto"/>
        </w:rPr>
      </w:pPr>
      <w:r>
        <w:rPr>
          <w:rFonts w:ascii="Arial" w:cs="Arial" w:eastAsia="Arial" w:hAnsi="Arial"/>
          <w:sz w:val="18"/>
          <w:szCs w:val="18"/>
          <w:b w:val="1"/>
          <w:bCs w:val="1"/>
          <w:color w:val="auto"/>
        </w:rPr>
        <w:t>ANALOG DEVICES, INC.</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CONDENSED CONSOLIDATED STATEMENTS OF SHAREHOLDERS' EQUITY</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(in thousands)</w:t>
      </w:r>
    </w:p>
    <w:p>
      <w:pPr>
        <w:spacing w:after="0" w:line="28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740" w:type="dxa"/>
            <w:vAlign w:val="bottom"/>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3660" w:type="dxa"/>
            <w:vAlign w:val="bottom"/>
            <w:tcBorders>
              <w:bottom w:val="single" w:sz="8" w:color="auto"/>
            </w:tcBorders>
            <w:gridSpan w:val="8"/>
          </w:tcPr>
          <w:p>
            <w:pPr>
              <w:jc w:val="center"/>
              <w:spacing w:after="0"/>
              <w:rPr>
                <w:sz w:val="20"/>
                <w:szCs w:val="20"/>
                <w:color w:val="auto"/>
              </w:rPr>
            </w:pPr>
            <w:r>
              <w:rPr>
                <w:rFonts w:ascii="Arial" w:cs="Arial" w:eastAsia="Arial" w:hAnsi="Arial"/>
                <w:sz w:val="14"/>
                <w:szCs w:val="14"/>
                <w:b w:val="1"/>
                <w:bCs w:val="1"/>
                <w:color w:val="auto"/>
                <w:w w:val="93"/>
              </w:rPr>
              <w:t>Three Months Ended August 3, 2019</w:t>
            </w:r>
          </w:p>
        </w:tc>
        <w:tc>
          <w:tcPr>
            <w:tcW w:w="18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47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20" w:type="dxa"/>
            <w:vAlign w:val="bottom"/>
            <w:gridSpan w:val="2"/>
            <w:vMerge w:val="restart"/>
          </w:tcPr>
          <w:p>
            <w:pPr>
              <w:jc w:val="center"/>
              <w:ind w:right="320"/>
              <w:spacing w:after="0"/>
              <w:rPr>
                <w:sz w:val="20"/>
                <w:szCs w:val="20"/>
                <w:color w:val="auto"/>
              </w:rPr>
            </w:pPr>
            <w:r>
              <w:rPr>
                <w:rFonts w:ascii="Arial" w:cs="Arial" w:eastAsia="Arial" w:hAnsi="Arial"/>
                <w:sz w:val="14"/>
                <w:szCs w:val="14"/>
                <w:b w:val="1"/>
                <w:bCs w:val="1"/>
                <w:color w:val="auto"/>
                <w:w w:val="95"/>
              </w:rPr>
              <w:t>Capital in</w:t>
            </w:r>
          </w:p>
        </w:tc>
        <w:tc>
          <w:tcPr>
            <w:tcW w:w="2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60" w:type="dxa"/>
            <w:vAlign w:val="bottom"/>
          </w:tcPr>
          <w:p>
            <w:pPr>
              <w:jc w:val="center"/>
              <w:ind w:right="123"/>
              <w:spacing w:after="0" w:line="153" w:lineRule="exact"/>
              <w:rPr>
                <w:sz w:val="20"/>
                <w:szCs w:val="20"/>
                <w:color w:val="auto"/>
              </w:rPr>
            </w:pPr>
            <w:r>
              <w:rPr>
                <w:rFonts w:ascii="Arial" w:cs="Arial" w:eastAsia="Arial" w:hAnsi="Arial"/>
                <w:sz w:val="14"/>
                <w:szCs w:val="14"/>
                <w:b w:val="1"/>
                <w:bCs w:val="1"/>
                <w:color w:val="auto"/>
                <w:w w:val="93"/>
              </w:rPr>
              <w:t>Accumulated</w:t>
            </w:r>
          </w:p>
        </w:tc>
        <w:tc>
          <w:tcPr>
            <w:tcW w:w="0" w:type="dxa"/>
            <w:vAlign w:val="bottom"/>
          </w:tcPr>
          <w:p>
            <w:pPr>
              <w:spacing w:after="0"/>
              <w:rPr>
                <w:sz w:val="1"/>
                <w:szCs w:val="1"/>
                <w:color w:val="auto"/>
              </w:rPr>
            </w:pPr>
          </w:p>
        </w:tc>
      </w:tr>
      <w:tr>
        <w:trPr>
          <w:trHeight w:val="186"/>
        </w:trPr>
        <w:tc>
          <w:tcPr>
            <w:tcW w:w="47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2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60" w:type="dxa"/>
            <w:vAlign w:val="bottom"/>
          </w:tcPr>
          <w:p>
            <w:pPr>
              <w:jc w:val="center"/>
              <w:ind w:right="103"/>
              <w:spacing w:after="0"/>
              <w:rPr>
                <w:sz w:val="20"/>
                <w:szCs w:val="20"/>
                <w:color w:val="auto"/>
              </w:rPr>
            </w:pPr>
            <w:r>
              <w:rPr>
                <w:rFonts w:ascii="Arial" w:cs="Arial" w:eastAsia="Arial" w:hAnsi="Arial"/>
                <w:sz w:val="14"/>
                <w:szCs w:val="14"/>
                <w:b w:val="1"/>
                <w:bCs w:val="1"/>
                <w:color w:val="auto"/>
                <w:w w:val="96"/>
              </w:rPr>
              <w:t>Other</w:t>
            </w:r>
          </w:p>
        </w:tc>
        <w:tc>
          <w:tcPr>
            <w:tcW w:w="0" w:type="dxa"/>
            <w:vAlign w:val="bottom"/>
          </w:tcPr>
          <w:p>
            <w:pPr>
              <w:spacing w:after="0"/>
              <w:rPr>
                <w:sz w:val="1"/>
                <w:szCs w:val="1"/>
                <w:color w:val="auto"/>
              </w:rPr>
            </w:pPr>
          </w:p>
        </w:tc>
      </w:tr>
      <w:tr>
        <w:trPr>
          <w:trHeight w:val="208"/>
        </w:trPr>
        <w:tc>
          <w:tcPr>
            <w:tcW w:w="4740" w:type="dxa"/>
            <w:vAlign w:val="bottom"/>
          </w:tcPr>
          <w:p>
            <w:pPr>
              <w:spacing w:after="0"/>
              <w:rPr>
                <w:sz w:val="18"/>
                <w:szCs w:val="18"/>
                <w:color w:val="auto"/>
              </w:rPr>
            </w:pPr>
          </w:p>
        </w:tc>
        <w:tc>
          <w:tcPr>
            <w:tcW w:w="2280" w:type="dxa"/>
            <w:vAlign w:val="bottom"/>
            <w:tcBorders>
              <w:bottom w:val="single" w:sz="8" w:color="auto"/>
            </w:tcBorders>
            <w:gridSpan w:val="4"/>
          </w:tcPr>
          <w:p>
            <w:pPr>
              <w:jc w:val="right"/>
              <w:ind w:right="599"/>
              <w:spacing w:after="0"/>
              <w:rPr>
                <w:sz w:val="20"/>
                <w:szCs w:val="20"/>
                <w:color w:val="auto"/>
              </w:rPr>
            </w:pPr>
            <w:r>
              <w:rPr>
                <w:rFonts w:ascii="Arial" w:cs="Arial" w:eastAsia="Arial" w:hAnsi="Arial"/>
                <w:sz w:val="14"/>
                <w:szCs w:val="14"/>
                <w:b w:val="1"/>
                <w:bCs w:val="1"/>
                <w:color w:val="auto"/>
              </w:rPr>
              <w:t>Common Stock</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85"/>
              </w:rPr>
              <w:t>Excess of</w:t>
            </w:r>
          </w:p>
        </w:tc>
        <w:tc>
          <w:tcPr>
            <w:tcW w:w="200" w:type="dxa"/>
            <w:vAlign w:val="bottom"/>
          </w:tcPr>
          <w:p>
            <w:pPr>
              <w:spacing w:after="0"/>
              <w:rPr>
                <w:sz w:val="18"/>
                <w:szCs w:val="18"/>
                <w:color w:val="auto"/>
              </w:rPr>
            </w:pPr>
          </w:p>
        </w:tc>
        <w:tc>
          <w:tcPr>
            <w:tcW w:w="1120" w:type="dxa"/>
            <w:vAlign w:val="bottom"/>
            <w:gridSpan w:val="2"/>
          </w:tcPr>
          <w:p>
            <w:pPr>
              <w:ind w:left="120"/>
              <w:spacing w:after="0"/>
              <w:rPr>
                <w:sz w:val="20"/>
                <w:szCs w:val="20"/>
                <w:color w:val="auto"/>
              </w:rPr>
            </w:pPr>
            <w:r>
              <w:rPr>
                <w:rFonts w:ascii="Arial" w:cs="Arial" w:eastAsia="Arial" w:hAnsi="Arial"/>
                <w:sz w:val="14"/>
                <w:szCs w:val="14"/>
                <w:b w:val="1"/>
                <w:bCs w:val="1"/>
                <w:color w:val="auto"/>
              </w:rPr>
              <w:t>Retained</w:t>
            </w:r>
          </w:p>
        </w:tc>
        <w:tc>
          <w:tcPr>
            <w:tcW w:w="180" w:type="dxa"/>
            <w:vAlign w:val="bottom"/>
          </w:tcPr>
          <w:p>
            <w:pPr>
              <w:spacing w:after="0"/>
              <w:rPr>
                <w:sz w:val="18"/>
                <w:szCs w:val="18"/>
                <w:color w:val="auto"/>
              </w:rPr>
            </w:pPr>
          </w:p>
        </w:tc>
        <w:tc>
          <w:tcPr>
            <w:tcW w:w="1260" w:type="dxa"/>
            <w:vAlign w:val="bottom"/>
          </w:tcPr>
          <w:p>
            <w:pPr>
              <w:jc w:val="center"/>
              <w:ind w:right="103"/>
              <w:spacing w:after="0"/>
              <w:rPr>
                <w:sz w:val="20"/>
                <w:szCs w:val="20"/>
                <w:color w:val="auto"/>
              </w:rPr>
            </w:pPr>
            <w:r>
              <w:rPr>
                <w:rFonts w:ascii="Arial" w:cs="Arial" w:eastAsia="Arial" w:hAnsi="Arial"/>
                <w:sz w:val="14"/>
                <w:szCs w:val="14"/>
                <w:b w:val="1"/>
                <w:bCs w:val="1"/>
                <w:color w:val="auto"/>
                <w:w w:val="91"/>
              </w:rPr>
              <w:t>Comprehensive</w:t>
            </w:r>
          </w:p>
        </w:tc>
        <w:tc>
          <w:tcPr>
            <w:tcW w:w="0" w:type="dxa"/>
            <w:vAlign w:val="bottom"/>
          </w:tcPr>
          <w:p>
            <w:pPr>
              <w:spacing w:after="0"/>
              <w:rPr>
                <w:sz w:val="1"/>
                <w:szCs w:val="1"/>
                <w:color w:val="auto"/>
              </w:rPr>
            </w:pPr>
          </w:p>
        </w:tc>
      </w:tr>
      <w:tr>
        <w:trPr>
          <w:trHeight w:val="197"/>
        </w:trPr>
        <w:tc>
          <w:tcPr>
            <w:tcW w:w="4740" w:type="dxa"/>
            <w:vAlign w:val="bottom"/>
            <w:tcBorders>
              <w:bottom w:val="single" w:sz="8" w:color="CCEEFF"/>
            </w:tcBorders>
          </w:tcPr>
          <w:p>
            <w:pPr>
              <w:spacing w:after="0"/>
              <w:rPr>
                <w:sz w:val="17"/>
                <w:szCs w:val="17"/>
                <w:color w:val="auto"/>
              </w:rPr>
            </w:pPr>
          </w:p>
        </w:tc>
        <w:tc>
          <w:tcPr>
            <w:tcW w:w="1040" w:type="dxa"/>
            <w:vAlign w:val="bottom"/>
            <w:tcBorders>
              <w:bottom w:val="single" w:sz="8" w:color="auto"/>
            </w:tcBorders>
          </w:tcPr>
          <w:p>
            <w:pPr>
              <w:jc w:val="right"/>
              <w:ind w:right="239"/>
              <w:spacing w:after="0"/>
              <w:rPr>
                <w:sz w:val="20"/>
                <w:szCs w:val="20"/>
                <w:color w:val="auto"/>
              </w:rPr>
            </w:pPr>
            <w:r>
              <w:rPr>
                <w:rFonts w:ascii="Arial" w:cs="Arial" w:eastAsia="Arial" w:hAnsi="Arial"/>
                <w:sz w:val="14"/>
                <w:szCs w:val="14"/>
                <w:b w:val="1"/>
                <w:bCs w:val="1"/>
                <w:color w:val="auto"/>
              </w:rPr>
              <w:t>Shares</w:t>
            </w:r>
          </w:p>
        </w:tc>
        <w:tc>
          <w:tcPr>
            <w:tcW w:w="12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239"/>
              <w:spacing w:after="0"/>
              <w:rPr>
                <w:sz w:val="20"/>
                <w:szCs w:val="20"/>
                <w:color w:val="auto"/>
              </w:rPr>
            </w:pPr>
            <w:r>
              <w:rPr>
                <w:rFonts w:ascii="Arial" w:cs="Arial" w:eastAsia="Arial" w:hAnsi="Arial"/>
                <w:sz w:val="14"/>
                <w:szCs w:val="14"/>
                <w:b w:val="1"/>
                <w:bCs w:val="1"/>
                <w:color w:val="auto"/>
              </w:rPr>
              <w:t>Amount</w:t>
            </w:r>
          </w:p>
        </w:tc>
        <w:tc>
          <w:tcPr>
            <w:tcW w:w="10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center"/>
              <w:ind w:right="120"/>
              <w:spacing w:after="0"/>
              <w:rPr>
                <w:sz w:val="20"/>
                <w:szCs w:val="20"/>
                <w:color w:val="auto"/>
              </w:rPr>
            </w:pPr>
            <w:r>
              <w:rPr>
                <w:rFonts w:ascii="Arial" w:cs="Arial" w:eastAsia="Arial" w:hAnsi="Arial"/>
                <w:sz w:val="14"/>
                <w:szCs w:val="14"/>
                <w:b w:val="1"/>
                <w:bCs w:val="1"/>
                <w:color w:val="auto"/>
                <w:w w:val="93"/>
              </w:rPr>
              <w:t>Par Value</w:t>
            </w:r>
          </w:p>
        </w:tc>
        <w:tc>
          <w:tcPr>
            <w:tcW w:w="12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ind w:left="120"/>
              <w:spacing w:after="0"/>
              <w:rPr>
                <w:sz w:val="20"/>
                <w:szCs w:val="20"/>
                <w:color w:val="auto"/>
              </w:rPr>
            </w:pPr>
            <w:r>
              <w:rPr>
                <w:rFonts w:ascii="Arial" w:cs="Arial" w:eastAsia="Arial" w:hAnsi="Arial"/>
                <w:sz w:val="14"/>
                <w:szCs w:val="14"/>
                <w:b w:val="1"/>
                <w:bCs w:val="1"/>
                <w:color w:val="auto"/>
              </w:rPr>
              <w:t>Earnings</w:t>
            </w:r>
          </w:p>
        </w:tc>
        <w:tc>
          <w:tcPr>
            <w:tcW w:w="12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center"/>
              <w:ind w:right="103"/>
              <w:spacing w:after="0"/>
              <w:rPr>
                <w:sz w:val="20"/>
                <w:szCs w:val="20"/>
                <w:color w:val="auto"/>
              </w:rPr>
            </w:pPr>
            <w:r>
              <w:rPr>
                <w:rFonts w:ascii="Arial" w:cs="Arial" w:eastAsia="Arial" w:hAnsi="Arial"/>
                <w:sz w:val="14"/>
                <w:szCs w:val="14"/>
                <w:b w:val="1"/>
                <w:bCs w:val="1"/>
                <w:color w:val="auto"/>
                <w:w w:val="85"/>
              </w:rPr>
              <w:t>Loss</w:t>
            </w:r>
          </w:p>
        </w:tc>
        <w:tc>
          <w:tcPr>
            <w:tcW w:w="0" w:type="dxa"/>
            <w:vAlign w:val="bottom"/>
          </w:tcPr>
          <w:p>
            <w:pPr>
              <w:spacing w:after="0"/>
              <w:rPr>
                <w:sz w:val="1"/>
                <w:szCs w:val="1"/>
                <w:color w:val="auto"/>
              </w:rPr>
            </w:pPr>
          </w:p>
        </w:tc>
      </w:tr>
      <w:tr>
        <w:trPr>
          <w:trHeight w:val="249"/>
        </w:trPr>
        <w:tc>
          <w:tcPr>
            <w:tcW w:w="4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BALANCE, MAY 4, 2019</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369,761</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61,628</w:t>
            </w:r>
          </w:p>
        </w:tc>
        <w:tc>
          <w:tcPr>
            <w:tcW w:w="3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5,117,202</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6,659,449</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(96,021)</w:t>
            </w:r>
          </w:p>
        </w:tc>
        <w:tc>
          <w:tcPr>
            <w:tcW w:w="0" w:type="dxa"/>
            <w:vAlign w:val="bottom"/>
          </w:tcPr>
          <w:p>
            <w:pPr>
              <w:spacing w:after="0"/>
              <w:rPr>
                <w:sz w:val="1"/>
                <w:szCs w:val="1"/>
                <w:color w:val="auto"/>
              </w:rPr>
            </w:pPr>
          </w:p>
        </w:tc>
      </w:tr>
      <w:tr>
        <w:trPr>
          <w:trHeight w:val="243"/>
        </w:trPr>
        <w:tc>
          <w:tcPr>
            <w:tcW w:w="4740" w:type="dxa"/>
            <w:vAlign w:val="bottom"/>
          </w:tcPr>
          <w:p>
            <w:pPr>
              <w:ind w:left="20"/>
              <w:spacing w:after="0"/>
              <w:rPr>
                <w:sz w:val="20"/>
                <w:szCs w:val="20"/>
                <w:color w:val="auto"/>
              </w:rPr>
            </w:pPr>
            <w:r>
              <w:rPr>
                <w:rFonts w:ascii="Arial" w:cs="Arial" w:eastAsia="Arial" w:hAnsi="Arial"/>
                <w:sz w:val="18"/>
                <w:szCs w:val="18"/>
                <w:color w:val="auto"/>
              </w:rPr>
              <w:t>Net income</w:t>
            </w:r>
          </w:p>
        </w:tc>
        <w:tc>
          <w:tcPr>
            <w:tcW w:w="10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362,374</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7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Dividends declared and paid - $0.54 per share</w:t>
            </w:r>
          </w:p>
        </w:tc>
        <w:tc>
          <w:tcPr>
            <w:tcW w:w="10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9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0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(200,068)</w:t>
            </w: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26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4740" w:type="dxa"/>
            <w:vAlign w:val="bottom"/>
          </w:tcPr>
          <w:p>
            <w:pPr>
              <w:ind w:left="20"/>
              <w:spacing w:after="0"/>
              <w:rPr>
                <w:sz w:val="20"/>
                <w:szCs w:val="20"/>
                <w:color w:val="auto"/>
              </w:rPr>
            </w:pPr>
            <w:r>
              <w:rPr>
                <w:rFonts w:ascii="Arial" w:cs="Arial" w:eastAsia="Arial" w:hAnsi="Arial"/>
                <w:sz w:val="18"/>
                <w:szCs w:val="18"/>
                <w:color w:val="auto"/>
              </w:rPr>
              <w:t>Issuance of stock under stock plans and other</w:t>
            </w:r>
          </w:p>
        </w:tc>
        <w:tc>
          <w:tcPr>
            <w:tcW w:w="1040" w:type="dxa"/>
            <w:vAlign w:val="bottom"/>
          </w:tcPr>
          <w:p>
            <w:pPr>
              <w:jc w:val="right"/>
              <w:spacing w:after="0"/>
              <w:rPr>
                <w:sz w:val="20"/>
                <w:szCs w:val="20"/>
                <w:color w:val="auto"/>
              </w:rPr>
            </w:pPr>
            <w:r>
              <w:rPr>
                <w:rFonts w:ascii="Arial" w:cs="Arial" w:eastAsia="Arial" w:hAnsi="Arial"/>
                <w:sz w:val="18"/>
                <w:szCs w:val="18"/>
                <w:color w:val="auto"/>
              </w:rPr>
              <w:t>667</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tcPr>
          <w:p>
            <w:pPr>
              <w:jc w:val="right"/>
              <w:ind w:right="19"/>
              <w:spacing w:after="0"/>
              <w:rPr>
                <w:sz w:val="20"/>
                <w:szCs w:val="20"/>
                <w:color w:val="auto"/>
              </w:rPr>
            </w:pPr>
            <w:r>
              <w:rPr>
                <w:rFonts w:ascii="Arial" w:cs="Arial" w:eastAsia="Arial" w:hAnsi="Arial"/>
                <w:sz w:val="18"/>
                <w:szCs w:val="18"/>
                <w:color w:val="auto"/>
              </w:rPr>
              <w:t>111</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19,117</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7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Stock-based compensation expense</w:t>
            </w:r>
          </w:p>
        </w:tc>
        <w:tc>
          <w:tcPr>
            <w:tcW w:w="10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36,098</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740" w:type="dxa"/>
            <w:vAlign w:val="bottom"/>
          </w:tcPr>
          <w:p>
            <w:pPr>
              <w:ind w:left="20"/>
              <w:spacing w:after="0"/>
              <w:rPr>
                <w:sz w:val="20"/>
                <w:szCs w:val="20"/>
                <w:color w:val="auto"/>
              </w:rPr>
            </w:pPr>
            <w:r>
              <w:rPr>
                <w:rFonts w:ascii="Arial" w:cs="Arial" w:eastAsia="Arial" w:hAnsi="Arial"/>
                <w:sz w:val="18"/>
                <w:szCs w:val="18"/>
                <w:color w:val="auto"/>
              </w:rPr>
              <w:t>Other comprehensive loss</w:t>
            </w:r>
          </w:p>
        </w:tc>
        <w:tc>
          <w:tcPr>
            <w:tcW w:w="10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(57,652)</w:t>
            </w:r>
          </w:p>
        </w:tc>
        <w:tc>
          <w:tcPr>
            <w:tcW w:w="0" w:type="dxa"/>
            <w:vAlign w:val="bottom"/>
          </w:tcPr>
          <w:p>
            <w:pPr>
              <w:spacing w:after="0"/>
              <w:rPr>
                <w:sz w:val="1"/>
                <w:szCs w:val="1"/>
                <w:color w:val="auto"/>
              </w:rPr>
            </w:pPr>
          </w:p>
        </w:tc>
      </w:tr>
      <w:tr>
        <w:trPr>
          <w:trHeight w:val="27"/>
        </w:trPr>
        <w:tc>
          <w:tcPr>
            <w:tcW w:w="47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Common stock repurchased</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(1,022)</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(170)</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(111,831)</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3"/>
        </w:trPr>
        <w:tc>
          <w:tcPr>
            <w:tcW w:w="4740" w:type="dxa"/>
            <w:vAlign w:val="bottom"/>
          </w:tcPr>
          <w:p>
            <w:pPr>
              <w:ind w:left="20"/>
              <w:spacing w:after="0"/>
              <w:rPr>
                <w:sz w:val="20"/>
                <w:szCs w:val="20"/>
                <w:color w:val="auto"/>
              </w:rPr>
            </w:pPr>
            <w:r>
              <w:rPr>
                <w:rFonts w:ascii="Arial" w:cs="Arial" w:eastAsia="Arial" w:hAnsi="Arial"/>
                <w:sz w:val="18"/>
                <w:szCs w:val="18"/>
                <w:b w:val="1"/>
                <w:bCs w:val="1"/>
                <w:color w:val="auto"/>
              </w:rPr>
              <w:t>BALANCE, AUGUST 3, 2019</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369,406</w:t>
            </w:r>
          </w:p>
        </w:tc>
        <w:tc>
          <w:tcPr>
            <w:tcW w:w="12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8"/>
                <w:szCs w:val="18"/>
                <w:color w:val="auto"/>
              </w:rPr>
              <w:t>61,569</w:t>
            </w:r>
          </w:p>
        </w:tc>
        <w:tc>
          <w:tcPr>
            <w:tcW w:w="10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5,060,586</w:t>
            </w:r>
          </w:p>
        </w:tc>
        <w:tc>
          <w:tcPr>
            <w:tcW w:w="12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6,821,755</w:t>
            </w:r>
          </w:p>
        </w:tc>
        <w:tc>
          <w:tcPr>
            <w:tcW w:w="12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(153,673)</w:t>
            </w:r>
          </w:p>
        </w:tc>
        <w:tc>
          <w:tcPr>
            <w:tcW w:w="0" w:type="dxa"/>
            <w:vAlign w:val="bottom"/>
          </w:tcPr>
          <w:p>
            <w:pPr>
              <w:spacing w:after="0"/>
              <w:rPr>
                <w:sz w:val="1"/>
                <w:szCs w:val="1"/>
                <w:color w:val="auto"/>
              </w:rPr>
            </w:pPr>
          </w:p>
        </w:tc>
      </w:tr>
      <w:tr>
        <w:trPr>
          <w:trHeight w:val="21"/>
        </w:trPr>
        <w:tc>
          <w:tcPr>
            <w:tcW w:w="474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33"/>
        </w:trPr>
        <w:tc>
          <w:tcPr>
            <w:tcW w:w="4740" w:type="dxa"/>
            <w:vAlign w:val="bottom"/>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3660" w:type="dxa"/>
            <w:vAlign w:val="bottom"/>
            <w:tcBorders>
              <w:bottom w:val="single" w:sz="8" w:color="auto"/>
            </w:tcBorders>
            <w:gridSpan w:val="8"/>
          </w:tcPr>
          <w:p>
            <w:pPr>
              <w:jc w:val="center"/>
              <w:spacing w:after="0"/>
              <w:rPr>
                <w:sz w:val="20"/>
                <w:szCs w:val="20"/>
                <w:color w:val="auto"/>
              </w:rPr>
            </w:pPr>
            <w:r>
              <w:rPr>
                <w:rFonts w:ascii="Arial" w:cs="Arial" w:eastAsia="Arial" w:hAnsi="Arial"/>
                <w:sz w:val="14"/>
                <w:szCs w:val="14"/>
                <w:b w:val="1"/>
                <w:bCs w:val="1"/>
                <w:color w:val="auto"/>
                <w:w w:val="93"/>
              </w:rPr>
              <w:t>Nine Months Ended August 3, 2019</w:t>
            </w:r>
          </w:p>
        </w:tc>
        <w:tc>
          <w:tcPr>
            <w:tcW w:w="18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2"/>
        </w:trPr>
        <w:tc>
          <w:tcPr>
            <w:tcW w:w="47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20" w:type="dxa"/>
            <w:vAlign w:val="bottom"/>
            <w:gridSpan w:val="2"/>
            <w:vMerge w:val="restart"/>
          </w:tcPr>
          <w:p>
            <w:pPr>
              <w:jc w:val="center"/>
              <w:ind w:right="320"/>
              <w:spacing w:after="0"/>
              <w:rPr>
                <w:sz w:val="20"/>
                <w:szCs w:val="20"/>
                <w:color w:val="auto"/>
              </w:rPr>
            </w:pPr>
            <w:r>
              <w:rPr>
                <w:rFonts w:ascii="Arial" w:cs="Arial" w:eastAsia="Arial" w:hAnsi="Arial"/>
                <w:sz w:val="14"/>
                <w:szCs w:val="14"/>
                <w:b w:val="1"/>
                <w:bCs w:val="1"/>
                <w:color w:val="auto"/>
                <w:w w:val="95"/>
              </w:rPr>
              <w:t>Capital in</w:t>
            </w:r>
          </w:p>
        </w:tc>
        <w:tc>
          <w:tcPr>
            <w:tcW w:w="2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60" w:type="dxa"/>
            <w:vAlign w:val="bottom"/>
          </w:tcPr>
          <w:p>
            <w:pPr>
              <w:jc w:val="center"/>
              <w:ind w:right="123"/>
              <w:spacing w:after="0" w:line="153" w:lineRule="exact"/>
              <w:rPr>
                <w:sz w:val="20"/>
                <w:szCs w:val="20"/>
                <w:color w:val="auto"/>
              </w:rPr>
            </w:pPr>
            <w:r>
              <w:rPr>
                <w:rFonts w:ascii="Arial" w:cs="Arial" w:eastAsia="Arial" w:hAnsi="Arial"/>
                <w:sz w:val="14"/>
                <w:szCs w:val="14"/>
                <w:b w:val="1"/>
                <w:bCs w:val="1"/>
                <w:color w:val="auto"/>
                <w:w w:val="93"/>
              </w:rPr>
              <w:t>Accumulated</w:t>
            </w:r>
          </w:p>
        </w:tc>
        <w:tc>
          <w:tcPr>
            <w:tcW w:w="0" w:type="dxa"/>
            <w:vAlign w:val="bottom"/>
          </w:tcPr>
          <w:p>
            <w:pPr>
              <w:spacing w:after="0"/>
              <w:rPr>
                <w:sz w:val="1"/>
                <w:szCs w:val="1"/>
                <w:color w:val="auto"/>
              </w:rPr>
            </w:pPr>
          </w:p>
        </w:tc>
      </w:tr>
      <w:tr>
        <w:trPr>
          <w:trHeight w:val="186"/>
        </w:trPr>
        <w:tc>
          <w:tcPr>
            <w:tcW w:w="47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2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60" w:type="dxa"/>
            <w:vAlign w:val="bottom"/>
          </w:tcPr>
          <w:p>
            <w:pPr>
              <w:jc w:val="center"/>
              <w:ind w:right="103"/>
              <w:spacing w:after="0"/>
              <w:rPr>
                <w:sz w:val="20"/>
                <w:szCs w:val="20"/>
                <w:color w:val="auto"/>
              </w:rPr>
            </w:pPr>
            <w:r>
              <w:rPr>
                <w:rFonts w:ascii="Arial" w:cs="Arial" w:eastAsia="Arial" w:hAnsi="Arial"/>
                <w:sz w:val="14"/>
                <w:szCs w:val="14"/>
                <w:b w:val="1"/>
                <w:bCs w:val="1"/>
                <w:color w:val="auto"/>
                <w:w w:val="96"/>
              </w:rPr>
              <w:t>Other</w:t>
            </w:r>
          </w:p>
        </w:tc>
        <w:tc>
          <w:tcPr>
            <w:tcW w:w="0" w:type="dxa"/>
            <w:vAlign w:val="bottom"/>
          </w:tcPr>
          <w:p>
            <w:pPr>
              <w:spacing w:after="0"/>
              <w:rPr>
                <w:sz w:val="1"/>
                <w:szCs w:val="1"/>
                <w:color w:val="auto"/>
              </w:rPr>
            </w:pPr>
          </w:p>
        </w:tc>
      </w:tr>
      <w:tr>
        <w:trPr>
          <w:trHeight w:val="208"/>
        </w:trPr>
        <w:tc>
          <w:tcPr>
            <w:tcW w:w="4740" w:type="dxa"/>
            <w:vAlign w:val="bottom"/>
          </w:tcPr>
          <w:p>
            <w:pPr>
              <w:spacing w:after="0"/>
              <w:rPr>
                <w:sz w:val="18"/>
                <w:szCs w:val="18"/>
                <w:color w:val="auto"/>
              </w:rPr>
            </w:pPr>
          </w:p>
        </w:tc>
        <w:tc>
          <w:tcPr>
            <w:tcW w:w="2280" w:type="dxa"/>
            <w:vAlign w:val="bottom"/>
            <w:tcBorders>
              <w:bottom w:val="single" w:sz="8" w:color="auto"/>
            </w:tcBorders>
            <w:gridSpan w:val="4"/>
          </w:tcPr>
          <w:p>
            <w:pPr>
              <w:jc w:val="right"/>
              <w:ind w:right="599"/>
              <w:spacing w:after="0"/>
              <w:rPr>
                <w:sz w:val="20"/>
                <w:szCs w:val="20"/>
                <w:color w:val="auto"/>
              </w:rPr>
            </w:pPr>
            <w:r>
              <w:rPr>
                <w:rFonts w:ascii="Arial" w:cs="Arial" w:eastAsia="Arial" w:hAnsi="Arial"/>
                <w:sz w:val="14"/>
                <w:szCs w:val="14"/>
                <w:b w:val="1"/>
                <w:bCs w:val="1"/>
                <w:color w:val="auto"/>
              </w:rPr>
              <w:t>Common Stock</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85"/>
              </w:rPr>
              <w:t>Excess of</w:t>
            </w:r>
          </w:p>
        </w:tc>
        <w:tc>
          <w:tcPr>
            <w:tcW w:w="200" w:type="dxa"/>
            <w:vAlign w:val="bottom"/>
          </w:tcPr>
          <w:p>
            <w:pPr>
              <w:spacing w:after="0"/>
              <w:rPr>
                <w:sz w:val="18"/>
                <w:szCs w:val="18"/>
                <w:color w:val="auto"/>
              </w:rPr>
            </w:pPr>
          </w:p>
        </w:tc>
        <w:tc>
          <w:tcPr>
            <w:tcW w:w="1120" w:type="dxa"/>
            <w:vAlign w:val="bottom"/>
            <w:gridSpan w:val="2"/>
          </w:tcPr>
          <w:p>
            <w:pPr>
              <w:ind w:left="120"/>
              <w:spacing w:after="0"/>
              <w:rPr>
                <w:sz w:val="20"/>
                <w:szCs w:val="20"/>
                <w:color w:val="auto"/>
              </w:rPr>
            </w:pPr>
            <w:r>
              <w:rPr>
                <w:rFonts w:ascii="Arial" w:cs="Arial" w:eastAsia="Arial" w:hAnsi="Arial"/>
                <w:sz w:val="14"/>
                <w:szCs w:val="14"/>
                <w:b w:val="1"/>
                <w:bCs w:val="1"/>
                <w:color w:val="auto"/>
              </w:rPr>
              <w:t>Retained</w:t>
            </w:r>
          </w:p>
        </w:tc>
        <w:tc>
          <w:tcPr>
            <w:tcW w:w="180" w:type="dxa"/>
            <w:vAlign w:val="bottom"/>
          </w:tcPr>
          <w:p>
            <w:pPr>
              <w:spacing w:after="0"/>
              <w:rPr>
                <w:sz w:val="18"/>
                <w:szCs w:val="18"/>
                <w:color w:val="auto"/>
              </w:rPr>
            </w:pPr>
          </w:p>
        </w:tc>
        <w:tc>
          <w:tcPr>
            <w:tcW w:w="1260" w:type="dxa"/>
            <w:vAlign w:val="bottom"/>
          </w:tcPr>
          <w:p>
            <w:pPr>
              <w:jc w:val="center"/>
              <w:ind w:right="103"/>
              <w:spacing w:after="0"/>
              <w:rPr>
                <w:sz w:val="20"/>
                <w:szCs w:val="20"/>
                <w:color w:val="auto"/>
              </w:rPr>
            </w:pPr>
            <w:r>
              <w:rPr>
                <w:rFonts w:ascii="Arial" w:cs="Arial" w:eastAsia="Arial" w:hAnsi="Arial"/>
                <w:sz w:val="14"/>
                <w:szCs w:val="14"/>
                <w:b w:val="1"/>
                <w:bCs w:val="1"/>
                <w:color w:val="auto"/>
                <w:w w:val="91"/>
              </w:rPr>
              <w:t>Comprehensive</w:t>
            </w:r>
          </w:p>
        </w:tc>
        <w:tc>
          <w:tcPr>
            <w:tcW w:w="0" w:type="dxa"/>
            <w:vAlign w:val="bottom"/>
          </w:tcPr>
          <w:p>
            <w:pPr>
              <w:spacing w:after="0"/>
              <w:rPr>
                <w:sz w:val="1"/>
                <w:szCs w:val="1"/>
                <w:color w:val="auto"/>
              </w:rPr>
            </w:pPr>
          </w:p>
        </w:tc>
      </w:tr>
      <w:tr>
        <w:trPr>
          <w:trHeight w:val="190"/>
        </w:trPr>
        <w:tc>
          <w:tcPr>
            <w:tcW w:w="4740" w:type="dxa"/>
            <w:vAlign w:val="bottom"/>
          </w:tcPr>
          <w:p>
            <w:pPr>
              <w:spacing w:after="0"/>
              <w:rPr>
                <w:sz w:val="16"/>
                <w:szCs w:val="16"/>
                <w:color w:val="auto"/>
              </w:rPr>
            </w:pPr>
          </w:p>
        </w:tc>
        <w:tc>
          <w:tcPr>
            <w:tcW w:w="116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rPr>
              <w:t>Shares</w:t>
            </w:r>
          </w:p>
        </w:tc>
        <w:tc>
          <w:tcPr>
            <w:tcW w:w="200" w:type="dxa"/>
            <w:vAlign w:val="bottom"/>
          </w:tcPr>
          <w:p>
            <w:pPr>
              <w:spacing w:after="0"/>
              <w:rPr>
                <w:sz w:val="16"/>
                <w:szCs w:val="16"/>
                <w:color w:val="auto"/>
              </w:rPr>
            </w:pPr>
          </w:p>
        </w:tc>
        <w:tc>
          <w:tcPr>
            <w:tcW w:w="920" w:type="dxa"/>
            <w:vAlign w:val="bottom"/>
          </w:tcPr>
          <w:p>
            <w:pPr>
              <w:jc w:val="right"/>
              <w:ind w:right="239"/>
              <w:spacing w:after="0"/>
              <w:rPr>
                <w:sz w:val="20"/>
                <w:szCs w:val="20"/>
                <w:color w:val="auto"/>
              </w:rPr>
            </w:pPr>
            <w:r>
              <w:rPr>
                <w:rFonts w:ascii="Arial" w:cs="Arial" w:eastAsia="Arial" w:hAnsi="Arial"/>
                <w:sz w:val="14"/>
                <w:szCs w:val="14"/>
                <w:b w:val="1"/>
                <w:bCs w:val="1"/>
                <w:color w:val="auto"/>
              </w:rPr>
              <w:t>Amount</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2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3"/>
              </w:rPr>
              <w:t>Par Value</w:t>
            </w:r>
          </w:p>
        </w:tc>
        <w:tc>
          <w:tcPr>
            <w:tcW w:w="200" w:type="dxa"/>
            <w:vAlign w:val="bottom"/>
          </w:tcPr>
          <w:p>
            <w:pPr>
              <w:spacing w:after="0"/>
              <w:rPr>
                <w:sz w:val="16"/>
                <w:szCs w:val="16"/>
                <w:color w:val="auto"/>
              </w:rPr>
            </w:pPr>
          </w:p>
        </w:tc>
        <w:tc>
          <w:tcPr>
            <w:tcW w:w="1120" w:type="dxa"/>
            <w:vAlign w:val="bottom"/>
            <w:gridSpan w:val="2"/>
          </w:tcPr>
          <w:p>
            <w:pPr>
              <w:ind w:left="120"/>
              <w:spacing w:after="0"/>
              <w:rPr>
                <w:sz w:val="20"/>
                <w:szCs w:val="20"/>
                <w:color w:val="auto"/>
              </w:rPr>
            </w:pPr>
            <w:r>
              <w:rPr>
                <w:rFonts w:ascii="Arial" w:cs="Arial" w:eastAsia="Arial" w:hAnsi="Arial"/>
                <w:sz w:val="14"/>
                <w:szCs w:val="14"/>
                <w:b w:val="1"/>
                <w:bCs w:val="1"/>
                <w:color w:val="auto"/>
              </w:rPr>
              <w:t>Earnings</w:t>
            </w:r>
          </w:p>
        </w:tc>
        <w:tc>
          <w:tcPr>
            <w:tcW w:w="180" w:type="dxa"/>
            <w:vAlign w:val="bottom"/>
          </w:tcPr>
          <w:p>
            <w:pPr>
              <w:spacing w:after="0"/>
              <w:rPr>
                <w:sz w:val="16"/>
                <w:szCs w:val="16"/>
                <w:color w:val="auto"/>
              </w:rPr>
            </w:pPr>
          </w:p>
        </w:tc>
        <w:tc>
          <w:tcPr>
            <w:tcW w:w="1260" w:type="dxa"/>
            <w:vAlign w:val="bottom"/>
          </w:tcPr>
          <w:p>
            <w:pPr>
              <w:jc w:val="center"/>
              <w:ind w:right="103"/>
              <w:spacing w:after="0"/>
              <w:rPr>
                <w:sz w:val="20"/>
                <w:szCs w:val="20"/>
                <w:color w:val="auto"/>
              </w:rPr>
            </w:pPr>
            <w:r>
              <w:rPr>
                <w:rFonts w:ascii="Arial" w:cs="Arial" w:eastAsia="Arial" w:hAnsi="Arial"/>
                <w:sz w:val="14"/>
                <w:szCs w:val="14"/>
                <w:b w:val="1"/>
                <w:bCs w:val="1"/>
                <w:color w:val="auto"/>
                <w:w w:val="85"/>
              </w:rPr>
              <w:t>Loss</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106285" cy="17970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06285" cy="179705"/>
                    </a:xfrm>
                    <a:prstGeom prst="rect">
                      <a:avLst/>
                    </a:prstGeom>
                    <a:noFill/>
                  </pic:spPr>
                </pic:pic>
              </a:graphicData>
            </a:graphic>
          </wp:anchor>
        </w:drawing>
      </w:r>
    </w:p>
    <w:p>
      <w:pPr>
        <w:sectPr>
          <w:pgSz w:w="11900" w:h="16838" w:orient="portrait"/>
          <w:cols w:equalWidth="0" w:num="1">
            <w:col w:w="11200"/>
          </w:cols>
          <w:pgMar w:left="320" w:top="1080" w:right="379" w:bottom="1440" w:gutter="0" w:footer="0" w:header="0"/>
        </w:sectPr>
      </w:pPr>
    </w:p>
    <w:p>
      <w:pPr>
        <w:spacing w:after="0" w:line="61"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BALANCE, NOVEMBER 3, 2018 (1)</w:t>
      </w:r>
    </w:p>
    <w:p>
      <w:pPr>
        <w:spacing w:after="0" w:line="40" w:lineRule="exact"/>
        <w:rPr>
          <w:sz w:val="20"/>
          <w:szCs w:val="20"/>
          <w:color w:val="auto"/>
        </w:rPr>
      </w:pPr>
    </w:p>
    <w:p>
      <w:pPr>
        <w:ind w:left="20"/>
        <w:spacing w:after="0"/>
        <w:rPr>
          <w:sz w:val="20"/>
          <w:szCs w:val="20"/>
          <w:color w:val="auto"/>
        </w:rPr>
      </w:pPr>
      <w:r>
        <w:rPr>
          <w:rFonts w:ascii="Arial" w:cs="Arial" w:eastAsia="Arial" w:hAnsi="Arial"/>
          <w:sz w:val="16"/>
          <w:szCs w:val="16"/>
          <w:color w:val="auto"/>
        </w:rPr>
        <w:t>Effect of Accounting Standards Update 2016-16</w:t>
      </w:r>
    </w:p>
    <w:p>
      <w:pPr>
        <w:spacing w:after="0" w:line="86" w:lineRule="exact"/>
        <w:rPr>
          <w:sz w:val="20"/>
          <w:szCs w:val="20"/>
          <w:color w:val="auto"/>
        </w:rPr>
      </w:pPr>
    </w:p>
    <w:p>
      <w:pPr>
        <w:ind w:left="20"/>
        <w:spacing w:after="0"/>
        <w:rPr>
          <w:sz w:val="20"/>
          <w:szCs w:val="20"/>
          <w:color w:val="auto"/>
        </w:rPr>
      </w:pPr>
      <w:r>
        <w:rPr>
          <w:rFonts w:ascii="Arial" w:cs="Arial" w:eastAsia="Arial" w:hAnsi="Arial"/>
          <w:sz w:val="18"/>
          <w:szCs w:val="18"/>
          <w:color w:val="auto"/>
        </w:rPr>
        <w:t>Net income</w:t>
      </w:r>
    </w:p>
    <w:p>
      <w:pPr>
        <w:spacing w:after="0" w:line="90" w:lineRule="exact"/>
        <w:rPr>
          <w:sz w:val="20"/>
          <w:szCs w:val="20"/>
          <w:color w:val="auto"/>
        </w:rPr>
      </w:pPr>
    </w:p>
    <w:p>
      <w:pPr>
        <w:ind w:left="20" w:right="680"/>
        <w:spacing w:after="0" w:line="334" w:lineRule="auto"/>
        <w:rPr>
          <w:sz w:val="20"/>
          <w:szCs w:val="20"/>
          <w:color w:val="auto"/>
        </w:rPr>
      </w:pPr>
      <w:r>
        <w:rPr>
          <w:rFonts w:ascii="Arial" w:cs="Arial" w:eastAsia="Arial" w:hAnsi="Arial"/>
          <w:sz w:val="16"/>
          <w:szCs w:val="16"/>
          <w:color w:val="auto"/>
        </w:rPr>
        <w:t>Dividends declared and paid - $1.56 per share Issuance of stock under stock plans and other</w:t>
      </w:r>
    </w:p>
    <w:p>
      <w:pPr>
        <w:spacing w:after="0" w:line="1" w:lineRule="exact"/>
        <w:rPr>
          <w:sz w:val="20"/>
          <w:szCs w:val="20"/>
          <w:color w:val="auto"/>
        </w:rPr>
      </w:pPr>
    </w:p>
    <w:p>
      <w:pPr>
        <w:ind w:left="20"/>
        <w:spacing w:after="0"/>
        <w:rPr>
          <w:sz w:val="20"/>
          <w:szCs w:val="20"/>
          <w:color w:val="auto"/>
        </w:rPr>
      </w:pPr>
      <w:r>
        <w:rPr>
          <w:rFonts w:ascii="Arial" w:cs="Arial" w:eastAsia="Arial" w:hAnsi="Arial"/>
          <w:sz w:val="18"/>
          <w:szCs w:val="18"/>
          <w:color w:val="auto"/>
        </w:rPr>
        <w:t>Stock-based compensation expense</w:t>
      </w:r>
    </w:p>
    <w:p>
      <w:pPr>
        <w:spacing w:after="0" w:line="63" w:lineRule="exact"/>
        <w:rPr>
          <w:sz w:val="20"/>
          <w:szCs w:val="20"/>
          <w:color w:val="auto"/>
        </w:rPr>
      </w:pPr>
    </w:p>
    <w:p>
      <w:pPr>
        <w:ind w:left="20"/>
        <w:spacing w:after="0"/>
        <w:rPr>
          <w:sz w:val="20"/>
          <w:szCs w:val="20"/>
          <w:color w:val="auto"/>
        </w:rPr>
      </w:pPr>
      <w:r>
        <w:rPr>
          <w:rFonts w:ascii="Arial" w:cs="Arial" w:eastAsia="Arial" w:hAnsi="Arial"/>
          <w:sz w:val="18"/>
          <w:szCs w:val="18"/>
          <w:color w:val="auto"/>
        </w:rPr>
        <w:t>Other comprehensive loss</w:t>
      </w:r>
    </w:p>
    <w:p>
      <w:pPr>
        <w:spacing w:after="0" w:line="63" w:lineRule="exact"/>
        <w:rPr>
          <w:sz w:val="20"/>
          <w:szCs w:val="20"/>
          <w:color w:val="auto"/>
        </w:rPr>
      </w:pPr>
    </w:p>
    <w:p>
      <w:pPr>
        <w:ind w:left="20"/>
        <w:spacing w:after="0"/>
        <w:rPr>
          <w:sz w:val="20"/>
          <w:szCs w:val="20"/>
          <w:color w:val="auto"/>
        </w:rPr>
      </w:pPr>
      <w:r>
        <w:rPr>
          <w:rFonts w:ascii="Arial" w:cs="Arial" w:eastAsia="Arial" w:hAnsi="Arial"/>
          <w:sz w:val="18"/>
          <w:szCs w:val="18"/>
          <w:color w:val="auto"/>
        </w:rPr>
        <w:t>Common stock repurchased</w:t>
      </w:r>
    </w:p>
    <w:p>
      <w:pPr>
        <w:spacing w:after="0" w:line="100"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BALANCE, AUGUST 3, 2019</w:t>
      </w:r>
    </w:p>
    <w:p>
      <w:pPr>
        <w:spacing w:after="0" w:line="20" w:lineRule="exact"/>
        <w:rPr>
          <w:sz w:val="20"/>
          <w:szCs w:val="20"/>
          <w:color w:val="auto"/>
        </w:rPr>
      </w:pPr>
      <w:r>
        <w:rPr>
          <w:sz w:val="20"/>
          <w:szCs w:val="20"/>
          <w:color w:val="auto"/>
        </w:rPr>
        <w:br w:type="column"/>
      </w:r>
    </w:p>
    <w:p>
      <w:pPr>
        <w:spacing w:after="0" w:line="1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0"/>
        </w:trPr>
        <w:tc>
          <w:tcPr>
            <w:tcW w:w="1040" w:type="dxa"/>
            <w:vAlign w:val="bottom"/>
          </w:tcPr>
          <w:p>
            <w:pPr>
              <w:jc w:val="right"/>
              <w:spacing w:after="0"/>
              <w:rPr>
                <w:sz w:val="20"/>
                <w:szCs w:val="20"/>
                <w:color w:val="auto"/>
              </w:rPr>
            </w:pPr>
            <w:r>
              <w:rPr>
                <w:rFonts w:ascii="Arial" w:cs="Arial" w:eastAsia="Arial" w:hAnsi="Arial"/>
                <w:sz w:val="18"/>
                <w:szCs w:val="18"/>
                <w:color w:val="auto"/>
              </w:rPr>
              <w:t>370,160</w:t>
            </w:r>
          </w:p>
        </w:tc>
        <w:tc>
          <w:tcPr>
            <w:tcW w:w="120" w:type="dxa"/>
            <w:vAlign w:val="bottom"/>
          </w:tcPr>
          <w:p>
            <w:pPr>
              <w:spacing w:after="0"/>
              <w:rPr>
                <w:sz w:val="20"/>
                <w:szCs w:val="20"/>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61,694</w:t>
            </w:r>
          </w:p>
        </w:tc>
        <w:tc>
          <w:tcPr>
            <w:tcW w:w="100" w:type="dxa"/>
            <w:vAlign w:val="bottom"/>
          </w:tcPr>
          <w:p>
            <w:pPr>
              <w:spacing w:after="0"/>
              <w:rPr>
                <w:sz w:val="20"/>
                <w:szCs w:val="20"/>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5,282,222</w:t>
            </w:r>
          </w:p>
        </w:tc>
        <w:tc>
          <w:tcPr>
            <w:tcW w:w="120" w:type="dxa"/>
            <w:vAlign w:val="bottom"/>
          </w:tcPr>
          <w:p>
            <w:pPr>
              <w:spacing w:after="0"/>
              <w:rPr>
                <w:sz w:val="20"/>
                <w:szCs w:val="20"/>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5,982,697</w:t>
            </w:r>
          </w:p>
        </w:tc>
        <w:tc>
          <w:tcPr>
            <w:tcW w:w="120" w:type="dxa"/>
            <w:vAlign w:val="bottom"/>
          </w:tcPr>
          <w:p>
            <w:pPr>
              <w:spacing w:after="0"/>
              <w:rPr>
                <w:sz w:val="20"/>
                <w:szCs w:val="20"/>
                <w:color w:val="auto"/>
              </w:rPr>
            </w:pPr>
          </w:p>
        </w:tc>
        <w:tc>
          <w:tcPr>
            <w:tcW w:w="400" w:type="dxa"/>
            <w:vAlign w:val="bottom"/>
          </w:tcPr>
          <w:p>
            <w:pPr>
              <w:jc w:val="right"/>
              <w:ind w:right="21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(58,440)</w:t>
            </w:r>
          </w:p>
        </w:tc>
      </w:tr>
      <w:tr>
        <w:trPr>
          <w:trHeight w:val="270"/>
        </w:trPr>
        <w:tc>
          <w:tcPr>
            <w:tcW w:w="10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331,026</w:t>
            </w:r>
          </w:p>
        </w:tc>
        <w:tc>
          <w:tcPr>
            <w:tcW w:w="12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040" w:type="dxa"/>
            <w:vAlign w:val="bottom"/>
          </w:tcPr>
          <w:p>
            <w:pPr>
              <w:spacing w:after="0"/>
              <w:rPr>
                <w:sz w:val="23"/>
                <w:szCs w:val="23"/>
                <w:color w:val="auto"/>
              </w:rPr>
            </w:pPr>
          </w:p>
        </w:tc>
      </w:tr>
      <w:tr>
        <w:trPr>
          <w:trHeight w:val="270"/>
        </w:trPr>
        <w:tc>
          <w:tcPr>
            <w:tcW w:w="10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1,085,317</w:t>
            </w:r>
          </w:p>
        </w:tc>
        <w:tc>
          <w:tcPr>
            <w:tcW w:w="12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040" w:type="dxa"/>
            <w:vAlign w:val="bottom"/>
          </w:tcPr>
          <w:p>
            <w:pPr>
              <w:spacing w:after="0"/>
              <w:rPr>
                <w:sz w:val="23"/>
                <w:szCs w:val="23"/>
                <w:color w:val="auto"/>
              </w:rPr>
            </w:pPr>
          </w:p>
        </w:tc>
      </w:tr>
      <w:tr>
        <w:trPr>
          <w:trHeight w:val="270"/>
        </w:trPr>
        <w:tc>
          <w:tcPr>
            <w:tcW w:w="10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(577,285)</w:t>
            </w:r>
          </w:p>
        </w:tc>
        <w:tc>
          <w:tcPr>
            <w:tcW w:w="12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040" w:type="dxa"/>
            <w:vAlign w:val="bottom"/>
          </w:tcPr>
          <w:p>
            <w:pPr>
              <w:spacing w:after="0"/>
              <w:rPr>
                <w:sz w:val="23"/>
                <w:szCs w:val="23"/>
                <w:color w:val="auto"/>
              </w:rPr>
            </w:pPr>
          </w:p>
        </w:tc>
      </w:tr>
      <w:tr>
        <w:trPr>
          <w:trHeight w:val="270"/>
        </w:trPr>
        <w:tc>
          <w:tcPr>
            <w:tcW w:w="1040" w:type="dxa"/>
            <w:vAlign w:val="bottom"/>
          </w:tcPr>
          <w:p>
            <w:pPr>
              <w:jc w:val="right"/>
              <w:spacing w:after="0"/>
              <w:rPr>
                <w:sz w:val="20"/>
                <w:szCs w:val="20"/>
                <w:color w:val="auto"/>
              </w:rPr>
            </w:pPr>
            <w:r>
              <w:rPr>
                <w:rFonts w:ascii="Arial" w:cs="Arial" w:eastAsia="Arial" w:hAnsi="Arial"/>
                <w:sz w:val="18"/>
                <w:szCs w:val="18"/>
                <w:color w:val="auto"/>
              </w:rPr>
              <w:t>3,807</w:t>
            </w: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635</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105,500</w:t>
            </w: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040" w:type="dxa"/>
            <w:vAlign w:val="bottom"/>
          </w:tcPr>
          <w:p>
            <w:pPr>
              <w:spacing w:after="0"/>
              <w:rPr>
                <w:sz w:val="23"/>
                <w:szCs w:val="23"/>
                <w:color w:val="auto"/>
              </w:rPr>
            </w:pPr>
          </w:p>
        </w:tc>
      </w:tr>
      <w:tr>
        <w:trPr>
          <w:trHeight w:val="270"/>
        </w:trPr>
        <w:tc>
          <w:tcPr>
            <w:tcW w:w="10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112,720</w:t>
            </w: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040" w:type="dxa"/>
            <w:vAlign w:val="bottom"/>
          </w:tcPr>
          <w:p>
            <w:pPr>
              <w:spacing w:after="0"/>
              <w:rPr>
                <w:sz w:val="23"/>
                <w:szCs w:val="23"/>
                <w:color w:val="auto"/>
              </w:rPr>
            </w:pPr>
          </w:p>
        </w:tc>
      </w:tr>
      <w:tr>
        <w:trPr>
          <w:trHeight w:val="270"/>
        </w:trPr>
        <w:tc>
          <w:tcPr>
            <w:tcW w:w="10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(95,233)</w:t>
            </w:r>
          </w:p>
        </w:tc>
      </w:tr>
      <w:tr>
        <w:trPr>
          <w:trHeight w:val="270"/>
        </w:trPr>
        <w:tc>
          <w:tcPr>
            <w:tcW w:w="1040" w:type="dxa"/>
            <w:vAlign w:val="bottom"/>
          </w:tcPr>
          <w:p>
            <w:pPr>
              <w:jc w:val="right"/>
              <w:spacing w:after="0"/>
              <w:rPr>
                <w:sz w:val="20"/>
                <w:szCs w:val="20"/>
                <w:color w:val="auto"/>
              </w:rPr>
            </w:pPr>
            <w:r>
              <w:rPr>
                <w:rFonts w:ascii="Arial" w:cs="Arial" w:eastAsia="Arial" w:hAnsi="Arial"/>
                <w:sz w:val="18"/>
                <w:szCs w:val="18"/>
                <w:color w:val="auto"/>
              </w:rPr>
              <w:t>(4,561)</w:t>
            </w: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(760)</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(439,856)</w:t>
            </w: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040" w:type="dxa"/>
            <w:vAlign w:val="bottom"/>
          </w:tcPr>
          <w:p>
            <w:pPr>
              <w:spacing w:after="0"/>
              <w:rPr>
                <w:sz w:val="23"/>
                <w:szCs w:val="23"/>
                <w:color w:val="auto"/>
              </w:rPr>
            </w:pPr>
          </w:p>
        </w:tc>
      </w:tr>
      <w:tr>
        <w:trPr>
          <w:trHeight w:val="27"/>
        </w:trPr>
        <w:tc>
          <w:tcPr>
            <w:tcW w:w="10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37"/>
        </w:trPr>
        <w:tc>
          <w:tcPr>
            <w:tcW w:w="1040" w:type="dxa"/>
            <w:vAlign w:val="bottom"/>
          </w:tcPr>
          <w:p>
            <w:pPr>
              <w:jc w:val="right"/>
              <w:spacing w:after="0"/>
              <w:rPr>
                <w:sz w:val="20"/>
                <w:szCs w:val="20"/>
                <w:color w:val="auto"/>
              </w:rPr>
            </w:pPr>
            <w:r>
              <w:rPr>
                <w:rFonts w:ascii="Arial" w:cs="Arial" w:eastAsia="Arial" w:hAnsi="Arial"/>
                <w:sz w:val="18"/>
                <w:szCs w:val="18"/>
                <w:color w:val="auto"/>
              </w:rPr>
              <w:t>369,406</w:t>
            </w:r>
          </w:p>
        </w:tc>
        <w:tc>
          <w:tcPr>
            <w:tcW w:w="120" w:type="dxa"/>
            <w:vAlign w:val="bottom"/>
          </w:tcPr>
          <w:p>
            <w:pPr>
              <w:spacing w:after="0"/>
              <w:rPr>
                <w:sz w:val="20"/>
                <w:szCs w:val="20"/>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61,569</w:t>
            </w:r>
          </w:p>
        </w:tc>
        <w:tc>
          <w:tcPr>
            <w:tcW w:w="100" w:type="dxa"/>
            <w:vAlign w:val="bottom"/>
          </w:tcPr>
          <w:p>
            <w:pPr>
              <w:spacing w:after="0"/>
              <w:rPr>
                <w:sz w:val="20"/>
                <w:szCs w:val="20"/>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5,060,586</w:t>
            </w:r>
          </w:p>
        </w:tc>
        <w:tc>
          <w:tcPr>
            <w:tcW w:w="120" w:type="dxa"/>
            <w:vAlign w:val="bottom"/>
          </w:tcPr>
          <w:p>
            <w:pPr>
              <w:spacing w:after="0"/>
              <w:rPr>
                <w:sz w:val="20"/>
                <w:szCs w:val="20"/>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6,821,755</w:t>
            </w:r>
          </w:p>
        </w:tc>
        <w:tc>
          <w:tcPr>
            <w:tcW w:w="120" w:type="dxa"/>
            <w:vAlign w:val="bottom"/>
          </w:tcPr>
          <w:p>
            <w:pPr>
              <w:spacing w:after="0"/>
              <w:rPr>
                <w:sz w:val="20"/>
                <w:szCs w:val="20"/>
                <w:color w:val="auto"/>
              </w:rPr>
            </w:pPr>
          </w:p>
        </w:tc>
        <w:tc>
          <w:tcPr>
            <w:tcW w:w="400" w:type="dxa"/>
            <w:vAlign w:val="bottom"/>
          </w:tcPr>
          <w:p>
            <w:pPr>
              <w:jc w:val="right"/>
              <w:ind w:right="21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(153,673)</w:t>
            </w:r>
          </w:p>
        </w:tc>
      </w:tr>
      <w:tr>
        <w:trPr>
          <w:trHeight w:val="27"/>
        </w:trPr>
        <w:tc>
          <w:tcPr>
            <w:tcW w:w="10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0"/>
        </w:trPr>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-3004185</wp:posOffset>
            </wp:positionH>
            <wp:positionV relativeFrom="paragraph">
              <wp:posOffset>-1242695</wp:posOffset>
            </wp:positionV>
            <wp:extent cx="7106285" cy="17145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06285" cy="171450"/>
                    </a:xfrm>
                    <a:prstGeom prst="rect">
                      <a:avLst/>
                    </a:prstGeom>
                    <a:noFill/>
                  </pic:spPr>
                </pic:pic>
              </a:graphicData>
            </a:graphic>
          </wp:anchor>
        </w:drawing>
        <w:drawing>
          <wp:anchor simplePos="0" relativeHeight="251657728" behindDoc="1" locked="0" layoutInCell="0" allowOverlap="1">
            <wp:simplePos x="0" y="0"/>
            <wp:positionH relativeFrom="column">
              <wp:posOffset>-3004185</wp:posOffset>
            </wp:positionH>
            <wp:positionV relativeFrom="paragraph">
              <wp:posOffset>-899795</wp:posOffset>
            </wp:positionV>
            <wp:extent cx="7106285" cy="17145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06285" cy="171450"/>
                    </a:xfrm>
                    <a:prstGeom prst="rect">
                      <a:avLst/>
                    </a:prstGeom>
                    <a:noFill/>
                  </pic:spPr>
                </pic:pic>
              </a:graphicData>
            </a:graphic>
          </wp:anchor>
        </w:drawing>
        <w:drawing>
          <wp:anchor simplePos="0" relativeHeight="251657728" behindDoc="1" locked="0" layoutInCell="0" allowOverlap="1">
            <wp:simplePos x="0" y="0"/>
            <wp:positionH relativeFrom="column">
              <wp:posOffset>-3004185</wp:posOffset>
            </wp:positionH>
            <wp:positionV relativeFrom="paragraph">
              <wp:posOffset>-556895</wp:posOffset>
            </wp:positionV>
            <wp:extent cx="7106285" cy="17145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06285" cy="171450"/>
                    </a:xfrm>
                    <a:prstGeom prst="rect">
                      <a:avLst/>
                    </a:prstGeom>
                    <a:noFill/>
                  </pic:spPr>
                </pic:pic>
              </a:graphicData>
            </a:graphic>
          </wp:anchor>
        </w:drawing>
        <w:drawing>
          <wp:anchor simplePos="0" relativeHeight="251657728" behindDoc="1" locked="0" layoutInCell="0" allowOverlap="1">
            <wp:simplePos x="0" y="0"/>
            <wp:positionH relativeFrom="column">
              <wp:posOffset>-3004185</wp:posOffset>
            </wp:positionH>
            <wp:positionV relativeFrom="paragraph">
              <wp:posOffset>-213995</wp:posOffset>
            </wp:positionV>
            <wp:extent cx="7106285" cy="19685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06285" cy="196850"/>
                    </a:xfrm>
                    <a:prstGeom prst="rect">
                      <a:avLst/>
                    </a:prstGeom>
                    <a:noFill/>
                  </pic:spPr>
                </pic:pic>
              </a:graphicData>
            </a:graphic>
          </wp:anchor>
        </w:drawing>
      </w:r>
    </w:p>
    <w:p>
      <w:pPr>
        <w:spacing w:after="0" w:line="98" w:lineRule="exact"/>
        <w:rPr>
          <w:sz w:val="20"/>
          <w:szCs w:val="20"/>
          <w:color w:val="auto"/>
        </w:rPr>
      </w:pPr>
    </w:p>
    <w:p>
      <w:pPr>
        <w:sectPr>
          <w:pgSz w:w="11900" w:h="16838" w:orient="portrait"/>
          <w:cols w:equalWidth="0" w:num="2">
            <w:col w:w="4020" w:space="720"/>
            <w:col w:w="6460"/>
          </w:cols>
          <w:pgMar w:left="320" w:top="1080" w:right="379" w:bottom="1440" w:gutter="0" w:footer="0" w:header="0"/>
          <w:type w:val="continuous"/>
        </w:sectPr>
      </w:pPr>
    </w:p>
    <w:p>
      <w:pPr>
        <w:ind w:right="140" w:firstLine="8"/>
        <w:spacing w:after="0" w:line="275" w:lineRule="auto"/>
        <w:tabs>
          <w:tab w:leader="none" w:pos="229" w:val="left"/>
        </w:tabs>
        <w:numPr>
          <w:ilvl w:val="0"/>
          <w:numId w:val="3"/>
        </w:numPr>
        <w:rPr>
          <w:rFonts w:ascii="Arial" w:cs="Arial" w:eastAsia="Arial" w:hAnsi="Arial"/>
          <w:sz w:val="16"/>
          <w:szCs w:val="16"/>
          <w:color w:val="auto"/>
        </w:rPr>
      </w:pPr>
      <w:r>
        <w:rPr>
          <w:rFonts w:ascii="Arial" w:cs="Arial" w:eastAsia="Arial" w:hAnsi="Arial"/>
          <w:sz w:val="16"/>
          <w:szCs w:val="16"/>
          <w:color w:val="auto"/>
        </w:rPr>
        <w:t xml:space="preserve">Balances have been restated to reflect the full retrospective adoption of Accounting Standards Update ASU 2014-09, </w:t>
      </w:r>
      <w:r>
        <w:rPr>
          <w:rFonts w:ascii="Arial" w:cs="Arial" w:eastAsia="Arial" w:hAnsi="Arial"/>
          <w:sz w:val="16"/>
          <w:szCs w:val="16"/>
          <w:i w:val="1"/>
          <w:iCs w:val="1"/>
          <w:color w:val="auto"/>
        </w:rPr>
        <w:t>Revenue from Contracts with Customers</w:t>
      </w:r>
      <w:r>
        <w:rPr>
          <w:rFonts w:ascii="Arial" w:cs="Arial" w:eastAsia="Arial" w:hAnsi="Arial"/>
          <w:sz w:val="16"/>
          <w:szCs w:val="16"/>
          <w:color w:val="auto"/>
        </w:rPr>
        <w:t>, adopted by the Company in fiscal 2019.</w:t>
      </w: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color w:val="auto"/>
        </w:rPr>
        <w:t>See accompanying notes.</w:t>
      </w:r>
    </w:p>
    <w:p>
      <w:pPr>
        <w:spacing w:after="0" w:line="200" w:lineRule="exact"/>
        <w:rPr>
          <w:sz w:val="20"/>
          <w:szCs w:val="20"/>
          <w:color w:val="auto"/>
        </w:rPr>
      </w:pPr>
    </w:p>
    <w:p>
      <w:pPr>
        <w:spacing w:after="0" w:line="36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080" w:right="379" w:bottom="1440" w:gutter="0" w:footer="0" w:header="0"/>
          <w:type w:val="continuous"/>
        </w:sectPr>
      </w:pPr>
    </w:p>
    <w:bookmarkStart w:id="6" w:name="page7"/>
    <w:bookmarkEnd w:id="6"/>
    <w:p>
      <w:pPr>
        <w:jc w:val="center"/>
        <w:ind w:right="-19"/>
        <w:spacing w:after="0"/>
        <w:rPr>
          <w:sz w:val="20"/>
          <w:szCs w:val="20"/>
          <w:color w:val="auto"/>
        </w:rPr>
      </w:pPr>
      <w:r>
        <w:rPr>
          <w:rFonts w:ascii="Arial" w:cs="Arial" w:eastAsia="Arial" w:hAnsi="Arial"/>
          <w:sz w:val="18"/>
          <w:szCs w:val="18"/>
          <w:b w:val="1"/>
          <w:bCs w:val="1"/>
          <w:color w:val="auto"/>
        </w:rPr>
        <w:t>ANALOG DEVICES,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w:t>
      </w:r>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54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3420" w:type="dxa"/>
            <w:vAlign w:val="bottom"/>
            <w:tcBorders>
              <w:bottom w:val="single" w:sz="8" w:color="auto"/>
            </w:tcBorders>
            <w:gridSpan w:val="4"/>
          </w:tcPr>
          <w:p>
            <w:pPr>
              <w:jc w:val="right"/>
              <w:ind w:right="1139"/>
              <w:spacing w:after="0"/>
              <w:rPr>
                <w:sz w:val="20"/>
                <w:szCs w:val="20"/>
                <w:color w:val="auto"/>
              </w:rPr>
            </w:pPr>
            <w:r>
              <w:rPr>
                <w:rFonts w:ascii="Arial" w:cs="Arial" w:eastAsia="Arial" w:hAnsi="Arial"/>
                <w:sz w:val="14"/>
                <w:szCs w:val="14"/>
                <w:b w:val="1"/>
                <w:bCs w:val="1"/>
                <w:color w:val="auto"/>
              </w:rPr>
              <w:t>Nine Months Ended</w:t>
            </w:r>
          </w:p>
        </w:tc>
      </w:tr>
      <w:tr>
        <w:trPr>
          <w:trHeight w:val="196"/>
        </w:trPr>
        <w:tc>
          <w:tcPr>
            <w:tcW w:w="75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40" w:type="dxa"/>
            <w:vAlign w:val="bottom"/>
            <w:gridSpan w:val="2"/>
          </w:tcPr>
          <w:p>
            <w:pPr>
              <w:ind w:left="180"/>
              <w:spacing w:after="0"/>
              <w:rPr>
                <w:sz w:val="20"/>
                <w:szCs w:val="20"/>
                <w:color w:val="auto"/>
              </w:rPr>
            </w:pPr>
            <w:r>
              <w:rPr>
                <w:rFonts w:ascii="Arial" w:cs="Arial" w:eastAsia="Arial" w:hAnsi="Arial"/>
                <w:sz w:val="14"/>
                <w:szCs w:val="14"/>
                <w:b w:val="1"/>
                <w:bCs w:val="1"/>
                <w:color w:val="auto"/>
              </w:rPr>
              <w:t>August 1, 2020</w:t>
            </w:r>
          </w:p>
        </w:tc>
        <w:tc>
          <w:tcPr>
            <w:tcW w:w="260" w:type="dxa"/>
            <w:vAlign w:val="bottom"/>
          </w:tcPr>
          <w:p>
            <w:pPr>
              <w:spacing w:after="0"/>
              <w:rPr>
                <w:sz w:val="17"/>
                <w:szCs w:val="17"/>
                <w:color w:val="auto"/>
              </w:rPr>
            </w:pPr>
          </w:p>
        </w:tc>
        <w:tc>
          <w:tcPr>
            <w:tcW w:w="1520" w:type="dxa"/>
            <w:vAlign w:val="bottom"/>
          </w:tcPr>
          <w:p>
            <w:pPr>
              <w:jc w:val="right"/>
              <w:ind w:right="359"/>
              <w:spacing w:after="0"/>
              <w:rPr>
                <w:sz w:val="20"/>
                <w:szCs w:val="20"/>
                <w:color w:val="auto"/>
              </w:rPr>
            </w:pPr>
            <w:r>
              <w:rPr>
                <w:rFonts w:ascii="Arial" w:cs="Arial" w:eastAsia="Arial" w:hAnsi="Arial"/>
                <w:sz w:val="14"/>
                <w:szCs w:val="14"/>
                <w:b w:val="1"/>
                <w:bCs w:val="1"/>
                <w:color w:val="auto"/>
              </w:rPr>
              <w:t>August 3, 2019</w:t>
            </w:r>
          </w:p>
        </w:tc>
      </w:tr>
      <w:tr>
        <w:trPr>
          <w:trHeight w:val="223"/>
        </w:trPr>
        <w:tc>
          <w:tcPr>
            <w:tcW w:w="75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Cash flows from operating activities:</w:t>
            </w:r>
          </w:p>
        </w:tc>
        <w:tc>
          <w:tcPr>
            <w:tcW w:w="260" w:type="dxa"/>
            <w:vAlign w:val="bottom"/>
            <w:tcBorders>
              <w:top w:val="single" w:sz="8" w:color="auto"/>
              <w:bottom w:val="single" w:sz="8" w:color="CCEEFF"/>
            </w:tcBorders>
            <w:shd w:val="clear" w:color="auto" w:fill="CCEEFF"/>
          </w:tcPr>
          <w:p>
            <w:pPr>
              <w:spacing w:after="0"/>
              <w:rPr>
                <w:sz w:val="19"/>
                <w:szCs w:val="19"/>
                <w:color w:val="auto"/>
              </w:rPr>
            </w:pPr>
          </w:p>
        </w:tc>
        <w:tc>
          <w:tcPr>
            <w:tcW w:w="1520" w:type="dxa"/>
            <w:vAlign w:val="bottom"/>
            <w:tcBorders>
              <w:top w:val="single" w:sz="8" w:color="auto"/>
              <w:bottom w:val="single" w:sz="8" w:color="CCEEFF"/>
            </w:tcBorders>
            <w:shd w:val="clear" w:color="auto" w:fill="CCEEFF"/>
          </w:tcPr>
          <w:p>
            <w:pPr>
              <w:spacing w:after="0"/>
              <w:rPr>
                <w:sz w:val="19"/>
                <w:szCs w:val="19"/>
                <w:color w:val="auto"/>
              </w:rPr>
            </w:pP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260" w:type="dxa"/>
            <w:vAlign w:val="bottom"/>
            <w:tcBorders>
              <w:top w:val="single" w:sz="8" w:color="auto"/>
              <w:bottom w:val="single" w:sz="8" w:color="CCEEFF"/>
            </w:tcBorders>
            <w:shd w:val="clear" w:color="auto" w:fill="CCEEFF"/>
          </w:tcPr>
          <w:p>
            <w:pPr>
              <w:spacing w:after="0"/>
              <w:rPr>
                <w:sz w:val="19"/>
                <w:szCs w:val="19"/>
                <w:color w:val="auto"/>
              </w:rPr>
            </w:pPr>
          </w:p>
        </w:tc>
        <w:tc>
          <w:tcPr>
            <w:tcW w:w="1520" w:type="dxa"/>
            <w:vAlign w:val="bottom"/>
            <w:tcBorders>
              <w:top w:val="single" w:sz="8" w:color="auto"/>
              <w:bottom w:val="single" w:sz="8" w:color="CCEEFF"/>
            </w:tcBorders>
            <w:shd w:val="clear" w:color="auto" w:fill="CCEEFF"/>
          </w:tcPr>
          <w:p>
            <w:pPr>
              <w:spacing w:after="0"/>
              <w:rPr>
                <w:sz w:val="19"/>
                <w:szCs w:val="19"/>
                <w:color w:val="auto"/>
              </w:rPr>
            </w:pPr>
          </w:p>
        </w:tc>
      </w:tr>
      <w:tr>
        <w:trPr>
          <w:trHeight w:val="224"/>
        </w:trPr>
        <w:tc>
          <w:tcPr>
            <w:tcW w:w="7540" w:type="dxa"/>
            <w:vAlign w:val="bottom"/>
          </w:tcPr>
          <w:p>
            <w:pPr>
              <w:ind w:left="340"/>
              <w:spacing w:after="0"/>
              <w:rPr>
                <w:sz w:val="20"/>
                <w:szCs w:val="20"/>
                <w:color w:val="auto"/>
              </w:rPr>
            </w:pPr>
            <w:r>
              <w:rPr>
                <w:rFonts w:ascii="Arial" w:cs="Arial" w:eastAsia="Arial" w:hAnsi="Arial"/>
                <w:sz w:val="16"/>
                <w:szCs w:val="16"/>
                <w:color w:val="auto"/>
              </w:rPr>
              <w:t>Net income</w:t>
            </w: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1520" w:type="dxa"/>
            <w:vAlign w:val="bottom"/>
          </w:tcPr>
          <w:p>
            <w:pPr>
              <w:jc w:val="right"/>
              <w:spacing w:after="0"/>
              <w:rPr>
                <w:sz w:val="20"/>
                <w:szCs w:val="20"/>
                <w:color w:val="auto"/>
              </w:rPr>
            </w:pPr>
            <w:r>
              <w:rPr>
                <w:rFonts w:ascii="Arial" w:cs="Arial" w:eastAsia="Arial" w:hAnsi="Arial"/>
                <w:sz w:val="16"/>
                <w:szCs w:val="16"/>
                <w:color w:val="auto"/>
              </w:rPr>
              <w:t>834,235</w:t>
            </w:r>
          </w:p>
        </w:tc>
        <w:tc>
          <w:tcPr>
            <w:tcW w:w="120" w:type="dxa"/>
            <w:vAlign w:val="bottom"/>
          </w:tcPr>
          <w:p>
            <w:pPr>
              <w:spacing w:after="0"/>
              <w:rPr>
                <w:sz w:val="19"/>
                <w:szCs w:val="19"/>
                <w:color w:val="auto"/>
              </w:rPr>
            </w:pP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1520" w:type="dxa"/>
            <w:vAlign w:val="bottom"/>
          </w:tcPr>
          <w:p>
            <w:pPr>
              <w:jc w:val="right"/>
              <w:spacing w:after="0"/>
              <w:rPr>
                <w:sz w:val="20"/>
                <w:szCs w:val="20"/>
                <w:color w:val="auto"/>
              </w:rPr>
            </w:pPr>
            <w:r>
              <w:rPr>
                <w:rFonts w:ascii="Arial" w:cs="Arial" w:eastAsia="Arial" w:hAnsi="Arial"/>
                <w:sz w:val="16"/>
                <w:szCs w:val="16"/>
                <w:color w:val="auto"/>
              </w:rPr>
              <w:t>1,085,317</w:t>
            </w:r>
          </w:p>
        </w:tc>
      </w:tr>
      <w:tr>
        <w:trPr>
          <w:trHeight w:val="33"/>
        </w:trPr>
        <w:tc>
          <w:tcPr>
            <w:tcW w:w="75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520" w:type="dxa"/>
            <w:vAlign w:val="bottom"/>
          </w:tcPr>
          <w:p>
            <w:pPr>
              <w:spacing w:after="0"/>
              <w:rPr>
                <w:sz w:val="2"/>
                <w:szCs w:val="2"/>
                <w:color w:val="auto"/>
              </w:rPr>
            </w:pPr>
          </w:p>
        </w:tc>
      </w:tr>
      <w:tr>
        <w:trPr>
          <w:trHeight w:val="237"/>
        </w:trPr>
        <w:tc>
          <w:tcPr>
            <w:tcW w:w="754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6"/>
                <w:szCs w:val="16"/>
                <w:color w:val="auto"/>
              </w:rPr>
              <w:t>Adjustments to reconcile net income to net cash provided by operations:</w:t>
            </w:r>
          </w:p>
        </w:tc>
        <w:tc>
          <w:tcPr>
            <w:tcW w:w="260" w:type="dxa"/>
            <w:vAlign w:val="bottom"/>
            <w:tcBorders>
              <w:bottom w:val="single" w:sz="8" w:color="CCEEFF"/>
            </w:tcBorders>
            <w:shd w:val="clear" w:color="auto" w:fill="CCEEFF"/>
          </w:tcPr>
          <w:p>
            <w:pPr>
              <w:spacing w:after="0"/>
              <w:rPr>
                <w:sz w:val="20"/>
                <w:szCs w:val="20"/>
                <w:color w:val="auto"/>
              </w:rPr>
            </w:pPr>
          </w:p>
        </w:tc>
        <w:tc>
          <w:tcPr>
            <w:tcW w:w="15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1520" w:type="dxa"/>
            <w:vAlign w:val="bottom"/>
            <w:tcBorders>
              <w:bottom w:val="single" w:sz="8" w:color="CCEEFF"/>
            </w:tcBorders>
            <w:shd w:val="clear" w:color="auto" w:fill="CCEEFF"/>
          </w:tcPr>
          <w:p>
            <w:pPr>
              <w:spacing w:after="0"/>
              <w:rPr>
                <w:sz w:val="20"/>
                <w:szCs w:val="20"/>
                <w:color w:val="auto"/>
              </w:rPr>
            </w:pPr>
          </w:p>
        </w:tc>
      </w:tr>
      <w:tr>
        <w:trPr>
          <w:trHeight w:val="223"/>
        </w:trPr>
        <w:tc>
          <w:tcPr>
            <w:tcW w:w="7540" w:type="dxa"/>
            <w:vAlign w:val="bottom"/>
          </w:tcPr>
          <w:p>
            <w:pPr>
              <w:ind w:left="660"/>
              <w:spacing w:after="0"/>
              <w:rPr>
                <w:sz w:val="20"/>
                <w:szCs w:val="20"/>
                <w:color w:val="auto"/>
              </w:rPr>
            </w:pPr>
            <w:r>
              <w:rPr>
                <w:rFonts w:ascii="Arial" w:cs="Arial" w:eastAsia="Arial" w:hAnsi="Arial"/>
                <w:sz w:val="16"/>
                <w:szCs w:val="16"/>
                <w:color w:val="auto"/>
              </w:rPr>
              <w:t>Depreciation</w:t>
            </w:r>
          </w:p>
        </w:tc>
        <w:tc>
          <w:tcPr>
            <w:tcW w:w="26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176,722</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179,041</w:t>
            </w:r>
          </w:p>
        </w:tc>
      </w:tr>
      <w:tr>
        <w:trPr>
          <w:trHeight w:val="33"/>
        </w:trPr>
        <w:tc>
          <w:tcPr>
            <w:tcW w:w="75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520" w:type="dxa"/>
            <w:vAlign w:val="bottom"/>
          </w:tcPr>
          <w:p>
            <w:pPr>
              <w:spacing w:after="0"/>
              <w:rPr>
                <w:sz w:val="2"/>
                <w:szCs w:val="2"/>
                <w:color w:val="auto"/>
              </w:rPr>
            </w:pPr>
          </w:p>
        </w:tc>
      </w:tr>
      <w:tr>
        <w:trPr>
          <w:trHeight w:val="236"/>
        </w:trPr>
        <w:tc>
          <w:tcPr>
            <w:tcW w:w="7540" w:type="dxa"/>
            <w:vAlign w:val="bottom"/>
            <w:tcBorders>
              <w:bottom w:val="single" w:sz="8" w:color="CCEEFF"/>
            </w:tcBorders>
            <w:shd w:val="clear" w:color="auto" w:fill="CCEEFF"/>
          </w:tcPr>
          <w:p>
            <w:pPr>
              <w:ind w:left="660"/>
              <w:spacing w:after="0"/>
              <w:rPr>
                <w:sz w:val="20"/>
                <w:szCs w:val="20"/>
                <w:color w:val="auto"/>
              </w:rPr>
            </w:pPr>
            <w:r>
              <w:rPr>
                <w:rFonts w:ascii="Arial" w:cs="Arial" w:eastAsia="Arial" w:hAnsi="Arial"/>
                <w:sz w:val="16"/>
                <w:szCs w:val="16"/>
                <w:color w:val="auto"/>
              </w:rPr>
              <w:t>Amortization of intangibles</w:t>
            </w:r>
          </w:p>
        </w:tc>
        <w:tc>
          <w:tcPr>
            <w:tcW w:w="260" w:type="dxa"/>
            <w:vAlign w:val="bottom"/>
            <w:tcBorders>
              <w:bottom w:val="single" w:sz="8" w:color="CCEEFF"/>
            </w:tcBorders>
            <w:shd w:val="clear" w:color="auto" w:fill="CCEEFF"/>
          </w:tcPr>
          <w:p>
            <w:pPr>
              <w:spacing w:after="0"/>
              <w:rPr>
                <w:sz w:val="20"/>
                <w:szCs w:val="20"/>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431,985</w:t>
            </w: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427,046</w:t>
            </w:r>
          </w:p>
        </w:tc>
      </w:tr>
      <w:tr>
        <w:trPr>
          <w:trHeight w:val="224"/>
        </w:trPr>
        <w:tc>
          <w:tcPr>
            <w:tcW w:w="7540" w:type="dxa"/>
            <w:vAlign w:val="bottom"/>
          </w:tcPr>
          <w:p>
            <w:pPr>
              <w:ind w:left="660"/>
              <w:spacing w:after="0"/>
              <w:rPr>
                <w:sz w:val="20"/>
                <w:szCs w:val="20"/>
                <w:color w:val="auto"/>
              </w:rPr>
            </w:pPr>
            <w:r>
              <w:rPr>
                <w:rFonts w:ascii="Arial" w:cs="Arial" w:eastAsia="Arial" w:hAnsi="Arial"/>
                <w:sz w:val="16"/>
                <w:szCs w:val="16"/>
                <w:color w:val="auto"/>
              </w:rPr>
              <w:t>Stock-based compensation expense</w:t>
            </w:r>
          </w:p>
        </w:tc>
        <w:tc>
          <w:tcPr>
            <w:tcW w:w="26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112,961</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112,720</w:t>
            </w:r>
          </w:p>
        </w:tc>
      </w:tr>
      <w:tr>
        <w:trPr>
          <w:trHeight w:val="33"/>
        </w:trPr>
        <w:tc>
          <w:tcPr>
            <w:tcW w:w="75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520" w:type="dxa"/>
            <w:vAlign w:val="bottom"/>
          </w:tcPr>
          <w:p>
            <w:pPr>
              <w:spacing w:after="0"/>
              <w:rPr>
                <w:sz w:val="2"/>
                <w:szCs w:val="2"/>
                <w:color w:val="auto"/>
              </w:rPr>
            </w:pPr>
          </w:p>
        </w:tc>
      </w:tr>
      <w:tr>
        <w:trPr>
          <w:trHeight w:val="237"/>
        </w:trPr>
        <w:tc>
          <w:tcPr>
            <w:tcW w:w="7540" w:type="dxa"/>
            <w:vAlign w:val="bottom"/>
            <w:tcBorders>
              <w:bottom w:val="single" w:sz="8" w:color="CCEEFF"/>
            </w:tcBorders>
            <w:shd w:val="clear" w:color="auto" w:fill="CCEEFF"/>
          </w:tcPr>
          <w:p>
            <w:pPr>
              <w:ind w:left="660"/>
              <w:spacing w:after="0"/>
              <w:rPr>
                <w:sz w:val="20"/>
                <w:szCs w:val="20"/>
                <w:color w:val="auto"/>
              </w:rPr>
            </w:pPr>
            <w:r>
              <w:rPr>
                <w:rFonts w:ascii="Arial" w:cs="Arial" w:eastAsia="Arial" w:hAnsi="Arial"/>
                <w:sz w:val="16"/>
                <w:szCs w:val="16"/>
                <w:color w:val="auto"/>
              </w:rPr>
              <w:t>Non-cash portion of special charge</w:t>
            </w:r>
          </w:p>
        </w:tc>
        <w:tc>
          <w:tcPr>
            <w:tcW w:w="260" w:type="dxa"/>
            <w:vAlign w:val="bottom"/>
            <w:tcBorders>
              <w:bottom w:val="single" w:sz="8" w:color="CCEEFF"/>
            </w:tcBorders>
            <w:shd w:val="clear" w:color="auto" w:fill="CCEEFF"/>
          </w:tcPr>
          <w:p>
            <w:pPr>
              <w:spacing w:after="0"/>
              <w:rPr>
                <w:sz w:val="20"/>
                <w:szCs w:val="20"/>
                <w:color w:val="auto"/>
              </w:rPr>
            </w:pPr>
          </w:p>
        </w:tc>
        <w:tc>
          <w:tcPr>
            <w:tcW w:w="16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CCEEFF"/>
            </w:tcBorders>
            <w:shd w:val="clear" w:color="auto" w:fill="CCEEFF"/>
          </w:tcPr>
          <w:p>
            <w:pPr>
              <w:spacing w:after="0"/>
              <w:rPr>
                <w:sz w:val="20"/>
                <w:szCs w:val="20"/>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4,367</w:t>
            </w:r>
          </w:p>
        </w:tc>
      </w:tr>
      <w:tr>
        <w:trPr>
          <w:trHeight w:val="223"/>
        </w:trPr>
        <w:tc>
          <w:tcPr>
            <w:tcW w:w="7540" w:type="dxa"/>
            <w:vAlign w:val="bottom"/>
          </w:tcPr>
          <w:p>
            <w:pPr>
              <w:ind w:left="660"/>
              <w:spacing w:after="0"/>
              <w:rPr>
                <w:sz w:val="20"/>
                <w:szCs w:val="20"/>
                <w:color w:val="auto"/>
              </w:rPr>
            </w:pPr>
            <w:r>
              <w:rPr>
                <w:rFonts w:ascii="Arial" w:cs="Arial" w:eastAsia="Arial" w:hAnsi="Arial"/>
                <w:sz w:val="16"/>
                <w:szCs w:val="16"/>
                <w:color w:val="auto"/>
              </w:rPr>
              <w:t>Deferred income taxes</w:t>
            </w:r>
          </w:p>
        </w:tc>
        <w:tc>
          <w:tcPr>
            <w:tcW w:w="26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(42,802)</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(55,444)</w:t>
            </w:r>
          </w:p>
        </w:tc>
      </w:tr>
      <w:tr>
        <w:trPr>
          <w:trHeight w:val="33"/>
        </w:trPr>
        <w:tc>
          <w:tcPr>
            <w:tcW w:w="75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520" w:type="dxa"/>
            <w:vAlign w:val="bottom"/>
          </w:tcPr>
          <w:p>
            <w:pPr>
              <w:spacing w:after="0"/>
              <w:rPr>
                <w:sz w:val="2"/>
                <w:szCs w:val="2"/>
                <w:color w:val="auto"/>
              </w:rPr>
            </w:pPr>
          </w:p>
        </w:tc>
      </w:tr>
      <w:tr>
        <w:trPr>
          <w:trHeight w:val="236"/>
        </w:trPr>
        <w:tc>
          <w:tcPr>
            <w:tcW w:w="7540" w:type="dxa"/>
            <w:vAlign w:val="bottom"/>
            <w:tcBorders>
              <w:bottom w:val="single" w:sz="8" w:color="CCEEFF"/>
            </w:tcBorders>
            <w:shd w:val="clear" w:color="auto" w:fill="CCEEFF"/>
          </w:tcPr>
          <w:p>
            <w:pPr>
              <w:ind w:left="660"/>
              <w:spacing w:after="0"/>
              <w:rPr>
                <w:sz w:val="20"/>
                <w:szCs w:val="20"/>
                <w:color w:val="auto"/>
              </w:rPr>
            </w:pPr>
            <w:r>
              <w:rPr>
                <w:rFonts w:ascii="Arial" w:cs="Arial" w:eastAsia="Arial" w:hAnsi="Arial"/>
                <w:sz w:val="16"/>
                <w:szCs w:val="16"/>
                <w:color w:val="auto"/>
              </w:rPr>
              <w:t>Non-cash contribution to charitable foundation</w:t>
            </w:r>
          </w:p>
        </w:tc>
        <w:tc>
          <w:tcPr>
            <w:tcW w:w="260" w:type="dxa"/>
            <w:vAlign w:val="bottom"/>
            <w:tcBorders>
              <w:bottom w:val="single" w:sz="8" w:color="CCEEFF"/>
            </w:tcBorders>
            <w:shd w:val="clear" w:color="auto" w:fill="CCEEFF"/>
          </w:tcPr>
          <w:p>
            <w:pPr>
              <w:spacing w:after="0"/>
              <w:rPr>
                <w:sz w:val="20"/>
                <w:szCs w:val="20"/>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40,000</w:t>
            </w: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24"/>
        </w:trPr>
        <w:tc>
          <w:tcPr>
            <w:tcW w:w="7540" w:type="dxa"/>
            <w:vAlign w:val="bottom"/>
          </w:tcPr>
          <w:p>
            <w:pPr>
              <w:ind w:left="660"/>
              <w:spacing w:after="0"/>
              <w:rPr>
                <w:sz w:val="20"/>
                <w:szCs w:val="20"/>
                <w:color w:val="auto"/>
              </w:rPr>
            </w:pPr>
            <w:r>
              <w:rPr>
                <w:rFonts w:ascii="Arial" w:cs="Arial" w:eastAsia="Arial" w:hAnsi="Arial"/>
                <w:sz w:val="16"/>
                <w:szCs w:val="16"/>
                <w:color w:val="auto"/>
              </w:rPr>
              <w:t>Other non-cash activity</w:t>
            </w:r>
          </w:p>
        </w:tc>
        <w:tc>
          <w:tcPr>
            <w:tcW w:w="26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5,675</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26,701</w:t>
            </w:r>
          </w:p>
        </w:tc>
      </w:tr>
      <w:tr>
        <w:trPr>
          <w:trHeight w:val="33"/>
        </w:trPr>
        <w:tc>
          <w:tcPr>
            <w:tcW w:w="75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520" w:type="dxa"/>
            <w:vAlign w:val="bottom"/>
          </w:tcPr>
          <w:p>
            <w:pPr>
              <w:spacing w:after="0"/>
              <w:rPr>
                <w:sz w:val="2"/>
                <w:szCs w:val="2"/>
                <w:color w:val="auto"/>
              </w:rPr>
            </w:pPr>
          </w:p>
        </w:tc>
      </w:tr>
      <w:tr>
        <w:trPr>
          <w:trHeight w:val="257"/>
        </w:trPr>
        <w:tc>
          <w:tcPr>
            <w:tcW w:w="754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6"/>
                <w:szCs w:val="16"/>
                <w:color w:val="auto"/>
              </w:rPr>
              <w:t>Changes in operating assets and liabilities</w:t>
            </w:r>
          </w:p>
        </w:tc>
        <w:tc>
          <w:tcPr>
            <w:tcW w:w="260" w:type="dxa"/>
            <w:vAlign w:val="bottom"/>
            <w:tcBorders>
              <w:bottom w:val="single" w:sz="8" w:color="CCEEFF"/>
            </w:tcBorders>
            <w:shd w:val="clear" w:color="auto" w:fill="CCEEFF"/>
          </w:tcPr>
          <w:p>
            <w:pPr>
              <w:spacing w:after="0"/>
              <w:rPr>
                <w:sz w:val="22"/>
                <w:szCs w:val="22"/>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(222,887)</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(184,552)</w:t>
            </w:r>
          </w:p>
        </w:tc>
      </w:tr>
      <w:tr>
        <w:trPr>
          <w:trHeight w:val="217"/>
        </w:trPr>
        <w:tc>
          <w:tcPr>
            <w:tcW w:w="7540" w:type="dxa"/>
            <w:vAlign w:val="bottom"/>
          </w:tcPr>
          <w:p>
            <w:pPr>
              <w:ind w:left="340"/>
              <w:spacing w:after="0"/>
              <w:rPr>
                <w:sz w:val="20"/>
                <w:szCs w:val="20"/>
                <w:color w:val="auto"/>
              </w:rPr>
            </w:pPr>
            <w:r>
              <w:rPr>
                <w:rFonts w:ascii="Arial" w:cs="Arial" w:eastAsia="Arial" w:hAnsi="Arial"/>
                <w:sz w:val="16"/>
                <w:szCs w:val="16"/>
                <w:color w:val="auto"/>
              </w:rPr>
              <w:t>Total adjustments</w:t>
            </w:r>
          </w:p>
        </w:tc>
        <w:tc>
          <w:tcPr>
            <w:tcW w:w="260" w:type="dxa"/>
            <w:vAlign w:val="bottom"/>
            <w:tcBorders>
              <w:top w:val="single" w:sz="8" w:color="auto"/>
            </w:tcBorders>
          </w:tcPr>
          <w:p>
            <w:pPr>
              <w:spacing w:after="0"/>
              <w:rPr>
                <w:sz w:val="18"/>
                <w:szCs w:val="18"/>
                <w:color w:val="auto"/>
              </w:rPr>
            </w:pPr>
          </w:p>
        </w:tc>
        <w:tc>
          <w:tcPr>
            <w:tcW w:w="15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501,654</w:t>
            </w:r>
          </w:p>
        </w:tc>
        <w:tc>
          <w:tcPr>
            <w:tcW w:w="12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5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509,879</w:t>
            </w:r>
          </w:p>
        </w:tc>
      </w:tr>
      <w:tr>
        <w:trPr>
          <w:trHeight w:val="33"/>
        </w:trPr>
        <w:tc>
          <w:tcPr>
            <w:tcW w:w="75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r>
      <w:tr>
        <w:trPr>
          <w:trHeight w:val="250"/>
        </w:trPr>
        <w:tc>
          <w:tcPr>
            <w:tcW w:w="754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6"/>
                <w:szCs w:val="16"/>
                <w:color w:val="auto"/>
              </w:rPr>
              <w:t>Net cash provided by operating activities</w:t>
            </w:r>
          </w:p>
        </w:tc>
        <w:tc>
          <w:tcPr>
            <w:tcW w:w="26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1,335,889</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1,595,196</w:t>
            </w:r>
          </w:p>
        </w:tc>
      </w:tr>
      <w:tr>
        <w:trPr>
          <w:trHeight w:val="204"/>
        </w:trPr>
        <w:tc>
          <w:tcPr>
            <w:tcW w:w="7540" w:type="dxa"/>
            <w:vAlign w:val="bottom"/>
          </w:tcPr>
          <w:p>
            <w:pPr>
              <w:ind w:left="20"/>
              <w:spacing w:after="0"/>
              <w:rPr>
                <w:sz w:val="20"/>
                <w:szCs w:val="20"/>
                <w:color w:val="auto"/>
              </w:rPr>
            </w:pPr>
            <w:r>
              <w:rPr>
                <w:rFonts w:ascii="Arial" w:cs="Arial" w:eastAsia="Arial" w:hAnsi="Arial"/>
                <w:sz w:val="16"/>
                <w:szCs w:val="16"/>
                <w:color w:val="auto"/>
              </w:rPr>
              <w:t>Cash flows from investing activities:</w:t>
            </w:r>
          </w:p>
        </w:tc>
        <w:tc>
          <w:tcPr>
            <w:tcW w:w="260" w:type="dxa"/>
            <w:vAlign w:val="bottom"/>
            <w:tcBorders>
              <w:top w:val="single" w:sz="8" w:color="auto"/>
            </w:tcBorders>
          </w:tcPr>
          <w:p>
            <w:pPr>
              <w:spacing w:after="0"/>
              <w:rPr>
                <w:sz w:val="17"/>
                <w:szCs w:val="17"/>
                <w:color w:val="auto"/>
              </w:rPr>
            </w:pPr>
          </w:p>
        </w:tc>
        <w:tc>
          <w:tcPr>
            <w:tcW w:w="152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1520" w:type="dxa"/>
            <w:vAlign w:val="bottom"/>
            <w:tcBorders>
              <w:top w:val="single" w:sz="8" w:color="auto"/>
            </w:tcBorders>
          </w:tcPr>
          <w:p>
            <w:pPr>
              <w:spacing w:after="0"/>
              <w:rPr>
                <w:sz w:val="17"/>
                <w:szCs w:val="17"/>
                <w:color w:val="auto"/>
              </w:rPr>
            </w:pPr>
          </w:p>
        </w:tc>
      </w:tr>
      <w:tr>
        <w:trPr>
          <w:trHeight w:val="33"/>
        </w:trPr>
        <w:tc>
          <w:tcPr>
            <w:tcW w:w="75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520" w:type="dxa"/>
            <w:vAlign w:val="bottom"/>
          </w:tcPr>
          <w:p>
            <w:pPr>
              <w:spacing w:after="0"/>
              <w:rPr>
                <w:sz w:val="2"/>
                <w:szCs w:val="2"/>
                <w:color w:val="auto"/>
              </w:rPr>
            </w:pPr>
          </w:p>
        </w:tc>
      </w:tr>
      <w:tr>
        <w:trPr>
          <w:trHeight w:val="236"/>
        </w:trPr>
        <w:tc>
          <w:tcPr>
            <w:tcW w:w="754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6"/>
                <w:szCs w:val="16"/>
                <w:color w:val="auto"/>
              </w:rPr>
              <w:t>Additions to property, plant and equipment</w:t>
            </w:r>
          </w:p>
        </w:tc>
        <w:tc>
          <w:tcPr>
            <w:tcW w:w="260" w:type="dxa"/>
            <w:vAlign w:val="bottom"/>
            <w:tcBorders>
              <w:bottom w:val="single" w:sz="8" w:color="CCEEFF"/>
            </w:tcBorders>
            <w:shd w:val="clear" w:color="auto" w:fill="CCEEFF"/>
          </w:tcPr>
          <w:p>
            <w:pPr>
              <w:spacing w:after="0"/>
              <w:rPr>
                <w:sz w:val="20"/>
                <w:szCs w:val="20"/>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(135,804)</w:t>
            </w: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(224,297)</w:t>
            </w:r>
          </w:p>
        </w:tc>
      </w:tr>
      <w:tr>
        <w:trPr>
          <w:trHeight w:val="223"/>
        </w:trPr>
        <w:tc>
          <w:tcPr>
            <w:tcW w:w="7540" w:type="dxa"/>
            <w:vAlign w:val="bottom"/>
          </w:tcPr>
          <w:p>
            <w:pPr>
              <w:ind w:left="340"/>
              <w:spacing w:after="0"/>
              <w:rPr>
                <w:sz w:val="20"/>
                <w:szCs w:val="20"/>
                <w:color w:val="auto"/>
              </w:rPr>
            </w:pPr>
            <w:r>
              <w:rPr>
                <w:rFonts w:ascii="Arial" w:cs="Arial" w:eastAsia="Arial" w:hAnsi="Arial"/>
                <w:sz w:val="16"/>
                <w:szCs w:val="16"/>
                <w:color w:val="auto"/>
              </w:rPr>
              <w:t>Payments for acquisitions, net of cash acquired</w:t>
            </w:r>
          </w:p>
        </w:tc>
        <w:tc>
          <w:tcPr>
            <w:tcW w:w="26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(12,763)</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33"/>
        </w:trPr>
        <w:tc>
          <w:tcPr>
            <w:tcW w:w="75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520" w:type="dxa"/>
            <w:vAlign w:val="bottom"/>
          </w:tcPr>
          <w:p>
            <w:pPr>
              <w:spacing w:after="0"/>
              <w:rPr>
                <w:sz w:val="2"/>
                <w:szCs w:val="2"/>
                <w:color w:val="auto"/>
              </w:rPr>
            </w:pPr>
          </w:p>
        </w:tc>
      </w:tr>
      <w:tr>
        <w:trPr>
          <w:trHeight w:val="256"/>
        </w:trPr>
        <w:tc>
          <w:tcPr>
            <w:tcW w:w="754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6"/>
                <w:szCs w:val="16"/>
                <w:color w:val="auto"/>
              </w:rPr>
              <w:t>Changes in other assets</w:t>
            </w:r>
          </w:p>
        </w:tc>
        <w:tc>
          <w:tcPr>
            <w:tcW w:w="260" w:type="dxa"/>
            <w:vAlign w:val="bottom"/>
            <w:tcBorders>
              <w:bottom w:val="single" w:sz="8" w:color="CCEEFF"/>
            </w:tcBorders>
            <w:shd w:val="clear" w:color="auto" w:fill="CCEEFF"/>
          </w:tcPr>
          <w:p>
            <w:pPr>
              <w:spacing w:after="0"/>
              <w:rPr>
                <w:sz w:val="22"/>
                <w:szCs w:val="22"/>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(1,214)</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(5,132)</w:t>
            </w:r>
          </w:p>
        </w:tc>
      </w:tr>
      <w:tr>
        <w:trPr>
          <w:trHeight w:val="217"/>
        </w:trPr>
        <w:tc>
          <w:tcPr>
            <w:tcW w:w="7540" w:type="dxa"/>
            <w:vAlign w:val="bottom"/>
          </w:tcPr>
          <w:p>
            <w:pPr>
              <w:ind w:left="340"/>
              <w:spacing w:after="0"/>
              <w:rPr>
                <w:sz w:val="20"/>
                <w:szCs w:val="20"/>
                <w:color w:val="auto"/>
              </w:rPr>
            </w:pPr>
            <w:r>
              <w:rPr>
                <w:rFonts w:ascii="Arial" w:cs="Arial" w:eastAsia="Arial" w:hAnsi="Arial"/>
                <w:sz w:val="16"/>
                <w:szCs w:val="16"/>
                <w:color w:val="auto"/>
              </w:rPr>
              <w:t>Net cash used for investing activities</w:t>
            </w:r>
          </w:p>
        </w:tc>
        <w:tc>
          <w:tcPr>
            <w:tcW w:w="260" w:type="dxa"/>
            <w:vAlign w:val="bottom"/>
            <w:tcBorders>
              <w:top w:val="single" w:sz="8" w:color="auto"/>
            </w:tcBorders>
          </w:tcPr>
          <w:p>
            <w:pPr>
              <w:spacing w:after="0"/>
              <w:rPr>
                <w:sz w:val="18"/>
                <w:szCs w:val="18"/>
                <w:color w:val="auto"/>
              </w:rPr>
            </w:pPr>
          </w:p>
        </w:tc>
        <w:tc>
          <w:tcPr>
            <w:tcW w:w="15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(149,781)</w:t>
            </w:r>
          </w:p>
        </w:tc>
        <w:tc>
          <w:tcPr>
            <w:tcW w:w="12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5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(229,429)</w:t>
            </w:r>
          </w:p>
        </w:tc>
      </w:tr>
      <w:tr>
        <w:trPr>
          <w:trHeight w:val="33"/>
        </w:trPr>
        <w:tc>
          <w:tcPr>
            <w:tcW w:w="75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r>
      <w:tr>
        <w:trPr>
          <w:trHeight w:val="217"/>
        </w:trPr>
        <w:tc>
          <w:tcPr>
            <w:tcW w:w="75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Cash flows from financing activities:</w:t>
            </w:r>
          </w:p>
        </w:tc>
        <w:tc>
          <w:tcPr>
            <w:tcW w:w="260" w:type="dxa"/>
            <w:vAlign w:val="bottom"/>
            <w:tcBorders>
              <w:bottom w:val="single" w:sz="8" w:color="CCEEFF"/>
            </w:tcBorders>
            <w:shd w:val="clear" w:color="auto" w:fill="CCEEFF"/>
          </w:tcPr>
          <w:p>
            <w:pPr>
              <w:spacing w:after="0"/>
              <w:rPr>
                <w:sz w:val="18"/>
                <w:szCs w:val="18"/>
                <w:color w:val="auto"/>
              </w:rPr>
            </w:pPr>
          </w:p>
        </w:tc>
        <w:tc>
          <w:tcPr>
            <w:tcW w:w="15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CCEEFF"/>
            </w:tcBorders>
            <w:shd w:val="clear" w:color="auto" w:fill="CCEEFF"/>
          </w:tcPr>
          <w:p>
            <w:pPr>
              <w:spacing w:after="0"/>
              <w:rPr>
                <w:sz w:val="18"/>
                <w:szCs w:val="18"/>
                <w:color w:val="auto"/>
              </w:rPr>
            </w:pPr>
          </w:p>
        </w:tc>
        <w:tc>
          <w:tcPr>
            <w:tcW w:w="1520" w:type="dxa"/>
            <w:vAlign w:val="bottom"/>
            <w:tcBorders>
              <w:bottom w:val="single" w:sz="8" w:color="CCEEFF"/>
            </w:tcBorders>
            <w:shd w:val="clear" w:color="auto" w:fill="CCEEFF"/>
          </w:tcPr>
          <w:p>
            <w:pPr>
              <w:spacing w:after="0"/>
              <w:rPr>
                <w:sz w:val="18"/>
                <w:szCs w:val="18"/>
                <w:color w:val="auto"/>
              </w:rPr>
            </w:pPr>
          </w:p>
        </w:tc>
      </w:tr>
      <w:tr>
        <w:trPr>
          <w:trHeight w:val="223"/>
        </w:trPr>
        <w:tc>
          <w:tcPr>
            <w:tcW w:w="7540" w:type="dxa"/>
            <w:vAlign w:val="bottom"/>
          </w:tcPr>
          <w:p>
            <w:pPr>
              <w:ind w:left="340"/>
              <w:spacing w:after="0"/>
              <w:rPr>
                <w:sz w:val="20"/>
                <w:szCs w:val="20"/>
                <w:color w:val="auto"/>
              </w:rPr>
            </w:pPr>
            <w:r>
              <w:rPr>
                <w:rFonts w:ascii="Arial" w:cs="Arial" w:eastAsia="Arial" w:hAnsi="Arial"/>
                <w:sz w:val="16"/>
                <w:szCs w:val="16"/>
                <w:color w:val="auto"/>
              </w:rPr>
              <w:t>Proceeds from debt</w:t>
            </w:r>
          </w:p>
        </w:tc>
        <w:tc>
          <w:tcPr>
            <w:tcW w:w="26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395,646</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1,250,000</w:t>
            </w:r>
          </w:p>
        </w:tc>
      </w:tr>
      <w:tr>
        <w:trPr>
          <w:trHeight w:val="33"/>
        </w:trPr>
        <w:tc>
          <w:tcPr>
            <w:tcW w:w="75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520" w:type="dxa"/>
            <w:vAlign w:val="bottom"/>
          </w:tcPr>
          <w:p>
            <w:pPr>
              <w:spacing w:after="0"/>
              <w:rPr>
                <w:sz w:val="2"/>
                <w:szCs w:val="2"/>
                <w:color w:val="auto"/>
              </w:rPr>
            </w:pPr>
          </w:p>
        </w:tc>
      </w:tr>
      <w:tr>
        <w:trPr>
          <w:trHeight w:val="237"/>
        </w:trPr>
        <w:tc>
          <w:tcPr>
            <w:tcW w:w="754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6"/>
                <w:szCs w:val="16"/>
                <w:color w:val="auto"/>
              </w:rPr>
              <w:t>Early termination of debt</w:t>
            </w:r>
          </w:p>
        </w:tc>
        <w:tc>
          <w:tcPr>
            <w:tcW w:w="260" w:type="dxa"/>
            <w:vAlign w:val="bottom"/>
            <w:tcBorders>
              <w:bottom w:val="single" w:sz="8" w:color="CCEEFF"/>
            </w:tcBorders>
            <w:shd w:val="clear" w:color="auto" w:fill="CCEEFF"/>
          </w:tcPr>
          <w:p>
            <w:pPr>
              <w:spacing w:after="0"/>
              <w:rPr>
                <w:sz w:val="20"/>
                <w:szCs w:val="20"/>
                <w:color w:val="auto"/>
              </w:rPr>
            </w:pPr>
          </w:p>
        </w:tc>
        <w:tc>
          <w:tcPr>
            <w:tcW w:w="16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CCEEFF"/>
            </w:tcBorders>
            <w:shd w:val="clear" w:color="auto" w:fill="CCEEFF"/>
          </w:tcPr>
          <w:p>
            <w:pPr>
              <w:spacing w:after="0"/>
              <w:rPr>
                <w:sz w:val="20"/>
                <w:szCs w:val="20"/>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(1,250,000)</w:t>
            </w:r>
          </w:p>
        </w:tc>
      </w:tr>
      <w:tr>
        <w:trPr>
          <w:trHeight w:val="223"/>
        </w:trPr>
        <w:tc>
          <w:tcPr>
            <w:tcW w:w="7540" w:type="dxa"/>
            <w:vAlign w:val="bottom"/>
          </w:tcPr>
          <w:p>
            <w:pPr>
              <w:ind w:left="340"/>
              <w:spacing w:after="0"/>
              <w:rPr>
                <w:sz w:val="20"/>
                <w:szCs w:val="20"/>
                <w:color w:val="auto"/>
              </w:rPr>
            </w:pPr>
            <w:r>
              <w:rPr>
                <w:rFonts w:ascii="Arial" w:cs="Arial" w:eastAsia="Arial" w:hAnsi="Arial"/>
                <w:sz w:val="16"/>
                <w:szCs w:val="16"/>
                <w:color w:val="auto"/>
              </w:rPr>
              <w:t>Proceeds from revolver</w:t>
            </w:r>
          </w:p>
        </w:tc>
        <w:tc>
          <w:tcPr>
            <w:tcW w:w="26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350,000</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75,000</w:t>
            </w:r>
          </w:p>
        </w:tc>
      </w:tr>
      <w:tr>
        <w:trPr>
          <w:trHeight w:val="33"/>
        </w:trPr>
        <w:tc>
          <w:tcPr>
            <w:tcW w:w="75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520" w:type="dxa"/>
            <w:vAlign w:val="bottom"/>
          </w:tcPr>
          <w:p>
            <w:pPr>
              <w:spacing w:after="0"/>
              <w:rPr>
                <w:sz w:val="2"/>
                <w:szCs w:val="2"/>
                <w:color w:val="auto"/>
              </w:rPr>
            </w:pPr>
          </w:p>
        </w:tc>
      </w:tr>
      <w:tr>
        <w:trPr>
          <w:trHeight w:val="237"/>
        </w:trPr>
        <w:tc>
          <w:tcPr>
            <w:tcW w:w="754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6"/>
                <w:szCs w:val="16"/>
                <w:color w:val="auto"/>
              </w:rPr>
              <w:t>Payments on revolver</w:t>
            </w:r>
          </w:p>
        </w:tc>
        <w:tc>
          <w:tcPr>
            <w:tcW w:w="260" w:type="dxa"/>
            <w:vAlign w:val="bottom"/>
            <w:tcBorders>
              <w:bottom w:val="single" w:sz="8" w:color="CCEEFF"/>
            </w:tcBorders>
            <w:shd w:val="clear" w:color="auto" w:fill="CCEEFF"/>
          </w:tcPr>
          <w:p>
            <w:pPr>
              <w:spacing w:after="0"/>
              <w:rPr>
                <w:sz w:val="20"/>
                <w:szCs w:val="20"/>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(350,000)</w:t>
            </w: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(75,000)</w:t>
            </w:r>
          </w:p>
        </w:tc>
      </w:tr>
      <w:tr>
        <w:trPr>
          <w:trHeight w:val="223"/>
        </w:trPr>
        <w:tc>
          <w:tcPr>
            <w:tcW w:w="7540" w:type="dxa"/>
            <w:vAlign w:val="bottom"/>
          </w:tcPr>
          <w:p>
            <w:pPr>
              <w:ind w:left="340"/>
              <w:spacing w:after="0"/>
              <w:rPr>
                <w:sz w:val="20"/>
                <w:szCs w:val="20"/>
                <w:color w:val="auto"/>
              </w:rPr>
            </w:pPr>
            <w:r>
              <w:rPr>
                <w:rFonts w:ascii="Arial" w:cs="Arial" w:eastAsia="Arial" w:hAnsi="Arial"/>
                <w:sz w:val="16"/>
                <w:szCs w:val="16"/>
                <w:color w:val="auto"/>
              </w:rPr>
              <w:t>Debt repayments</w:t>
            </w:r>
          </w:p>
        </w:tc>
        <w:tc>
          <w:tcPr>
            <w:tcW w:w="26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(300,000)</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(650,000)</w:t>
            </w:r>
          </w:p>
        </w:tc>
      </w:tr>
      <w:tr>
        <w:trPr>
          <w:trHeight w:val="33"/>
        </w:trPr>
        <w:tc>
          <w:tcPr>
            <w:tcW w:w="75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520" w:type="dxa"/>
            <w:vAlign w:val="bottom"/>
          </w:tcPr>
          <w:p>
            <w:pPr>
              <w:spacing w:after="0"/>
              <w:rPr>
                <w:sz w:val="2"/>
                <w:szCs w:val="2"/>
                <w:color w:val="auto"/>
              </w:rPr>
            </w:pPr>
          </w:p>
        </w:tc>
      </w:tr>
      <w:tr>
        <w:trPr>
          <w:trHeight w:val="237"/>
        </w:trPr>
        <w:tc>
          <w:tcPr>
            <w:tcW w:w="754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6"/>
                <w:szCs w:val="16"/>
                <w:color w:val="auto"/>
              </w:rPr>
              <w:t>Dividend payments to shareholders</w:t>
            </w:r>
          </w:p>
        </w:tc>
        <w:tc>
          <w:tcPr>
            <w:tcW w:w="260" w:type="dxa"/>
            <w:vAlign w:val="bottom"/>
            <w:tcBorders>
              <w:bottom w:val="single" w:sz="8" w:color="CCEEFF"/>
            </w:tcBorders>
            <w:shd w:val="clear" w:color="auto" w:fill="CCEEFF"/>
          </w:tcPr>
          <w:p>
            <w:pPr>
              <w:spacing w:after="0"/>
              <w:rPr>
                <w:sz w:val="20"/>
                <w:szCs w:val="20"/>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(656,558)</w:t>
            </w: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(577,285)</w:t>
            </w:r>
          </w:p>
        </w:tc>
      </w:tr>
      <w:tr>
        <w:trPr>
          <w:trHeight w:val="223"/>
        </w:trPr>
        <w:tc>
          <w:tcPr>
            <w:tcW w:w="7540" w:type="dxa"/>
            <w:vAlign w:val="bottom"/>
          </w:tcPr>
          <w:p>
            <w:pPr>
              <w:ind w:left="340"/>
              <w:spacing w:after="0"/>
              <w:rPr>
                <w:sz w:val="20"/>
                <w:szCs w:val="20"/>
                <w:color w:val="auto"/>
              </w:rPr>
            </w:pPr>
            <w:r>
              <w:rPr>
                <w:rFonts w:ascii="Arial" w:cs="Arial" w:eastAsia="Arial" w:hAnsi="Arial"/>
                <w:sz w:val="16"/>
                <w:szCs w:val="16"/>
                <w:color w:val="auto"/>
              </w:rPr>
              <w:t>Repurchase of common stock</w:t>
            </w:r>
          </w:p>
        </w:tc>
        <w:tc>
          <w:tcPr>
            <w:tcW w:w="26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(237,265)</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(440,616)</w:t>
            </w:r>
          </w:p>
        </w:tc>
      </w:tr>
      <w:tr>
        <w:trPr>
          <w:trHeight w:val="33"/>
        </w:trPr>
        <w:tc>
          <w:tcPr>
            <w:tcW w:w="75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520" w:type="dxa"/>
            <w:vAlign w:val="bottom"/>
          </w:tcPr>
          <w:p>
            <w:pPr>
              <w:spacing w:after="0"/>
              <w:rPr>
                <w:sz w:val="2"/>
                <w:szCs w:val="2"/>
                <w:color w:val="auto"/>
              </w:rPr>
            </w:pPr>
          </w:p>
        </w:tc>
      </w:tr>
      <w:tr>
        <w:trPr>
          <w:trHeight w:val="237"/>
        </w:trPr>
        <w:tc>
          <w:tcPr>
            <w:tcW w:w="754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6"/>
                <w:szCs w:val="16"/>
                <w:color w:val="auto"/>
              </w:rPr>
              <w:t>Proceeds from employee stock plans</w:t>
            </w:r>
          </w:p>
        </w:tc>
        <w:tc>
          <w:tcPr>
            <w:tcW w:w="260" w:type="dxa"/>
            <w:vAlign w:val="bottom"/>
            <w:tcBorders>
              <w:bottom w:val="single" w:sz="8" w:color="CCEEFF"/>
            </w:tcBorders>
            <w:shd w:val="clear" w:color="auto" w:fill="CCEEFF"/>
          </w:tcPr>
          <w:p>
            <w:pPr>
              <w:spacing w:after="0"/>
              <w:rPr>
                <w:sz w:val="20"/>
                <w:szCs w:val="20"/>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57,750</w:t>
            </w: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106,135</w:t>
            </w:r>
          </w:p>
        </w:tc>
      </w:tr>
      <w:tr>
        <w:trPr>
          <w:trHeight w:val="223"/>
        </w:trPr>
        <w:tc>
          <w:tcPr>
            <w:tcW w:w="7540" w:type="dxa"/>
            <w:vAlign w:val="bottom"/>
          </w:tcPr>
          <w:p>
            <w:pPr>
              <w:ind w:left="340"/>
              <w:spacing w:after="0"/>
              <w:rPr>
                <w:sz w:val="20"/>
                <w:szCs w:val="20"/>
                <w:color w:val="auto"/>
              </w:rPr>
            </w:pPr>
            <w:r>
              <w:rPr>
                <w:rFonts w:ascii="Arial" w:cs="Arial" w:eastAsia="Arial" w:hAnsi="Arial"/>
                <w:sz w:val="16"/>
                <w:szCs w:val="16"/>
                <w:color w:val="auto"/>
              </w:rPr>
              <w:t>Changes in other financing activities</w:t>
            </w:r>
          </w:p>
        </w:tc>
        <w:tc>
          <w:tcPr>
            <w:tcW w:w="26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(4,015)</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(7,918)</w:t>
            </w:r>
          </w:p>
        </w:tc>
      </w:tr>
      <w:tr>
        <w:trPr>
          <w:trHeight w:val="33"/>
        </w:trPr>
        <w:tc>
          <w:tcPr>
            <w:tcW w:w="75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r>
      <w:tr>
        <w:trPr>
          <w:trHeight w:val="250"/>
        </w:trPr>
        <w:tc>
          <w:tcPr>
            <w:tcW w:w="754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6"/>
                <w:szCs w:val="16"/>
                <w:color w:val="auto"/>
              </w:rPr>
              <w:t>Net cash used for financing activities</w:t>
            </w:r>
          </w:p>
        </w:tc>
        <w:tc>
          <w:tcPr>
            <w:tcW w:w="26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(744,442)</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(1,569,684)</w:t>
            </w:r>
          </w:p>
        </w:tc>
      </w:tr>
      <w:tr>
        <w:trPr>
          <w:trHeight w:val="217"/>
        </w:trPr>
        <w:tc>
          <w:tcPr>
            <w:tcW w:w="7540" w:type="dxa"/>
            <w:vAlign w:val="bottom"/>
          </w:tcPr>
          <w:p>
            <w:pPr>
              <w:ind w:left="20"/>
              <w:spacing w:after="0"/>
              <w:rPr>
                <w:sz w:val="20"/>
                <w:szCs w:val="20"/>
                <w:color w:val="auto"/>
              </w:rPr>
            </w:pPr>
            <w:r>
              <w:rPr>
                <w:rFonts w:ascii="Arial" w:cs="Arial" w:eastAsia="Arial" w:hAnsi="Arial"/>
                <w:sz w:val="16"/>
                <w:szCs w:val="16"/>
                <w:color w:val="auto"/>
              </w:rPr>
              <w:t>Effect of exchange rate changes on cash</w:t>
            </w:r>
          </w:p>
        </w:tc>
        <w:tc>
          <w:tcPr>
            <w:tcW w:w="260" w:type="dxa"/>
            <w:vAlign w:val="bottom"/>
            <w:tcBorders>
              <w:top w:val="single" w:sz="8" w:color="auto"/>
            </w:tcBorders>
          </w:tcPr>
          <w:p>
            <w:pPr>
              <w:spacing w:after="0"/>
              <w:rPr>
                <w:sz w:val="18"/>
                <w:szCs w:val="18"/>
                <w:color w:val="auto"/>
              </w:rPr>
            </w:pPr>
          </w:p>
        </w:tc>
        <w:tc>
          <w:tcPr>
            <w:tcW w:w="15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276</w:t>
            </w:r>
          </w:p>
        </w:tc>
        <w:tc>
          <w:tcPr>
            <w:tcW w:w="12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5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(510)</w:t>
            </w:r>
          </w:p>
        </w:tc>
      </w:tr>
      <w:tr>
        <w:trPr>
          <w:trHeight w:val="33"/>
        </w:trPr>
        <w:tc>
          <w:tcPr>
            <w:tcW w:w="75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r>
      <w:tr>
        <w:trPr>
          <w:trHeight w:val="250"/>
        </w:trPr>
        <w:tc>
          <w:tcPr>
            <w:tcW w:w="75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Net increase (decrease) in cash and cash equivalents</w:t>
            </w:r>
          </w:p>
        </w:tc>
        <w:tc>
          <w:tcPr>
            <w:tcW w:w="26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441,942</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(204,427)</w:t>
            </w:r>
          </w:p>
        </w:tc>
      </w:tr>
      <w:tr>
        <w:trPr>
          <w:trHeight w:val="217"/>
        </w:trPr>
        <w:tc>
          <w:tcPr>
            <w:tcW w:w="7540" w:type="dxa"/>
            <w:vAlign w:val="bottom"/>
          </w:tcPr>
          <w:p>
            <w:pPr>
              <w:ind w:left="20"/>
              <w:spacing w:after="0"/>
              <w:rPr>
                <w:sz w:val="20"/>
                <w:szCs w:val="20"/>
                <w:color w:val="auto"/>
              </w:rPr>
            </w:pPr>
            <w:r>
              <w:rPr>
                <w:rFonts w:ascii="Arial" w:cs="Arial" w:eastAsia="Arial" w:hAnsi="Arial"/>
                <w:sz w:val="16"/>
                <w:szCs w:val="16"/>
                <w:color w:val="auto"/>
              </w:rPr>
              <w:t>Cash and cash equivalents at beginning of period</w:t>
            </w:r>
          </w:p>
        </w:tc>
        <w:tc>
          <w:tcPr>
            <w:tcW w:w="260" w:type="dxa"/>
            <w:vAlign w:val="bottom"/>
            <w:tcBorders>
              <w:top w:val="single" w:sz="8" w:color="auto"/>
            </w:tcBorders>
          </w:tcPr>
          <w:p>
            <w:pPr>
              <w:spacing w:after="0"/>
              <w:rPr>
                <w:sz w:val="18"/>
                <w:szCs w:val="18"/>
                <w:color w:val="auto"/>
              </w:rPr>
            </w:pPr>
          </w:p>
        </w:tc>
        <w:tc>
          <w:tcPr>
            <w:tcW w:w="15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648,322</w:t>
            </w:r>
          </w:p>
        </w:tc>
        <w:tc>
          <w:tcPr>
            <w:tcW w:w="12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5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816,591</w:t>
            </w:r>
          </w:p>
        </w:tc>
      </w:tr>
      <w:tr>
        <w:trPr>
          <w:trHeight w:val="33"/>
        </w:trPr>
        <w:tc>
          <w:tcPr>
            <w:tcW w:w="75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r>
      <w:tr>
        <w:trPr>
          <w:trHeight w:val="275"/>
        </w:trPr>
        <w:tc>
          <w:tcPr>
            <w:tcW w:w="75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Cash and cash equivalents at end of period</w:t>
            </w: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1,090,264</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612,164</w:t>
            </w:r>
          </w:p>
        </w:tc>
      </w:tr>
      <w:tr>
        <w:trPr>
          <w:trHeight w:val="20"/>
        </w:trPr>
        <w:tc>
          <w:tcPr>
            <w:tcW w:w="75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57" w:lineRule="exact"/>
        <w:rPr>
          <w:sz w:val="20"/>
          <w:szCs w:val="20"/>
          <w:color w:val="auto"/>
        </w:rPr>
      </w:pPr>
    </w:p>
    <w:p>
      <w:pPr>
        <w:spacing w:after="0"/>
        <w:rPr>
          <w:sz w:val="20"/>
          <w:szCs w:val="20"/>
          <w:color w:val="auto"/>
        </w:rPr>
      </w:pPr>
      <w:r>
        <w:rPr>
          <w:rFonts w:ascii="Arial" w:cs="Arial" w:eastAsia="Arial" w:hAnsi="Arial"/>
          <w:sz w:val="16"/>
          <w:szCs w:val="16"/>
          <w:color w:val="auto"/>
        </w:rPr>
        <w:t>See accompanying notes.</w:t>
      </w:r>
    </w:p>
    <w:p>
      <w:pPr>
        <w:spacing w:after="0" w:line="200" w:lineRule="exact"/>
        <w:rPr>
          <w:sz w:val="20"/>
          <w:szCs w:val="20"/>
          <w:color w:val="auto"/>
        </w:rPr>
      </w:pPr>
    </w:p>
    <w:p>
      <w:pPr>
        <w:spacing w:after="0" w:line="3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55" w:right="359" w:bottom="1440" w:gutter="0" w:footer="0" w:header="0"/>
        </w:sectPr>
      </w:pPr>
    </w:p>
    <w:bookmarkStart w:id="7" w:name="page8"/>
    <w:bookmarkEnd w:id="7"/>
    <w:p>
      <w:pPr>
        <w:jc w:val="center"/>
        <w:spacing w:after="0"/>
        <w:rPr>
          <w:sz w:val="20"/>
          <w:szCs w:val="20"/>
          <w:color w:val="auto"/>
        </w:rPr>
      </w:pPr>
      <w:r>
        <w:rPr>
          <w:rFonts w:ascii="Arial" w:cs="Arial" w:eastAsia="Arial" w:hAnsi="Arial"/>
          <w:sz w:val="18"/>
          <w:szCs w:val="18"/>
          <w:b w:val="1"/>
          <w:bCs w:val="1"/>
          <w:color w:val="auto"/>
        </w:rPr>
        <w:t>ANALOG DEVICES,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THREE AND NINE MONTHS ENDED AUGUST 1, 2020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(all tabular amounts in thousands except per share amounts and percentages)</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 Basis of Presentation</w:t>
      </w:r>
    </w:p>
    <w:p>
      <w:pPr>
        <w:spacing w:after="0" w:line="175" w:lineRule="exact"/>
        <w:rPr>
          <w:sz w:val="20"/>
          <w:szCs w:val="20"/>
          <w:color w:val="auto"/>
        </w:rPr>
      </w:pPr>
    </w:p>
    <w:p>
      <w:pPr>
        <w:ind w:right="180" w:firstLine="445"/>
        <w:spacing w:after="0" w:line="257" w:lineRule="auto"/>
        <w:rPr>
          <w:sz w:val="20"/>
          <w:szCs w:val="20"/>
          <w:color w:val="auto"/>
        </w:rPr>
      </w:pPr>
      <w:r>
        <w:rPr>
          <w:rFonts w:ascii="Arial" w:cs="Arial" w:eastAsia="Arial" w:hAnsi="Arial"/>
          <w:sz w:val="18"/>
          <w:szCs w:val="18"/>
          <w:color w:val="auto"/>
        </w:rPr>
        <w:t>In the opinion of management, the information furnished in the accompanying condensed consolidated financial statements reflects all normal recurring adjustments that are necessary to fairly state the results for these interim periods and should be read in conjunction with Analog Devices, Inc.’s (the Company) Annual Report on Form 10-K for the fiscal year ended November 2, 2019 (fiscal 2019) and related notes. The results of operations for the interim periods shown in this report are not necessarily indicative of the results that may be expected for the fiscal year ending October 31, 2020 (fiscal 2020) or any future period.</w:t>
      </w:r>
    </w:p>
    <w:p>
      <w:pPr>
        <w:spacing w:after="0" w:line="134" w:lineRule="exact"/>
        <w:rPr>
          <w:sz w:val="20"/>
          <w:szCs w:val="20"/>
          <w:color w:val="auto"/>
        </w:rPr>
      </w:pPr>
    </w:p>
    <w:p>
      <w:pPr>
        <w:ind w:right="80" w:firstLine="445"/>
        <w:spacing w:after="0" w:line="277" w:lineRule="auto"/>
        <w:rPr>
          <w:sz w:val="20"/>
          <w:szCs w:val="20"/>
          <w:color w:val="auto"/>
        </w:rPr>
      </w:pPr>
      <w:r>
        <w:rPr>
          <w:rFonts w:ascii="Arial" w:cs="Arial" w:eastAsia="Arial" w:hAnsi="Arial"/>
          <w:sz w:val="18"/>
          <w:szCs w:val="18"/>
          <w:color w:val="auto"/>
        </w:rPr>
        <w:t>The Company has a 52-53 week fiscal year that ends on the Saturday closest to the last day in October. Certain amounts reported in previous periods have been reclassified to conform to the fiscal 2020 presentation.</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Proposed acquisition of Maxim Integrated Products, Inc.</w:t>
      </w:r>
    </w:p>
    <w:p>
      <w:pPr>
        <w:spacing w:after="0" w:line="171" w:lineRule="exact"/>
        <w:rPr>
          <w:sz w:val="20"/>
          <w:szCs w:val="20"/>
          <w:color w:val="auto"/>
        </w:rPr>
      </w:pPr>
    </w:p>
    <w:p>
      <w:pPr>
        <w:ind w:right="60" w:firstLine="445"/>
        <w:spacing w:after="0" w:line="342" w:lineRule="auto"/>
        <w:rPr>
          <w:sz w:val="20"/>
          <w:szCs w:val="20"/>
          <w:color w:val="auto"/>
        </w:rPr>
      </w:pPr>
      <w:r>
        <w:rPr>
          <w:rFonts w:ascii="Arial" w:cs="Arial" w:eastAsia="Arial" w:hAnsi="Arial"/>
          <w:sz w:val="16"/>
          <w:szCs w:val="16"/>
          <w:color w:val="auto"/>
        </w:rPr>
        <w:t xml:space="preserve">On July 12, 2020, the Company entered into a definitive agreement (the Merger Agreement) to acquire Maxim Integrated Products, Inc. (Maxim), an independent manufacturer of innovative analog and mixed-signal products and technologies. See Note 15, </w:t>
      </w:r>
      <w:r>
        <w:rPr>
          <w:rFonts w:ascii="Arial" w:cs="Arial" w:eastAsia="Arial" w:hAnsi="Arial"/>
          <w:sz w:val="16"/>
          <w:szCs w:val="16"/>
          <w:i w:val="1"/>
          <w:iCs w:val="1"/>
          <w:color w:val="auto"/>
        </w:rPr>
        <w:t>Acquisitions</w:t>
      </w:r>
      <w:r>
        <w:rPr>
          <w:rFonts w:ascii="Arial" w:cs="Arial" w:eastAsia="Arial" w:hAnsi="Arial"/>
          <w:sz w:val="16"/>
          <w:szCs w:val="16"/>
          <w:color w:val="auto"/>
        </w:rPr>
        <w:t>, for additional information.</w:t>
      </w:r>
    </w:p>
    <w:p>
      <w:pPr>
        <w:spacing w:after="0" w:line="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 Leases</w:t>
      </w:r>
    </w:p>
    <w:p>
      <w:pPr>
        <w:spacing w:after="0" w:line="121" w:lineRule="exact"/>
        <w:rPr>
          <w:sz w:val="20"/>
          <w:szCs w:val="20"/>
          <w:color w:val="auto"/>
        </w:rPr>
      </w:pPr>
    </w:p>
    <w:p>
      <w:pPr>
        <w:ind w:right="80" w:firstLine="445"/>
        <w:spacing w:after="0" w:line="301" w:lineRule="auto"/>
        <w:rPr>
          <w:sz w:val="20"/>
          <w:szCs w:val="20"/>
          <w:color w:val="auto"/>
        </w:rPr>
      </w:pPr>
      <w:r>
        <w:rPr>
          <w:rFonts w:ascii="Arial" w:cs="Arial" w:eastAsia="Arial" w:hAnsi="Arial"/>
          <w:sz w:val="16"/>
          <w:szCs w:val="16"/>
          <w:color w:val="auto"/>
        </w:rPr>
        <w:t xml:space="preserve">In the first quarter of fiscal 2020, the Company adopted Accounting Standards Update (ASU) 2016-02, </w:t>
      </w:r>
      <w:r>
        <w:rPr>
          <w:rFonts w:ascii="Arial" w:cs="Arial" w:eastAsia="Arial" w:hAnsi="Arial"/>
          <w:sz w:val="16"/>
          <w:szCs w:val="16"/>
          <w:i w:val="1"/>
          <w:iCs w:val="1"/>
          <w:color w:val="auto"/>
        </w:rPr>
        <w:t>Leases (Topic 842)</w:t>
      </w:r>
      <w:r>
        <w:rPr>
          <w:rFonts w:ascii="Arial" w:cs="Arial" w:eastAsia="Arial" w:hAnsi="Arial"/>
          <w:sz w:val="16"/>
          <w:szCs w:val="16"/>
          <w:color w:val="auto"/>
        </w:rPr>
        <w:t xml:space="preserve"> (ASU 2016-02) using the modified retrospective approach. Results for fiscal 2020 are presented under ASU 2016-02, while prior period consolidated financial statements have not been adjusted and continue to be presented under the accounting standard in effect at that time. See Note 14, </w:t>
      </w:r>
      <w:r>
        <w:rPr>
          <w:rFonts w:ascii="Arial" w:cs="Arial" w:eastAsia="Arial" w:hAnsi="Arial"/>
          <w:sz w:val="16"/>
          <w:szCs w:val="16"/>
          <w:i w:val="1"/>
          <w:iCs w:val="1"/>
          <w:color w:val="auto"/>
        </w:rPr>
        <w:t>New Accounting Pronouncements</w:t>
      </w:r>
      <w:r>
        <w:rPr>
          <w:rFonts w:ascii="Arial" w:cs="Arial" w:eastAsia="Arial" w:hAnsi="Arial"/>
          <w:sz w:val="16"/>
          <w:szCs w:val="16"/>
          <w:color w:val="auto"/>
        </w:rPr>
        <w:t xml:space="preserve"> of these Notes to Condensed Consolidated Financial Statements for further detail on the adoption of this standard, including the initial adoption values.</w:t>
      </w:r>
    </w:p>
    <w:p>
      <w:pPr>
        <w:spacing w:after="0" w:line="49" w:lineRule="exact"/>
        <w:rPr>
          <w:sz w:val="20"/>
          <w:szCs w:val="20"/>
          <w:color w:val="auto"/>
        </w:rPr>
      </w:pPr>
    </w:p>
    <w:p>
      <w:pPr>
        <w:ind w:right="40" w:firstLine="405"/>
        <w:spacing w:after="0" w:line="251" w:lineRule="auto"/>
        <w:rPr>
          <w:sz w:val="20"/>
          <w:szCs w:val="20"/>
          <w:color w:val="auto"/>
        </w:rPr>
      </w:pPr>
      <w:r>
        <w:rPr>
          <w:rFonts w:ascii="Arial" w:cs="Arial" w:eastAsia="Arial" w:hAnsi="Arial"/>
          <w:sz w:val="17"/>
          <w:szCs w:val="17"/>
          <w:color w:val="auto"/>
        </w:rPr>
        <w:t>The Company enters into operating leases which primarily relate to certain facilities. The Company determines whether an arrangement is or contains a lease based on the unique facts and circumstances present at the inception of an arrangement. Lease assets represent the Company's right to use underlying assets for the lease term, and lease liabilities represent the obligation to make lease payments over the lease term. At lease commencement, leases are evaluated for classification, and assets and liabilities are recognized based on the present value of lease payments over the lease term. The interest rate implicit in lease contracts is typically not readily determinable. As such, the Company utilizes the appropriate incremental borrowing rate, which is the rate incurred to borrow on a collateralized basis over a similar term at an amount equal to the lease payments in a similar economic environment. Certain adjustments to the right-of-use asset may be required for items such as initial direct costs paid or incentives received, such as construction allowances from landlords and/or rent abatements subsequent to taking possession of the leased property. The Company has agreements with lease and non-lease components, which are accounted for as a single lease component. Non-lease components may include real estate taxes, insurance, maintenance, parking and other operating costs. If these costs are variable costs they are not included in the measurement of the right-of-use assets and lease liabilities, but are expensed when the event determining the amount of variable consideration to be paid occurs. The Company’s leases have remaining lease terms of less than one year to approximately twenty-five years, some of which may include options to extend the initial term of the lease. These options are included in determining the initial lease term at lease commencement only if the Company is reasonably certain to exercise the option. Lease costs are recognized on a straight-line basis as lease expense over the lease term. For leases with terms of twelve months or less the Company recognizes the related lease payments as expense either straight-line over the lease term or as incurred depending on whether the lease payments are fixed or variable.</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supplemental balance sheet information related to the Company's operating leases: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900" w:type="dxa"/>
            <w:vAlign w:val="bottom"/>
            <w:tcBorders>
              <w:bottom w:val="single" w:sz="8" w:color="CCEEFF"/>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920" w:type="dxa"/>
            <w:vAlign w:val="bottom"/>
            <w:tcBorders>
              <w:bottom w:val="single" w:sz="8" w:color="auto"/>
            </w:tcBorders>
          </w:tcPr>
          <w:p>
            <w:pPr>
              <w:jc w:val="right"/>
              <w:ind w:right="635"/>
              <w:spacing w:after="0"/>
              <w:rPr>
                <w:sz w:val="20"/>
                <w:szCs w:val="20"/>
                <w:color w:val="auto"/>
              </w:rPr>
            </w:pPr>
            <w:r>
              <w:rPr>
                <w:rFonts w:ascii="Arial" w:cs="Arial" w:eastAsia="Arial" w:hAnsi="Arial"/>
                <w:sz w:val="14"/>
                <w:szCs w:val="14"/>
                <w:b w:val="1"/>
                <w:bCs w:val="1"/>
                <w:color w:val="auto"/>
              </w:rPr>
              <w:t>August 1, 2020</w:t>
            </w:r>
          </w:p>
        </w:tc>
      </w:tr>
      <w:tr>
        <w:trPr>
          <w:trHeight w:val="236"/>
        </w:trPr>
        <w:tc>
          <w:tcPr>
            <w:tcW w:w="89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Assets</w:t>
            </w:r>
          </w:p>
        </w:tc>
        <w:tc>
          <w:tcPr>
            <w:tcW w:w="420" w:type="dxa"/>
            <w:vAlign w:val="bottom"/>
            <w:tcBorders>
              <w:bottom w:val="single" w:sz="8" w:color="CCEEFF"/>
            </w:tcBorders>
            <w:shd w:val="clear" w:color="auto" w:fill="CCEEFF"/>
          </w:tcPr>
          <w:p>
            <w:pPr>
              <w:spacing w:after="0"/>
              <w:rPr>
                <w:sz w:val="20"/>
                <w:szCs w:val="20"/>
                <w:color w:val="auto"/>
              </w:rPr>
            </w:pPr>
          </w:p>
        </w:tc>
        <w:tc>
          <w:tcPr>
            <w:tcW w:w="1920" w:type="dxa"/>
            <w:vAlign w:val="bottom"/>
            <w:tcBorders>
              <w:bottom w:val="single" w:sz="8" w:color="CCEEFF"/>
            </w:tcBorders>
            <w:shd w:val="clear" w:color="auto" w:fill="CCEEFF"/>
          </w:tcPr>
          <w:p>
            <w:pPr>
              <w:spacing w:after="0"/>
              <w:rPr>
                <w:sz w:val="20"/>
                <w:szCs w:val="20"/>
                <w:color w:val="auto"/>
              </w:rPr>
            </w:pPr>
          </w:p>
        </w:tc>
      </w:tr>
      <w:tr>
        <w:trPr>
          <w:trHeight w:val="270"/>
        </w:trPr>
        <w:tc>
          <w:tcPr>
            <w:tcW w:w="8900" w:type="dxa"/>
            <w:vAlign w:val="bottom"/>
          </w:tcPr>
          <w:p>
            <w:pPr>
              <w:ind w:left="360"/>
              <w:spacing w:after="0"/>
              <w:rPr>
                <w:sz w:val="20"/>
                <w:szCs w:val="20"/>
                <w:color w:val="auto"/>
              </w:rPr>
            </w:pPr>
            <w:r>
              <w:rPr>
                <w:rFonts w:ascii="Arial" w:cs="Arial" w:eastAsia="Arial" w:hAnsi="Arial"/>
                <w:sz w:val="18"/>
                <w:szCs w:val="18"/>
                <w:color w:val="auto"/>
              </w:rPr>
              <w:t xml:space="preserve">Operating lease right-of-use assets in </w:t>
            </w:r>
            <w:r>
              <w:rPr>
                <w:rFonts w:ascii="Arial" w:cs="Arial" w:eastAsia="Arial" w:hAnsi="Arial"/>
                <w:sz w:val="18"/>
                <w:szCs w:val="18"/>
                <w:i w:val="1"/>
                <w:iCs w:val="1"/>
                <w:color w:val="auto"/>
              </w:rPr>
              <w:t>Other assets</w:t>
            </w: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1920" w:type="dxa"/>
            <w:vAlign w:val="bottom"/>
          </w:tcPr>
          <w:p>
            <w:pPr>
              <w:jc w:val="right"/>
              <w:spacing w:after="0"/>
              <w:rPr>
                <w:sz w:val="20"/>
                <w:szCs w:val="20"/>
                <w:color w:val="auto"/>
              </w:rPr>
            </w:pPr>
            <w:r>
              <w:rPr>
                <w:rFonts w:ascii="Arial" w:cs="Arial" w:eastAsia="Arial" w:hAnsi="Arial"/>
                <w:sz w:val="18"/>
                <w:szCs w:val="18"/>
                <w:color w:val="auto"/>
              </w:rPr>
              <w:t>247,352</w:t>
            </w:r>
          </w:p>
        </w:tc>
      </w:tr>
      <w:tr>
        <w:trPr>
          <w:trHeight w:val="250"/>
        </w:trPr>
        <w:tc>
          <w:tcPr>
            <w:tcW w:w="89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Liabilities</w:t>
            </w:r>
          </w:p>
        </w:tc>
        <w:tc>
          <w:tcPr>
            <w:tcW w:w="420" w:type="dxa"/>
            <w:vAlign w:val="bottom"/>
            <w:tcBorders>
              <w:bottom w:val="single" w:sz="8" w:color="CCEEFF"/>
            </w:tcBorders>
            <w:shd w:val="clear" w:color="auto" w:fill="CCEEFF"/>
          </w:tcPr>
          <w:p>
            <w:pPr>
              <w:spacing w:after="0"/>
              <w:rPr>
                <w:sz w:val="21"/>
                <w:szCs w:val="21"/>
                <w:color w:val="auto"/>
              </w:rPr>
            </w:pPr>
          </w:p>
        </w:tc>
        <w:tc>
          <w:tcPr>
            <w:tcW w:w="1920" w:type="dxa"/>
            <w:vAlign w:val="bottom"/>
            <w:tcBorders>
              <w:bottom w:val="single" w:sz="8" w:color="CCEEFF"/>
            </w:tcBorders>
            <w:shd w:val="clear" w:color="auto" w:fill="CCEEFF"/>
          </w:tcPr>
          <w:p>
            <w:pPr>
              <w:spacing w:after="0"/>
              <w:rPr>
                <w:sz w:val="21"/>
                <w:szCs w:val="21"/>
                <w:color w:val="auto"/>
              </w:rPr>
            </w:pPr>
          </w:p>
        </w:tc>
      </w:tr>
      <w:tr>
        <w:trPr>
          <w:trHeight w:val="270"/>
        </w:trPr>
        <w:tc>
          <w:tcPr>
            <w:tcW w:w="8900" w:type="dxa"/>
            <w:vAlign w:val="bottom"/>
          </w:tcPr>
          <w:p>
            <w:pPr>
              <w:ind w:left="360"/>
              <w:spacing w:after="0"/>
              <w:rPr>
                <w:sz w:val="20"/>
                <w:szCs w:val="20"/>
                <w:color w:val="auto"/>
              </w:rPr>
            </w:pPr>
            <w:r>
              <w:rPr>
                <w:rFonts w:ascii="Arial" w:cs="Arial" w:eastAsia="Arial" w:hAnsi="Arial"/>
                <w:sz w:val="18"/>
                <w:szCs w:val="18"/>
                <w:color w:val="auto"/>
              </w:rPr>
              <w:t xml:space="preserve">Operating lease liabilities in </w:t>
            </w:r>
            <w:r>
              <w:rPr>
                <w:rFonts w:ascii="Arial" w:cs="Arial" w:eastAsia="Arial" w:hAnsi="Arial"/>
                <w:sz w:val="18"/>
                <w:szCs w:val="18"/>
                <w:i w:val="1"/>
                <w:iCs w:val="1"/>
                <w:color w:val="auto"/>
              </w:rPr>
              <w:t>Accrued liabilities</w:t>
            </w: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1920" w:type="dxa"/>
            <w:vAlign w:val="bottom"/>
          </w:tcPr>
          <w:p>
            <w:pPr>
              <w:jc w:val="right"/>
              <w:spacing w:after="0"/>
              <w:rPr>
                <w:sz w:val="20"/>
                <w:szCs w:val="20"/>
                <w:color w:val="auto"/>
              </w:rPr>
            </w:pPr>
            <w:r>
              <w:rPr>
                <w:rFonts w:ascii="Arial" w:cs="Arial" w:eastAsia="Arial" w:hAnsi="Arial"/>
                <w:sz w:val="18"/>
                <w:szCs w:val="18"/>
                <w:color w:val="auto"/>
              </w:rPr>
              <w:t>37,386</w:t>
            </w:r>
          </w:p>
        </w:tc>
      </w:tr>
      <w:tr>
        <w:trPr>
          <w:trHeight w:val="270"/>
        </w:trPr>
        <w:tc>
          <w:tcPr>
            <w:tcW w:w="89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 xml:space="preserve">Operating lease liabilities in </w:t>
            </w:r>
            <w:r>
              <w:rPr>
                <w:rFonts w:ascii="Arial" w:cs="Arial" w:eastAsia="Arial" w:hAnsi="Arial"/>
                <w:sz w:val="18"/>
                <w:szCs w:val="18"/>
                <w:i w:val="1"/>
                <w:iCs w:val="1"/>
                <w:color w:val="auto"/>
              </w:rPr>
              <w:t>Other non-current liabilities</w:t>
            </w:r>
          </w:p>
        </w:tc>
        <w:tc>
          <w:tcPr>
            <w:tcW w:w="42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282,143</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12" w:right="339" w:bottom="1440" w:gutter="0" w:footer="0" w:header="0"/>
        </w:sectPr>
      </w:pPr>
    </w:p>
    <w:bookmarkStart w:id="8" w:name="page9"/>
    <w:bookmarkEnd w:id="8"/>
    <w:p>
      <w:pPr>
        <w:jc w:val="center"/>
        <w:spacing w:after="0"/>
        <w:rPr>
          <w:sz w:val="20"/>
          <w:szCs w:val="20"/>
          <w:color w:val="auto"/>
        </w:rPr>
      </w:pPr>
      <w:r>
        <w:rPr>
          <w:rFonts w:ascii="Arial" w:cs="Arial" w:eastAsia="Arial" w:hAnsi="Arial"/>
          <w:sz w:val="18"/>
          <w:szCs w:val="18"/>
          <w:b w:val="1"/>
          <w:bCs w:val="1"/>
          <w:color w:val="auto"/>
        </w:rPr>
        <w:t>ANALOG DEVICES,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200" w:lineRule="exact"/>
        <w:rPr>
          <w:sz w:val="20"/>
          <w:szCs w:val="20"/>
          <w:color w:val="auto"/>
        </w:rPr>
      </w:pPr>
    </w:p>
    <w:p>
      <w:pPr>
        <w:spacing w:after="0" w:line="362" w:lineRule="exact"/>
        <w:rPr>
          <w:sz w:val="20"/>
          <w:szCs w:val="20"/>
          <w:color w:val="auto"/>
        </w:rPr>
      </w:pPr>
    </w:p>
    <w:p>
      <w:pPr>
        <w:ind w:left="420"/>
        <w:spacing w:after="0"/>
        <w:rPr>
          <w:sz w:val="20"/>
          <w:szCs w:val="20"/>
          <w:color w:val="auto"/>
        </w:rPr>
      </w:pPr>
      <w:r>
        <w:rPr>
          <w:rFonts w:ascii="Arial" w:cs="Arial" w:eastAsia="Arial" w:hAnsi="Arial"/>
          <w:sz w:val="18"/>
          <w:szCs w:val="18"/>
          <w:color w:val="auto"/>
        </w:rPr>
        <w:t>Details of the Company's operating leases are as follows:</w:t>
      </w:r>
    </w:p>
    <w:p>
      <w:pPr>
        <w:spacing w:after="0" w:line="55"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880" w:type="dxa"/>
            <w:vAlign w:val="bottom"/>
            <w:gridSpan w:val="3"/>
          </w:tcPr>
          <w:p>
            <w:pPr>
              <w:jc w:val="center"/>
              <w:ind w:right="340"/>
              <w:spacing w:after="0"/>
              <w:rPr>
                <w:sz w:val="20"/>
                <w:szCs w:val="20"/>
                <w:color w:val="auto"/>
              </w:rPr>
            </w:pPr>
            <w:r>
              <w:rPr>
                <w:rFonts w:ascii="Arial" w:cs="Arial" w:eastAsia="Arial" w:hAnsi="Arial"/>
                <w:sz w:val="14"/>
                <w:szCs w:val="14"/>
                <w:b w:val="1"/>
                <w:bCs w:val="1"/>
                <w:color w:val="auto"/>
                <w:w w:val="93"/>
              </w:rPr>
              <w:t>Three Months Ended</w:t>
            </w:r>
          </w:p>
        </w:tc>
        <w:tc>
          <w:tcPr>
            <w:tcW w:w="140" w:type="dxa"/>
            <w:vAlign w:val="bottom"/>
          </w:tcPr>
          <w:p>
            <w:pPr>
              <w:spacing w:after="0"/>
              <w:rPr>
                <w:sz w:val="16"/>
                <w:szCs w:val="16"/>
                <w:color w:val="auto"/>
              </w:rPr>
            </w:pPr>
          </w:p>
        </w:tc>
        <w:tc>
          <w:tcPr>
            <w:tcW w:w="1860" w:type="dxa"/>
            <w:vAlign w:val="bottom"/>
          </w:tcPr>
          <w:p>
            <w:pPr>
              <w:jc w:val="right"/>
              <w:ind w:right="292"/>
              <w:spacing w:after="0"/>
              <w:rPr>
                <w:sz w:val="20"/>
                <w:szCs w:val="20"/>
                <w:color w:val="auto"/>
              </w:rPr>
            </w:pPr>
            <w:r>
              <w:rPr>
                <w:rFonts w:ascii="Arial" w:cs="Arial" w:eastAsia="Arial" w:hAnsi="Arial"/>
                <w:sz w:val="14"/>
                <w:szCs w:val="14"/>
                <w:b w:val="1"/>
                <w:bCs w:val="1"/>
                <w:color w:val="auto"/>
              </w:rPr>
              <w:t>Nine Months Ended</w:t>
            </w:r>
          </w:p>
        </w:tc>
      </w:tr>
      <w:tr>
        <w:trPr>
          <w:trHeight w:val="209"/>
        </w:trPr>
        <w:tc>
          <w:tcPr>
            <w:tcW w:w="7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80" w:type="dxa"/>
            <w:vAlign w:val="bottom"/>
            <w:gridSpan w:val="3"/>
          </w:tcPr>
          <w:p>
            <w:pPr>
              <w:jc w:val="center"/>
              <w:ind w:right="340"/>
              <w:spacing w:after="0"/>
              <w:rPr>
                <w:sz w:val="20"/>
                <w:szCs w:val="20"/>
                <w:color w:val="auto"/>
              </w:rPr>
            </w:pPr>
            <w:r>
              <w:rPr>
                <w:rFonts w:ascii="Arial" w:cs="Arial" w:eastAsia="Arial" w:hAnsi="Arial"/>
                <w:sz w:val="14"/>
                <w:szCs w:val="14"/>
                <w:b w:val="1"/>
                <w:bCs w:val="1"/>
                <w:color w:val="auto"/>
                <w:w w:val="91"/>
              </w:rPr>
              <w:t>August 1, 2020</w:t>
            </w:r>
          </w:p>
        </w:tc>
        <w:tc>
          <w:tcPr>
            <w:tcW w:w="140" w:type="dxa"/>
            <w:vAlign w:val="bottom"/>
          </w:tcPr>
          <w:p>
            <w:pPr>
              <w:spacing w:after="0"/>
              <w:rPr>
                <w:sz w:val="18"/>
                <w:szCs w:val="18"/>
                <w:color w:val="auto"/>
              </w:rPr>
            </w:pPr>
          </w:p>
        </w:tc>
        <w:tc>
          <w:tcPr>
            <w:tcW w:w="1860" w:type="dxa"/>
            <w:vAlign w:val="bottom"/>
          </w:tcPr>
          <w:p>
            <w:pPr>
              <w:jc w:val="right"/>
              <w:ind w:right="452"/>
              <w:spacing w:after="0"/>
              <w:rPr>
                <w:sz w:val="20"/>
                <w:szCs w:val="20"/>
                <w:color w:val="auto"/>
              </w:rPr>
            </w:pPr>
            <w:r>
              <w:rPr>
                <w:rFonts w:ascii="Arial" w:cs="Arial" w:eastAsia="Arial" w:hAnsi="Arial"/>
                <w:sz w:val="14"/>
                <w:szCs w:val="14"/>
                <w:b w:val="1"/>
                <w:bCs w:val="1"/>
                <w:color w:val="auto"/>
              </w:rPr>
              <w:t>August 1, 2020</w:t>
            </w:r>
          </w:p>
        </w:tc>
      </w:tr>
      <w:tr>
        <w:trPr>
          <w:trHeight w:val="249"/>
        </w:trPr>
        <w:tc>
          <w:tcPr>
            <w:tcW w:w="71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Lease expense</w:t>
            </w:r>
          </w:p>
        </w:tc>
        <w:tc>
          <w:tcPr>
            <w:tcW w:w="22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540" w:type="dxa"/>
            <w:vAlign w:val="bottom"/>
            <w:tcBorders>
              <w:top w:val="single" w:sz="8" w:color="auto"/>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11,728</w:t>
            </w:r>
          </w:p>
        </w:tc>
        <w:tc>
          <w:tcPr>
            <w:tcW w:w="24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860" w:type="dxa"/>
            <w:vAlign w:val="bottom"/>
            <w:tcBorders>
              <w:top w:val="single" w:sz="8" w:color="auto"/>
              <w:bottom w:val="single" w:sz="8" w:color="CCEEFF"/>
            </w:tcBorders>
            <w:shd w:val="clear" w:color="auto" w:fill="CCEEFF"/>
          </w:tcPr>
          <w:p>
            <w:pPr>
              <w:jc w:val="right"/>
              <w:ind w:right="232"/>
              <w:spacing w:after="0"/>
              <w:rPr>
                <w:sz w:val="20"/>
                <w:szCs w:val="20"/>
                <w:color w:val="auto"/>
              </w:rPr>
            </w:pPr>
            <w:r>
              <w:rPr>
                <w:rFonts w:ascii="Arial" w:cs="Arial" w:eastAsia="Arial" w:hAnsi="Arial"/>
                <w:sz w:val="18"/>
                <w:szCs w:val="18"/>
                <w:color w:val="auto"/>
              </w:rPr>
              <w:t>33,864</w:t>
            </w:r>
          </w:p>
        </w:tc>
      </w:tr>
      <w:tr>
        <w:trPr>
          <w:trHeight w:val="243"/>
        </w:trPr>
        <w:tc>
          <w:tcPr>
            <w:tcW w:w="7140" w:type="dxa"/>
            <w:vAlign w:val="bottom"/>
          </w:tcPr>
          <w:p>
            <w:pPr>
              <w:ind w:left="20"/>
              <w:spacing w:after="0"/>
              <w:rPr>
                <w:sz w:val="20"/>
                <w:szCs w:val="20"/>
                <w:color w:val="auto"/>
              </w:rPr>
            </w:pPr>
            <w:r>
              <w:rPr>
                <w:rFonts w:ascii="Arial" w:cs="Arial" w:eastAsia="Arial" w:hAnsi="Arial"/>
                <w:sz w:val="18"/>
                <w:szCs w:val="18"/>
                <w:b w:val="1"/>
                <w:bCs w:val="1"/>
                <w:color w:val="auto"/>
              </w:rPr>
              <w:t>Cash paid for amounts included in the measurement of operating lease liabilities</w:t>
            </w:r>
          </w:p>
        </w:tc>
        <w:tc>
          <w:tcPr>
            <w:tcW w:w="220" w:type="dxa"/>
            <w:vAlign w:val="bottom"/>
          </w:tcPr>
          <w:p>
            <w:pPr>
              <w:spacing w:after="0"/>
              <w:rPr>
                <w:sz w:val="21"/>
                <w:szCs w:val="21"/>
                <w:color w:val="auto"/>
              </w:rPr>
            </w:pPr>
          </w:p>
        </w:tc>
        <w:tc>
          <w:tcPr>
            <w:tcW w:w="15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860" w:type="dxa"/>
            <w:vAlign w:val="bottom"/>
          </w:tcPr>
          <w:p>
            <w:pPr>
              <w:spacing w:after="0"/>
              <w:rPr>
                <w:sz w:val="21"/>
                <w:szCs w:val="21"/>
                <w:color w:val="auto"/>
              </w:rPr>
            </w:pPr>
          </w:p>
        </w:tc>
      </w:tr>
      <w:tr>
        <w:trPr>
          <w:trHeight w:val="27"/>
        </w:trPr>
        <w:tc>
          <w:tcPr>
            <w:tcW w:w="7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860" w:type="dxa"/>
            <w:vAlign w:val="bottom"/>
          </w:tcPr>
          <w:p>
            <w:pPr>
              <w:spacing w:after="0"/>
              <w:rPr>
                <w:sz w:val="2"/>
                <w:szCs w:val="2"/>
                <w:color w:val="auto"/>
              </w:rPr>
            </w:pPr>
          </w:p>
        </w:tc>
      </w:tr>
      <w:tr>
        <w:trPr>
          <w:trHeight w:val="250"/>
        </w:trPr>
        <w:tc>
          <w:tcPr>
            <w:tcW w:w="7140" w:type="dxa"/>
            <w:vAlign w:val="bottom"/>
            <w:tcBorders>
              <w:bottom w:val="single" w:sz="8" w:color="CCEEFF"/>
            </w:tcBorders>
            <w:shd w:val="clear" w:color="auto" w:fill="CCEEFF"/>
          </w:tcPr>
          <w:p>
            <w:pPr>
              <w:ind w:left="440"/>
              <w:spacing w:after="0"/>
              <w:rPr>
                <w:sz w:val="20"/>
                <w:szCs w:val="20"/>
                <w:color w:val="auto"/>
              </w:rPr>
            </w:pPr>
            <w:r>
              <w:rPr>
                <w:rFonts w:ascii="Arial" w:cs="Arial" w:eastAsia="Arial" w:hAnsi="Arial"/>
                <w:sz w:val="18"/>
                <w:szCs w:val="18"/>
                <w:color w:val="auto"/>
              </w:rPr>
              <w:t>Operating cash flows from operating leases</w:t>
            </w: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5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12,159</w:t>
            </w:r>
          </w:p>
        </w:tc>
        <w:tc>
          <w:tcPr>
            <w:tcW w:w="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860" w:type="dxa"/>
            <w:vAlign w:val="bottom"/>
            <w:tcBorders>
              <w:bottom w:val="single" w:sz="8" w:color="CCEEFF"/>
            </w:tcBorders>
            <w:shd w:val="clear" w:color="auto" w:fill="CCEEFF"/>
          </w:tcPr>
          <w:p>
            <w:pPr>
              <w:jc w:val="right"/>
              <w:ind w:right="232"/>
              <w:spacing w:after="0"/>
              <w:rPr>
                <w:sz w:val="20"/>
                <w:szCs w:val="20"/>
                <w:color w:val="auto"/>
              </w:rPr>
            </w:pPr>
            <w:r>
              <w:rPr>
                <w:rFonts w:ascii="Arial" w:cs="Arial" w:eastAsia="Arial" w:hAnsi="Arial"/>
                <w:sz w:val="18"/>
                <w:szCs w:val="18"/>
                <w:color w:val="auto"/>
              </w:rPr>
              <w:t>35,094</w:t>
            </w:r>
          </w:p>
        </w:tc>
      </w:tr>
      <w:tr>
        <w:trPr>
          <w:trHeight w:val="243"/>
        </w:trPr>
        <w:tc>
          <w:tcPr>
            <w:tcW w:w="7140" w:type="dxa"/>
            <w:vAlign w:val="bottom"/>
          </w:tcPr>
          <w:p>
            <w:pPr>
              <w:ind w:left="20"/>
              <w:spacing w:after="0"/>
              <w:rPr>
                <w:sz w:val="20"/>
                <w:szCs w:val="20"/>
                <w:color w:val="auto"/>
              </w:rPr>
            </w:pPr>
            <w:r>
              <w:rPr>
                <w:rFonts w:ascii="Arial" w:cs="Arial" w:eastAsia="Arial" w:hAnsi="Arial"/>
                <w:sz w:val="18"/>
                <w:szCs w:val="18"/>
                <w:color w:val="auto"/>
              </w:rPr>
              <w:t>Lease assets obtained in exchange for new lease liabilities</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540" w:type="dxa"/>
            <w:vAlign w:val="bottom"/>
          </w:tcPr>
          <w:p>
            <w:pPr>
              <w:jc w:val="right"/>
              <w:ind w:right="15"/>
              <w:spacing w:after="0"/>
              <w:rPr>
                <w:sz w:val="20"/>
                <w:szCs w:val="20"/>
                <w:color w:val="auto"/>
              </w:rPr>
            </w:pPr>
            <w:r>
              <w:rPr>
                <w:rFonts w:ascii="Arial" w:cs="Arial" w:eastAsia="Arial" w:hAnsi="Arial"/>
                <w:sz w:val="18"/>
                <w:szCs w:val="18"/>
                <w:color w:val="auto"/>
              </w:rPr>
              <w:t>11,158</w:t>
            </w:r>
          </w:p>
        </w:tc>
        <w:tc>
          <w:tcPr>
            <w:tcW w:w="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860" w:type="dxa"/>
            <w:vAlign w:val="bottom"/>
          </w:tcPr>
          <w:p>
            <w:pPr>
              <w:jc w:val="right"/>
              <w:ind w:right="232"/>
              <w:spacing w:after="0"/>
              <w:rPr>
                <w:sz w:val="20"/>
                <w:szCs w:val="20"/>
                <w:color w:val="auto"/>
              </w:rPr>
            </w:pPr>
            <w:r>
              <w:rPr>
                <w:rFonts w:ascii="Arial" w:cs="Arial" w:eastAsia="Arial" w:hAnsi="Arial"/>
                <w:sz w:val="18"/>
                <w:szCs w:val="18"/>
                <w:color w:val="auto"/>
              </w:rPr>
              <w:t>36,888</w:t>
            </w:r>
          </w:p>
        </w:tc>
      </w:tr>
      <w:tr>
        <w:trPr>
          <w:trHeight w:val="27"/>
        </w:trPr>
        <w:tc>
          <w:tcPr>
            <w:tcW w:w="7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860" w:type="dxa"/>
            <w:vAlign w:val="bottom"/>
          </w:tcPr>
          <w:p>
            <w:pPr>
              <w:spacing w:after="0"/>
              <w:rPr>
                <w:sz w:val="2"/>
                <w:szCs w:val="2"/>
                <w:color w:val="auto"/>
              </w:rPr>
            </w:pPr>
          </w:p>
        </w:tc>
      </w:tr>
      <w:tr>
        <w:trPr>
          <w:trHeight w:val="250"/>
        </w:trPr>
        <w:tc>
          <w:tcPr>
            <w:tcW w:w="7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Weighted average remaining lease term</w:t>
            </w:r>
          </w:p>
        </w:tc>
        <w:tc>
          <w:tcPr>
            <w:tcW w:w="220" w:type="dxa"/>
            <w:vAlign w:val="bottom"/>
            <w:tcBorders>
              <w:bottom w:val="single" w:sz="8" w:color="CCEEFF"/>
            </w:tcBorders>
            <w:shd w:val="clear" w:color="auto" w:fill="CCEEFF"/>
          </w:tcPr>
          <w:p>
            <w:pPr>
              <w:spacing w:after="0"/>
              <w:rPr>
                <w:sz w:val="21"/>
                <w:szCs w:val="21"/>
                <w:color w:val="auto"/>
              </w:rPr>
            </w:pPr>
          </w:p>
        </w:tc>
        <w:tc>
          <w:tcPr>
            <w:tcW w:w="1880" w:type="dxa"/>
            <w:vAlign w:val="bottom"/>
            <w:tcBorders>
              <w:bottom w:val="single" w:sz="8" w:color="CCEEFF"/>
            </w:tcBorders>
            <w:gridSpan w:val="3"/>
            <w:shd w:val="clear" w:color="auto" w:fill="CCEEFF"/>
          </w:tcPr>
          <w:p>
            <w:pPr>
              <w:ind w:left="1020"/>
              <w:spacing w:after="0"/>
              <w:rPr>
                <w:sz w:val="20"/>
                <w:szCs w:val="20"/>
                <w:color w:val="auto"/>
              </w:rPr>
            </w:pPr>
            <w:r>
              <w:rPr>
                <w:rFonts w:ascii="Arial" w:cs="Arial" w:eastAsia="Arial" w:hAnsi="Arial"/>
                <w:sz w:val="18"/>
                <w:szCs w:val="18"/>
                <w:color w:val="auto"/>
              </w:rPr>
              <w:t>9.4 years</w:t>
            </w:r>
          </w:p>
        </w:tc>
        <w:tc>
          <w:tcPr>
            <w:tcW w:w="140" w:type="dxa"/>
            <w:vAlign w:val="bottom"/>
            <w:tcBorders>
              <w:bottom w:val="single" w:sz="8" w:color="CCEEFF"/>
            </w:tcBorders>
            <w:shd w:val="clear" w:color="auto" w:fill="CCEEFF"/>
          </w:tcPr>
          <w:p>
            <w:pPr>
              <w:spacing w:after="0"/>
              <w:rPr>
                <w:sz w:val="21"/>
                <w:szCs w:val="21"/>
                <w:color w:val="auto"/>
              </w:rPr>
            </w:pPr>
          </w:p>
        </w:tc>
        <w:tc>
          <w:tcPr>
            <w:tcW w:w="18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9.4 years</w:t>
            </w:r>
          </w:p>
        </w:tc>
      </w:tr>
      <w:tr>
        <w:trPr>
          <w:trHeight w:val="243"/>
        </w:trPr>
        <w:tc>
          <w:tcPr>
            <w:tcW w:w="7140" w:type="dxa"/>
            <w:vAlign w:val="bottom"/>
          </w:tcPr>
          <w:p>
            <w:pPr>
              <w:ind w:left="20"/>
              <w:spacing w:after="0"/>
              <w:rPr>
                <w:sz w:val="20"/>
                <w:szCs w:val="20"/>
                <w:color w:val="auto"/>
              </w:rPr>
            </w:pPr>
            <w:r>
              <w:rPr>
                <w:rFonts w:ascii="Arial" w:cs="Arial" w:eastAsia="Arial" w:hAnsi="Arial"/>
                <w:sz w:val="18"/>
                <w:szCs w:val="18"/>
                <w:color w:val="auto"/>
              </w:rPr>
              <w:t>Weighted average discount rate</w:t>
            </w:r>
          </w:p>
        </w:tc>
        <w:tc>
          <w:tcPr>
            <w:tcW w:w="220" w:type="dxa"/>
            <w:vAlign w:val="bottom"/>
          </w:tcPr>
          <w:p>
            <w:pPr>
              <w:spacing w:after="0"/>
              <w:rPr>
                <w:sz w:val="21"/>
                <w:szCs w:val="21"/>
                <w:color w:val="auto"/>
              </w:rPr>
            </w:pPr>
          </w:p>
        </w:tc>
        <w:tc>
          <w:tcPr>
            <w:tcW w:w="1780" w:type="dxa"/>
            <w:vAlign w:val="bottom"/>
            <w:gridSpan w:val="2"/>
          </w:tcPr>
          <w:p>
            <w:pPr>
              <w:jc w:val="right"/>
              <w:ind w:right="30"/>
              <w:spacing w:after="0"/>
              <w:rPr>
                <w:sz w:val="20"/>
                <w:szCs w:val="20"/>
                <w:color w:val="auto"/>
              </w:rPr>
            </w:pPr>
            <w:r>
              <w:rPr>
                <w:rFonts w:ascii="Arial" w:cs="Arial" w:eastAsia="Arial" w:hAnsi="Arial"/>
                <w:sz w:val="18"/>
                <w:szCs w:val="18"/>
                <w:color w:val="auto"/>
              </w:rPr>
              <w:t>3.2 %</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860" w:type="dxa"/>
            <w:vAlign w:val="bottom"/>
          </w:tcPr>
          <w:p>
            <w:pPr>
              <w:jc w:val="right"/>
              <w:ind w:right="12"/>
              <w:spacing w:after="0"/>
              <w:rPr>
                <w:sz w:val="20"/>
                <w:szCs w:val="20"/>
                <w:color w:val="auto"/>
              </w:rPr>
            </w:pPr>
            <w:r>
              <w:rPr>
                <w:rFonts w:ascii="Arial" w:cs="Arial" w:eastAsia="Arial" w:hAnsi="Arial"/>
                <w:sz w:val="18"/>
                <w:szCs w:val="18"/>
                <w:color w:val="auto"/>
              </w:rPr>
              <w:t>3.2 %</w:t>
            </w:r>
          </w:p>
        </w:tc>
      </w:tr>
      <w:tr>
        <w:trPr>
          <w:trHeight w:val="351"/>
        </w:trPr>
        <w:tc>
          <w:tcPr>
            <w:tcW w:w="9240" w:type="dxa"/>
            <w:vAlign w:val="bottom"/>
            <w:gridSpan w:val="5"/>
          </w:tcPr>
          <w:p>
            <w:pPr>
              <w:ind w:left="460"/>
              <w:spacing w:after="0"/>
              <w:rPr>
                <w:sz w:val="20"/>
                <w:szCs w:val="20"/>
                <w:color w:val="auto"/>
              </w:rPr>
            </w:pPr>
            <w:r>
              <w:rPr>
                <w:rFonts w:ascii="Arial" w:cs="Arial" w:eastAsia="Arial" w:hAnsi="Arial"/>
                <w:sz w:val="18"/>
                <w:szCs w:val="18"/>
                <w:color w:val="auto"/>
              </w:rPr>
              <w:t>The following table presents the maturities of the Company's operating lease liabilities as of August 1, 2020:</w:t>
            </w:r>
          </w:p>
        </w:tc>
        <w:tc>
          <w:tcPr>
            <w:tcW w:w="140" w:type="dxa"/>
            <w:vAlign w:val="bottom"/>
          </w:tcPr>
          <w:p>
            <w:pPr>
              <w:spacing w:after="0"/>
              <w:rPr>
                <w:sz w:val="24"/>
                <w:szCs w:val="24"/>
                <w:color w:val="auto"/>
              </w:rPr>
            </w:pPr>
          </w:p>
        </w:tc>
        <w:tc>
          <w:tcPr>
            <w:tcW w:w="1860" w:type="dxa"/>
            <w:vAlign w:val="bottom"/>
          </w:tcPr>
          <w:p>
            <w:pPr>
              <w:spacing w:after="0"/>
              <w:rPr>
                <w:sz w:val="24"/>
                <w:szCs w:val="24"/>
                <w:color w:val="auto"/>
              </w:rPr>
            </w:pPr>
          </w:p>
        </w:tc>
      </w:tr>
      <w:tr>
        <w:trPr>
          <w:trHeight w:val="378"/>
        </w:trPr>
        <w:tc>
          <w:tcPr>
            <w:tcW w:w="7140" w:type="dxa"/>
            <w:vAlign w:val="bottom"/>
          </w:tcPr>
          <w:p>
            <w:pPr>
              <w:ind w:left="20"/>
              <w:spacing w:after="0"/>
              <w:rPr>
                <w:sz w:val="20"/>
                <w:szCs w:val="20"/>
                <w:color w:val="auto"/>
              </w:rPr>
            </w:pPr>
            <w:r>
              <w:rPr>
                <w:rFonts w:ascii="Arial" w:cs="Arial" w:eastAsia="Arial" w:hAnsi="Arial"/>
                <w:sz w:val="18"/>
                <w:szCs w:val="18"/>
                <w:b w:val="1"/>
                <w:bCs w:val="1"/>
                <w:color w:val="auto"/>
              </w:rPr>
              <w:t>Fiscal year</w:t>
            </w:r>
          </w:p>
        </w:tc>
        <w:tc>
          <w:tcPr>
            <w:tcW w:w="22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60" w:type="dxa"/>
            <w:vAlign w:val="bottom"/>
          </w:tcPr>
          <w:p>
            <w:pPr>
              <w:jc w:val="right"/>
              <w:ind w:right="412"/>
              <w:spacing w:after="0"/>
              <w:rPr>
                <w:sz w:val="20"/>
                <w:szCs w:val="20"/>
                <w:color w:val="auto"/>
              </w:rPr>
            </w:pPr>
            <w:r>
              <w:rPr>
                <w:rFonts w:ascii="Arial" w:cs="Arial" w:eastAsia="Arial" w:hAnsi="Arial"/>
                <w:sz w:val="18"/>
                <w:szCs w:val="18"/>
                <w:b w:val="1"/>
                <w:bCs w:val="1"/>
                <w:color w:val="auto"/>
                <w:w w:val="88"/>
              </w:rPr>
              <w:t>Operating Leases</w:t>
            </w:r>
          </w:p>
        </w:tc>
      </w:tr>
      <w:tr>
        <w:trPr>
          <w:trHeight w:val="27"/>
        </w:trPr>
        <w:tc>
          <w:tcPr>
            <w:tcW w:w="71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860" w:type="dxa"/>
            <w:vAlign w:val="bottom"/>
            <w:tcBorders>
              <w:bottom w:val="single" w:sz="8" w:color="auto"/>
            </w:tcBorders>
          </w:tcPr>
          <w:p>
            <w:pPr>
              <w:spacing w:after="0"/>
              <w:rPr>
                <w:sz w:val="2"/>
                <w:szCs w:val="2"/>
                <w:color w:val="auto"/>
              </w:rPr>
            </w:pPr>
          </w:p>
        </w:tc>
      </w:tr>
      <w:tr>
        <w:trPr>
          <w:trHeight w:val="243"/>
        </w:trPr>
        <w:tc>
          <w:tcPr>
            <w:tcW w:w="7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Remainder of 2020</w:t>
            </w:r>
          </w:p>
        </w:tc>
        <w:tc>
          <w:tcPr>
            <w:tcW w:w="220" w:type="dxa"/>
            <w:vAlign w:val="bottom"/>
            <w:tcBorders>
              <w:bottom w:val="single" w:sz="8" w:color="CCEEFF"/>
            </w:tcBorders>
            <w:shd w:val="clear" w:color="auto" w:fill="CCEEFF"/>
          </w:tcPr>
          <w:p>
            <w:pPr>
              <w:spacing w:after="0"/>
              <w:rPr>
                <w:sz w:val="21"/>
                <w:szCs w:val="21"/>
                <w:color w:val="auto"/>
              </w:rPr>
            </w:pPr>
          </w:p>
        </w:tc>
        <w:tc>
          <w:tcPr>
            <w:tcW w:w="1780" w:type="dxa"/>
            <w:vAlign w:val="bottom"/>
            <w:tcBorders>
              <w:bottom w:val="single" w:sz="8" w:color="CCEEFF"/>
            </w:tcBorders>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11,778</w:t>
            </w:r>
          </w:p>
        </w:tc>
      </w:tr>
      <w:tr>
        <w:trPr>
          <w:trHeight w:val="243"/>
        </w:trPr>
        <w:tc>
          <w:tcPr>
            <w:tcW w:w="7140" w:type="dxa"/>
            <w:vAlign w:val="bottom"/>
          </w:tcPr>
          <w:p>
            <w:pPr>
              <w:ind w:left="20"/>
              <w:spacing w:after="0"/>
              <w:rPr>
                <w:sz w:val="20"/>
                <w:szCs w:val="20"/>
                <w:color w:val="auto"/>
              </w:rPr>
            </w:pPr>
            <w:r>
              <w:rPr>
                <w:rFonts w:ascii="Arial" w:cs="Arial" w:eastAsia="Arial" w:hAnsi="Arial"/>
                <w:sz w:val="18"/>
                <w:szCs w:val="18"/>
                <w:color w:val="auto"/>
              </w:rPr>
              <w:t>2021</w:t>
            </w:r>
          </w:p>
        </w:tc>
        <w:tc>
          <w:tcPr>
            <w:tcW w:w="220" w:type="dxa"/>
            <w:vAlign w:val="bottom"/>
          </w:tcPr>
          <w:p>
            <w:pPr>
              <w:spacing w:after="0"/>
              <w:rPr>
                <w:sz w:val="21"/>
                <w:szCs w:val="21"/>
                <w:color w:val="auto"/>
              </w:rPr>
            </w:pPr>
          </w:p>
        </w:tc>
        <w:tc>
          <w:tcPr>
            <w:tcW w:w="15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860" w:type="dxa"/>
            <w:vAlign w:val="bottom"/>
          </w:tcPr>
          <w:p>
            <w:pPr>
              <w:jc w:val="right"/>
              <w:spacing w:after="0"/>
              <w:rPr>
                <w:sz w:val="20"/>
                <w:szCs w:val="20"/>
                <w:color w:val="auto"/>
              </w:rPr>
            </w:pPr>
            <w:r>
              <w:rPr>
                <w:rFonts w:ascii="Arial" w:cs="Arial" w:eastAsia="Arial" w:hAnsi="Arial"/>
                <w:sz w:val="18"/>
                <w:szCs w:val="18"/>
                <w:color w:val="auto"/>
              </w:rPr>
              <w:t>46,347</w:t>
            </w:r>
          </w:p>
        </w:tc>
      </w:tr>
      <w:tr>
        <w:trPr>
          <w:trHeight w:val="27"/>
        </w:trPr>
        <w:tc>
          <w:tcPr>
            <w:tcW w:w="7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860" w:type="dxa"/>
            <w:vAlign w:val="bottom"/>
          </w:tcPr>
          <w:p>
            <w:pPr>
              <w:spacing w:after="0"/>
              <w:rPr>
                <w:sz w:val="2"/>
                <w:szCs w:val="2"/>
                <w:color w:val="auto"/>
              </w:rPr>
            </w:pPr>
          </w:p>
        </w:tc>
      </w:tr>
      <w:tr>
        <w:trPr>
          <w:trHeight w:val="250"/>
        </w:trPr>
        <w:tc>
          <w:tcPr>
            <w:tcW w:w="7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2022</w:t>
            </w:r>
          </w:p>
        </w:tc>
        <w:tc>
          <w:tcPr>
            <w:tcW w:w="22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40,463</w:t>
            </w:r>
          </w:p>
        </w:tc>
      </w:tr>
      <w:tr>
        <w:trPr>
          <w:trHeight w:val="243"/>
        </w:trPr>
        <w:tc>
          <w:tcPr>
            <w:tcW w:w="7140" w:type="dxa"/>
            <w:vAlign w:val="bottom"/>
          </w:tcPr>
          <w:p>
            <w:pPr>
              <w:ind w:left="20"/>
              <w:spacing w:after="0"/>
              <w:rPr>
                <w:sz w:val="20"/>
                <w:szCs w:val="20"/>
                <w:color w:val="auto"/>
              </w:rPr>
            </w:pPr>
            <w:r>
              <w:rPr>
                <w:rFonts w:ascii="Arial" w:cs="Arial" w:eastAsia="Arial" w:hAnsi="Arial"/>
                <w:sz w:val="18"/>
                <w:szCs w:val="18"/>
                <w:color w:val="auto"/>
              </w:rPr>
              <w:t>2023</w:t>
            </w:r>
          </w:p>
        </w:tc>
        <w:tc>
          <w:tcPr>
            <w:tcW w:w="220" w:type="dxa"/>
            <w:vAlign w:val="bottom"/>
          </w:tcPr>
          <w:p>
            <w:pPr>
              <w:spacing w:after="0"/>
              <w:rPr>
                <w:sz w:val="21"/>
                <w:szCs w:val="21"/>
                <w:color w:val="auto"/>
              </w:rPr>
            </w:pPr>
          </w:p>
        </w:tc>
        <w:tc>
          <w:tcPr>
            <w:tcW w:w="15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860" w:type="dxa"/>
            <w:vAlign w:val="bottom"/>
          </w:tcPr>
          <w:p>
            <w:pPr>
              <w:jc w:val="right"/>
              <w:spacing w:after="0"/>
              <w:rPr>
                <w:sz w:val="20"/>
                <w:szCs w:val="20"/>
                <w:color w:val="auto"/>
              </w:rPr>
            </w:pPr>
            <w:r>
              <w:rPr>
                <w:rFonts w:ascii="Arial" w:cs="Arial" w:eastAsia="Arial" w:hAnsi="Arial"/>
                <w:sz w:val="18"/>
                <w:szCs w:val="18"/>
                <w:color w:val="auto"/>
              </w:rPr>
              <w:t>37,053</w:t>
            </w:r>
          </w:p>
        </w:tc>
      </w:tr>
      <w:tr>
        <w:trPr>
          <w:trHeight w:val="27"/>
        </w:trPr>
        <w:tc>
          <w:tcPr>
            <w:tcW w:w="7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860" w:type="dxa"/>
            <w:vAlign w:val="bottom"/>
          </w:tcPr>
          <w:p>
            <w:pPr>
              <w:spacing w:after="0"/>
              <w:rPr>
                <w:sz w:val="2"/>
                <w:szCs w:val="2"/>
                <w:color w:val="auto"/>
              </w:rPr>
            </w:pPr>
          </w:p>
        </w:tc>
      </w:tr>
      <w:tr>
        <w:trPr>
          <w:trHeight w:val="250"/>
        </w:trPr>
        <w:tc>
          <w:tcPr>
            <w:tcW w:w="7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2024</w:t>
            </w:r>
          </w:p>
        </w:tc>
        <w:tc>
          <w:tcPr>
            <w:tcW w:w="22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36,429</w:t>
            </w:r>
          </w:p>
        </w:tc>
      </w:tr>
      <w:tr>
        <w:trPr>
          <w:trHeight w:val="243"/>
        </w:trPr>
        <w:tc>
          <w:tcPr>
            <w:tcW w:w="7140" w:type="dxa"/>
            <w:vAlign w:val="bottom"/>
          </w:tcPr>
          <w:p>
            <w:pPr>
              <w:ind w:left="20"/>
              <w:spacing w:after="0"/>
              <w:rPr>
                <w:sz w:val="20"/>
                <w:szCs w:val="20"/>
                <w:color w:val="auto"/>
              </w:rPr>
            </w:pPr>
            <w:r>
              <w:rPr>
                <w:rFonts w:ascii="Arial" w:cs="Arial" w:eastAsia="Arial" w:hAnsi="Arial"/>
                <w:sz w:val="18"/>
                <w:szCs w:val="18"/>
                <w:color w:val="auto"/>
              </w:rPr>
              <w:t>2025</w:t>
            </w:r>
          </w:p>
        </w:tc>
        <w:tc>
          <w:tcPr>
            <w:tcW w:w="220" w:type="dxa"/>
            <w:vAlign w:val="bottom"/>
          </w:tcPr>
          <w:p>
            <w:pPr>
              <w:spacing w:after="0"/>
              <w:rPr>
                <w:sz w:val="21"/>
                <w:szCs w:val="21"/>
                <w:color w:val="auto"/>
              </w:rPr>
            </w:pPr>
          </w:p>
        </w:tc>
        <w:tc>
          <w:tcPr>
            <w:tcW w:w="15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860" w:type="dxa"/>
            <w:vAlign w:val="bottom"/>
          </w:tcPr>
          <w:p>
            <w:pPr>
              <w:jc w:val="right"/>
              <w:spacing w:after="0"/>
              <w:rPr>
                <w:sz w:val="20"/>
                <w:szCs w:val="20"/>
                <w:color w:val="auto"/>
              </w:rPr>
            </w:pPr>
            <w:r>
              <w:rPr>
                <w:rFonts w:ascii="Arial" w:cs="Arial" w:eastAsia="Arial" w:hAnsi="Arial"/>
                <w:sz w:val="18"/>
                <w:szCs w:val="18"/>
                <w:color w:val="auto"/>
              </w:rPr>
              <w:t>34,148</w:t>
            </w:r>
          </w:p>
        </w:tc>
      </w:tr>
      <w:tr>
        <w:trPr>
          <w:trHeight w:val="27"/>
        </w:trPr>
        <w:tc>
          <w:tcPr>
            <w:tcW w:w="7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860" w:type="dxa"/>
            <w:vAlign w:val="bottom"/>
          </w:tcPr>
          <w:p>
            <w:pPr>
              <w:spacing w:after="0"/>
              <w:rPr>
                <w:sz w:val="2"/>
                <w:szCs w:val="2"/>
                <w:color w:val="auto"/>
              </w:rPr>
            </w:pPr>
          </w:p>
        </w:tc>
      </w:tr>
      <w:tr>
        <w:trPr>
          <w:trHeight w:val="270"/>
        </w:trPr>
        <w:tc>
          <w:tcPr>
            <w:tcW w:w="7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Thereafter</w:t>
            </w:r>
          </w:p>
        </w:tc>
        <w:tc>
          <w:tcPr>
            <w:tcW w:w="220" w:type="dxa"/>
            <w:vAlign w:val="bottom"/>
            <w:tcBorders>
              <w:bottom w:val="single" w:sz="8" w:color="CCEEFF"/>
            </w:tcBorders>
            <w:shd w:val="clear" w:color="auto" w:fill="CCEEFF"/>
          </w:tcPr>
          <w:p>
            <w:pPr>
              <w:spacing w:after="0"/>
              <w:rPr>
                <w:sz w:val="23"/>
                <w:szCs w:val="23"/>
                <w:color w:val="auto"/>
              </w:rPr>
            </w:pPr>
          </w:p>
        </w:tc>
        <w:tc>
          <w:tcPr>
            <w:tcW w:w="154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166,800</w:t>
            </w:r>
          </w:p>
        </w:tc>
      </w:tr>
      <w:tr>
        <w:trPr>
          <w:trHeight w:val="237"/>
        </w:trPr>
        <w:tc>
          <w:tcPr>
            <w:tcW w:w="7140" w:type="dxa"/>
            <w:vAlign w:val="bottom"/>
          </w:tcPr>
          <w:p>
            <w:pPr>
              <w:ind w:left="20"/>
              <w:spacing w:after="0"/>
              <w:rPr>
                <w:sz w:val="20"/>
                <w:szCs w:val="20"/>
                <w:color w:val="auto"/>
              </w:rPr>
            </w:pPr>
            <w:r>
              <w:rPr>
                <w:rFonts w:ascii="Arial" w:cs="Arial" w:eastAsia="Arial" w:hAnsi="Arial"/>
                <w:sz w:val="18"/>
                <w:szCs w:val="18"/>
                <w:b w:val="1"/>
                <w:bCs w:val="1"/>
                <w:color w:val="auto"/>
              </w:rPr>
              <w:t>Total future minimum operating lease payments</w:t>
            </w:r>
          </w:p>
        </w:tc>
        <w:tc>
          <w:tcPr>
            <w:tcW w:w="22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86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373,018</w:t>
            </w:r>
          </w:p>
        </w:tc>
      </w:tr>
      <w:tr>
        <w:trPr>
          <w:trHeight w:val="27"/>
        </w:trPr>
        <w:tc>
          <w:tcPr>
            <w:tcW w:w="7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860" w:type="dxa"/>
            <w:vAlign w:val="bottom"/>
          </w:tcPr>
          <w:p>
            <w:pPr>
              <w:spacing w:after="0"/>
              <w:rPr>
                <w:sz w:val="2"/>
                <w:szCs w:val="2"/>
                <w:color w:val="auto"/>
              </w:rPr>
            </w:pPr>
          </w:p>
        </w:tc>
      </w:tr>
      <w:tr>
        <w:trPr>
          <w:trHeight w:val="270"/>
        </w:trPr>
        <w:tc>
          <w:tcPr>
            <w:tcW w:w="7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Less: imputed interest</w:t>
            </w:r>
          </w:p>
        </w:tc>
        <w:tc>
          <w:tcPr>
            <w:tcW w:w="220" w:type="dxa"/>
            <w:vAlign w:val="bottom"/>
            <w:tcBorders>
              <w:bottom w:val="single" w:sz="8" w:color="CCEEFF"/>
            </w:tcBorders>
            <w:shd w:val="clear" w:color="auto" w:fill="CCEEFF"/>
          </w:tcPr>
          <w:p>
            <w:pPr>
              <w:spacing w:after="0"/>
              <w:rPr>
                <w:sz w:val="23"/>
                <w:szCs w:val="23"/>
                <w:color w:val="auto"/>
              </w:rPr>
            </w:pPr>
          </w:p>
        </w:tc>
        <w:tc>
          <w:tcPr>
            <w:tcW w:w="154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(53,489)</w:t>
            </w:r>
          </w:p>
        </w:tc>
      </w:tr>
      <w:tr>
        <w:trPr>
          <w:trHeight w:val="236"/>
        </w:trPr>
        <w:tc>
          <w:tcPr>
            <w:tcW w:w="7140" w:type="dxa"/>
            <w:vAlign w:val="bottom"/>
          </w:tcPr>
          <w:p>
            <w:pPr>
              <w:ind w:left="20"/>
              <w:spacing w:after="0"/>
              <w:rPr>
                <w:sz w:val="20"/>
                <w:szCs w:val="20"/>
                <w:color w:val="auto"/>
              </w:rPr>
            </w:pPr>
            <w:r>
              <w:rPr>
                <w:rFonts w:ascii="Arial" w:cs="Arial" w:eastAsia="Arial" w:hAnsi="Arial"/>
                <w:sz w:val="18"/>
                <w:szCs w:val="18"/>
                <w:b w:val="1"/>
                <w:bCs w:val="1"/>
                <w:color w:val="auto"/>
              </w:rPr>
              <w:t>Present value of operating lease liabilities</w:t>
            </w:r>
          </w:p>
        </w:tc>
        <w:tc>
          <w:tcPr>
            <w:tcW w:w="22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100" w:type="dxa"/>
            <w:vAlign w:val="bottom"/>
            <w:tcBorders>
              <w:top w:val="single" w:sz="8" w:color="auto"/>
            </w:tcBorders>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86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319,529</w:t>
            </w:r>
          </w:p>
        </w:tc>
      </w:tr>
      <w:tr>
        <w:trPr>
          <w:trHeight w:val="27"/>
        </w:trPr>
        <w:tc>
          <w:tcPr>
            <w:tcW w:w="7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4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860" w:type="dxa"/>
            <w:vAlign w:val="bottom"/>
            <w:tcBorders>
              <w:bottom w:val="single" w:sz="8" w:color="auto"/>
            </w:tcBorders>
          </w:tcPr>
          <w:p>
            <w:pPr>
              <w:spacing w:after="0"/>
              <w:rPr>
                <w:sz w:val="2"/>
                <w:szCs w:val="2"/>
                <w:color w:val="auto"/>
              </w:rPr>
            </w:pPr>
          </w:p>
        </w:tc>
      </w:tr>
      <w:tr>
        <w:trPr>
          <w:trHeight w:val="20"/>
        </w:trPr>
        <w:tc>
          <w:tcPr>
            <w:tcW w:w="7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86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jc w:val="both"/>
        <w:ind w:right="20" w:firstLine="445"/>
        <w:spacing w:after="0" w:line="277" w:lineRule="auto"/>
        <w:rPr>
          <w:sz w:val="20"/>
          <w:szCs w:val="20"/>
          <w:color w:val="auto"/>
        </w:rPr>
      </w:pPr>
      <w:r>
        <w:rPr>
          <w:rFonts w:ascii="Arial" w:cs="Arial" w:eastAsia="Arial" w:hAnsi="Arial"/>
          <w:sz w:val="18"/>
          <w:szCs w:val="18"/>
          <w:color w:val="auto"/>
        </w:rPr>
        <w:t>As of August 1, 2020, the Company has an additional lease for office space, which has not yet commenced, of approximately $9.1 million. This lease will commence in fiscal 2020, with a lease term of 10 years.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 Stock-Based Compensation and Shareholders' Equity</w:t>
      </w:r>
    </w:p>
    <w:p>
      <w:pPr>
        <w:spacing w:after="0" w:line="108" w:lineRule="exact"/>
        <w:rPr>
          <w:sz w:val="20"/>
          <w:szCs w:val="20"/>
          <w:color w:val="auto"/>
        </w:rPr>
      </w:pPr>
    </w:p>
    <w:p>
      <w:pPr>
        <w:ind w:left="460"/>
        <w:spacing w:after="0"/>
        <w:rPr>
          <w:sz w:val="20"/>
          <w:szCs w:val="20"/>
          <w:color w:val="auto"/>
        </w:rPr>
      </w:pPr>
      <w:r>
        <w:rPr>
          <w:rFonts w:ascii="Arial" w:cs="Arial" w:eastAsia="Arial" w:hAnsi="Arial"/>
          <w:sz w:val="16"/>
          <w:szCs w:val="16"/>
          <w:color w:val="auto"/>
        </w:rPr>
        <w:t>A summary of the Company’s stock option activity as of August 1, 2020 and changes during the nine-month period then ended is presented below:</w:t>
      </w:r>
    </w:p>
    <w:p>
      <w:pPr>
        <w:spacing w:after="0" w:line="7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40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1"/>
              </w:rPr>
              <w:t>Weighted-</w:t>
            </w:r>
          </w:p>
        </w:tc>
        <w:tc>
          <w:tcPr>
            <w:tcW w:w="14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40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0"/>
              </w:rPr>
              <w:t>Average</w:t>
            </w:r>
          </w:p>
        </w:tc>
        <w:tc>
          <w:tcPr>
            <w:tcW w:w="14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400" w:type="dxa"/>
            <w:vAlign w:val="bottom"/>
          </w:tcPr>
          <w:p>
            <w:pPr>
              <w:spacing w:after="0"/>
              <w:rPr>
                <w:sz w:val="14"/>
                <w:szCs w:val="14"/>
                <w:color w:val="auto"/>
              </w:rPr>
            </w:pPr>
          </w:p>
        </w:tc>
        <w:tc>
          <w:tcPr>
            <w:tcW w:w="1360" w:type="dxa"/>
            <w:vAlign w:val="bottom"/>
          </w:tcPr>
          <w:p>
            <w:pPr>
              <w:jc w:val="center"/>
              <w:spacing w:after="0"/>
              <w:rPr>
                <w:sz w:val="20"/>
                <w:szCs w:val="20"/>
                <w:color w:val="auto"/>
              </w:rPr>
            </w:pPr>
            <w:r>
              <w:rPr>
                <w:rFonts w:ascii="Arial" w:cs="Arial" w:eastAsia="Arial" w:hAnsi="Arial"/>
                <w:sz w:val="14"/>
                <w:szCs w:val="14"/>
                <w:b w:val="1"/>
                <w:bCs w:val="1"/>
                <w:color w:val="auto"/>
                <w:w w:val="90"/>
              </w:rPr>
              <w:t>Options</w:t>
            </w:r>
          </w:p>
        </w:tc>
        <w:tc>
          <w:tcPr>
            <w:tcW w:w="100" w:type="dxa"/>
            <w:vAlign w:val="bottom"/>
          </w:tcPr>
          <w:p>
            <w:pPr>
              <w:spacing w:after="0"/>
              <w:rPr>
                <w:sz w:val="14"/>
                <w:szCs w:val="14"/>
                <w:color w:val="auto"/>
              </w:rPr>
            </w:pPr>
          </w:p>
        </w:tc>
        <w:tc>
          <w:tcPr>
            <w:tcW w:w="15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1"/>
              </w:rPr>
              <w:t>Weighted-</w:t>
            </w:r>
          </w:p>
        </w:tc>
        <w:tc>
          <w:tcPr>
            <w:tcW w:w="13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2"/>
              </w:rPr>
              <w:t>Remaining</w:t>
            </w:r>
          </w:p>
        </w:tc>
        <w:tc>
          <w:tcPr>
            <w:tcW w:w="14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9"/>
              </w:rPr>
              <w:t>Aggregate</w:t>
            </w:r>
          </w:p>
        </w:tc>
        <w:tc>
          <w:tcPr>
            <w:tcW w:w="0" w:type="dxa"/>
            <w:vAlign w:val="bottom"/>
          </w:tcPr>
          <w:p>
            <w:pPr>
              <w:spacing w:after="0"/>
              <w:rPr>
                <w:sz w:val="1"/>
                <w:szCs w:val="1"/>
                <w:color w:val="auto"/>
              </w:rPr>
            </w:pPr>
          </w:p>
        </w:tc>
      </w:tr>
      <w:tr>
        <w:trPr>
          <w:trHeight w:val="40"/>
        </w:trPr>
        <w:tc>
          <w:tcPr>
            <w:tcW w:w="5400" w:type="dxa"/>
            <w:vAlign w:val="bottom"/>
          </w:tcPr>
          <w:p>
            <w:pPr>
              <w:spacing w:after="0"/>
              <w:rPr>
                <w:sz w:val="3"/>
                <w:szCs w:val="3"/>
                <w:color w:val="auto"/>
              </w:rPr>
            </w:pPr>
          </w:p>
        </w:tc>
        <w:tc>
          <w:tcPr>
            <w:tcW w:w="13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2"/>
              </w:rPr>
              <w:t>Outstanding</w:t>
            </w:r>
          </w:p>
        </w:tc>
        <w:tc>
          <w:tcPr>
            <w:tcW w:w="100" w:type="dxa"/>
            <w:vAlign w:val="bottom"/>
          </w:tcPr>
          <w:p>
            <w:pPr>
              <w:spacing w:after="0"/>
              <w:rPr>
                <w:sz w:val="3"/>
                <w:szCs w:val="3"/>
                <w:color w:val="auto"/>
              </w:rPr>
            </w:pPr>
          </w:p>
        </w:tc>
        <w:tc>
          <w:tcPr>
            <w:tcW w:w="156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0"/>
              </w:rPr>
              <w:t>Average Exercise</w:t>
            </w:r>
          </w:p>
        </w:tc>
        <w:tc>
          <w:tcPr>
            <w:tcW w:w="136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5"/>
              </w:rPr>
              <w:t>Contractual</w:t>
            </w:r>
          </w:p>
        </w:tc>
        <w:tc>
          <w:tcPr>
            <w:tcW w:w="146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44"/>
        </w:trPr>
        <w:tc>
          <w:tcPr>
            <w:tcW w:w="5400" w:type="dxa"/>
            <w:vAlign w:val="bottom"/>
          </w:tcPr>
          <w:p>
            <w:pPr>
              <w:spacing w:after="0"/>
              <w:rPr>
                <w:sz w:val="12"/>
                <w:szCs w:val="12"/>
                <w:color w:val="auto"/>
              </w:rPr>
            </w:pPr>
          </w:p>
        </w:tc>
        <w:tc>
          <w:tcPr>
            <w:tcW w:w="136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560" w:type="dxa"/>
            <w:vAlign w:val="bottom"/>
            <w:gridSpan w:val="2"/>
            <w:vMerge w:val="continue"/>
          </w:tcPr>
          <w:p>
            <w:pPr>
              <w:spacing w:after="0"/>
              <w:rPr>
                <w:sz w:val="12"/>
                <w:szCs w:val="12"/>
                <w:color w:val="auto"/>
              </w:rPr>
            </w:pPr>
          </w:p>
        </w:tc>
        <w:tc>
          <w:tcPr>
            <w:tcW w:w="1360" w:type="dxa"/>
            <w:vAlign w:val="bottom"/>
            <w:gridSpan w:val="2"/>
            <w:vMerge w:val="continue"/>
          </w:tcPr>
          <w:p>
            <w:pPr>
              <w:spacing w:after="0"/>
              <w:rPr>
                <w:sz w:val="12"/>
                <w:szCs w:val="12"/>
                <w:color w:val="auto"/>
              </w:rPr>
            </w:pPr>
          </w:p>
        </w:tc>
        <w:tc>
          <w:tcPr>
            <w:tcW w:w="1460" w:type="dxa"/>
            <w:vAlign w:val="bottom"/>
          </w:tcPr>
          <w:p>
            <w:pPr>
              <w:jc w:val="center"/>
              <w:spacing w:after="0" w:line="145" w:lineRule="exact"/>
              <w:rPr>
                <w:sz w:val="20"/>
                <w:szCs w:val="20"/>
                <w:color w:val="auto"/>
              </w:rPr>
            </w:pPr>
            <w:r>
              <w:rPr>
                <w:rFonts w:ascii="Arial" w:cs="Arial" w:eastAsia="Arial" w:hAnsi="Arial"/>
                <w:sz w:val="14"/>
                <w:szCs w:val="14"/>
                <w:b w:val="1"/>
                <w:bCs w:val="1"/>
                <w:color w:val="auto"/>
                <w:w w:val="99"/>
              </w:rPr>
              <w:t>Intrinsic</w:t>
            </w:r>
          </w:p>
        </w:tc>
        <w:tc>
          <w:tcPr>
            <w:tcW w:w="0" w:type="dxa"/>
            <w:vAlign w:val="bottom"/>
          </w:tcPr>
          <w:p>
            <w:pPr>
              <w:spacing w:after="0"/>
              <w:rPr>
                <w:sz w:val="1"/>
                <w:szCs w:val="1"/>
                <w:color w:val="auto"/>
              </w:rPr>
            </w:pPr>
          </w:p>
        </w:tc>
      </w:tr>
      <w:tr>
        <w:trPr>
          <w:trHeight w:val="188"/>
        </w:trPr>
        <w:tc>
          <w:tcPr>
            <w:tcW w:w="5400" w:type="dxa"/>
            <w:vAlign w:val="bottom"/>
            <w:tcBorders>
              <w:bottom w:val="single" w:sz="8" w:color="CCEEFF"/>
            </w:tcBorders>
          </w:tcPr>
          <w:p>
            <w:pPr>
              <w:spacing w:after="0"/>
              <w:rPr>
                <w:sz w:val="16"/>
                <w:szCs w:val="16"/>
                <w:color w:val="auto"/>
              </w:rPr>
            </w:pPr>
          </w:p>
        </w:tc>
        <w:tc>
          <w:tcPr>
            <w:tcW w:w="13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(in thousands)</w:t>
            </w:r>
          </w:p>
        </w:tc>
        <w:tc>
          <w:tcPr>
            <w:tcW w:w="100" w:type="dxa"/>
            <w:vAlign w:val="bottom"/>
            <w:tcBorders>
              <w:bottom w:val="single" w:sz="8" w:color="CCEEFF"/>
            </w:tcBorders>
          </w:tcPr>
          <w:p>
            <w:pPr>
              <w:spacing w:after="0"/>
              <w:rPr>
                <w:sz w:val="16"/>
                <w:szCs w:val="16"/>
                <w:color w:val="auto"/>
              </w:rPr>
            </w:pPr>
          </w:p>
        </w:tc>
        <w:tc>
          <w:tcPr>
            <w:tcW w:w="14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Price Per Share</w:t>
            </w:r>
          </w:p>
        </w:tc>
        <w:tc>
          <w:tcPr>
            <w:tcW w:w="100" w:type="dxa"/>
            <w:vAlign w:val="bottom"/>
            <w:tcBorders>
              <w:bottom w:val="single" w:sz="8" w:color="CCEEFF"/>
            </w:tcBorders>
          </w:tcPr>
          <w:p>
            <w:pPr>
              <w:spacing w:after="0"/>
              <w:rPr>
                <w:sz w:val="16"/>
                <w:szCs w:val="16"/>
                <w:color w:val="auto"/>
              </w:rPr>
            </w:pPr>
          </w:p>
        </w:tc>
        <w:tc>
          <w:tcPr>
            <w:tcW w:w="12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Term in Years</w:t>
            </w:r>
          </w:p>
        </w:tc>
        <w:tc>
          <w:tcPr>
            <w:tcW w:w="100" w:type="dxa"/>
            <w:vAlign w:val="bottom"/>
            <w:tcBorders>
              <w:bottom w:val="single" w:sz="8" w:color="CCEEFF"/>
            </w:tcBorders>
          </w:tcPr>
          <w:p>
            <w:pPr>
              <w:spacing w:after="0"/>
              <w:rPr>
                <w:sz w:val="16"/>
                <w:szCs w:val="16"/>
                <w:color w:val="auto"/>
              </w:rPr>
            </w:pPr>
          </w:p>
        </w:tc>
        <w:tc>
          <w:tcPr>
            <w:tcW w:w="14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Value</w:t>
            </w:r>
          </w:p>
        </w:tc>
        <w:tc>
          <w:tcPr>
            <w:tcW w:w="0" w:type="dxa"/>
            <w:vAlign w:val="bottom"/>
          </w:tcPr>
          <w:p>
            <w:pPr>
              <w:spacing w:after="0"/>
              <w:rPr>
                <w:sz w:val="1"/>
                <w:szCs w:val="1"/>
                <w:color w:val="auto"/>
              </w:rPr>
            </w:pPr>
          </w:p>
        </w:tc>
      </w:tr>
      <w:tr>
        <w:trPr>
          <w:trHeight w:val="245"/>
        </w:trPr>
        <w:tc>
          <w:tcPr>
            <w:tcW w:w="5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Options outstanding at November 2, 2019</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5,183</w:t>
            </w:r>
          </w:p>
        </w:tc>
        <w:tc>
          <w:tcPr>
            <w:tcW w:w="1560" w:type="dxa"/>
            <w:vAlign w:val="bottom"/>
            <w:tcBorders>
              <w:bottom w:val="single" w:sz="8" w:color="CCEEFF"/>
            </w:tcBorders>
            <w:gridSpan w:val="2"/>
            <w:shd w:val="clear" w:color="auto" w:fill="CCEEFF"/>
          </w:tcPr>
          <w:p>
            <w:pPr>
              <w:jc w:val="right"/>
              <w:ind w:right="28"/>
              <w:spacing w:after="0"/>
              <w:rPr>
                <w:sz w:val="20"/>
                <w:szCs w:val="20"/>
                <w:color w:val="auto"/>
              </w:rPr>
            </w:pPr>
            <w:r>
              <w:rPr>
                <w:rFonts w:ascii="Arial" w:cs="Arial" w:eastAsia="Arial" w:hAnsi="Arial"/>
                <w:sz w:val="18"/>
                <w:szCs w:val="18"/>
                <w:color w:val="auto"/>
              </w:rPr>
              <w:t>$65.97</w:t>
            </w:r>
          </w:p>
        </w:tc>
        <w:tc>
          <w:tcPr>
            <w:tcW w:w="1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400" w:type="dxa"/>
            <w:vAlign w:val="bottom"/>
          </w:tcPr>
          <w:p>
            <w:pPr>
              <w:ind w:left="340"/>
              <w:spacing w:after="0"/>
              <w:rPr>
                <w:sz w:val="20"/>
                <w:szCs w:val="20"/>
                <w:color w:val="auto"/>
              </w:rPr>
            </w:pPr>
            <w:r>
              <w:rPr>
                <w:rFonts w:ascii="Arial" w:cs="Arial" w:eastAsia="Arial" w:hAnsi="Arial"/>
                <w:sz w:val="18"/>
                <w:szCs w:val="18"/>
                <w:color w:val="auto"/>
              </w:rPr>
              <w:t>Options granted</w:t>
            </w:r>
          </w:p>
        </w:tc>
        <w:tc>
          <w:tcPr>
            <w:tcW w:w="1360" w:type="dxa"/>
            <w:vAlign w:val="bottom"/>
          </w:tcPr>
          <w:p>
            <w:pPr>
              <w:jc w:val="right"/>
              <w:spacing w:after="0"/>
              <w:rPr>
                <w:sz w:val="20"/>
                <w:szCs w:val="20"/>
                <w:color w:val="auto"/>
              </w:rPr>
            </w:pPr>
            <w:r>
              <w:rPr>
                <w:rFonts w:ascii="Arial" w:cs="Arial" w:eastAsia="Arial" w:hAnsi="Arial"/>
                <w:sz w:val="18"/>
                <w:szCs w:val="18"/>
                <w:color w:val="auto"/>
              </w:rPr>
              <w:t>359</w:t>
            </w:r>
          </w:p>
        </w:tc>
        <w:tc>
          <w:tcPr>
            <w:tcW w:w="1560" w:type="dxa"/>
            <w:vAlign w:val="bottom"/>
            <w:gridSpan w:val="2"/>
          </w:tcPr>
          <w:p>
            <w:pPr>
              <w:jc w:val="right"/>
              <w:ind w:right="28"/>
              <w:spacing w:after="0"/>
              <w:rPr>
                <w:sz w:val="20"/>
                <w:szCs w:val="20"/>
                <w:color w:val="auto"/>
              </w:rPr>
            </w:pPr>
            <w:r>
              <w:rPr>
                <w:rFonts w:ascii="Arial" w:cs="Arial" w:eastAsia="Arial" w:hAnsi="Arial"/>
                <w:sz w:val="18"/>
                <w:szCs w:val="18"/>
                <w:color w:val="auto"/>
              </w:rPr>
              <w:t>$94.41</w:t>
            </w:r>
          </w:p>
        </w:tc>
        <w:tc>
          <w:tcPr>
            <w:tcW w:w="10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4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40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Options exercised</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(1,032)</w:t>
            </w:r>
          </w:p>
        </w:tc>
        <w:tc>
          <w:tcPr>
            <w:tcW w:w="1560" w:type="dxa"/>
            <w:vAlign w:val="bottom"/>
            <w:tcBorders>
              <w:bottom w:val="single" w:sz="8" w:color="CCEEFF"/>
            </w:tcBorders>
            <w:gridSpan w:val="2"/>
            <w:shd w:val="clear" w:color="auto" w:fill="CCEEFF"/>
          </w:tcPr>
          <w:p>
            <w:pPr>
              <w:jc w:val="right"/>
              <w:ind w:right="28"/>
              <w:spacing w:after="0"/>
              <w:rPr>
                <w:sz w:val="20"/>
                <w:szCs w:val="20"/>
                <w:color w:val="auto"/>
              </w:rPr>
            </w:pPr>
            <w:r>
              <w:rPr>
                <w:rFonts w:ascii="Arial" w:cs="Arial" w:eastAsia="Arial" w:hAnsi="Arial"/>
                <w:sz w:val="18"/>
                <w:szCs w:val="18"/>
                <w:color w:val="auto"/>
              </w:rPr>
              <w:t>$55.96</w:t>
            </w:r>
          </w:p>
        </w:tc>
        <w:tc>
          <w:tcPr>
            <w:tcW w:w="1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400" w:type="dxa"/>
            <w:vAlign w:val="bottom"/>
          </w:tcPr>
          <w:p>
            <w:pPr>
              <w:ind w:left="340"/>
              <w:spacing w:after="0"/>
              <w:rPr>
                <w:sz w:val="20"/>
                <w:szCs w:val="20"/>
                <w:color w:val="auto"/>
              </w:rPr>
            </w:pPr>
            <w:r>
              <w:rPr>
                <w:rFonts w:ascii="Arial" w:cs="Arial" w:eastAsia="Arial" w:hAnsi="Arial"/>
                <w:sz w:val="18"/>
                <w:szCs w:val="18"/>
                <w:color w:val="auto"/>
              </w:rPr>
              <w:t>Options forfeited</w:t>
            </w:r>
          </w:p>
        </w:tc>
        <w:tc>
          <w:tcPr>
            <w:tcW w:w="1360" w:type="dxa"/>
            <w:vAlign w:val="bottom"/>
          </w:tcPr>
          <w:p>
            <w:pPr>
              <w:jc w:val="right"/>
              <w:spacing w:after="0"/>
              <w:rPr>
                <w:sz w:val="20"/>
                <w:szCs w:val="20"/>
                <w:color w:val="auto"/>
              </w:rPr>
            </w:pPr>
            <w:r>
              <w:rPr>
                <w:rFonts w:ascii="Arial" w:cs="Arial" w:eastAsia="Arial" w:hAnsi="Arial"/>
                <w:sz w:val="18"/>
                <w:szCs w:val="18"/>
                <w:color w:val="auto"/>
              </w:rPr>
              <w:t>(97)</w:t>
            </w:r>
          </w:p>
        </w:tc>
        <w:tc>
          <w:tcPr>
            <w:tcW w:w="1560" w:type="dxa"/>
            <w:vAlign w:val="bottom"/>
            <w:gridSpan w:val="2"/>
          </w:tcPr>
          <w:p>
            <w:pPr>
              <w:jc w:val="right"/>
              <w:ind w:right="28"/>
              <w:spacing w:after="0"/>
              <w:rPr>
                <w:sz w:val="20"/>
                <w:szCs w:val="20"/>
                <w:color w:val="auto"/>
              </w:rPr>
            </w:pPr>
            <w:r>
              <w:rPr>
                <w:rFonts w:ascii="Arial" w:cs="Arial" w:eastAsia="Arial" w:hAnsi="Arial"/>
                <w:sz w:val="18"/>
                <w:szCs w:val="18"/>
                <w:color w:val="auto"/>
              </w:rPr>
              <w:t>$84.27</w:t>
            </w:r>
          </w:p>
        </w:tc>
        <w:tc>
          <w:tcPr>
            <w:tcW w:w="10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400" w:type="dxa"/>
            <w:vAlign w:val="bottom"/>
            <w:tcBorders>
              <w:bottom w:val="single" w:sz="8" w:color="CCEEFF"/>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6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89"/>
        </w:trPr>
        <w:tc>
          <w:tcPr>
            <w:tcW w:w="5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Options outstanding at August 1, 2020</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4,413</w:t>
            </w:r>
          </w:p>
        </w:tc>
        <w:tc>
          <w:tcPr>
            <w:tcW w:w="1560" w:type="dxa"/>
            <w:vAlign w:val="bottom"/>
            <w:tcBorders>
              <w:bottom w:val="single" w:sz="8" w:color="CCEEFF"/>
            </w:tcBorders>
            <w:gridSpan w:val="2"/>
            <w:shd w:val="clear" w:color="auto" w:fill="CCEEFF"/>
          </w:tcPr>
          <w:p>
            <w:pPr>
              <w:jc w:val="right"/>
              <w:ind w:right="28"/>
              <w:spacing w:after="0"/>
              <w:rPr>
                <w:sz w:val="20"/>
                <w:szCs w:val="20"/>
                <w:color w:val="auto"/>
              </w:rPr>
            </w:pPr>
            <w:r>
              <w:rPr>
                <w:rFonts w:ascii="Arial" w:cs="Arial" w:eastAsia="Arial" w:hAnsi="Arial"/>
                <w:sz w:val="18"/>
                <w:szCs w:val="18"/>
                <w:color w:val="auto"/>
              </w:rPr>
              <w:t>$70.18</w:t>
            </w:r>
          </w:p>
        </w:tc>
        <w:tc>
          <w:tcPr>
            <w:tcW w:w="100" w:type="dxa"/>
            <w:vAlign w:val="bottom"/>
            <w:tcBorders>
              <w:bottom w:val="single" w:sz="8" w:color="CCEEFF"/>
            </w:tcBorders>
            <w:shd w:val="clear" w:color="auto" w:fill="CCEEFF"/>
          </w:tcPr>
          <w:p>
            <w:pPr>
              <w:spacing w:after="0"/>
              <w:rPr>
                <w:sz w:val="24"/>
                <w:szCs w:val="24"/>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5.73</w:t>
            </w:r>
          </w:p>
        </w:tc>
        <w:tc>
          <w:tcPr>
            <w:tcW w:w="100" w:type="dxa"/>
            <w:vAlign w:val="bottom"/>
            <w:tcBorders>
              <w:bottom w:val="single" w:sz="8" w:color="CCEEFF"/>
            </w:tcBorders>
            <w:shd w:val="clear" w:color="auto" w:fill="CCEEFF"/>
          </w:tcPr>
          <w:p>
            <w:pPr>
              <w:spacing w:after="0"/>
              <w:rPr>
                <w:sz w:val="24"/>
                <w:szCs w:val="24"/>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$197,106</w:t>
            </w:r>
          </w:p>
        </w:tc>
        <w:tc>
          <w:tcPr>
            <w:tcW w:w="0" w:type="dxa"/>
            <w:vAlign w:val="bottom"/>
          </w:tcPr>
          <w:p>
            <w:pPr>
              <w:spacing w:after="0"/>
              <w:rPr>
                <w:sz w:val="1"/>
                <w:szCs w:val="1"/>
                <w:color w:val="auto"/>
              </w:rPr>
            </w:pPr>
          </w:p>
        </w:tc>
      </w:tr>
      <w:tr>
        <w:trPr>
          <w:trHeight w:val="20"/>
        </w:trPr>
        <w:tc>
          <w:tcPr>
            <w:tcW w:w="540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b w:val="1"/>
                <w:bCs w:val="1"/>
                <w:color w:val="auto"/>
              </w:rPr>
              <w:t>Options exercisable at August 1, 2020</w:t>
            </w: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4"/>
        </w:trPr>
        <w:tc>
          <w:tcPr>
            <w:tcW w:w="5400" w:type="dxa"/>
            <w:vAlign w:val="bottom"/>
            <w:vMerge w:val="continue"/>
          </w:tcPr>
          <w:p>
            <w:pPr>
              <w:spacing w:after="0"/>
              <w:rPr>
                <w:sz w:val="21"/>
                <w:szCs w:val="21"/>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2,845</w:t>
            </w:r>
          </w:p>
        </w:tc>
        <w:tc>
          <w:tcPr>
            <w:tcW w:w="1560" w:type="dxa"/>
            <w:vAlign w:val="bottom"/>
            <w:gridSpan w:val="2"/>
          </w:tcPr>
          <w:p>
            <w:pPr>
              <w:jc w:val="right"/>
              <w:ind w:right="28"/>
              <w:spacing w:after="0"/>
              <w:rPr>
                <w:sz w:val="20"/>
                <w:szCs w:val="20"/>
                <w:color w:val="auto"/>
              </w:rPr>
            </w:pPr>
            <w:r>
              <w:rPr>
                <w:rFonts w:ascii="Arial" w:cs="Arial" w:eastAsia="Arial" w:hAnsi="Arial"/>
                <w:sz w:val="18"/>
                <w:szCs w:val="18"/>
                <w:color w:val="auto"/>
              </w:rPr>
              <w:t>$60.81</w:t>
            </w:r>
          </w:p>
        </w:tc>
        <w:tc>
          <w:tcPr>
            <w:tcW w:w="10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4.66</w:t>
            </w:r>
          </w:p>
        </w:tc>
        <w:tc>
          <w:tcPr>
            <w:tcW w:w="10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$153,749</w:t>
            </w:r>
          </w:p>
        </w:tc>
        <w:tc>
          <w:tcPr>
            <w:tcW w:w="0" w:type="dxa"/>
            <w:vAlign w:val="bottom"/>
          </w:tcPr>
          <w:p>
            <w:pPr>
              <w:spacing w:after="0"/>
              <w:rPr>
                <w:sz w:val="1"/>
                <w:szCs w:val="1"/>
                <w:color w:val="auto"/>
              </w:rPr>
            </w:pPr>
          </w:p>
        </w:tc>
      </w:tr>
      <w:tr>
        <w:trPr>
          <w:trHeight w:val="20"/>
        </w:trPr>
        <w:tc>
          <w:tcPr>
            <w:tcW w:w="5400" w:type="dxa"/>
            <w:vAlign w:val="bottom"/>
            <w:tcBorders>
              <w:bottom w:val="single" w:sz="8" w:color="CCEEFF"/>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6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9"/>
        </w:trPr>
        <w:tc>
          <w:tcPr>
            <w:tcW w:w="5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Options vested or expected to vest at August 1, 2020 (1)</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4,309</w:t>
            </w:r>
          </w:p>
        </w:tc>
        <w:tc>
          <w:tcPr>
            <w:tcW w:w="1560" w:type="dxa"/>
            <w:vAlign w:val="bottom"/>
            <w:tcBorders>
              <w:bottom w:val="single" w:sz="8" w:color="CCEEFF"/>
            </w:tcBorders>
            <w:gridSpan w:val="2"/>
            <w:shd w:val="clear" w:color="auto" w:fill="CCEEFF"/>
          </w:tcPr>
          <w:p>
            <w:pPr>
              <w:jc w:val="right"/>
              <w:ind w:right="28"/>
              <w:spacing w:after="0"/>
              <w:rPr>
                <w:sz w:val="20"/>
                <w:szCs w:val="20"/>
                <w:color w:val="auto"/>
              </w:rPr>
            </w:pPr>
            <w:r>
              <w:rPr>
                <w:rFonts w:ascii="Arial" w:cs="Arial" w:eastAsia="Arial" w:hAnsi="Arial"/>
                <w:sz w:val="18"/>
                <w:szCs w:val="18"/>
                <w:color w:val="auto"/>
              </w:rPr>
              <w:t>$69.67</w:t>
            </w:r>
          </w:p>
        </w:tc>
        <w:tc>
          <w:tcPr>
            <w:tcW w:w="100" w:type="dxa"/>
            <w:vAlign w:val="bottom"/>
            <w:tcBorders>
              <w:bottom w:val="single" w:sz="8" w:color="CCEEFF"/>
            </w:tcBorders>
            <w:shd w:val="clear" w:color="auto" w:fill="CCEEFF"/>
          </w:tcPr>
          <w:p>
            <w:pPr>
              <w:spacing w:after="0"/>
              <w:rPr>
                <w:sz w:val="24"/>
                <w:szCs w:val="24"/>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5.67</w:t>
            </w:r>
          </w:p>
        </w:tc>
        <w:tc>
          <w:tcPr>
            <w:tcW w:w="100" w:type="dxa"/>
            <w:vAlign w:val="bottom"/>
            <w:tcBorders>
              <w:bottom w:val="single" w:sz="8" w:color="CCEEFF"/>
            </w:tcBorders>
            <w:shd w:val="clear" w:color="auto" w:fill="CCEEFF"/>
          </w:tcPr>
          <w:p>
            <w:pPr>
              <w:spacing w:after="0"/>
              <w:rPr>
                <w:sz w:val="24"/>
                <w:szCs w:val="24"/>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$194,685</w:t>
            </w:r>
          </w:p>
        </w:tc>
        <w:tc>
          <w:tcPr>
            <w:tcW w:w="0" w:type="dxa"/>
            <w:vAlign w:val="bottom"/>
          </w:tcPr>
          <w:p>
            <w:pPr>
              <w:spacing w:after="0"/>
              <w:rPr>
                <w:sz w:val="1"/>
                <w:szCs w:val="1"/>
                <w:color w:val="auto"/>
              </w:rPr>
            </w:pPr>
          </w:p>
        </w:tc>
      </w:tr>
      <w:tr>
        <w:trPr>
          <w:trHeight w:val="20"/>
        </w:trPr>
        <w:tc>
          <w:tcPr>
            <w:tcW w:w="540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4" w:lineRule="exact"/>
        <w:rPr>
          <w:sz w:val="20"/>
          <w:szCs w:val="20"/>
          <w:color w:val="auto"/>
        </w:rPr>
      </w:pPr>
    </w:p>
    <w:p>
      <w:pPr>
        <w:ind w:left="660" w:right="560" w:hanging="328"/>
        <w:spacing w:after="0" w:line="277" w:lineRule="auto"/>
        <w:tabs>
          <w:tab w:leader="none" w:pos="700" w:val="left"/>
        </w:tabs>
        <w:numPr>
          <w:ilvl w:val="0"/>
          <w:numId w:val="4"/>
        </w:numPr>
        <w:rPr>
          <w:rFonts w:ascii="Arial" w:cs="Arial" w:eastAsia="Arial" w:hAnsi="Arial"/>
          <w:sz w:val="16"/>
          <w:szCs w:val="16"/>
          <w:color w:val="auto"/>
        </w:rPr>
      </w:pPr>
      <w:r>
        <w:rPr>
          <w:rFonts w:ascii="Arial" w:cs="Arial" w:eastAsia="Arial" w:hAnsi="Arial"/>
          <w:sz w:val="18"/>
          <w:szCs w:val="18"/>
          <w:color w:val="auto"/>
        </w:rPr>
        <w:t>In addition to the vested options, the Company expects a portion of the unvested options to vest at some point in the future. The number of options expected to vest is calculated by applying an estimated forfeiture rate to the unvested options.</w:t>
      </w:r>
    </w:p>
    <w:p>
      <w:pPr>
        <w:spacing w:after="0" w:line="116" w:lineRule="exact"/>
        <w:rPr>
          <w:sz w:val="20"/>
          <w:szCs w:val="20"/>
          <w:color w:val="auto"/>
        </w:rPr>
      </w:pPr>
    </w:p>
    <w:p>
      <w:pPr>
        <w:ind w:right="240" w:firstLine="405"/>
        <w:spacing w:after="0" w:line="342" w:lineRule="auto"/>
        <w:rPr>
          <w:sz w:val="20"/>
          <w:szCs w:val="20"/>
          <w:color w:val="auto"/>
        </w:rPr>
      </w:pPr>
      <w:r>
        <w:rPr>
          <w:rFonts w:ascii="Arial" w:cs="Arial" w:eastAsia="Arial" w:hAnsi="Arial"/>
          <w:sz w:val="16"/>
          <w:szCs w:val="16"/>
          <w:color w:val="auto"/>
        </w:rPr>
        <w:t>During the nine-month periods ended August 1, 2020 and August 3, 2019, the total intrinsic value of options exercised (i.e., the difference between the market price at exercise and the price paid by the employee to exercise the options) was $61.7 million and $120.7 million, respectively.</w:t>
      </w: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 w:name="page10"/>
    <w:bookmarkEnd w:id="9"/>
    <w:p>
      <w:pPr>
        <w:jc w:val="center"/>
        <w:ind w:right="-19"/>
        <w:spacing w:after="0"/>
        <w:rPr>
          <w:sz w:val="20"/>
          <w:szCs w:val="20"/>
          <w:color w:val="auto"/>
        </w:rPr>
      </w:pPr>
      <w:r>
        <w:rPr>
          <w:rFonts w:ascii="Arial" w:cs="Arial" w:eastAsia="Arial" w:hAnsi="Arial"/>
          <w:sz w:val="18"/>
          <w:szCs w:val="18"/>
          <w:b w:val="1"/>
          <w:bCs w:val="1"/>
          <w:color w:val="auto"/>
        </w:rPr>
        <w:t>ANALOG DEVICES,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right="500" w:firstLine="405"/>
        <w:spacing w:after="0" w:line="276" w:lineRule="auto"/>
        <w:rPr>
          <w:sz w:val="20"/>
          <w:szCs w:val="20"/>
          <w:color w:val="auto"/>
        </w:rPr>
      </w:pPr>
      <w:r>
        <w:rPr>
          <w:rFonts w:ascii="Arial" w:cs="Arial" w:eastAsia="Arial" w:hAnsi="Arial"/>
          <w:sz w:val="18"/>
          <w:szCs w:val="18"/>
          <w:color w:val="auto"/>
        </w:rPr>
        <w:t>A summary of the Company’s restricted stock unit/award activity as of August 1, 2020 and changes during the nine-month period then ended is presented below:</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8220" w:type="dxa"/>
            <w:vAlign w:val="bottom"/>
          </w:tcPr>
          <w:p>
            <w:pPr>
              <w:spacing w:after="0"/>
              <w:rPr>
                <w:sz w:val="14"/>
                <w:szCs w:val="14"/>
                <w:color w:val="auto"/>
              </w:rPr>
            </w:pPr>
          </w:p>
        </w:tc>
        <w:tc>
          <w:tcPr>
            <w:tcW w:w="1440" w:type="dxa"/>
            <w:vAlign w:val="bottom"/>
          </w:tcPr>
          <w:p>
            <w:pPr>
              <w:jc w:val="center"/>
              <w:spacing w:after="0"/>
              <w:rPr>
                <w:sz w:val="20"/>
                <w:szCs w:val="20"/>
                <w:color w:val="auto"/>
              </w:rPr>
            </w:pPr>
            <w:r>
              <w:rPr>
                <w:rFonts w:ascii="Arial" w:cs="Arial" w:eastAsia="Arial" w:hAnsi="Arial"/>
                <w:sz w:val="14"/>
                <w:szCs w:val="14"/>
                <w:b w:val="1"/>
                <w:bCs w:val="1"/>
                <w:color w:val="auto"/>
                <w:w w:val="93"/>
              </w:rPr>
              <w:t>Restricted</w:t>
            </w:r>
          </w:p>
        </w:tc>
        <w:tc>
          <w:tcPr>
            <w:tcW w:w="100" w:type="dxa"/>
            <w:vAlign w:val="bottom"/>
          </w:tcPr>
          <w:p>
            <w:pPr>
              <w:spacing w:after="0"/>
              <w:rPr>
                <w:sz w:val="14"/>
                <w:szCs w:val="14"/>
                <w:color w:val="auto"/>
              </w:rPr>
            </w:pPr>
          </w:p>
        </w:tc>
        <w:tc>
          <w:tcPr>
            <w:tcW w:w="1460" w:type="dxa"/>
            <w:vAlign w:val="bottom"/>
          </w:tcPr>
          <w:p>
            <w:pPr>
              <w:jc w:val="center"/>
              <w:spacing w:after="0"/>
              <w:rPr>
                <w:sz w:val="20"/>
                <w:szCs w:val="20"/>
                <w:color w:val="auto"/>
              </w:rPr>
            </w:pPr>
            <w:r>
              <w:rPr>
                <w:rFonts w:ascii="Arial" w:cs="Arial" w:eastAsia="Arial" w:hAnsi="Arial"/>
                <w:sz w:val="14"/>
                <w:szCs w:val="14"/>
                <w:b w:val="1"/>
                <w:bCs w:val="1"/>
                <w:color w:val="auto"/>
                <w:w w:val="91"/>
              </w:rPr>
              <w:t>Weighted-</w:t>
            </w:r>
          </w:p>
        </w:tc>
      </w:tr>
      <w:tr>
        <w:trPr>
          <w:trHeight w:val="162"/>
        </w:trPr>
        <w:tc>
          <w:tcPr>
            <w:tcW w:w="8220" w:type="dxa"/>
            <w:vAlign w:val="bottom"/>
          </w:tcPr>
          <w:p>
            <w:pPr>
              <w:spacing w:after="0"/>
              <w:rPr>
                <w:sz w:val="14"/>
                <w:szCs w:val="14"/>
                <w:color w:val="auto"/>
              </w:rPr>
            </w:pPr>
          </w:p>
        </w:tc>
        <w:tc>
          <w:tcPr>
            <w:tcW w:w="1440" w:type="dxa"/>
            <w:vAlign w:val="bottom"/>
          </w:tcPr>
          <w:p>
            <w:pPr>
              <w:jc w:val="center"/>
              <w:spacing w:after="0"/>
              <w:rPr>
                <w:sz w:val="20"/>
                <w:szCs w:val="20"/>
                <w:color w:val="auto"/>
              </w:rPr>
            </w:pPr>
            <w:r>
              <w:rPr>
                <w:rFonts w:ascii="Arial" w:cs="Arial" w:eastAsia="Arial" w:hAnsi="Arial"/>
                <w:sz w:val="14"/>
                <w:szCs w:val="14"/>
                <w:b w:val="1"/>
                <w:bCs w:val="1"/>
                <w:color w:val="auto"/>
                <w:w w:val="91"/>
              </w:rPr>
              <w:t>Stock Units/Awards</w:t>
            </w:r>
          </w:p>
        </w:tc>
        <w:tc>
          <w:tcPr>
            <w:tcW w:w="100" w:type="dxa"/>
            <w:vAlign w:val="bottom"/>
          </w:tcPr>
          <w:p>
            <w:pPr>
              <w:spacing w:after="0"/>
              <w:rPr>
                <w:sz w:val="14"/>
                <w:szCs w:val="14"/>
                <w:color w:val="auto"/>
              </w:rPr>
            </w:pPr>
          </w:p>
        </w:tc>
        <w:tc>
          <w:tcPr>
            <w:tcW w:w="1460" w:type="dxa"/>
            <w:vAlign w:val="bottom"/>
          </w:tcPr>
          <w:p>
            <w:pPr>
              <w:jc w:val="center"/>
              <w:spacing w:after="0"/>
              <w:rPr>
                <w:sz w:val="20"/>
                <w:szCs w:val="20"/>
                <w:color w:val="auto"/>
              </w:rPr>
            </w:pPr>
            <w:r>
              <w:rPr>
                <w:rFonts w:ascii="Arial" w:cs="Arial" w:eastAsia="Arial" w:hAnsi="Arial"/>
                <w:sz w:val="14"/>
                <w:szCs w:val="14"/>
                <w:b w:val="1"/>
                <w:bCs w:val="1"/>
                <w:color w:val="auto"/>
                <w:w w:val="94"/>
              </w:rPr>
              <w:t>Average Grant-</w:t>
            </w:r>
          </w:p>
        </w:tc>
      </w:tr>
      <w:tr>
        <w:trPr>
          <w:trHeight w:val="162"/>
        </w:trPr>
        <w:tc>
          <w:tcPr>
            <w:tcW w:w="8220" w:type="dxa"/>
            <w:vAlign w:val="bottom"/>
          </w:tcPr>
          <w:p>
            <w:pPr>
              <w:spacing w:after="0"/>
              <w:rPr>
                <w:sz w:val="14"/>
                <w:szCs w:val="14"/>
                <w:color w:val="auto"/>
              </w:rPr>
            </w:pPr>
          </w:p>
        </w:tc>
        <w:tc>
          <w:tcPr>
            <w:tcW w:w="1440" w:type="dxa"/>
            <w:vAlign w:val="bottom"/>
          </w:tcPr>
          <w:p>
            <w:pPr>
              <w:jc w:val="center"/>
              <w:spacing w:after="0"/>
              <w:rPr>
                <w:sz w:val="20"/>
                <w:szCs w:val="20"/>
                <w:color w:val="auto"/>
              </w:rPr>
            </w:pPr>
            <w:r>
              <w:rPr>
                <w:rFonts w:ascii="Arial" w:cs="Arial" w:eastAsia="Arial" w:hAnsi="Arial"/>
                <w:sz w:val="14"/>
                <w:szCs w:val="14"/>
                <w:b w:val="1"/>
                <w:bCs w:val="1"/>
                <w:color w:val="auto"/>
                <w:w w:val="92"/>
              </w:rPr>
              <w:t>Outstanding</w:t>
            </w:r>
          </w:p>
        </w:tc>
        <w:tc>
          <w:tcPr>
            <w:tcW w:w="100" w:type="dxa"/>
            <w:vAlign w:val="bottom"/>
          </w:tcPr>
          <w:p>
            <w:pPr>
              <w:spacing w:after="0"/>
              <w:rPr>
                <w:sz w:val="14"/>
                <w:szCs w:val="14"/>
                <w:color w:val="auto"/>
              </w:rPr>
            </w:pPr>
          </w:p>
        </w:tc>
        <w:tc>
          <w:tcPr>
            <w:tcW w:w="1460" w:type="dxa"/>
            <w:vAlign w:val="bottom"/>
          </w:tcPr>
          <w:p>
            <w:pPr>
              <w:jc w:val="center"/>
              <w:spacing w:after="0"/>
              <w:rPr>
                <w:sz w:val="20"/>
                <w:szCs w:val="20"/>
                <w:color w:val="auto"/>
              </w:rPr>
            </w:pPr>
            <w:r>
              <w:rPr>
                <w:rFonts w:ascii="Arial" w:cs="Arial" w:eastAsia="Arial" w:hAnsi="Arial"/>
                <w:sz w:val="14"/>
                <w:szCs w:val="14"/>
                <w:b w:val="1"/>
                <w:bCs w:val="1"/>
                <w:color w:val="auto"/>
                <w:w w:val="96"/>
              </w:rPr>
              <w:t>Date Fair Value</w:t>
            </w:r>
          </w:p>
        </w:tc>
      </w:tr>
      <w:tr>
        <w:trPr>
          <w:trHeight w:val="186"/>
        </w:trPr>
        <w:tc>
          <w:tcPr>
            <w:tcW w:w="8220" w:type="dxa"/>
            <w:vAlign w:val="bottom"/>
          </w:tcPr>
          <w:p>
            <w:pPr>
              <w:spacing w:after="0"/>
              <w:rPr>
                <w:sz w:val="16"/>
                <w:szCs w:val="16"/>
                <w:color w:val="auto"/>
              </w:rPr>
            </w:pPr>
          </w:p>
        </w:tc>
        <w:tc>
          <w:tcPr>
            <w:tcW w:w="1440" w:type="dxa"/>
            <w:vAlign w:val="bottom"/>
          </w:tcPr>
          <w:p>
            <w:pPr>
              <w:jc w:val="center"/>
              <w:spacing w:after="0"/>
              <w:rPr>
                <w:sz w:val="20"/>
                <w:szCs w:val="20"/>
                <w:color w:val="auto"/>
              </w:rPr>
            </w:pPr>
            <w:r>
              <w:rPr>
                <w:rFonts w:ascii="Arial" w:cs="Arial" w:eastAsia="Arial" w:hAnsi="Arial"/>
                <w:sz w:val="14"/>
                <w:szCs w:val="14"/>
                <w:b w:val="1"/>
                <w:bCs w:val="1"/>
                <w:color w:val="auto"/>
                <w:w w:val="91"/>
              </w:rPr>
              <w:t>(in thousands)</w:t>
            </w:r>
          </w:p>
        </w:tc>
        <w:tc>
          <w:tcPr>
            <w:tcW w:w="100" w:type="dxa"/>
            <w:vAlign w:val="bottom"/>
          </w:tcPr>
          <w:p>
            <w:pPr>
              <w:spacing w:after="0"/>
              <w:rPr>
                <w:sz w:val="16"/>
                <w:szCs w:val="16"/>
                <w:color w:val="auto"/>
              </w:rPr>
            </w:pPr>
          </w:p>
        </w:tc>
        <w:tc>
          <w:tcPr>
            <w:tcW w:w="1460" w:type="dxa"/>
            <w:vAlign w:val="bottom"/>
          </w:tcPr>
          <w:p>
            <w:pPr>
              <w:jc w:val="center"/>
              <w:spacing w:after="0"/>
              <w:rPr>
                <w:sz w:val="20"/>
                <w:szCs w:val="20"/>
                <w:color w:val="auto"/>
              </w:rPr>
            </w:pPr>
            <w:r>
              <w:rPr>
                <w:rFonts w:ascii="Arial" w:cs="Arial" w:eastAsia="Arial" w:hAnsi="Arial"/>
                <w:sz w:val="14"/>
                <w:szCs w:val="14"/>
                <w:b w:val="1"/>
                <w:bCs w:val="1"/>
                <w:color w:val="auto"/>
                <w:w w:val="94"/>
              </w:rPr>
              <w:t>Per Share</w:t>
            </w:r>
          </w:p>
        </w:tc>
      </w:tr>
      <w:tr>
        <w:trPr>
          <w:trHeight w:val="26"/>
        </w:trPr>
        <w:tc>
          <w:tcPr>
            <w:tcW w:w="8220" w:type="dxa"/>
            <w:vAlign w:val="bottom"/>
            <w:tcBorders>
              <w:bottom w:val="single" w:sz="8" w:color="CCEEFF"/>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243"/>
        </w:trPr>
        <w:tc>
          <w:tcPr>
            <w:tcW w:w="8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Restricted stock units/awards outstanding at November 2, 2019</w:t>
            </w: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4,396</w:t>
            </w:r>
          </w:p>
        </w:tc>
        <w:tc>
          <w:tcPr>
            <w:tcW w:w="1560" w:type="dxa"/>
            <w:vAlign w:val="bottom"/>
            <w:tcBorders>
              <w:bottom w:val="single" w:sz="8" w:color="CCEEFF"/>
            </w:tcBorders>
            <w:gridSpan w:val="2"/>
            <w:shd w:val="clear" w:color="auto" w:fill="CCEEFF"/>
          </w:tcPr>
          <w:p>
            <w:pPr>
              <w:jc w:val="right"/>
              <w:ind w:right="28"/>
              <w:spacing w:after="0"/>
              <w:rPr>
                <w:sz w:val="20"/>
                <w:szCs w:val="20"/>
                <w:color w:val="auto"/>
              </w:rPr>
            </w:pPr>
            <w:r>
              <w:rPr>
                <w:rFonts w:ascii="Arial" w:cs="Arial" w:eastAsia="Arial" w:hAnsi="Arial"/>
                <w:sz w:val="18"/>
                <w:szCs w:val="18"/>
                <w:color w:val="auto"/>
              </w:rPr>
              <w:t>$87.18</w:t>
            </w:r>
          </w:p>
        </w:tc>
      </w:tr>
      <w:tr>
        <w:trPr>
          <w:trHeight w:val="243"/>
        </w:trPr>
        <w:tc>
          <w:tcPr>
            <w:tcW w:w="8220" w:type="dxa"/>
            <w:vAlign w:val="bottom"/>
          </w:tcPr>
          <w:p>
            <w:pPr>
              <w:ind w:left="340"/>
              <w:spacing w:after="0"/>
              <w:rPr>
                <w:sz w:val="20"/>
                <w:szCs w:val="20"/>
                <w:color w:val="auto"/>
              </w:rPr>
            </w:pPr>
            <w:r>
              <w:rPr>
                <w:rFonts w:ascii="Arial" w:cs="Arial" w:eastAsia="Arial" w:hAnsi="Arial"/>
                <w:sz w:val="18"/>
                <w:szCs w:val="18"/>
                <w:color w:val="auto"/>
              </w:rPr>
              <w:t>Units/Awards granted</w:t>
            </w:r>
          </w:p>
        </w:tc>
        <w:tc>
          <w:tcPr>
            <w:tcW w:w="1440" w:type="dxa"/>
            <w:vAlign w:val="bottom"/>
          </w:tcPr>
          <w:p>
            <w:pPr>
              <w:jc w:val="right"/>
              <w:spacing w:after="0"/>
              <w:rPr>
                <w:sz w:val="20"/>
                <w:szCs w:val="20"/>
                <w:color w:val="auto"/>
              </w:rPr>
            </w:pPr>
            <w:r>
              <w:rPr>
                <w:rFonts w:ascii="Arial" w:cs="Arial" w:eastAsia="Arial" w:hAnsi="Arial"/>
                <w:sz w:val="18"/>
                <w:szCs w:val="18"/>
                <w:color w:val="auto"/>
              </w:rPr>
              <w:t>1,390</w:t>
            </w:r>
          </w:p>
        </w:tc>
        <w:tc>
          <w:tcPr>
            <w:tcW w:w="1560" w:type="dxa"/>
            <w:vAlign w:val="bottom"/>
            <w:gridSpan w:val="2"/>
          </w:tcPr>
          <w:p>
            <w:pPr>
              <w:jc w:val="right"/>
              <w:ind w:right="28"/>
              <w:spacing w:after="0"/>
              <w:rPr>
                <w:sz w:val="20"/>
                <w:szCs w:val="20"/>
                <w:color w:val="auto"/>
              </w:rPr>
            </w:pPr>
            <w:r>
              <w:rPr>
                <w:rFonts w:ascii="Arial" w:cs="Arial" w:eastAsia="Arial" w:hAnsi="Arial"/>
                <w:sz w:val="18"/>
                <w:szCs w:val="18"/>
                <w:color w:val="auto"/>
              </w:rPr>
              <w:t>$92.00</w:t>
            </w:r>
          </w:p>
        </w:tc>
      </w:tr>
      <w:tr>
        <w:trPr>
          <w:trHeight w:val="27"/>
        </w:trPr>
        <w:tc>
          <w:tcPr>
            <w:tcW w:w="822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50"/>
        </w:trPr>
        <w:tc>
          <w:tcPr>
            <w:tcW w:w="822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Restrictions lapsed</w:t>
            </w: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(1,691)</w:t>
            </w:r>
          </w:p>
        </w:tc>
        <w:tc>
          <w:tcPr>
            <w:tcW w:w="1560" w:type="dxa"/>
            <w:vAlign w:val="bottom"/>
            <w:tcBorders>
              <w:bottom w:val="single" w:sz="8" w:color="CCEEFF"/>
            </w:tcBorders>
            <w:gridSpan w:val="2"/>
            <w:shd w:val="clear" w:color="auto" w:fill="CCEEFF"/>
          </w:tcPr>
          <w:p>
            <w:pPr>
              <w:jc w:val="right"/>
              <w:ind w:right="28"/>
              <w:spacing w:after="0"/>
              <w:rPr>
                <w:sz w:val="20"/>
                <w:szCs w:val="20"/>
                <w:color w:val="auto"/>
              </w:rPr>
            </w:pPr>
            <w:r>
              <w:rPr>
                <w:rFonts w:ascii="Arial" w:cs="Arial" w:eastAsia="Arial" w:hAnsi="Arial"/>
                <w:sz w:val="18"/>
                <w:szCs w:val="18"/>
                <w:color w:val="auto"/>
              </w:rPr>
              <w:t>$86.51</w:t>
            </w:r>
          </w:p>
        </w:tc>
      </w:tr>
      <w:tr>
        <w:trPr>
          <w:trHeight w:val="243"/>
        </w:trPr>
        <w:tc>
          <w:tcPr>
            <w:tcW w:w="8220" w:type="dxa"/>
            <w:vAlign w:val="bottom"/>
          </w:tcPr>
          <w:p>
            <w:pPr>
              <w:ind w:left="340"/>
              <w:spacing w:after="0"/>
              <w:rPr>
                <w:sz w:val="20"/>
                <w:szCs w:val="20"/>
                <w:color w:val="auto"/>
              </w:rPr>
            </w:pPr>
            <w:r>
              <w:rPr>
                <w:rFonts w:ascii="Arial" w:cs="Arial" w:eastAsia="Arial" w:hAnsi="Arial"/>
                <w:sz w:val="18"/>
                <w:szCs w:val="18"/>
                <w:color w:val="auto"/>
              </w:rPr>
              <w:t>Forfeited</w:t>
            </w:r>
          </w:p>
        </w:tc>
        <w:tc>
          <w:tcPr>
            <w:tcW w:w="1440" w:type="dxa"/>
            <w:vAlign w:val="bottom"/>
          </w:tcPr>
          <w:p>
            <w:pPr>
              <w:jc w:val="right"/>
              <w:spacing w:after="0"/>
              <w:rPr>
                <w:sz w:val="20"/>
                <w:szCs w:val="20"/>
                <w:color w:val="auto"/>
              </w:rPr>
            </w:pPr>
            <w:r>
              <w:rPr>
                <w:rFonts w:ascii="Arial" w:cs="Arial" w:eastAsia="Arial" w:hAnsi="Arial"/>
                <w:sz w:val="18"/>
                <w:szCs w:val="18"/>
                <w:color w:val="auto"/>
              </w:rPr>
              <w:t>(196)</w:t>
            </w:r>
          </w:p>
        </w:tc>
        <w:tc>
          <w:tcPr>
            <w:tcW w:w="1560" w:type="dxa"/>
            <w:vAlign w:val="bottom"/>
            <w:gridSpan w:val="2"/>
          </w:tcPr>
          <w:p>
            <w:pPr>
              <w:jc w:val="right"/>
              <w:ind w:right="28"/>
              <w:spacing w:after="0"/>
              <w:rPr>
                <w:sz w:val="20"/>
                <w:szCs w:val="20"/>
                <w:color w:val="auto"/>
              </w:rPr>
            </w:pPr>
            <w:r>
              <w:rPr>
                <w:rFonts w:ascii="Arial" w:cs="Arial" w:eastAsia="Arial" w:hAnsi="Arial"/>
                <w:sz w:val="18"/>
                <w:szCs w:val="18"/>
                <w:color w:val="auto"/>
              </w:rPr>
              <w:t>$88.86</w:t>
            </w:r>
          </w:p>
        </w:tc>
      </w:tr>
      <w:tr>
        <w:trPr>
          <w:trHeight w:val="27"/>
        </w:trPr>
        <w:tc>
          <w:tcPr>
            <w:tcW w:w="8220" w:type="dxa"/>
            <w:vAlign w:val="bottom"/>
            <w:tcBorders>
              <w:bottom w:val="single" w:sz="8" w:color="CCEEFF"/>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60" w:type="dxa"/>
            <w:vAlign w:val="bottom"/>
            <w:tcBorders>
              <w:bottom w:val="single" w:sz="8" w:color="CCEEFF"/>
            </w:tcBorders>
          </w:tcPr>
          <w:p>
            <w:pPr>
              <w:spacing w:after="0"/>
              <w:rPr>
                <w:sz w:val="2"/>
                <w:szCs w:val="2"/>
                <w:color w:val="auto"/>
              </w:rPr>
            </w:pPr>
          </w:p>
        </w:tc>
      </w:tr>
      <w:tr>
        <w:trPr>
          <w:trHeight w:val="288"/>
        </w:trPr>
        <w:tc>
          <w:tcPr>
            <w:tcW w:w="8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Restricted stock units/awards outstanding at August 1, 2020</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3,899</w:t>
            </w:r>
          </w:p>
        </w:tc>
        <w:tc>
          <w:tcPr>
            <w:tcW w:w="1560" w:type="dxa"/>
            <w:vAlign w:val="bottom"/>
            <w:tcBorders>
              <w:bottom w:val="single" w:sz="8" w:color="CCEEFF"/>
            </w:tcBorders>
            <w:gridSpan w:val="2"/>
            <w:shd w:val="clear" w:color="auto" w:fill="CCEEFF"/>
          </w:tcPr>
          <w:p>
            <w:pPr>
              <w:jc w:val="right"/>
              <w:ind w:right="28"/>
              <w:spacing w:after="0"/>
              <w:rPr>
                <w:sz w:val="20"/>
                <w:szCs w:val="20"/>
                <w:color w:val="auto"/>
              </w:rPr>
            </w:pPr>
            <w:r>
              <w:rPr>
                <w:rFonts w:ascii="Arial" w:cs="Arial" w:eastAsia="Arial" w:hAnsi="Arial"/>
                <w:sz w:val="18"/>
                <w:szCs w:val="18"/>
                <w:color w:val="auto"/>
              </w:rPr>
              <w:t>$89.65</w:t>
            </w:r>
          </w:p>
        </w:tc>
      </w:tr>
      <w:tr>
        <w:trPr>
          <w:trHeight w:val="20"/>
        </w:trPr>
        <w:tc>
          <w:tcPr>
            <w:tcW w:w="822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60" w:type="dxa"/>
            <w:vAlign w:val="bottom"/>
            <w:tcBorders>
              <w:top w:val="single" w:sz="8" w:color="CCEEFF"/>
            </w:tcBorders>
          </w:tcPr>
          <w:p>
            <w:pPr>
              <w:spacing w:after="0" w:line="20" w:lineRule="exact"/>
              <w:rPr>
                <w:sz w:val="1"/>
                <w:szCs w:val="1"/>
                <w:color w:val="auto"/>
              </w:rPr>
            </w:pPr>
          </w:p>
        </w:tc>
      </w:tr>
    </w:tbl>
    <w:p>
      <w:pPr>
        <w:spacing w:after="0" w:line="67" w:lineRule="exact"/>
        <w:rPr>
          <w:sz w:val="20"/>
          <w:szCs w:val="20"/>
          <w:color w:val="auto"/>
        </w:rPr>
      </w:pPr>
    </w:p>
    <w:p>
      <w:pPr>
        <w:ind w:right="180" w:firstLine="405"/>
        <w:spacing w:after="0" w:line="259" w:lineRule="auto"/>
        <w:rPr>
          <w:sz w:val="20"/>
          <w:szCs w:val="20"/>
          <w:color w:val="auto"/>
        </w:rPr>
      </w:pPr>
      <w:r>
        <w:rPr>
          <w:rFonts w:ascii="Arial" w:cs="Arial" w:eastAsia="Arial" w:hAnsi="Arial"/>
          <w:sz w:val="18"/>
          <w:szCs w:val="18"/>
          <w:color w:val="auto"/>
        </w:rPr>
        <w:t>As of August 1, 2020, there was $316.0 million of total unrecognized compensation cost related to unvested stock-based awards comprised of stock options and restricted stock units/awards. That cost is expected to be recognized over a weighted-average period of 1.4 years. The total grant-date fair values of awards that vested during the nine-month periods ended August 1, 2020 and August 3, 2019 were approximately $157.9 million and $131.0 million, respectively.</w:t>
      </w:r>
    </w:p>
    <w:p>
      <w:pPr>
        <w:spacing w:after="0" w:line="214"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Total stock-based compensation expense recognized was as follows:</w:t>
      </w:r>
    </w:p>
    <w:p>
      <w:pPr>
        <w:spacing w:after="0" w:line="5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48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660" w:type="dxa"/>
            <w:vAlign w:val="bottom"/>
            <w:tcBorders>
              <w:bottom w:val="single" w:sz="8" w:color="auto"/>
            </w:tcBorders>
            <w:gridSpan w:val="4"/>
          </w:tcPr>
          <w:p>
            <w:pPr>
              <w:jc w:val="right"/>
              <w:ind w:right="673"/>
              <w:spacing w:after="0"/>
              <w:rPr>
                <w:sz w:val="20"/>
                <w:szCs w:val="20"/>
                <w:color w:val="auto"/>
              </w:rPr>
            </w:pPr>
            <w:r>
              <w:rPr>
                <w:rFonts w:ascii="Arial" w:cs="Arial" w:eastAsia="Arial" w:hAnsi="Arial"/>
                <w:sz w:val="14"/>
                <w:szCs w:val="14"/>
                <w:b w:val="1"/>
                <w:bCs w:val="1"/>
                <w:color w:val="auto"/>
              </w:rPr>
              <w:t>Three Months Ended</w:t>
            </w:r>
          </w:p>
        </w:tc>
        <w:tc>
          <w:tcPr>
            <w:tcW w:w="1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660" w:type="dxa"/>
            <w:vAlign w:val="bottom"/>
            <w:tcBorders>
              <w:bottom w:val="single" w:sz="8" w:color="auto"/>
            </w:tcBorders>
            <w:gridSpan w:val="4"/>
          </w:tcPr>
          <w:p>
            <w:pPr>
              <w:jc w:val="right"/>
              <w:ind w:right="713"/>
              <w:spacing w:after="0"/>
              <w:rPr>
                <w:sz w:val="20"/>
                <w:szCs w:val="20"/>
                <w:color w:val="auto"/>
              </w:rPr>
            </w:pPr>
            <w:r>
              <w:rPr>
                <w:rFonts w:ascii="Arial" w:cs="Arial" w:eastAsia="Arial" w:hAnsi="Arial"/>
                <w:sz w:val="14"/>
                <w:szCs w:val="14"/>
                <w:b w:val="1"/>
                <w:bCs w:val="1"/>
                <w:color w:val="auto"/>
              </w:rPr>
              <w:t>Nine Months Ended</w:t>
            </w:r>
          </w:p>
        </w:tc>
      </w:tr>
      <w:tr>
        <w:trPr>
          <w:trHeight w:val="196"/>
        </w:trPr>
        <w:tc>
          <w:tcPr>
            <w:tcW w:w="54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00" w:type="dxa"/>
            <w:vAlign w:val="bottom"/>
            <w:gridSpan w:val="2"/>
          </w:tcPr>
          <w:p>
            <w:pPr>
              <w:ind w:left="60"/>
              <w:spacing w:after="0"/>
              <w:rPr>
                <w:sz w:val="20"/>
                <w:szCs w:val="20"/>
                <w:color w:val="auto"/>
              </w:rPr>
            </w:pPr>
            <w:r>
              <w:rPr>
                <w:rFonts w:ascii="Arial" w:cs="Arial" w:eastAsia="Arial" w:hAnsi="Arial"/>
                <w:sz w:val="14"/>
                <w:szCs w:val="14"/>
                <w:b w:val="1"/>
                <w:bCs w:val="1"/>
                <w:color w:val="auto"/>
              </w:rPr>
              <w:t>August 1, 2020</w:t>
            </w:r>
          </w:p>
        </w:tc>
        <w:tc>
          <w:tcPr>
            <w:tcW w:w="160" w:type="dxa"/>
            <w:vAlign w:val="bottom"/>
          </w:tcPr>
          <w:p>
            <w:pPr>
              <w:spacing w:after="0"/>
              <w:rPr>
                <w:sz w:val="17"/>
                <w:szCs w:val="17"/>
                <w:color w:val="auto"/>
              </w:rPr>
            </w:pPr>
          </w:p>
        </w:tc>
        <w:tc>
          <w:tcPr>
            <w:tcW w:w="1300" w:type="dxa"/>
            <w:vAlign w:val="bottom"/>
            <w:gridSpan w:val="2"/>
          </w:tcPr>
          <w:p>
            <w:pPr>
              <w:ind w:left="60"/>
              <w:spacing w:after="0"/>
              <w:rPr>
                <w:sz w:val="20"/>
                <w:szCs w:val="20"/>
                <w:color w:val="auto"/>
              </w:rPr>
            </w:pPr>
            <w:r>
              <w:rPr>
                <w:rFonts w:ascii="Arial" w:cs="Arial" w:eastAsia="Arial" w:hAnsi="Arial"/>
                <w:sz w:val="14"/>
                <w:szCs w:val="14"/>
                <w:b w:val="1"/>
                <w:bCs w:val="1"/>
                <w:color w:val="auto"/>
              </w:rPr>
              <w:t>August 3, 2019</w:t>
            </w:r>
          </w:p>
        </w:tc>
        <w:tc>
          <w:tcPr>
            <w:tcW w:w="160" w:type="dxa"/>
            <w:vAlign w:val="bottom"/>
          </w:tcPr>
          <w:p>
            <w:pPr>
              <w:spacing w:after="0"/>
              <w:rPr>
                <w:sz w:val="17"/>
                <w:szCs w:val="17"/>
                <w:color w:val="auto"/>
              </w:rPr>
            </w:pPr>
          </w:p>
        </w:tc>
        <w:tc>
          <w:tcPr>
            <w:tcW w:w="1280" w:type="dxa"/>
            <w:vAlign w:val="bottom"/>
            <w:gridSpan w:val="2"/>
          </w:tcPr>
          <w:p>
            <w:pPr>
              <w:ind w:left="60"/>
              <w:spacing w:after="0"/>
              <w:rPr>
                <w:sz w:val="20"/>
                <w:szCs w:val="20"/>
                <w:color w:val="auto"/>
              </w:rPr>
            </w:pPr>
            <w:r>
              <w:rPr>
                <w:rFonts w:ascii="Arial" w:cs="Arial" w:eastAsia="Arial" w:hAnsi="Arial"/>
                <w:sz w:val="14"/>
                <w:szCs w:val="14"/>
                <w:b w:val="1"/>
                <w:bCs w:val="1"/>
                <w:color w:val="auto"/>
              </w:rPr>
              <w:t>August 1, 2020</w:t>
            </w:r>
          </w:p>
        </w:tc>
        <w:tc>
          <w:tcPr>
            <w:tcW w:w="180" w:type="dxa"/>
            <w:vAlign w:val="bottom"/>
          </w:tcPr>
          <w:p>
            <w:pPr>
              <w:spacing w:after="0"/>
              <w:rPr>
                <w:sz w:val="17"/>
                <w:szCs w:val="17"/>
                <w:color w:val="auto"/>
              </w:rPr>
            </w:pPr>
          </w:p>
        </w:tc>
        <w:tc>
          <w:tcPr>
            <w:tcW w:w="1200" w:type="dxa"/>
            <w:vAlign w:val="bottom"/>
          </w:tcPr>
          <w:p>
            <w:pPr>
              <w:jc w:val="right"/>
              <w:ind w:right="153"/>
              <w:spacing w:after="0"/>
              <w:rPr>
                <w:sz w:val="20"/>
                <w:szCs w:val="20"/>
                <w:color w:val="auto"/>
              </w:rPr>
            </w:pPr>
            <w:r>
              <w:rPr>
                <w:rFonts w:ascii="Arial" w:cs="Arial" w:eastAsia="Arial" w:hAnsi="Arial"/>
                <w:sz w:val="14"/>
                <w:szCs w:val="14"/>
                <w:b w:val="1"/>
                <w:bCs w:val="1"/>
                <w:color w:val="auto"/>
                <w:w w:val="95"/>
              </w:rPr>
              <w:t>August 3, 2019</w:t>
            </w:r>
          </w:p>
        </w:tc>
      </w:tr>
      <w:tr>
        <w:trPr>
          <w:trHeight w:val="250"/>
        </w:trPr>
        <w:tc>
          <w:tcPr>
            <w:tcW w:w="5480" w:type="dxa"/>
            <w:vAlign w:val="bottom"/>
            <w:tcBorders>
              <w:top w:val="single" w:sz="8" w:color="CCEEFF"/>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Cost of sales</w:t>
            </w: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4,508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5,247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13,428</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15,720</w:t>
            </w:r>
          </w:p>
        </w:tc>
      </w:tr>
      <w:tr>
        <w:trPr>
          <w:trHeight w:val="243"/>
        </w:trPr>
        <w:tc>
          <w:tcPr>
            <w:tcW w:w="5480" w:type="dxa"/>
            <w:vAlign w:val="bottom"/>
          </w:tcPr>
          <w:p>
            <w:pPr>
              <w:ind w:left="340"/>
              <w:spacing w:after="0"/>
              <w:rPr>
                <w:sz w:val="20"/>
                <w:szCs w:val="20"/>
                <w:color w:val="auto"/>
              </w:rPr>
            </w:pPr>
            <w:r>
              <w:rPr>
                <w:rFonts w:ascii="Arial" w:cs="Arial" w:eastAsia="Arial" w:hAnsi="Arial"/>
                <w:sz w:val="18"/>
                <w:szCs w:val="18"/>
                <w:color w:val="auto"/>
              </w:rPr>
              <w:t>Research and development</w:t>
            </w:r>
          </w:p>
        </w:tc>
        <w:tc>
          <w:tcPr>
            <w:tcW w:w="1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19,158</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18,802</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5"/>
              <w:spacing w:after="0"/>
              <w:rPr>
                <w:sz w:val="20"/>
                <w:szCs w:val="20"/>
                <w:color w:val="auto"/>
              </w:rPr>
            </w:pPr>
            <w:r>
              <w:rPr>
                <w:rFonts w:ascii="Arial" w:cs="Arial" w:eastAsia="Arial" w:hAnsi="Arial"/>
                <w:sz w:val="18"/>
                <w:szCs w:val="18"/>
                <w:color w:val="auto"/>
              </w:rPr>
              <w:t>55,163</w:t>
            </w: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00" w:type="dxa"/>
            <w:vAlign w:val="bottom"/>
          </w:tcPr>
          <w:p>
            <w:pPr>
              <w:jc w:val="right"/>
              <w:ind w:right="13"/>
              <w:spacing w:after="0"/>
              <w:rPr>
                <w:sz w:val="20"/>
                <w:szCs w:val="20"/>
                <w:color w:val="auto"/>
              </w:rPr>
            </w:pPr>
            <w:r>
              <w:rPr>
                <w:rFonts w:ascii="Arial" w:cs="Arial" w:eastAsia="Arial" w:hAnsi="Arial"/>
                <w:sz w:val="18"/>
                <w:szCs w:val="18"/>
                <w:color w:val="auto"/>
              </w:rPr>
              <w:t>57,294</w:t>
            </w:r>
          </w:p>
        </w:tc>
      </w:tr>
      <w:tr>
        <w:trPr>
          <w:trHeight w:val="27"/>
        </w:trPr>
        <w:tc>
          <w:tcPr>
            <w:tcW w:w="54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548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Selling, marketing, general and administrative</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14,951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12,049</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43,427</w:t>
            </w:r>
          </w:p>
        </w:tc>
        <w:tc>
          <w:tcPr>
            <w:tcW w:w="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39,706</w:t>
            </w:r>
          </w:p>
        </w:tc>
      </w:tr>
      <w:tr>
        <w:trPr>
          <w:trHeight w:val="243"/>
        </w:trPr>
        <w:tc>
          <w:tcPr>
            <w:tcW w:w="5480" w:type="dxa"/>
            <w:vAlign w:val="bottom"/>
          </w:tcPr>
          <w:p>
            <w:pPr>
              <w:ind w:left="340"/>
              <w:spacing w:after="0"/>
              <w:rPr>
                <w:sz w:val="20"/>
                <w:szCs w:val="20"/>
                <w:color w:val="auto"/>
              </w:rPr>
            </w:pPr>
            <w:r>
              <w:rPr>
                <w:rFonts w:ascii="Arial" w:cs="Arial" w:eastAsia="Arial" w:hAnsi="Arial"/>
                <w:sz w:val="18"/>
                <w:szCs w:val="18"/>
                <w:color w:val="auto"/>
              </w:rPr>
              <w:t>Special charges</w:t>
            </w:r>
          </w:p>
        </w:tc>
        <w:tc>
          <w:tcPr>
            <w:tcW w:w="1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943</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200" w:type="dxa"/>
            <w:vAlign w:val="bottom"/>
          </w:tcPr>
          <w:p>
            <w:pPr>
              <w:jc w:val="right"/>
              <w:ind w:right="15"/>
              <w:spacing w:after="0"/>
              <w:rPr>
                <w:sz w:val="20"/>
                <w:szCs w:val="20"/>
                <w:color w:val="auto"/>
              </w:rPr>
            </w:pPr>
            <w:r>
              <w:rPr>
                <w:rFonts w:ascii="Arial" w:cs="Arial" w:eastAsia="Arial" w:hAnsi="Arial"/>
                <w:sz w:val="18"/>
                <w:szCs w:val="18"/>
                <w:color w:val="auto"/>
              </w:rPr>
              <w:t>943</w:t>
            </w: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00" w:type="dxa"/>
            <w:vAlign w:val="bottom"/>
          </w:tcPr>
          <w:p>
            <w:pPr>
              <w:jc w:val="right"/>
              <w:ind w:right="13"/>
              <w:spacing w:after="0"/>
              <w:rPr>
                <w:sz w:val="20"/>
                <w:szCs w:val="20"/>
                <w:color w:val="auto"/>
              </w:rPr>
            </w:pPr>
            <w:r>
              <w:rPr>
                <w:rFonts w:ascii="Arial" w:cs="Arial" w:eastAsia="Arial" w:hAnsi="Arial"/>
                <w:sz w:val="18"/>
                <w:szCs w:val="18"/>
                <w:color w:val="auto"/>
              </w:rPr>
              <w:t>—</w:t>
            </w:r>
          </w:p>
        </w:tc>
      </w:tr>
      <w:tr>
        <w:trPr>
          <w:trHeight w:val="27"/>
        </w:trPr>
        <w:tc>
          <w:tcPr>
            <w:tcW w:w="54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89"/>
        </w:trPr>
        <w:tc>
          <w:tcPr>
            <w:tcW w:w="5480" w:type="dxa"/>
            <w:vAlign w:val="bottom"/>
            <w:tcBorders>
              <w:bottom w:val="single" w:sz="8" w:color="CCEEFF"/>
            </w:tcBorders>
            <w:shd w:val="clear" w:color="auto" w:fill="CCEEFF"/>
          </w:tcPr>
          <w:p>
            <w:pPr>
              <w:ind w:left="660"/>
              <w:spacing w:after="0"/>
              <w:rPr>
                <w:sz w:val="20"/>
                <w:szCs w:val="20"/>
                <w:color w:val="auto"/>
              </w:rPr>
            </w:pPr>
            <w:r>
              <w:rPr>
                <w:rFonts w:ascii="Arial" w:cs="Arial" w:eastAsia="Arial" w:hAnsi="Arial"/>
                <w:sz w:val="18"/>
                <w:szCs w:val="18"/>
                <w:color w:val="auto"/>
              </w:rPr>
              <w:t>Total stock-based compensation expense</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39,560</w:t>
            </w:r>
          </w:p>
        </w:tc>
        <w:tc>
          <w:tcPr>
            <w:tcW w:w="10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36,098</w:t>
            </w:r>
          </w:p>
        </w:tc>
        <w:tc>
          <w:tcPr>
            <w:tcW w:w="10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rPr>
              <w:t>112,961</w:t>
            </w:r>
          </w:p>
        </w:tc>
        <w:tc>
          <w:tcPr>
            <w:tcW w:w="8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112,720</w:t>
            </w:r>
          </w:p>
        </w:tc>
      </w:tr>
      <w:tr>
        <w:trPr>
          <w:trHeight w:val="20"/>
        </w:trPr>
        <w:tc>
          <w:tcPr>
            <w:tcW w:w="54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r>
    </w:tbl>
    <w:p>
      <w:pPr>
        <w:spacing w:after="0" w:line="337" w:lineRule="exact"/>
        <w:rPr>
          <w:sz w:val="20"/>
          <w:szCs w:val="20"/>
          <w:color w:val="auto"/>
        </w:rPr>
      </w:pPr>
    </w:p>
    <w:p>
      <w:pPr>
        <w:ind w:right="240" w:firstLine="405"/>
        <w:spacing w:after="0" w:line="277" w:lineRule="auto"/>
        <w:rPr>
          <w:sz w:val="20"/>
          <w:szCs w:val="20"/>
          <w:color w:val="auto"/>
        </w:rPr>
      </w:pPr>
      <w:r>
        <w:rPr>
          <w:rFonts w:ascii="Arial" w:cs="Arial" w:eastAsia="Arial" w:hAnsi="Arial"/>
          <w:sz w:val="18"/>
          <w:szCs w:val="18"/>
          <w:color w:val="auto"/>
        </w:rPr>
        <w:t>As of August 1, 2020 and November 2, 2019, the Company capitalized $5.9 million and $6.8 million, respectively, of stock-based compensation in Inventories on the Condensed Consolidated Balance Sheets.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Common Stock Repurchases</w:t>
      </w:r>
    </w:p>
    <w:p>
      <w:pPr>
        <w:spacing w:after="0" w:line="171" w:lineRule="exact"/>
        <w:rPr>
          <w:sz w:val="20"/>
          <w:szCs w:val="20"/>
          <w:color w:val="auto"/>
        </w:rPr>
      </w:pPr>
    </w:p>
    <w:p>
      <w:pPr>
        <w:ind w:firstLine="445"/>
        <w:spacing w:after="0" w:line="272" w:lineRule="auto"/>
        <w:rPr>
          <w:sz w:val="20"/>
          <w:szCs w:val="20"/>
          <w:color w:val="auto"/>
        </w:rPr>
      </w:pPr>
      <w:r>
        <w:rPr>
          <w:rFonts w:ascii="Arial" w:cs="Arial" w:eastAsia="Arial" w:hAnsi="Arial"/>
          <w:sz w:val="17"/>
          <w:szCs w:val="17"/>
          <w:color w:val="auto"/>
        </w:rPr>
        <w:t xml:space="preserve">As of August 1, 2020, the Company had repurchased a total of approximately 156.1 million shares of its common stock for approximately $6.3 billion under the Company's share repurchase program. As of August 1, 2020, an additional $1.9 billion remains available for repurchase of shares under the current authorized program. The Company also repurchases shares in settlement of employee tax withholding obligations due upon the vesting of restricted stock units/awards or the exercise of stock options. Given the planned acquisition of Maxim (see Note 15, </w:t>
      </w:r>
      <w:r>
        <w:rPr>
          <w:rFonts w:ascii="Arial" w:cs="Arial" w:eastAsia="Arial" w:hAnsi="Arial"/>
          <w:sz w:val="17"/>
          <w:szCs w:val="17"/>
          <w:i w:val="1"/>
          <w:iCs w:val="1"/>
          <w:color w:val="auto"/>
        </w:rPr>
        <w:t>Acquisitions)</w:t>
      </w:r>
      <w:r>
        <w:rPr>
          <w:rFonts w:ascii="Arial" w:cs="Arial" w:eastAsia="Arial" w:hAnsi="Arial"/>
          <w:sz w:val="17"/>
          <w:szCs w:val="17"/>
          <w:color w:val="auto"/>
        </w:rPr>
        <w:t>, the Company has continued its temporary suspension of the common stock repurchase program, which was previously suspended in March 2020 as a result of the global macroeconomic environment. Future repurchases of common stock will be dependent upon the Company's financial position, results of operations, outlook, liquidity, and other factors deemed relevant by the Company.</w:t>
      </w:r>
    </w:p>
    <w:p>
      <w:pPr>
        <w:spacing w:after="0" w:line="6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Analog Devices Foundation</w:t>
      </w:r>
    </w:p>
    <w:p>
      <w:pPr>
        <w:spacing w:after="0" w:line="104" w:lineRule="exact"/>
        <w:rPr>
          <w:sz w:val="20"/>
          <w:szCs w:val="20"/>
          <w:color w:val="auto"/>
        </w:rPr>
      </w:pPr>
    </w:p>
    <w:p>
      <w:pPr>
        <w:ind w:right="60" w:firstLine="445"/>
        <w:spacing w:after="0" w:line="263" w:lineRule="auto"/>
        <w:rPr>
          <w:sz w:val="20"/>
          <w:szCs w:val="20"/>
          <w:color w:val="auto"/>
        </w:rPr>
      </w:pPr>
      <w:r>
        <w:rPr>
          <w:rFonts w:ascii="Arial" w:cs="Arial" w:eastAsia="Arial" w:hAnsi="Arial"/>
          <w:sz w:val="18"/>
          <w:szCs w:val="18"/>
          <w:color w:val="auto"/>
        </w:rPr>
        <w:t>During the first quarter of fiscal 2020, the Company contributed 335,654 shares of its common stock to the Analog Devices Foundation. As of the date of the charitable contribution the shares had a fair value of approximately $40.0 million. This expense was recorded in Selling, marketing, general and administrative expense in the Condensed Consolidated Statement of Income.</w:t>
      </w:r>
    </w:p>
    <w:p>
      <w:pPr>
        <w:spacing w:after="0" w:line="200" w:lineRule="exact"/>
        <w:rPr>
          <w:sz w:val="20"/>
          <w:szCs w:val="20"/>
          <w:color w:val="auto"/>
        </w:rPr>
      </w:pPr>
    </w:p>
    <w:p>
      <w:pPr>
        <w:spacing w:after="0" w:line="3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 w:name="page11"/>
    <w:bookmarkEnd w:id="10"/>
    <w:p>
      <w:pPr>
        <w:jc w:val="center"/>
        <w:spacing w:after="0"/>
        <w:rPr>
          <w:sz w:val="20"/>
          <w:szCs w:val="20"/>
          <w:color w:val="auto"/>
        </w:rPr>
      </w:pPr>
      <w:r>
        <w:rPr>
          <w:rFonts w:ascii="Arial" w:cs="Arial" w:eastAsia="Arial" w:hAnsi="Arial"/>
          <w:sz w:val="18"/>
          <w:szCs w:val="18"/>
          <w:b w:val="1"/>
          <w:bCs w:val="1"/>
          <w:color w:val="auto"/>
        </w:rPr>
        <w:t>ANALOG DEVICES,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200" w:lineRule="exact"/>
        <w:rPr>
          <w:sz w:val="20"/>
          <w:szCs w:val="20"/>
          <w:color w:val="auto"/>
        </w:rPr>
      </w:pPr>
    </w:p>
    <w:p>
      <w:pPr>
        <w:spacing w:after="0" w:line="3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 Accumulated Other Comprehensive (Loss) Income</w:t>
      </w:r>
    </w:p>
    <w:p>
      <w:pPr>
        <w:spacing w:after="0" w:line="175" w:lineRule="exact"/>
        <w:rPr>
          <w:sz w:val="20"/>
          <w:szCs w:val="20"/>
          <w:color w:val="auto"/>
        </w:rPr>
      </w:pPr>
    </w:p>
    <w:p>
      <w:pPr>
        <w:ind w:right="60" w:firstLine="405"/>
        <w:spacing w:after="0" w:line="277" w:lineRule="auto"/>
        <w:rPr>
          <w:sz w:val="20"/>
          <w:szCs w:val="20"/>
          <w:color w:val="auto"/>
        </w:rPr>
      </w:pPr>
      <w:r>
        <w:rPr>
          <w:rFonts w:ascii="Arial" w:cs="Arial" w:eastAsia="Arial" w:hAnsi="Arial"/>
          <w:sz w:val="18"/>
          <w:szCs w:val="18"/>
          <w:color w:val="auto"/>
        </w:rPr>
        <w:t>The following table provides the changes in accumulated other comprehensive (loss) income (AOCI) by component and the related tax effects during the first nine months of fiscal 2020.</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59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6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1"/>
              </w:rPr>
              <w:t>Foreign</w:t>
            </w:r>
          </w:p>
        </w:tc>
        <w:tc>
          <w:tcPr>
            <w:tcW w:w="140" w:type="dxa"/>
            <w:vAlign w:val="bottom"/>
          </w:tcPr>
          <w:p>
            <w:pPr>
              <w:spacing w:after="0"/>
              <w:rPr>
                <w:sz w:val="16"/>
                <w:szCs w:val="16"/>
                <w:color w:val="auto"/>
              </w:rPr>
            </w:pPr>
          </w:p>
        </w:tc>
        <w:tc>
          <w:tcPr>
            <w:tcW w:w="118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1"/>
              </w:rPr>
              <w:t>Unrealized</w:t>
            </w:r>
          </w:p>
        </w:tc>
        <w:tc>
          <w:tcPr>
            <w:tcW w:w="1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20" w:type="dxa"/>
            <w:vAlign w:val="bottom"/>
          </w:tcPr>
          <w:p>
            <w:pPr>
              <w:spacing w:after="0"/>
              <w:rPr>
                <w:sz w:val="16"/>
                <w:szCs w:val="16"/>
                <w:color w:val="auto"/>
              </w:rPr>
            </w:pPr>
          </w:p>
        </w:tc>
      </w:tr>
      <w:tr>
        <w:trPr>
          <w:trHeight w:val="189"/>
        </w:trPr>
        <w:tc>
          <w:tcPr>
            <w:tcW w:w="59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6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1"/>
              </w:rPr>
              <w:t>currency</w:t>
            </w:r>
          </w:p>
        </w:tc>
        <w:tc>
          <w:tcPr>
            <w:tcW w:w="140" w:type="dxa"/>
            <w:vAlign w:val="bottom"/>
          </w:tcPr>
          <w:p>
            <w:pPr>
              <w:spacing w:after="0"/>
              <w:rPr>
                <w:sz w:val="16"/>
                <w:szCs w:val="16"/>
                <w:color w:val="auto"/>
              </w:rPr>
            </w:pPr>
          </w:p>
        </w:tc>
        <w:tc>
          <w:tcPr>
            <w:tcW w:w="118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88"/>
              </w:rPr>
              <w:t>holding gains</w:t>
            </w:r>
          </w:p>
        </w:tc>
        <w:tc>
          <w:tcPr>
            <w:tcW w:w="1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20" w:type="dxa"/>
            <w:vAlign w:val="bottom"/>
          </w:tcPr>
          <w:p>
            <w:pPr>
              <w:spacing w:after="0"/>
              <w:rPr>
                <w:sz w:val="16"/>
                <w:szCs w:val="16"/>
                <w:color w:val="auto"/>
              </w:rPr>
            </w:pPr>
          </w:p>
        </w:tc>
      </w:tr>
      <w:tr>
        <w:trPr>
          <w:trHeight w:val="189"/>
        </w:trPr>
        <w:tc>
          <w:tcPr>
            <w:tcW w:w="59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6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0"/>
              </w:rPr>
              <w:t>translation</w:t>
            </w:r>
          </w:p>
        </w:tc>
        <w:tc>
          <w:tcPr>
            <w:tcW w:w="140" w:type="dxa"/>
            <w:vAlign w:val="bottom"/>
          </w:tcPr>
          <w:p>
            <w:pPr>
              <w:spacing w:after="0"/>
              <w:rPr>
                <w:sz w:val="16"/>
                <w:szCs w:val="16"/>
                <w:color w:val="auto"/>
              </w:rPr>
            </w:pPr>
          </w:p>
        </w:tc>
        <w:tc>
          <w:tcPr>
            <w:tcW w:w="118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82"/>
              </w:rPr>
              <w:t>(losses) on</w:t>
            </w:r>
          </w:p>
        </w:tc>
        <w:tc>
          <w:tcPr>
            <w:tcW w:w="1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20" w:type="dxa"/>
            <w:vAlign w:val="bottom"/>
          </w:tcPr>
          <w:p>
            <w:pPr>
              <w:spacing w:after="0"/>
              <w:rPr>
                <w:sz w:val="16"/>
                <w:szCs w:val="16"/>
                <w:color w:val="auto"/>
              </w:rPr>
            </w:pPr>
          </w:p>
        </w:tc>
      </w:tr>
      <w:tr>
        <w:trPr>
          <w:trHeight w:val="223"/>
        </w:trPr>
        <w:tc>
          <w:tcPr>
            <w:tcW w:w="59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1"/>
              </w:rPr>
              <w:t>adjustment</w:t>
            </w:r>
          </w:p>
        </w:tc>
        <w:tc>
          <w:tcPr>
            <w:tcW w:w="140" w:type="dxa"/>
            <w:vAlign w:val="bottom"/>
          </w:tcPr>
          <w:p>
            <w:pPr>
              <w:spacing w:after="0"/>
              <w:rPr>
                <w:sz w:val="19"/>
                <w:szCs w:val="19"/>
                <w:color w:val="auto"/>
              </w:rPr>
            </w:pPr>
          </w:p>
        </w:tc>
        <w:tc>
          <w:tcPr>
            <w:tcW w:w="118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88"/>
              </w:rPr>
              <w:t>derivatives</w:t>
            </w:r>
          </w:p>
        </w:tc>
        <w:tc>
          <w:tcPr>
            <w:tcW w:w="140" w:type="dxa"/>
            <w:vAlign w:val="bottom"/>
          </w:tcPr>
          <w:p>
            <w:pPr>
              <w:spacing w:after="0"/>
              <w:rPr>
                <w:sz w:val="19"/>
                <w:szCs w:val="19"/>
                <w:color w:val="auto"/>
              </w:rPr>
            </w:pPr>
          </w:p>
        </w:tc>
        <w:tc>
          <w:tcPr>
            <w:tcW w:w="1240" w:type="dxa"/>
            <w:vAlign w:val="bottom"/>
            <w:gridSpan w:val="2"/>
          </w:tcPr>
          <w:p>
            <w:pPr>
              <w:ind w:left="20"/>
              <w:spacing w:after="0"/>
              <w:rPr>
                <w:sz w:val="20"/>
                <w:szCs w:val="20"/>
                <w:color w:val="auto"/>
              </w:rPr>
            </w:pPr>
            <w:r>
              <w:rPr>
                <w:rFonts w:ascii="Arial" w:cs="Arial" w:eastAsia="Arial" w:hAnsi="Arial"/>
                <w:sz w:val="16"/>
                <w:szCs w:val="16"/>
                <w:b w:val="1"/>
                <w:bCs w:val="1"/>
                <w:color w:val="auto"/>
              </w:rPr>
              <w:t>Pension plans</w:t>
            </w:r>
          </w:p>
        </w:tc>
        <w:tc>
          <w:tcPr>
            <w:tcW w:w="280" w:type="dxa"/>
            <w:vAlign w:val="bottom"/>
          </w:tcPr>
          <w:p>
            <w:pPr>
              <w:spacing w:after="0"/>
              <w:rPr>
                <w:sz w:val="19"/>
                <w:szCs w:val="19"/>
                <w:color w:val="auto"/>
              </w:rPr>
            </w:pPr>
          </w:p>
        </w:tc>
        <w:tc>
          <w:tcPr>
            <w:tcW w:w="1020" w:type="dxa"/>
            <w:vAlign w:val="bottom"/>
          </w:tcPr>
          <w:p>
            <w:pPr>
              <w:jc w:val="right"/>
              <w:ind w:right="391"/>
              <w:spacing w:after="0"/>
              <w:rPr>
                <w:sz w:val="20"/>
                <w:szCs w:val="20"/>
                <w:color w:val="auto"/>
              </w:rPr>
            </w:pPr>
            <w:r>
              <w:rPr>
                <w:rFonts w:ascii="Arial" w:cs="Arial" w:eastAsia="Arial" w:hAnsi="Arial"/>
                <w:sz w:val="16"/>
                <w:szCs w:val="16"/>
                <w:b w:val="1"/>
                <w:bCs w:val="1"/>
                <w:color w:val="auto"/>
              </w:rPr>
              <w:t>Total</w:t>
            </w:r>
          </w:p>
        </w:tc>
      </w:tr>
      <w:tr>
        <w:trPr>
          <w:trHeight w:val="250"/>
        </w:trPr>
        <w:tc>
          <w:tcPr>
            <w:tcW w:w="59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November 2, 2019</w:t>
            </w: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(30,076)</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(118,015)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(39,708)</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(187,799)</w:t>
            </w:r>
          </w:p>
        </w:tc>
      </w:tr>
      <w:tr>
        <w:trPr>
          <w:trHeight w:val="243"/>
        </w:trPr>
        <w:tc>
          <w:tcPr>
            <w:tcW w:w="5920" w:type="dxa"/>
            <w:vAlign w:val="bottom"/>
          </w:tcPr>
          <w:p>
            <w:pPr>
              <w:ind w:left="220"/>
              <w:spacing w:after="0"/>
              <w:rPr>
                <w:sz w:val="20"/>
                <w:szCs w:val="20"/>
                <w:color w:val="auto"/>
              </w:rPr>
            </w:pPr>
            <w:r>
              <w:rPr>
                <w:rFonts w:ascii="Arial" w:cs="Arial" w:eastAsia="Arial" w:hAnsi="Arial"/>
                <w:sz w:val="18"/>
                <w:szCs w:val="18"/>
                <w:color w:val="auto"/>
              </w:rPr>
              <w:t>Other comprehensive loss before reclassifications</w:t>
            </w:r>
          </w:p>
        </w:tc>
        <w:tc>
          <w:tcPr>
            <w:tcW w:w="16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197</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(111,684)</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(1,401)</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(112,888)</w:t>
            </w:r>
          </w:p>
        </w:tc>
      </w:tr>
      <w:tr>
        <w:trPr>
          <w:trHeight w:val="27"/>
        </w:trPr>
        <w:tc>
          <w:tcPr>
            <w:tcW w:w="59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592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Amounts reclassified out of other comprehensive income (loss)</w:t>
            </w:r>
          </w:p>
        </w:tc>
        <w:tc>
          <w:tcPr>
            <w:tcW w:w="1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2,165</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1,954</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4,119</w:t>
            </w:r>
          </w:p>
        </w:tc>
      </w:tr>
      <w:tr>
        <w:trPr>
          <w:trHeight w:val="243"/>
        </w:trPr>
        <w:tc>
          <w:tcPr>
            <w:tcW w:w="5920" w:type="dxa"/>
            <w:vAlign w:val="bottom"/>
          </w:tcPr>
          <w:p>
            <w:pPr>
              <w:ind w:left="220"/>
              <w:spacing w:after="0"/>
              <w:rPr>
                <w:sz w:val="20"/>
                <w:szCs w:val="20"/>
                <w:color w:val="auto"/>
              </w:rPr>
            </w:pPr>
            <w:r>
              <w:rPr>
                <w:rFonts w:ascii="Arial" w:cs="Arial" w:eastAsia="Arial" w:hAnsi="Arial"/>
                <w:sz w:val="18"/>
                <w:szCs w:val="18"/>
                <w:color w:val="auto"/>
              </w:rPr>
              <w:t>Tax effects</w:t>
            </w:r>
          </w:p>
        </w:tc>
        <w:tc>
          <w:tcPr>
            <w:tcW w:w="160" w:type="dxa"/>
            <w:vAlign w:val="bottom"/>
          </w:tcPr>
          <w:p>
            <w:pPr>
              <w:spacing w:after="0"/>
              <w:rPr>
                <w:sz w:val="21"/>
                <w:szCs w:val="21"/>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26,503</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(485)</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26,018</w:t>
            </w:r>
          </w:p>
        </w:tc>
      </w:tr>
      <w:tr>
        <w:trPr>
          <w:trHeight w:val="27"/>
        </w:trPr>
        <w:tc>
          <w:tcPr>
            <w:tcW w:w="59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44"/>
        </w:trPr>
        <w:tc>
          <w:tcPr>
            <w:tcW w:w="59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 comprehensive (loss) income</w:t>
            </w:r>
          </w:p>
        </w:tc>
        <w:tc>
          <w:tcPr>
            <w:tcW w:w="1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197</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(83,016)</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68</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(82,751)</w:t>
            </w:r>
          </w:p>
        </w:tc>
      </w:tr>
      <w:tr>
        <w:trPr>
          <w:trHeight w:val="270"/>
        </w:trPr>
        <w:tc>
          <w:tcPr>
            <w:tcW w:w="5920" w:type="dxa"/>
            <w:vAlign w:val="bottom"/>
          </w:tcPr>
          <w:p>
            <w:pPr>
              <w:ind w:left="240"/>
              <w:spacing w:after="0"/>
              <w:rPr>
                <w:sz w:val="20"/>
                <w:szCs w:val="20"/>
                <w:color w:val="auto"/>
              </w:rPr>
            </w:pPr>
            <w:r>
              <w:rPr>
                <w:rFonts w:ascii="Arial" w:cs="Arial" w:eastAsia="Arial" w:hAnsi="Arial"/>
                <w:sz w:val="18"/>
                <w:szCs w:val="18"/>
                <w:color w:val="auto"/>
              </w:rPr>
              <w:t>Effect of Accounting Standards Update 2018-02</w:t>
            </w:r>
          </w:p>
        </w:tc>
        <w:tc>
          <w:tcPr>
            <w:tcW w:w="160" w:type="dxa"/>
            <w:vAlign w:val="bottom"/>
          </w:tcPr>
          <w:p>
            <w:pPr>
              <w:spacing w:after="0"/>
              <w:rPr>
                <w:sz w:val="23"/>
                <w:szCs w:val="23"/>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(2,379)</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(2,379)</w:t>
            </w:r>
          </w:p>
        </w:tc>
      </w:tr>
      <w:tr>
        <w:trPr>
          <w:trHeight w:val="288"/>
        </w:trPr>
        <w:tc>
          <w:tcPr>
            <w:tcW w:w="59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August 1, 2020</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(29,879)</w:t>
            </w:r>
          </w:p>
        </w:tc>
        <w:tc>
          <w:tcPr>
            <w:tcW w:w="100" w:type="dxa"/>
            <w:vAlign w:val="bottom"/>
            <w:tcBorders>
              <w:top w:val="single" w:sz="8" w:color="CCEEFF"/>
              <w:bottom w:val="single" w:sz="8" w:color="CCEEFF"/>
            </w:tcBorders>
            <w:shd w:val="clear" w:color="auto" w:fill="CCEEFF"/>
          </w:tcPr>
          <w:p>
            <w:pPr>
              <w:spacing w:after="0"/>
              <w:rPr>
                <w:sz w:val="24"/>
                <w:szCs w:val="24"/>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(203,410)</w:t>
            </w:r>
          </w:p>
        </w:tc>
        <w:tc>
          <w:tcPr>
            <w:tcW w:w="100" w:type="dxa"/>
            <w:vAlign w:val="bottom"/>
            <w:tcBorders>
              <w:top w:val="single" w:sz="8" w:color="CCEEFF"/>
              <w:bottom w:val="single" w:sz="8" w:color="CCEEFF"/>
            </w:tcBorders>
            <w:shd w:val="clear" w:color="auto" w:fill="CCEEFF"/>
          </w:tcPr>
          <w:p>
            <w:pPr>
              <w:spacing w:after="0"/>
              <w:rPr>
                <w:sz w:val="24"/>
                <w:szCs w:val="24"/>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(39,640)</w:t>
            </w:r>
          </w:p>
        </w:tc>
        <w:tc>
          <w:tcPr>
            <w:tcW w:w="120" w:type="dxa"/>
            <w:vAlign w:val="bottom"/>
            <w:tcBorders>
              <w:top w:val="single" w:sz="8" w:color="CCEEFF"/>
              <w:bottom w:val="single" w:sz="8" w:color="CCEEFF"/>
            </w:tcBorders>
            <w:shd w:val="clear" w:color="auto" w:fill="CCEEFF"/>
          </w:tcPr>
          <w:p>
            <w:pPr>
              <w:spacing w:after="0"/>
              <w:rPr>
                <w:sz w:val="24"/>
                <w:szCs w:val="24"/>
                <w:color w:val="auto"/>
              </w:rPr>
            </w:pPr>
          </w:p>
        </w:tc>
        <w:tc>
          <w:tcPr>
            <w:tcW w:w="28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(272,929)</w:t>
            </w:r>
          </w:p>
        </w:tc>
      </w:tr>
      <w:tr>
        <w:trPr>
          <w:trHeight w:val="20"/>
        </w:trPr>
        <w:tc>
          <w:tcPr>
            <w:tcW w:w="59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ind w:left="420"/>
        <w:spacing w:after="0"/>
        <w:rPr>
          <w:sz w:val="20"/>
          <w:szCs w:val="20"/>
          <w:color w:val="auto"/>
        </w:rPr>
      </w:pPr>
      <w:r>
        <w:rPr>
          <w:rFonts w:ascii="Arial" w:cs="Arial" w:eastAsia="Arial" w:hAnsi="Arial"/>
          <w:sz w:val="17"/>
          <w:szCs w:val="17"/>
          <w:color w:val="auto"/>
        </w:rPr>
        <w:t>The amounts reclassified out of AOCI into the Condensed Consolidated Statements of Income and the Condensed Consolidated Statements of</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Shareholders' Equity with presentation location during each period were as follows:</w:t>
      </w:r>
    </w:p>
    <w:p>
      <w:pPr>
        <w:spacing w:after="0" w:line="283" w:lineRule="exact"/>
        <w:rPr>
          <w:sz w:val="20"/>
          <w:szCs w:val="20"/>
          <w:color w:val="auto"/>
        </w:rPr>
      </w:pPr>
    </w:p>
    <w:tbl>
      <w:tblPr>
        <w:tblLayout w:type="fixed"/>
        <w:tblInd w:w="40" w:type="dxa"/>
        <w:tblCellMar>
          <w:top w:w="0" w:type="dxa"/>
          <w:left w:w="0" w:type="dxa"/>
          <w:bottom w:w="0" w:type="dxa"/>
          <w:right w:w="0" w:type="dxa"/>
        </w:tblCellMar>
      </w:tblPr>
      <w:tr>
        <w:trPr>
          <w:trHeight w:val="192"/>
        </w:trPr>
        <w:tc>
          <w:tcPr>
            <w:tcW w:w="29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780" w:type="dxa"/>
            <w:vAlign w:val="bottom"/>
            <w:tcBorders>
              <w:bottom w:val="single" w:sz="8" w:color="auto"/>
            </w:tcBorders>
            <w:gridSpan w:val="4"/>
          </w:tcPr>
          <w:p>
            <w:pPr>
              <w:jc w:val="right"/>
              <w:ind w:right="213"/>
              <w:spacing w:after="0"/>
              <w:rPr>
                <w:sz w:val="20"/>
                <w:szCs w:val="20"/>
                <w:color w:val="auto"/>
              </w:rPr>
            </w:pPr>
            <w:r>
              <w:rPr>
                <w:rFonts w:ascii="Arial" w:cs="Arial" w:eastAsia="Arial" w:hAnsi="Arial"/>
                <w:sz w:val="14"/>
                <w:szCs w:val="14"/>
                <w:b w:val="1"/>
                <w:bCs w:val="1"/>
                <w:color w:val="auto"/>
              </w:rPr>
              <w:t>Three Months Ended</w:t>
            </w: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800" w:type="dxa"/>
            <w:vAlign w:val="bottom"/>
            <w:tcBorders>
              <w:bottom w:val="single" w:sz="8" w:color="auto"/>
            </w:tcBorders>
            <w:gridSpan w:val="4"/>
          </w:tcPr>
          <w:p>
            <w:pPr>
              <w:jc w:val="right"/>
              <w:ind w:right="253"/>
              <w:spacing w:after="0"/>
              <w:rPr>
                <w:sz w:val="20"/>
                <w:szCs w:val="20"/>
                <w:color w:val="auto"/>
              </w:rPr>
            </w:pPr>
            <w:r>
              <w:rPr>
                <w:rFonts w:ascii="Arial" w:cs="Arial" w:eastAsia="Arial" w:hAnsi="Arial"/>
                <w:sz w:val="14"/>
                <w:szCs w:val="14"/>
                <w:b w:val="1"/>
                <w:bCs w:val="1"/>
                <w:color w:val="auto"/>
              </w:rPr>
              <w:t>Nine Months Ended</w:t>
            </w:r>
          </w:p>
        </w:tc>
        <w:tc>
          <w:tcPr>
            <w:tcW w:w="100" w:type="dxa"/>
            <w:vAlign w:val="bottom"/>
          </w:tcPr>
          <w:p>
            <w:pPr>
              <w:spacing w:after="0"/>
              <w:rPr>
                <w:sz w:val="16"/>
                <w:szCs w:val="16"/>
                <w:color w:val="auto"/>
              </w:rPr>
            </w:pPr>
          </w:p>
        </w:tc>
        <w:tc>
          <w:tcPr>
            <w:tcW w:w="4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2920" w:type="dxa"/>
            <w:vAlign w:val="bottom"/>
            <w:vMerge w:val="restart"/>
          </w:tcPr>
          <w:p>
            <w:pPr>
              <w:ind w:left="20"/>
              <w:spacing w:after="0"/>
              <w:rPr>
                <w:sz w:val="20"/>
                <w:szCs w:val="20"/>
                <w:color w:val="auto"/>
              </w:rPr>
            </w:pPr>
            <w:r>
              <w:rPr>
                <w:rFonts w:ascii="Arial" w:cs="Arial" w:eastAsia="Arial" w:hAnsi="Arial"/>
                <w:sz w:val="18"/>
                <w:szCs w:val="18"/>
                <w:b w:val="1"/>
                <w:bCs w:val="1"/>
                <w:color w:val="auto"/>
                <w:w w:val="93"/>
              </w:rPr>
              <w:t>Comprehensive Income Component</w:t>
            </w:r>
          </w:p>
        </w:tc>
        <w:tc>
          <w:tcPr>
            <w:tcW w:w="140" w:type="dxa"/>
            <w:vAlign w:val="bottom"/>
          </w:tcPr>
          <w:p>
            <w:pPr>
              <w:spacing w:after="0"/>
              <w:rPr>
                <w:sz w:val="13"/>
                <w:szCs w:val="13"/>
                <w:color w:val="auto"/>
              </w:rPr>
            </w:pPr>
          </w:p>
        </w:tc>
        <w:tc>
          <w:tcPr>
            <w:tcW w:w="880" w:type="dxa"/>
            <w:vAlign w:val="bottom"/>
            <w:gridSpan w:val="2"/>
          </w:tcPr>
          <w:p>
            <w:pPr>
              <w:ind w:left="20"/>
              <w:spacing w:after="0" w:line="153" w:lineRule="exact"/>
              <w:rPr>
                <w:sz w:val="20"/>
                <w:szCs w:val="20"/>
                <w:color w:val="auto"/>
              </w:rPr>
            </w:pPr>
            <w:r>
              <w:rPr>
                <w:rFonts w:ascii="Arial" w:cs="Arial" w:eastAsia="Arial" w:hAnsi="Arial"/>
                <w:sz w:val="14"/>
                <w:szCs w:val="14"/>
                <w:b w:val="1"/>
                <w:bCs w:val="1"/>
                <w:color w:val="auto"/>
              </w:rPr>
              <w:t>August 1,</w:t>
            </w:r>
          </w:p>
        </w:tc>
        <w:tc>
          <w:tcPr>
            <w:tcW w:w="140" w:type="dxa"/>
            <w:vAlign w:val="bottom"/>
          </w:tcPr>
          <w:p>
            <w:pPr>
              <w:spacing w:after="0"/>
              <w:rPr>
                <w:sz w:val="13"/>
                <w:szCs w:val="13"/>
                <w:color w:val="auto"/>
              </w:rPr>
            </w:pPr>
          </w:p>
        </w:tc>
        <w:tc>
          <w:tcPr>
            <w:tcW w:w="860" w:type="dxa"/>
            <w:vAlign w:val="bottom"/>
            <w:gridSpan w:val="2"/>
          </w:tcPr>
          <w:p>
            <w:pPr>
              <w:ind w:left="20"/>
              <w:spacing w:after="0" w:line="153" w:lineRule="exact"/>
              <w:rPr>
                <w:sz w:val="20"/>
                <w:szCs w:val="20"/>
                <w:color w:val="auto"/>
              </w:rPr>
            </w:pPr>
            <w:r>
              <w:rPr>
                <w:rFonts w:ascii="Arial" w:cs="Arial" w:eastAsia="Arial" w:hAnsi="Arial"/>
                <w:sz w:val="14"/>
                <w:szCs w:val="14"/>
                <w:b w:val="1"/>
                <w:bCs w:val="1"/>
                <w:color w:val="auto"/>
              </w:rPr>
              <w:t>August 3,</w:t>
            </w:r>
          </w:p>
        </w:tc>
        <w:tc>
          <w:tcPr>
            <w:tcW w:w="140" w:type="dxa"/>
            <w:vAlign w:val="bottom"/>
          </w:tcPr>
          <w:p>
            <w:pPr>
              <w:spacing w:after="0"/>
              <w:rPr>
                <w:sz w:val="13"/>
                <w:szCs w:val="13"/>
                <w:color w:val="auto"/>
              </w:rPr>
            </w:pPr>
          </w:p>
        </w:tc>
        <w:tc>
          <w:tcPr>
            <w:tcW w:w="880" w:type="dxa"/>
            <w:vAlign w:val="bottom"/>
            <w:gridSpan w:val="2"/>
          </w:tcPr>
          <w:p>
            <w:pPr>
              <w:ind w:left="40"/>
              <w:spacing w:after="0" w:line="153" w:lineRule="exact"/>
              <w:rPr>
                <w:sz w:val="20"/>
                <w:szCs w:val="20"/>
                <w:color w:val="auto"/>
              </w:rPr>
            </w:pPr>
            <w:r>
              <w:rPr>
                <w:rFonts w:ascii="Arial" w:cs="Arial" w:eastAsia="Arial" w:hAnsi="Arial"/>
                <w:sz w:val="14"/>
                <w:szCs w:val="14"/>
                <w:b w:val="1"/>
                <w:bCs w:val="1"/>
                <w:color w:val="auto"/>
              </w:rPr>
              <w:t>August 1,</w:t>
            </w:r>
          </w:p>
        </w:tc>
        <w:tc>
          <w:tcPr>
            <w:tcW w:w="140" w:type="dxa"/>
            <w:vAlign w:val="bottom"/>
          </w:tcPr>
          <w:p>
            <w:pPr>
              <w:spacing w:after="0"/>
              <w:rPr>
                <w:sz w:val="13"/>
                <w:szCs w:val="13"/>
                <w:color w:val="auto"/>
              </w:rPr>
            </w:pPr>
          </w:p>
        </w:tc>
        <w:tc>
          <w:tcPr>
            <w:tcW w:w="780" w:type="dxa"/>
            <w:vAlign w:val="bottom"/>
          </w:tcPr>
          <w:p>
            <w:pPr>
              <w:jc w:val="right"/>
              <w:ind w:right="73"/>
              <w:spacing w:after="0" w:line="153" w:lineRule="exact"/>
              <w:rPr>
                <w:sz w:val="20"/>
                <w:szCs w:val="20"/>
                <w:color w:val="auto"/>
              </w:rPr>
            </w:pPr>
            <w:r>
              <w:rPr>
                <w:rFonts w:ascii="Arial" w:cs="Arial" w:eastAsia="Arial" w:hAnsi="Arial"/>
                <w:sz w:val="14"/>
                <w:szCs w:val="14"/>
                <w:b w:val="1"/>
                <w:bCs w:val="1"/>
                <w:color w:val="auto"/>
                <w:w w:val="93"/>
              </w:rPr>
              <w:t>August 3,</w:t>
            </w:r>
          </w:p>
        </w:tc>
        <w:tc>
          <w:tcPr>
            <w:tcW w:w="100" w:type="dxa"/>
            <w:vAlign w:val="bottom"/>
          </w:tcPr>
          <w:p>
            <w:pPr>
              <w:spacing w:after="0"/>
              <w:rPr>
                <w:sz w:val="13"/>
                <w:szCs w:val="13"/>
                <w:color w:val="auto"/>
              </w:rPr>
            </w:pPr>
          </w:p>
        </w:tc>
        <w:tc>
          <w:tcPr>
            <w:tcW w:w="420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Location</w:t>
            </w:r>
          </w:p>
        </w:tc>
        <w:tc>
          <w:tcPr>
            <w:tcW w:w="0" w:type="dxa"/>
            <w:vAlign w:val="bottom"/>
          </w:tcPr>
          <w:p>
            <w:pPr>
              <w:spacing w:after="0"/>
              <w:rPr>
                <w:sz w:val="1"/>
                <w:szCs w:val="1"/>
                <w:color w:val="auto"/>
              </w:rPr>
            </w:pPr>
          </w:p>
        </w:tc>
      </w:tr>
      <w:tr>
        <w:trPr>
          <w:trHeight w:val="192"/>
        </w:trPr>
        <w:tc>
          <w:tcPr>
            <w:tcW w:w="2920" w:type="dxa"/>
            <w:vAlign w:val="bottom"/>
            <w:tcBorders>
              <w:bottom w:val="single" w:sz="8" w:color="auto"/>
            </w:tcBorders>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ind w:right="214"/>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ind w:right="213"/>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ind w:right="234"/>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ind w:right="233"/>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16"/>
                <w:szCs w:val="16"/>
                <w:color w:val="auto"/>
              </w:rPr>
            </w:pPr>
          </w:p>
        </w:tc>
        <w:tc>
          <w:tcPr>
            <w:tcW w:w="42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49"/>
        </w:trPr>
        <w:tc>
          <w:tcPr>
            <w:tcW w:w="3940" w:type="dxa"/>
            <w:vAlign w:val="bottom"/>
            <w:tcBorders>
              <w:bottom w:val="single" w:sz="8" w:color="CCEEFF"/>
            </w:tcBorders>
            <w:gridSpan w:val="4"/>
            <w:shd w:val="clear" w:color="auto" w:fill="CCEEFF"/>
          </w:tcPr>
          <w:p>
            <w:pPr>
              <w:ind w:left="20"/>
              <w:spacing w:after="0"/>
              <w:rPr>
                <w:sz w:val="20"/>
                <w:szCs w:val="20"/>
                <w:color w:val="auto"/>
              </w:rPr>
            </w:pPr>
            <w:r>
              <w:rPr>
                <w:rFonts w:ascii="Arial" w:cs="Arial" w:eastAsia="Arial" w:hAnsi="Arial"/>
                <w:sz w:val="18"/>
                <w:szCs w:val="18"/>
                <w:color w:val="auto"/>
              </w:rPr>
              <w:t>Unrealized holding losses (gains) on derivatives</w:t>
            </w:r>
          </w:p>
        </w:tc>
        <w:tc>
          <w:tcPr>
            <w:tcW w:w="1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2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920" w:type="dxa"/>
            <w:vAlign w:val="bottom"/>
          </w:tcPr>
          <w:p>
            <w:pPr>
              <w:ind w:left="220"/>
              <w:spacing w:after="0"/>
              <w:rPr>
                <w:sz w:val="20"/>
                <w:szCs w:val="20"/>
                <w:color w:val="auto"/>
              </w:rPr>
            </w:pPr>
            <w:r>
              <w:rPr>
                <w:rFonts w:ascii="Arial" w:cs="Arial" w:eastAsia="Arial" w:hAnsi="Arial"/>
                <w:sz w:val="18"/>
                <w:szCs w:val="18"/>
                <w:color w:val="auto"/>
              </w:rPr>
              <w:t>Currency forwards</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(842)</w:t>
            </w:r>
          </w:p>
        </w:tc>
        <w:tc>
          <w:tcPr>
            <w:tcW w:w="1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185</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(762)</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1,382</w:t>
            </w:r>
          </w:p>
        </w:tc>
        <w:tc>
          <w:tcPr>
            <w:tcW w:w="100" w:type="dxa"/>
            <w:vAlign w:val="bottom"/>
          </w:tcPr>
          <w:p>
            <w:pPr>
              <w:spacing w:after="0"/>
              <w:rPr>
                <w:sz w:val="21"/>
                <w:szCs w:val="21"/>
                <w:color w:val="auto"/>
              </w:rPr>
            </w:pPr>
          </w:p>
        </w:tc>
        <w:tc>
          <w:tcPr>
            <w:tcW w:w="4200" w:type="dxa"/>
            <w:vAlign w:val="bottom"/>
          </w:tcPr>
          <w:p>
            <w:pPr>
              <w:ind w:left="20"/>
              <w:spacing w:after="0"/>
              <w:rPr>
                <w:sz w:val="20"/>
                <w:szCs w:val="20"/>
                <w:color w:val="auto"/>
              </w:rPr>
            </w:pPr>
            <w:r>
              <w:rPr>
                <w:rFonts w:ascii="Arial" w:cs="Arial" w:eastAsia="Arial" w:hAnsi="Arial"/>
                <w:sz w:val="18"/>
                <w:szCs w:val="18"/>
                <w:color w:val="auto"/>
              </w:rPr>
              <w:t>Cost of sales</w:t>
            </w:r>
          </w:p>
        </w:tc>
        <w:tc>
          <w:tcPr>
            <w:tcW w:w="0" w:type="dxa"/>
            <w:vAlign w:val="bottom"/>
          </w:tcPr>
          <w:p>
            <w:pPr>
              <w:spacing w:after="0"/>
              <w:rPr>
                <w:sz w:val="1"/>
                <w:szCs w:val="1"/>
                <w:color w:val="auto"/>
              </w:rPr>
            </w:pPr>
          </w:p>
        </w:tc>
      </w:tr>
      <w:tr>
        <w:trPr>
          <w:trHeight w:val="27"/>
        </w:trPr>
        <w:tc>
          <w:tcPr>
            <w:tcW w:w="29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9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(226)</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652</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640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2,270</w:t>
            </w:r>
          </w:p>
        </w:tc>
        <w:tc>
          <w:tcPr>
            <w:tcW w:w="100" w:type="dxa"/>
            <w:vAlign w:val="bottom"/>
            <w:tcBorders>
              <w:bottom w:val="single" w:sz="8" w:color="CCEEFF"/>
            </w:tcBorders>
            <w:shd w:val="clear" w:color="auto" w:fill="CCEEFF"/>
          </w:tcPr>
          <w:p>
            <w:pPr>
              <w:spacing w:after="0"/>
              <w:rPr>
                <w:sz w:val="21"/>
                <w:szCs w:val="21"/>
                <w:color w:val="auto"/>
              </w:rPr>
            </w:pPr>
          </w:p>
        </w:tc>
        <w:tc>
          <w:tcPr>
            <w:tcW w:w="4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Research and development</w:t>
            </w:r>
          </w:p>
        </w:tc>
        <w:tc>
          <w:tcPr>
            <w:tcW w:w="0" w:type="dxa"/>
            <w:vAlign w:val="bottom"/>
          </w:tcPr>
          <w:p>
            <w:pPr>
              <w:spacing w:after="0"/>
              <w:rPr>
                <w:sz w:val="1"/>
                <w:szCs w:val="1"/>
                <w:color w:val="auto"/>
              </w:rPr>
            </w:pPr>
          </w:p>
        </w:tc>
      </w:tr>
      <w:tr>
        <w:trPr>
          <w:trHeight w:val="243"/>
        </w:trPr>
        <w:tc>
          <w:tcPr>
            <w:tcW w:w="29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(189)</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617</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80" w:type="dxa"/>
            <w:vAlign w:val="bottom"/>
          </w:tcPr>
          <w:p>
            <w:pPr>
              <w:jc w:val="right"/>
              <w:ind w:right="14"/>
              <w:spacing w:after="0"/>
              <w:rPr>
                <w:sz w:val="20"/>
                <w:szCs w:val="20"/>
                <w:color w:val="auto"/>
              </w:rPr>
            </w:pPr>
            <w:r>
              <w:rPr>
                <w:rFonts w:ascii="Arial" w:cs="Arial" w:eastAsia="Arial" w:hAnsi="Arial"/>
                <w:sz w:val="18"/>
                <w:szCs w:val="18"/>
                <w:color w:val="auto"/>
              </w:rPr>
              <w:t>895</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2,488</w:t>
            </w:r>
          </w:p>
        </w:tc>
        <w:tc>
          <w:tcPr>
            <w:tcW w:w="100" w:type="dxa"/>
            <w:vAlign w:val="bottom"/>
          </w:tcPr>
          <w:p>
            <w:pPr>
              <w:spacing w:after="0"/>
              <w:rPr>
                <w:sz w:val="21"/>
                <w:szCs w:val="21"/>
                <w:color w:val="auto"/>
              </w:rPr>
            </w:pPr>
          </w:p>
        </w:tc>
        <w:tc>
          <w:tcPr>
            <w:tcW w:w="4200" w:type="dxa"/>
            <w:vAlign w:val="bottom"/>
          </w:tcPr>
          <w:p>
            <w:pPr>
              <w:ind w:left="20"/>
              <w:spacing w:after="0"/>
              <w:rPr>
                <w:sz w:val="20"/>
                <w:szCs w:val="20"/>
                <w:color w:val="auto"/>
              </w:rPr>
            </w:pPr>
            <w:r>
              <w:rPr>
                <w:rFonts w:ascii="Arial" w:cs="Arial" w:eastAsia="Arial" w:hAnsi="Arial"/>
                <w:sz w:val="18"/>
                <w:szCs w:val="18"/>
                <w:color w:val="auto"/>
              </w:rPr>
              <w:t>Selling, marketing, general and administrative</w:t>
            </w:r>
          </w:p>
        </w:tc>
        <w:tc>
          <w:tcPr>
            <w:tcW w:w="0" w:type="dxa"/>
            <w:vAlign w:val="bottom"/>
          </w:tcPr>
          <w:p>
            <w:pPr>
              <w:spacing w:after="0"/>
              <w:rPr>
                <w:sz w:val="1"/>
                <w:szCs w:val="1"/>
                <w:color w:val="auto"/>
              </w:rPr>
            </w:pPr>
          </w:p>
        </w:tc>
      </w:tr>
      <w:tr>
        <w:trPr>
          <w:trHeight w:val="27"/>
        </w:trPr>
        <w:tc>
          <w:tcPr>
            <w:tcW w:w="29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92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Interest rate derivatives</w:t>
            </w:r>
          </w:p>
        </w:tc>
        <w:tc>
          <w:tcPr>
            <w:tcW w:w="14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464</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464</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1,392</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974</w:t>
            </w:r>
          </w:p>
        </w:tc>
        <w:tc>
          <w:tcPr>
            <w:tcW w:w="100" w:type="dxa"/>
            <w:vAlign w:val="bottom"/>
            <w:tcBorders>
              <w:bottom w:val="single" w:sz="8" w:color="CCEEFF"/>
            </w:tcBorders>
            <w:shd w:val="clear" w:color="auto" w:fill="CCEEFF"/>
          </w:tcPr>
          <w:p>
            <w:pPr>
              <w:spacing w:after="0"/>
              <w:rPr>
                <w:sz w:val="23"/>
                <w:szCs w:val="23"/>
                <w:color w:val="auto"/>
              </w:rPr>
            </w:pPr>
          </w:p>
        </w:tc>
        <w:tc>
          <w:tcPr>
            <w:tcW w:w="4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Interest expense</w:t>
            </w:r>
          </w:p>
        </w:tc>
        <w:tc>
          <w:tcPr>
            <w:tcW w:w="0" w:type="dxa"/>
            <w:vAlign w:val="bottom"/>
          </w:tcPr>
          <w:p>
            <w:pPr>
              <w:spacing w:after="0"/>
              <w:rPr>
                <w:sz w:val="1"/>
                <w:szCs w:val="1"/>
                <w:color w:val="auto"/>
              </w:rPr>
            </w:pPr>
          </w:p>
        </w:tc>
      </w:tr>
      <w:tr>
        <w:trPr>
          <w:trHeight w:val="237"/>
        </w:trPr>
        <w:tc>
          <w:tcPr>
            <w:tcW w:w="29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(793)</w:t>
            </w: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1,918</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78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2,165</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7,114</w:t>
            </w:r>
          </w:p>
        </w:tc>
        <w:tc>
          <w:tcPr>
            <w:tcW w:w="100" w:type="dxa"/>
            <w:vAlign w:val="bottom"/>
          </w:tcPr>
          <w:p>
            <w:pPr>
              <w:spacing w:after="0"/>
              <w:rPr>
                <w:sz w:val="20"/>
                <w:szCs w:val="20"/>
                <w:color w:val="auto"/>
              </w:rPr>
            </w:pPr>
          </w:p>
        </w:tc>
        <w:tc>
          <w:tcPr>
            <w:tcW w:w="4200" w:type="dxa"/>
            <w:vAlign w:val="bottom"/>
          </w:tcPr>
          <w:p>
            <w:pPr>
              <w:ind w:left="20"/>
              <w:spacing w:after="0"/>
              <w:rPr>
                <w:sz w:val="20"/>
                <w:szCs w:val="20"/>
                <w:color w:val="auto"/>
              </w:rPr>
            </w:pPr>
            <w:r>
              <w:rPr>
                <w:rFonts w:ascii="Arial" w:cs="Arial" w:eastAsia="Arial" w:hAnsi="Arial"/>
                <w:sz w:val="18"/>
                <w:szCs w:val="18"/>
                <w:color w:val="auto"/>
              </w:rPr>
              <w:t>Total before tax</w:t>
            </w:r>
          </w:p>
        </w:tc>
        <w:tc>
          <w:tcPr>
            <w:tcW w:w="0" w:type="dxa"/>
            <w:vAlign w:val="bottom"/>
          </w:tcPr>
          <w:p>
            <w:pPr>
              <w:spacing w:after="0"/>
              <w:rPr>
                <w:sz w:val="1"/>
                <w:szCs w:val="1"/>
                <w:color w:val="auto"/>
              </w:rPr>
            </w:pPr>
          </w:p>
        </w:tc>
      </w:tr>
      <w:tr>
        <w:trPr>
          <w:trHeight w:val="27"/>
        </w:trPr>
        <w:tc>
          <w:tcPr>
            <w:tcW w:w="29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63"/>
        </w:trPr>
        <w:tc>
          <w:tcPr>
            <w:tcW w:w="29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79</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(384)</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(488)</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(1,187)</w:t>
            </w:r>
          </w:p>
        </w:tc>
        <w:tc>
          <w:tcPr>
            <w:tcW w:w="100" w:type="dxa"/>
            <w:vAlign w:val="bottom"/>
            <w:tcBorders>
              <w:bottom w:val="single" w:sz="8" w:color="CCEEFF"/>
            </w:tcBorders>
            <w:shd w:val="clear" w:color="auto" w:fill="CCEEFF"/>
          </w:tcPr>
          <w:p>
            <w:pPr>
              <w:spacing w:after="0"/>
              <w:rPr>
                <w:sz w:val="22"/>
                <w:szCs w:val="22"/>
                <w:color w:val="auto"/>
              </w:rPr>
            </w:pPr>
          </w:p>
        </w:tc>
        <w:tc>
          <w:tcPr>
            <w:tcW w:w="4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Tax</w:t>
            </w:r>
          </w:p>
        </w:tc>
        <w:tc>
          <w:tcPr>
            <w:tcW w:w="0" w:type="dxa"/>
            <w:vAlign w:val="bottom"/>
          </w:tcPr>
          <w:p>
            <w:pPr>
              <w:spacing w:after="0"/>
              <w:rPr>
                <w:sz w:val="1"/>
                <w:szCs w:val="1"/>
                <w:color w:val="auto"/>
              </w:rPr>
            </w:pPr>
          </w:p>
        </w:tc>
      </w:tr>
      <w:tr>
        <w:trPr>
          <w:trHeight w:val="155"/>
        </w:trPr>
        <w:tc>
          <w:tcPr>
            <w:tcW w:w="2920" w:type="dxa"/>
            <w:vAlign w:val="bottom"/>
          </w:tcPr>
          <w:p>
            <w:pPr>
              <w:ind w:left="220"/>
              <w:spacing w:after="0" w:line="156" w:lineRule="exact"/>
              <w:rPr>
                <w:sz w:val="20"/>
                <w:szCs w:val="20"/>
                <w:color w:val="auto"/>
              </w:rPr>
            </w:pPr>
            <w:r>
              <w:rPr>
                <w:rFonts w:ascii="Arial" w:cs="Arial" w:eastAsia="Arial" w:hAnsi="Arial"/>
                <w:sz w:val="18"/>
                <w:szCs w:val="18"/>
                <w:color w:val="auto"/>
              </w:rPr>
              <w:t>Effect of Accounting Standards</w:t>
            </w:r>
          </w:p>
        </w:tc>
        <w:tc>
          <w:tcPr>
            <w:tcW w:w="140" w:type="dxa"/>
            <w:vAlign w:val="bottom"/>
            <w:tcBorders>
              <w:top w:val="single" w:sz="8" w:color="auto"/>
            </w:tcBorders>
          </w:tcPr>
          <w:p>
            <w:pPr>
              <w:spacing w:after="0"/>
              <w:rPr>
                <w:sz w:val="13"/>
                <w:szCs w:val="13"/>
                <w:color w:val="auto"/>
              </w:rPr>
            </w:pPr>
          </w:p>
        </w:tc>
        <w:tc>
          <w:tcPr>
            <w:tcW w:w="76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rPr>
              <w:t>—</w:t>
            </w:r>
          </w:p>
        </w:tc>
        <w:tc>
          <w:tcPr>
            <w:tcW w:w="120" w:type="dxa"/>
            <w:vAlign w:val="bottom"/>
            <w:vMerge w:val="restart"/>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76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rPr>
              <w:t>—</w:t>
            </w:r>
          </w:p>
        </w:tc>
        <w:tc>
          <w:tcPr>
            <w:tcW w:w="100" w:type="dxa"/>
            <w:vAlign w:val="bottom"/>
            <w:vMerge w:val="restart"/>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78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rPr>
              <w:t>(2,379)</w:t>
            </w:r>
          </w:p>
        </w:tc>
        <w:tc>
          <w:tcPr>
            <w:tcW w:w="10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78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3"/>
                <w:szCs w:val="13"/>
                <w:color w:val="auto"/>
              </w:rPr>
            </w:pPr>
          </w:p>
        </w:tc>
        <w:tc>
          <w:tcPr>
            <w:tcW w:w="4200" w:type="dxa"/>
            <w:vAlign w:val="bottom"/>
            <w:vMerge w:val="restart"/>
          </w:tcPr>
          <w:p>
            <w:pPr>
              <w:ind w:left="20"/>
              <w:spacing w:after="0"/>
              <w:rPr>
                <w:sz w:val="20"/>
                <w:szCs w:val="20"/>
                <w:color w:val="auto"/>
              </w:rPr>
            </w:pPr>
            <w:r>
              <w:rPr>
                <w:rFonts w:ascii="Arial" w:cs="Arial" w:eastAsia="Arial" w:hAnsi="Arial"/>
                <w:sz w:val="18"/>
                <w:szCs w:val="18"/>
                <w:color w:val="auto"/>
              </w:rPr>
              <w:t>Retained earnings</w:t>
            </w:r>
          </w:p>
        </w:tc>
        <w:tc>
          <w:tcPr>
            <w:tcW w:w="0" w:type="dxa"/>
            <w:vAlign w:val="bottom"/>
          </w:tcPr>
          <w:p>
            <w:pPr>
              <w:spacing w:after="0"/>
              <w:rPr>
                <w:sz w:val="1"/>
                <w:szCs w:val="1"/>
                <w:color w:val="auto"/>
              </w:rPr>
            </w:pPr>
          </w:p>
        </w:tc>
      </w:tr>
      <w:tr>
        <w:trPr>
          <w:trHeight w:val="230"/>
        </w:trPr>
        <w:tc>
          <w:tcPr>
            <w:tcW w:w="292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Update 2018-02</w:t>
            </w:r>
          </w:p>
        </w:tc>
        <w:tc>
          <w:tcPr>
            <w:tcW w:w="14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vMerge w:val="continue"/>
          </w:tcPr>
          <w:p>
            <w:pPr>
              <w:spacing w:after="0"/>
              <w:rPr>
                <w:sz w:val="19"/>
                <w:szCs w:val="19"/>
                <w:color w:val="auto"/>
              </w:rPr>
            </w:pPr>
          </w:p>
        </w:tc>
        <w:tc>
          <w:tcPr>
            <w:tcW w:w="120" w:type="dxa"/>
            <w:vAlign w:val="bottom"/>
            <w:tcBorders>
              <w:bottom w:val="single" w:sz="8" w:color="CCEEFF"/>
            </w:tcBorders>
            <w:vMerge w:val="continue"/>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vMerge w:val="continue"/>
          </w:tcPr>
          <w:p>
            <w:pPr>
              <w:spacing w:after="0"/>
              <w:rPr>
                <w:sz w:val="19"/>
                <w:szCs w:val="19"/>
                <w:color w:val="auto"/>
              </w:rPr>
            </w:pPr>
          </w:p>
        </w:tc>
        <w:tc>
          <w:tcPr>
            <w:tcW w:w="100" w:type="dxa"/>
            <w:vAlign w:val="bottom"/>
            <w:tcBorders>
              <w:bottom w:val="single" w:sz="8" w:color="CCEEFF"/>
            </w:tcBorders>
            <w:vMerge w:val="continue"/>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vMerge w:val="continue"/>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vMerge w:val="continue"/>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4200" w:type="dxa"/>
            <w:vAlign w:val="bottom"/>
            <w:tcBorders>
              <w:bottom w:val="single" w:sz="8" w:color="CCEEFF"/>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88"/>
        </w:trPr>
        <w:tc>
          <w:tcPr>
            <w:tcW w:w="292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(714)</w:t>
            </w:r>
          </w:p>
        </w:tc>
        <w:tc>
          <w:tcPr>
            <w:tcW w:w="12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1,534</w:t>
            </w:r>
          </w:p>
        </w:tc>
        <w:tc>
          <w:tcPr>
            <w:tcW w:w="10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(702)</w:t>
            </w:r>
          </w:p>
        </w:tc>
        <w:tc>
          <w:tcPr>
            <w:tcW w:w="10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5,927</w:t>
            </w:r>
          </w:p>
        </w:tc>
        <w:tc>
          <w:tcPr>
            <w:tcW w:w="100" w:type="dxa"/>
            <w:vAlign w:val="bottom"/>
            <w:tcBorders>
              <w:bottom w:val="single" w:sz="8" w:color="CCEEFF"/>
            </w:tcBorders>
            <w:shd w:val="clear" w:color="auto" w:fill="CCEEFF"/>
          </w:tcPr>
          <w:p>
            <w:pPr>
              <w:spacing w:after="0"/>
              <w:rPr>
                <w:sz w:val="24"/>
                <w:szCs w:val="24"/>
                <w:color w:val="auto"/>
              </w:rPr>
            </w:pPr>
          </w:p>
        </w:tc>
        <w:tc>
          <w:tcPr>
            <w:tcW w:w="4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of tax</w:t>
            </w:r>
          </w:p>
        </w:tc>
        <w:tc>
          <w:tcPr>
            <w:tcW w:w="0" w:type="dxa"/>
            <w:vAlign w:val="bottom"/>
          </w:tcPr>
          <w:p>
            <w:pPr>
              <w:spacing w:after="0"/>
              <w:rPr>
                <w:sz w:val="1"/>
                <w:szCs w:val="1"/>
                <w:color w:val="auto"/>
              </w:rPr>
            </w:pPr>
          </w:p>
        </w:tc>
      </w:tr>
      <w:tr>
        <w:trPr>
          <w:trHeight w:val="20"/>
        </w:trPr>
        <w:tc>
          <w:tcPr>
            <w:tcW w:w="3820" w:type="dxa"/>
            <w:vAlign w:val="bottom"/>
            <w:tcBorders>
              <w:top w:val="single" w:sz="8" w:color="CCEEFF"/>
            </w:tcBorders>
            <w:gridSpan w:val="3"/>
          </w:tcPr>
          <w:p>
            <w:pPr>
              <w:spacing w:after="0" w:line="20" w:lineRule="exact"/>
              <w:rPr>
                <w:sz w:val="1"/>
                <w:szCs w:val="1"/>
                <w:color w:val="auto"/>
              </w:rPr>
            </w:pPr>
          </w:p>
        </w:tc>
        <w:tc>
          <w:tcPr>
            <w:tcW w:w="1020" w:type="dxa"/>
            <w:vAlign w:val="bottom"/>
            <w:tcBorders>
              <w:top w:val="single" w:sz="8" w:color="CCEEFF"/>
            </w:tcBorders>
            <w:gridSpan w:val="3"/>
          </w:tcPr>
          <w:p>
            <w:pPr>
              <w:spacing w:after="0" w:line="20" w:lineRule="exact"/>
              <w:rPr>
                <w:sz w:val="1"/>
                <w:szCs w:val="1"/>
                <w:color w:val="auto"/>
              </w:rPr>
            </w:pPr>
          </w:p>
        </w:tc>
        <w:tc>
          <w:tcPr>
            <w:tcW w:w="1020" w:type="dxa"/>
            <w:vAlign w:val="bottom"/>
            <w:tcBorders>
              <w:top w:val="single" w:sz="8" w:color="CCEEFF"/>
            </w:tcBorders>
            <w:gridSpan w:val="3"/>
          </w:tcPr>
          <w:p>
            <w:pPr>
              <w:spacing w:after="0" w:line="20" w:lineRule="exact"/>
              <w:rPr>
                <w:sz w:val="1"/>
                <w:szCs w:val="1"/>
                <w:color w:val="auto"/>
              </w:rPr>
            </w:pPr>
          </w:p>
        </w:tc>
        <w:tc>
          <w:tcPr>
            <w:tcW w:w="1020" w:type="dxa"/>
            <w:vAlign w:val="bottom"/>
            <w:tcBorders>
              <w:top w:val="single" w:sz="8" w:color="CCEEFF"/>
            </w:tcBorders>
            <w:gridSpan w:val="3"/>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29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4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6880" w:type="dxa"/>
            <w:vAlign w:val="bottom"/>
            <w:tcBorders>
              <w:bottom w:val="single" w:sz="8" w:color="CCEEFF"/>
            </w:tcBorders>
            <w:gridSpan w:val="12"/>
            <w:shd w:val="clear" w:color="auto" w:fill="CCEEFF"/>
          </w:tcPr>
          <w:p>
            <w:pPr>
              <w:ind w:left="20"/>
              <w:spacing w:after="0"/>
              <w:rPr>
                <w:sz w:val="20"/>
                <w:szCs w:val="20"/>
                <w:color w:val="auto"/>
              </w:rPr>
            </w:pPr>
            <w:r>
              <w:rPr>
                <w:rFonts w:ascii="Arial" w:cs="Arial" w:eastAsia="Arial" w:hAnsi="Arial"/>
                <w:sz w:val="18"/>
                <w:szCs w:val="18"/>
                <w:color w:val="auto"/>
                <w:w w:val="92"/>
              </w:rPr>
              <w:t>Amortization of pension components included in the computation of net periodic pension cost</w:t>
            </w:r>
          </w:p>
        </w:tc>
        <w:tc>
          <w:tcPr>
            <w:tcW w:w="100" w:type="dxa"/>
            <w:vAlign w:val="bottom"/>
            <w:tcBorders>
              <w:bottom w:val="single" w:sz="8" w:color="CCEEFF"/>
            </w:tcBorders>
            <w:shd w:val="clear" w:color="auto" w:fill="CCEEFF"/>
          </w:tcPr>
          <w:p>
            <w:pPr>
              <w:spacing w:after="0"/>
              <w:rPr>
                <w:sz w:val="21"/>
                <w:szCs w:val="21"/>
                <w:color w:val="auto"/>
              </w:rPr>
            </w:pPr>
          </w:p>
        </w:tc>
        <w:tc>
          <w:tcPr>
            <w:tcW w:w="42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920" w:type="dxa"/>
            <w:vAlign w:val="bottom"/>
          </w:tcPr>
          <w:p>
            <w:pPr>
              <w:ind w:left="220"/>
              <w:spacing w:after="0"/>
              <w:rPr>
                <w:sz w:val="20"/>
                <w:szCs w:val="20"/>
                <w:color w:val="auto"/>
              </w:rPr>
            </w:pPr>
            <w:r>
              <w:rPr>
                <w:rFonts w:ascii="Arial" w:cs="Arial" w:eastAsia="Arial" w:hAnsi="Arial"/>
                <w:sz w:val="18"/>
                <w:szCs w:val="18"/>
                <w:color w:val="auto"/>
              </w:rPr>
              <w:t>Actuarial losses</w:t>
            </w:r>
          </w:p>
        </w:tc>
        <w:tc>
          <w:tcPr>
            <w:tcW w:w="14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672</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243</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80" w:type="dxa"/>
            <w:vAlign w:val="bottom"/>
          </w:tcPr>
          <w:p>
            <w:pPr>
              <w:jc w:val="right"/>
              <w:ind w:right="14"/>
              <w:spacing w:after="0"/>
              <w:rPr>
                <w:sz w:val="20"/>
                <w:szCs w:val="20"/>
                <w:color w:val="auto"/>
              </w:rPr>
            </w:pPr>
            <w:r>
              <w:rPr>
                <w:rFonts w:ascii="Arial" w:cs="Arial" w:eastAsia="Arial" w:hAnsi="Arial"/>
                <w:sz w:val="18"/>
                <w:szCs w:val="18"/>
                <w:color w:val="auto"/>
              </w:rPr>
              <w:t>1,954</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754</w:t>
            </w:r>
          </w:p>
        </w:tc>
        <w:tc>
          <w:tcPr>
            <w:tcW w:w="100" w:type="dxa"/>
            <w:vAlign w:val="bottom"/>
          </w:tcPr>
          <w:p>
            <w:pPr>
              <w:spacing w:after="0"/>
              <w:rPr>
                <w:sz w:val="21"/>
                <w:szCs w:val="21"/>
                <w:color w:val="auto"/>
              </w:rPr>
            </w:pPr>
          </w:p>
        </w:tc>
        <w:tc>
          <w:tcPr>
            <w:tcW w:w="42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9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9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(168)</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(60)</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(485)</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(186)</w:t>
            </w:r>
          </w:p>
        </w:tc>
        <w:tc>
          <w:tcPr>
            <w:tcW w:w="100" w:type="dxa"/>
            <w:vAlign w:val="bottom"/>
            <w:tcBorders>
              <w:bottom w:val="single" w:sz="8" w:color="CCEEFF"/>
            </w:tcBorders>
            <w:shd w:val="clear" w:color="auto" w:fill="CCEEFF"/>
          </w:tcPr>
          <w:p>
            <w:pPr>
              <w:spacing w:after="0"/>
              <w:rPr>
                <w:sz w:val="23"/>
                <w:szCs w:val="23"/>
                <w:color w:val="auto"/>
              </w:rPr>
            </w:pPr>
          </w:p>
        </w:tc>
        <w:tc>
          <w:tcPr>
            <w:tcW w:w="4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Tax</w:t>
            </w:r>
          </w:p>
        </w:tc>
        <w:tc>
          <w:tcPr>
            <w:tcW w:w="0" w:type="dxa"/>
            <w:vAlign w:val="bottom"/>
          </w:tcPr>
          <w:p>
            <w:pPr>
              <w:spacing w:after="0"/>
              <w:rPr>
                <w:sz w:val="1"/>
                <w:szCs w:val="1"/>
                <w:color w:val="auto"/>
              </w:rPr>
            </w:pPr>
          </w:p>
        </w:tc>
      </w:tr>
      <w:tr>
        <w:trPr>
          <w:trHeight w:val="263"/>
        </w:trPr>
        <w:tc>
          <w:tcPr>
            <w:tcW w:w="292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504</w:t>
            </w:r>
          </w:p>
        </w:tc>
        <w:tc>
          <w:tcPr>
            <w:tcW w:w="12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183</w:t>
            </w:r>
          </w:p>
        </w:tc>
        <w:tc>
          <w:tcPr>
            <w:tcW w:w="10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1,469</w:t>
            </w:r>
          </w:p>
        </w:tc>
        <w:tc>
          <w:tcPr>
            <w:tcW w:w="10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568</w:t>
            </w:r>
          </w:p>
        </w:tc>
        <w:tc>
          <w:tcPr>
            <w:tcW w:w="100" w:type="dxa"/>
            <w:vAlign w:val="bottom"/>
          </w:tcPr>
          <w:p>
            <w:pPr>
              <w:spacing w:after="0"/>
              <w:rPr>
                <w:sz w:val="22"/>
                <w:szCs w:val="22"/>
                <w:color w:val="auto"/>
              </w:rPr>
            </w:pPr>
          </w:p>
        </w:tc>
        <w:tc>
          <w:tcPr>
            <w:tcW w:w="4200" w:type="dxa"/>
            <w:vAlign w:val="bottom"/>
          </w:tcPr>
          <w:p>
            <w:pPr>
              <w:ind w:left="20"/>
              <w:spacing w:after="0"/>
              <w:rPr>
                <w:sz w:val="20"/>
                <w:szCs w:val="20"/>
                <w:color w:val="auto"/>
              </w:rPr>
            </w:pPr>
            <w:r>
              <w:rPr>
                <w:rFonts w:ascii="Arial" w:cs="Arial" w:eastAsia="Arial" w:hAnsi="Arial"/>
                <w:sz w:val="18"/>
                <w:szCs w:val="18"/>
                <w:color w:val="auto"/>
              </w:rPr>
              <w:t>Net of tax</w:t>
            </w:r>
          </w:p>
        </w:tc>
        <w:tc>
          <w:tcPr>
            <w:tcW w:w="0" w:type="dxa"/>
            <w:vAlign w:val="bottom"/>
          </w:tcPr>
          <w:p>
            <w:pPr>
              <w:spacing w:after="0"/>
              <w:rPr>
                <w:sz w:val="1"/>
                <w:szCs w:val="1"/>
                <w:color w:val="auto"/>
              </w:rPr>
            </w:pPr>
          </w:p>
        </w:tc>
      </w:tr>
      <w:tr>
        <w:trPr>
          <w:trHeight w:val="20"/>
        </w:trPr>
        <w:tc>
          <w:tcPr>
            <w:tcW w:w="29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20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29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2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2920" w:type="dxa"/>
            <w:vAlign w:val="bottom"/>
          </w:tcPr>
          <w:p>
            <w:pPr>
              <w:ind w:left="20"/>
              <w:spacing w:after="0"/>
              <w:rPr>
                <w:sz w:val="20"/>
                <w:szCs w:val="20"/>
                <w:color w:val="auto"/>
              </w:rPr>
            </w:pPr>
            <w:r>
              <w:rPr>
                <w:rFonts w:ascii="Arial" w:cs="Arial" w:eastAsia="Arial" w:hAnsi="Arial"/>
                <w:sz w:val="18"/>
                <w:szCs w:val="18"/>
                <w:color w:val="auto"/>
              </w:rPr>
              <w:t>Total amounts reclassified out of</w:t>
            </w:r>
          </w:p>
        </w:tc>
        <w:tc>
          <w:tcPr>
            <w:tcW w:w="140" w:type="dxa"/>
            <w:vAlign w:val="bottom"/>
            <w:vMerge w:val="restart"/>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vMerge w:val="restart"/>
          </w:tcPr>
          <w:p>
            <w:pPr>
              <w:jc w:val="right"/>
              <w:spacing w:after="0"/>
              <w:rPr>
                <w:sz w:val="20"/>
                <w:szCs w:val="20"/>
                <w:color w:val="auto"/>
              </w:rPr>
            </w:pPr>
            <w:r>
              <w:rPr>
                <w:rFonts w:ascii="Arial" w:cs="Arial" w:eastAsia="Arial" w:hAnsi="Arial"/>
                <w:sz w:val="18"/>
                <w:szCs w:val="18"/>
                <w:color w:val="auto"/>
              </w:rPr>
              <w:t>(210)</w:t>
            </w:r>
          </w:p>
        </w:tc>
        <w:tc>
          <w:tcPr>
            <w:tcW w:w="120" w:type="dxa"/>
            <w:vAlign w:val="bottom"/>
          </w:tcPr>
          <w:p>
            <w:pPr>
              <w:spacing w:after="0"/>
              <w:rPr>
                <w:sz w:val="19"/>
                <w:szCs w:val="19"/>
                <w:color w:val="auto"/>
              </w:rPr>
            </w:pPr>
          </w:p>
        </w:tc>
        <w:tc>
          <w:tcPr>
            <w:tcW w:w="140" w:type="dxa"/>
            <w:vAlign w:val="bottom"/>
            <w:vMerge w:val="restart"/>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vMerge w:val="restart"/>
          </w:tcPr>
          <w:p>
            <w:pPr>
              <w:jc w:val="right"/>
              <w:spacing w:after="0"/>
              <w:rPr>
                <w:sz w:val="20"/>
                <w:szCs w:val="20"/>
                <w:color w:val="auto"/>
              </w:rPr>
            </w:pPr>
            <w:r>
              <w:rPr>
                <w:rFonts w:ascii="Arial" w:cs="Arial" w:eastAsia="Arial" w:hAnsi="Arial"/>
                <w:sz w:val="18"/>
                <w:szCs w:val="18"/>
                <w:color w:val="auto"/>
              </w:rPr>
              <w:t>1,717</w:t>
            </w:r>
          </w:p>
        </w:tc>
        <w:tc>
          <w:tcPr>
            <w:tcW w:w="100" w:type="dxa"/>
            <w:vAlign w:val="bottom"/>
          </w:tcPr>
          <w:p>
            <w:pPr>
              <w:spacing w:after="0"/>
              <w:rPr>
                <w:sz w:val="19"/>
                <w:szCs w:val="19"/>
                <w:color w:val="auto"/>
              </w:rPr>
            </w:pPr>
          </w:p>
        </w:tc>
        <w:tc>
          <w:tcPr>
            <w:tcW w:w="140" w:type="dxa"/>
            <w:vAlign w:val="bottom"/>
            <w:vMerge w:val="restart"/>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vMerge w:val="restart"/>
          </w:tcPr>
          <w:p>
            <w:pPr>
              <w:jc w:val="right"/>
              <w:ind w:right="14"/>
              <w:spacing w:after="0"/>
              <w:rPr>
                <w:sz w:val="20"/>
                <w:szCs w:val="20"/>
                <w:color w:val="auto"/>
              </w:rPr>
            </w:pPr>
            <w:r>
              <w:rPr>
                <w:rFonts w:ascii="Arial" w:cs="Arial" w:eastAsia="Arial" w:hAnsi="Arial"/>
                <w:sz w:val="18"/>
                <w:szCs w:val="18"/>
                <w:color w:val="auto"/>
              </w:rPr>
              <w:t>767</w:t>
            </w:r>
          </w:p>
        </w:tc>
        <w:tc>
          <w:tcPr>
            <w:tcW w:w="100" w:type="dxa"/>
            <w:vAlign w:val="bottom"/>
          </w:tcPr>
          <w:p>
            <w:pPr>
              <w:spacing w:after="0"/>
              <w:rPr>
                <w:sz w:val="19"/>
                <w:szCs w:val="19"/>
                <w:color w:val="auto"/>
              </w:rPr>
            </w:pPr>
          </w:p>
        </w:tc>
        <w:tc>
          <w:tcPr>
            <w:tcW w:w="140" w:type="dxa"/>
            <w:vAlign w:val="bottom"/>
            <w:vMerge w:val="restart"/>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vMerge w:val="restart"/>
          </w:tcPr>
          <w:p>
            <w:pPr>
              <w:jc w:val="right"/>
              <w:spacing w:after="0"/>
              <w:rPr>
                <w:sz w:val="20"/>
                <w:szCs w:val="20"/>
                <w:color w:val="auto"/>
              </w:rPr>
            </w:pPr>
            <w:r>
              <w:rPr>
                <w:rFonts w:ascii="Arial" w:cs="Arial" w:eastAsia="Arial" w:hAnsi="Arial"/>
                <w:sz w:val="18"/>
                <w:szCs w:val="18"/>
                <w:color w:val="auto"/>
              </w:rPr>
              <w:t>6,495</w:t>
            </w:r>
          </w:p>
        </w:tc>
        <w:tc>
          <w:tcPr>
            <w:tcW w:w="100" w:type="dxa"/>
            <w:vAlign w:val="bottom"/>
          </w:tcPr>
          <w:p>
            <w:pPr>
              <w:spacing w:after="0"/>
              <w:rPr>
                <w:sz w:val="19"/>
                <w:szCs w:val="19"/>
                <w:color w:val="auto"/>
              </w:rPr>
            </w:pPr>
          </w:p>
        </w:tc>
        <w:tc>
          <w:tcPr>
            <w:tcW w:w="4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5"/>
        </w:trPr>
        <w:tc>
          <w:tcPr>
            <w:tcW w:w="2920" w:type="dxa"/>
            <w:vAlign w:val="bottom"/>
          </w:tcPr>
          <w:p>
            <w:pPr>
              <w:ind w:left="20"/>
              <w:spacing w:after="0"/>
              <w:rPr>
                <w:sz w:val="20"/>
                <w:szCs w:val="20"/>
                <w:color w:val="auto"/>
              </w:rPr>
            </w:pPr>
            <w:r>
              <w:rPr>
                <w:rFonts w:ascii="Arial" w:cs="Arial" w:eastAsia="Arial" w:hAnsi="Arial"/>
                <w:sz w:val="18"/>
                <w:szCs w:val="18"/>
                <w:color w:val="auto"/>
              </w:rPr>
              <w:t>AOCI, net of tax</w:t>
            </w:r>
          </w:p>
        </w:tc>
        <w:tc>
          <w:tcPr>
            <w:tcW w:w="140" w:type="dxa"/>
            <w:vAlign w:val="bottom"/>
            <w:tcBorders>
              <w:bottom w:val="single" w:sz="8" w:color="auto"/>
            </w:tcBorders>
            <w:vMerge w:val="continue"/>
          </w:tcPr>
          <w:p>
            <w:pPr>
              <w:spacing w:after="0"/>
              <w:rPr>
                <w:sz w:val="20"/>
                <w:szCs w:val="20"/>
                <w:color w:val="auto"/>
              </w:rPr>
            </w:pPr>
          </w:p>
        </w:tc>
        <w:tc>
          <w:tcPr>
            <w:tcW w:w="760" w:type="dxa"/>
            <w:vAlign w:val="bottom"/>
            <w:tcBorders>
              <w:bottom w:val="single" w:sz="8" w:color="auto"/>
            </w:tcBorders>
            <w:vMerge w:val="continue"/>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Borders>
              <w:bottom w:val="single" w:sz="8" w:color="auto"/>
            </w:tcBorders>
            <w:vMerge w:val="continue"/>
          </w:tcPr>
          <w:p>
            <w:pPr>
              <w:spacing w:after="0"/>
              <w:rPr>
                <w:sz w:val="20"/>
                <w:szCs w:val="20"/>
                <w:color w:val="auto"/>
              </w:rPr>
            </w:pPr>
          </w:p>
        </w:tc>
        <w:tc>
          <w:tcPr>
            <w:tcW w:w="760" w:type="dxa"/>
            <w:vAlign w:val="bottom"/>
            <w:tcBorders>
              <w:bottom w:val="single" w:sz="8" w:color="auto"/>
            </w:tcBorders>
            <w:vMerge w:val="continue"/>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Borders>
              <w:bottom w:val="single" w:sz="8" w:color="auto"/>
            </w:tcBorders>
            <w:vMerge w:val="continue"/>
          </w:tcPr>
          <w:p>
            <w:pPr>
              <w:spacing w:after="0"/>
              <w:rPr>
                <w:sz w:val="20"/>
                <w:szCs w:val="20"/>
                <w:color w:val="auto"/>
              </w:rPr>
            </w:pPr>
          </w:p>
        </w:tc>
        <w:tc>
          <w:tcPr>
            <w:tcW w:w="780" w:type="dxa"/>
            <w:vAlign w:val="bottom"/>
            <w:tcBorders>
              <w:bottom w:val="single" w:sz="8" w:color="auto"/>
            </w:tcBorders>
            <w:vMerge w:val="continue"/>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Borders>
              <w:bottom w:val="single" w:sz="8" w:color="auto"/>
            </w:tcBorders>
            <w:vMerge w:val="continue"/>
          </w:tcPr>
          <w:p>
            <w:pPr>
              <w:spacing w:after="0"/>
              <w:rPr>
                <w:sz w:val="20"/>
                <w:szCs w:val="20"/>
                <w:color w:val="auto"/>
              </w:rPr>
            </w:pPr>
          </w:p>
        </w:tc>
        <w:tc>
          <w:tcPr>
            <w:tcW w:w="780" w:type="dxa"/>
            <w:vAlign w:val="bottom"/>
            <w:tcBorders>
              <w:bottom w:val="single" w:sz="8" w:color="auto"/>
            </w:tcBorders>
            <w:vMerge w:val="continue"/>
          </w:tcPr>
          <w:p>
            <w:pPr>
              <w:spacing w:after="0"/>
              <w:rPr>
                <w:sz w:val="20"/>
                <w:szCs w:val="20"/>
                <w:color w:val="auto"/>
              </w:rPr>
            </w:pPr>
          </w:p>
        </w:tc>
        <w:tc>
          <w:tcPr>
            <w:tcW w:w="100" w:type="dxa"/>
            <w:vAlign w:val="bottom"/>
          </w:tcPr>
          <w:p>
            <w:pPr>
              <w:spacing w:after="0"/>
              <w:rPr>
                <w:sz w:val="20"/>
                <w:szCs w:val="20"/>
                <w:color w:val="auto"/>
              </w:rPr>
            </w:pPr>
          </w:p>
        </w:tc>
        <w:tc>
          <w:tcPr>
            <w:tcW w:w="4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9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ind w:right="220" w:firstLine="445"/>
        <w:spacing w:after="0" w:line="277" w:lineRule="auto"/>
        <w:rPr>
          <w:sz w:val="20"/>
          <w:szCs w:val="20"/>
          <w:color w:val="auto"/>
        </w:rPr>
      </w:pPr>
      <w:r>
        <w:rPr>
          <w:rFonts w:ascii="Arial" w:cs="Arial" w:eastAsia="Arial" w:hAnsi="Arial"/>
          <w:sz w:val="18"/>
          <w:szCs w:val="18"/>
          <w:color w:val="auto"/>
        </w:rPr>
        <w:t>The Company estimates $7.2 million, net of tax, of gains on forward foreign currency derivative instruments included in AOCI will be reclassified into earnings within the next twelve months.</w:t>
      </w:r>
    </w:p>
    <w:p>
      <w:pPr>
        <w:spacing w:after="0" w:line="116" w:lineRule="exact"/>
        <w:rPr>
          <w:sz w:val="20"/>
          <w:szCs w:val="20"/>
          <w:color w:val="auto"/>
        </w:rPr>
      </w:pPr>
    </w:p>
    <w:p>
      <w:pPr>
        <w:jc w:val="center"/>
        <w:ind w:right="280"/>
        <w:spacing w:after="0"/>
        <w:rPr>
          <w:sz w:val="20"/>
          <w:szCs w:val="20"/>
          <w:color w:val="auto"/>
        </w:rPr>
      </w:pPr>
      <w:r>
        <w:rPr>
          <w:rFonts w:ascii="Arial" w:cs="Arial" w:eastAsia="Arial" w:hAnsi="Arial"/>
          <w:sz w:val="17"/>
          <w:szCs w:val="17"/>
          <w:color w:val="auto"/>
        </w:rPr>
        <w:t>Realized gains or losses on investments are determined based on the specific identification basis and are recognized in nonoperating expense</w:t>
      </w:r>
    </w:p>
    <w:p>
      <w:pPr>
        <w:spacing w:after="0" w:line="35" w:lineRule="exact"/>
        <w:rPr>
          <w:sz w:val="20"/>
          <w:szCs w:val="20"/>
          <w:color w:val="auto"/>
        </w:rPr>
      </w:pPr>
    </w:p>
    <w:p>
      <w:pPr>
        <w:jc w:val="center"/>
        <w:ind w:right="320"/>
        <w:spacing w:after="0"/>
        <w:rPr>
          <w:sz w:val="20"/>
          <w:szCs w:val="20"/>
          <w:color w:val="auto"/>
        </w:rPr>
      </w:pPr>
      <w:r>
        <w:rPr>
          <w:rFonts w:ascii="Arial" w:cs="Arial" w:eastAsia="Arial" w:hAnsi="Arial"/>
          <w:sz w:val="16"/>
          <w:szCs w:val="16"/>
          <w:color w:val="auto"/>
        </w:rPr>
        <w:t>(income). There were no material net realized gains or losses from the sales of available-for-sale investments during any of the fiscal periods presented.</w:t>
      </w:r>
    </w:p>
    <w:p>
      <w:pPr>
        <w:spacing w:after="0" w:line="200" w:lineRule="exact"/>
        <w:rPr>
          <w:sz w:val="20"/>
          <w:szCs w:val="20"/>
          <w:color w:val="auto"/>
        </w:rPr>
      </w:pPr>
    </w:p>
    <w:p>
      <w:pPr>
        <w:spacing w:after="0" w:line="3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 w:name="page12"/>
    <w:bookmarkEnd w:id="11"/>
    <w:p>
      <w:pPr>
        <w:jc w:val="center"/>
        <w:spacing w:after="0"/>
        <w:rPr>
          <w:sz w:val="20"/>
          <w:szCs w:val="20"/>
          <w:color w:val="auto"/>
        </w:rPr>
      </w:pPr>
      <w:r>
        <w:rPr>
          <w:rFonts w:ascii="Arial" w:cs="Arial" w:eastAsia="Arial" w:hAnsi="Arial"/>
          <w:sz w:val="18"/>
          <w:szCs w:val="18"/>
          <w:b w:val="1"/>
          <w:bCs w:val="1"/>
          <w:color w:val="auto"/>
        </w:rPr>
        <w:t>ANALOG DEVICES,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200" w:lineRule="exact"/>
        <w:rPr>
          <w:sz w:val="20"/>
          <w:szCs w:val="20"/>
          <w:color w:val="auto"/>
        </w:rPr>
      </w:pPr>
    </w:p>
    <w:p>
      <w:pPr>
        <w:spacing w:after="0" w:line="3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 Earnings Per Share</w:t>
      </w:r>
    </w:p>
    <w:p>
      <w:pPr>
        <w:spacing w:after="0" w:line="175" w:lineRule="exact"/>
        <w:rPr>
          <w:sz w:val="20"/>
          <w:szCs w:val="20"/>
          <w:color w:val="auto"/>
        </w:rPr>
      </w:pPr>
    </w:p>
    <w:p>
      <w:pPr>
        <w:ind w:right="240" w:firstLine="445"/>
        <w:spacing w:after="0" w:line="259" w:lineRule="auto"/>
        <w:rPr>
          <w:sz w:val="20"/>
          <w:szCs w:val="20"/>
          <w:color w:val="auto"/>
        </w:rPr>
      </w:pPr>
      <w:r>
        <w:rPr>
          <w:rFonts w:ascii="Arial" w:cs="Arial" w:eastAsia="Arial" w:hAnsi="Arial"/>
          <w:sz w:val="18"/>
          <w:szCs w:val="18"/>
          <w:color w:val="auto"/>
        </w:rPr>
        <w:t>The Company utilized the two-class method for calculating earnings per share because certain restricted stock awards granted were participating securities containing non-forfeitable rights to receive dividend equivalents. Under the two-class method, a portion of net income is allocated to these participating securities and therefore is excluded from the calculation of earnings per share allocated to common stock. The following table sets forth the computation of basic and diluted earnings per share:</w:t>
      </w:r>
    </w:p>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8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500" w:type="dxa"/>
            <w:vAlign w:val="bottom"/>
            <w:tcBorders>
              <w:bottom w:val="single" w:sz="8" w:color="auto"/>
            </w:tcBorders>
            <w:gridSpan w:val="4"/>
          </w:tcPr>
          <w:p>
            <w:pPr>
              <w:jc w:val="right"/>
              <w:ind w:right="592"/>
              <w:spacing w:after="0"/>
              <w:rPr>
                <w:sz w:val="20"/>
                <w:szCs w:val="20"/>
                <w:color w:val="auto"/>
              </w:rPr>
            </w:pPr>
            <w:r>
              <w:rPr>
                <w:rFonts w:ascii="Arial" w:cs="Arial" w:eastAsia="Arial" w:hAnsi="Arial"/>
                <w:sz w:val="14"/>
                <w:szCs w:val="14"/>
                <w:b w:val="1"/>
                <w:bCs w:val="1"/>
                <w:color w:val="auto"/>
              </w:rPr>
              <w:t>Three Months Ended</w:t>
            </w: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520" w:type="dxa"/>
            <w:vAlign w:val="bottom"/>
            <w:tcBorders>
              <w:bottom w:val="single" w:sz="8" w:color="auto"/>
            </w:tcBorders>
            <w:gridSpan w:val="4"/>
          </w:tcPr>
          <w:p>
            <w:pPr>
              <w:jc w:val="right"/>
              <w:ind w:right="632"/>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96"/>
        </w:trPr>
        <w:tc>
          <w:tcPr>
            <w:tcW w:w="58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20" w:type="dxa"/>
            <w:vAlign w:val="bottom"/>
            <w:gridSpan w:val="2"/>
          </w:tcPr>
          <w:p>
            <w:pPr>
              <w:ind w:left="20"/>
              <w:spacing w:after="0"/>
              <w:rPr>
                <w:sz w:val="20"/>
                <w:szCs w:val="20"/>
                <w:color w:val="auto"/>
              </w:rPr>
            </w:pPr>
            <w:r>
              <w:rPr>
                <w:rFonts w:ascii="Arial" w:cs="Arial" w:eastAsia="Arial" w:hAnsi="Arial"/>
                <w:sz w:val="14"/>
                <w:szCs w:val="14"/>
                <w:b w:val="1"/>
                <w:bCs w:val="1"/>
                <w:color w:val="auto"/>
              </w:rPr>
              <w:t>August 1, 2020</w:t>
            </w:r>
          </w:p>
        </w:tc>
        <w:tc>
          <w:tcPr>
            <w:tcW w:w="140" w:type="dxa"/>
            <w:vAlign w:val="bottom"/>
          </w:tcPr>
          <w:p>
            <w:pPr>
              <w:spacing w:after="0"/>
              <w:rPr>
                <w:sz w:val="17"/>
                <w:szCs w:val="17"/>
                <w:color w:val="auto"/>
              </w:rPr>
            </w:pPr>
          </w:p>
        </w:tc>
        <w:tc>
          <w:tcPr>
            <w:tcW w:w="1240" w:type="dxa"/>
            <w:vAlign w:val="bottom"/>
            <w:gridSpan w:val="2"/>
          </w:tcPr>
          <w:p>
            <w:pPr>
              <w:ind w:left="40"/>
              <w:spacing w:after="0"/>
              <w:rPr>
                <w:sz w:val="20"/>
                <w:szCs w:val="20"/>
                <w:color w:val="auto"/>
              </w:rPr>
            </w:pPr>
            <w:r>
              <w:rPr>
                <w:rFonts w:ascii="Arial" w:cs="Arial" w:eastAsia="Arial" w:hAnsi="Arial"/>
                <w:sz w:val="14"/>
                <w:szCs w:val="14"/>
                <w:b w:val="1"/>
                <w:bCs w:val="1"/>
                <w:color w:val="auto"/>
              </w:rPr>
              <w:t>August 3, 2019</w:t>
            </w:r>
          </w:p>
        </w:tc>
        <w:tc>
          <w:tcPr>
            <w:tcW w:w="140" w:type="dxa"/>
            <w:vAlign w:val="bottom"/>
          </w:tcPr>
          <w:p>
            <w:pPr>
              <w:spacing w:after="0"/>
              <w:rPr>
                <w:sz w:val="17"/>
                <w:szCs w:val="17"/>
                <w:color w:val="auto"/>
              </w:rPr>
            </w:pPr>
          </w:p>
        </w:tc>
        <w:tc>
          <w:tcPr>
            <w:tcW w:w="1240" w:type="dxa"/>
            <w:vAlign w:val="bottom"/>
            <w:gridSpan w:val="2"/>
          </w:tcPr>
          <w:p>
            <w:pPr>
              <w:ind w:left="40"/>
              <w:spacing w:after="0"/>
              <w:rPr>
                <w:sz w:val="20"/>
                <w:szCs w:val="20"/>
                <w:color w:val="auto"/>
              </w:rPr>
            </w:pPr>
            <w:r>
              <w:rPr>
                <w:rFonts w:ascii="Arial" w:cs="Arial" w:eastAsia="Arial" w:hAnsi="Arial"/>
                <w:sz w:val="14"/>
                <w:szCs w:val="14"/>
                <w:b w:val="1"/>
                <w:bCs w:val="1"/>
                <w:color w:val="auto"/>
              </w:rPr>
              <w:t>August 1, 2020</w:t>
            </w:r>
          </w:p>
        </w:tc>
        <w:tc>
          <w:tcPr>
            <w:tcW w:w="140" w:type="dxa"/>
            <w:vAlign w:val="bottom"/>
          </w:tcPr>
          <w:p>
            <w:pPr>
              <w:spacing w:after="0"/>
              <w:rPr>
                <w:sz w:val="17"/>
                <w:szCs w:val="17"/>
                <w:color w:val="auto"/>
              </w:rPr>
            </w:pPr>
          </w:p>
        </w:tc>
        <w:tc>
          <w:tcPr>
            <w:tcW w:w="1140" w:type="dxa"/>
            <w:vAlign w:val="bottom"/>
          </w:tcPr>
          <w:p>
            <w:pPr>
              <w:jc w:val="right"/>
              <w:ind w:right="92"/>
              <w:spacing w:after="0"/>
              <w:rPr>
                <w:sz w:val="20"/>
                <w:szCs w:val="20"/>
                <w:color w:val="auto"/>
              </w:rPr>
            </w:pPr>
            <w:r>
              <w:rPr>
                <w:rFonts w:ascii="Arial" w:cs="Arial" w:eastAsia="Arial" w:hAnsi="Arial"/>
                <w:sz w:val="14"/>
                <w:szCs w:val="14"/>
                <w:b w:val="1"/>
                <w:bCs w:val="1"/>
                <w:color w:val="auto"/>
                <w:w w:val="95"/>
              </w:rPr>
              <w:t>August 3, 2019</w:t>
            </w:r>
          </w:p>
        </w:tc>
        <w:tc>
          <w:tcPr>
            <w:tcW w:w="0" w:type="dxa"/>
            <w:vAlign w:val="bottom"/>
          </w:tcPr>
          <w:p>
            <w:pPr>
              <w:spacing w:after="0"/>
              <w:rPr>
                <w:sz w:val="1"/>
                <w:szCs w:val="1"/>
                <w:color w:val="auto"/>
              </w:rPr>
            </w:pPr>
          </w:p>
        </w:tc>
      </w:tr>
      <w:tr>
        <w:trPr>
          <w:trHeight w:val="250"/>
        </w:trPr>
        <w:tc>
          <w:tcPr>
            <w:tcW w:w="58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Income</w:t>
            </w: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362,665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362,374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834,235</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1,085,317</w:t>
            </w:r>
          </w:p>
        </w:tc>
        <w:tc>
          <w:tcPr>
            <w:tcW w:w="0" w:type="dxa"/>
            <w:vAlign w:val="bottom"/>
          </w:tcPr>
          <w:p>
            <w:pPr>
              <w:spacing w:after="0"/>
              <w:rPr>
                <w:sz w:val="1"/>
                <w:szCs w:val="1"/>
                <w:color w:val="auto"/>
              </w:rPr>
            </w:pPr>
          </w:p>
        </w:tc>
      </w:tr>
      <w:tr>
        <w:trPr>
          <w:trHeight w:val="243"/>
        </w:trPr>
        <w:tc>
          <w:tcPr>
            <w:tcW w:w="5820" w:type="dxa"/>
            <w:vAlign w:val="bottom"/>
          </w:tcPr>
          <w:p>
            <w:pPr>
              <w:ind w:left="20"/>
              <w:spacing w:after="0"/>
              <w:rPr>
                <w:sz w:val="20"/>
                <w:szCs w:val="20"/>
                <w:color w:val="auto"/>
              </w:rPr>
            </w:pPr>
            <w:r>
              <w:rPr>
                <w:rFonts w:ascii="Arial" w:cs="Arial" w:eastAsia="Arial" w:hAnsi="Arial"/>
                <w:sz w:val="18"/>
                <w:szCs w:val="18"/>
                <w:color w:val="auto"/>
              </w:rPr>
              <w:t>Less: income allocated to participating securities*</w:t>
            </w:r>
          </w:p>
        </w:tc>
        <w:tc>
          <w:tcPr>
            <w:tcW w:w="160" w:type="dxa"/>
            <w:vAlign w:val="bottom"/>
          </w:tcPr>
          <w:p>
            <w:pPr>
              <w:spacing w:after="0"/>
              <w:rPr>
                <w:sz w:val="21"/>
                <w:szCs w:val="21"/>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140" w:type="dxa"/>
            <w:vAlign w:val="bottom"/>
          </w:tcPr>
          <w:p>
            <w:pPr>
              <w:jc w:val="right"/>
              <w:ind w:right="12"/>
              <w:spacing w:after="0"/>
              <w:rPr>
                <w:sz w:val="20"/>
                <w:szCs w:val="20"/>
                <w:color w:val="auto"/>
              </w:rPr>
            </w:pPr>
            <w:r>
              <w:rPr>
                <w:rFonts w:ascii="Arial" w:cs="Arial" w:eastAsia="Arial" w:hAnsi="Arial"/>
                <w:sz w:val="18"/>
                <w:szCs w:val="18"/>
                <w:color w:val="auto"/>
              </w:rPr>
              <w:t>812</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2,750</w:t>
            </w:r>
          </w:p>
        </w:tc>
        <w:tc>
          <w:tcPr>
            <w:tcW w:w="0" w:type="dxa"/>
            <w:vAlign w:val="bottom"/>
          </w:tcPr>
          <w:p>
            <w:pPr>
              <w:spacing w:after="0"/>
              <w:rPr>
                <w:sz w:val="1"/>
                <w:szCs w:val="1"/>
                <w:color w:val="auto"/>
              </w:rPr>
            </w:pPr>
          </w:p>
        </w:tc>
      </w:tr>
      <w:tr>
        <w:trPr>
          <w:trHeight w:val="27"/>
        </w:trPr>
        <w:tc>
          <w:tcPr>
            <w:tcW w:w="58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8"/>
        </w:trPr>
        <w:tc>
          <w:tcPr>
            <w:tcW w:w="58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income allocated to common stockholders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362,665</w:t>
            </w:r>
          </w:p>
        </w:tc>
        <w:tc>
          <w:tcPr>
            <w:tcW w:w="10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361,562</w:t>
            </w:r>
          </w:p>
        </w:tc>
        <w:tc>
          <w:tcPr>
            <w:tcW w:w="10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834,235</w:t>
            </w:r>
          </w:p>
        </w:tc>
        <w:tc>
          <w:tcPr>
            <w:tcW w:w="12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1,082,567</w:t>
            </w:r>
          </w:p>
        </w:tc>
        <w:tc>
          <w:tcPr>
            <w:tcW w:w="0" w:type="dxa"/>
            <w:vAlign w:val="bottom"/>
          </w:tcPr>
          <w:p>
            <w:pPr>
              <w:spacing w:after="0"/>
              <w:rPr>
                <w:sz w:val="1"/>
                <w:szCs w:val="1"/>
                <w:color w:val="auto"/>
              </w:rPr>
            </w:pPr>
          </w:p>
        </w:tc>
      </w:tr>
      <w:tr>
        <w:trPr>
          <w:trHeight w:val="20"/>
        </w:trPr>
        <w:tc>
          <w:tcPr>
            <w:tcW w:w="58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
        </w:trPr>
        <w:tc>
          <w:tcPr>
            <w:tcW w:w="5820" w:type="dxa"/>
            <w:vAlign w:val="bottom"/>
          </w:tcPr>
          <w:p>
            <w:pPr>
              <w:spacing w:after="0"/>
              <w:rPr>
                <w:sz w:val="3"/>
                <w:szCs w:val="3"/>
                <w:color w:val="auto"/>
              </w:rPr>
            </w:pPr>
          </w:p>
        </w:tc>
        <w:tc>
          <w:tcPr>
            <w:tcW w:w="16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20" w:type="dxa"/>
            <w:vAlign w:val="bottom"/>
          </w:tcPr>
          <w:p>
            <w:pPr>
              <w:spacing w:after="0"/>
              <w:rPr>
                <w:sz w:val="3"/>
                <w:szCs w:val="3"/>
                <w:color w:val="auto"/>
              </w:rPr>
            </w:pPr>
          </w:p>
        </w:tc>
        <w:tc>
          <w:tcPr>
            <w:tcW w:w="1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0"/>
        </w:trPr>
        <w:tc>
          <w:tcPr>
            <w:tcW w:w="58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Basic shares:</w:t>
            </w:r>
          </w:p>
        </w:tc>
        <w:tc>
          <w:tcPr>
            <w:tcW w:w="1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820" w:type="dxa"/>
            <w:vAlign w:val="bottom"/>
          </w:tcPr>
          <w:p>
            <w:pPr>
              <w:ind w:left="340"/>
              <w:spacing w:after="0"/>
              <w:rPr>
                <w:sz w:val="20"/>
                <w:szCs w:val="20"/>
                <w:color w:val="auto"/>
              </w:rPr>
            </w:pPr>
            <w:r>
              <w:rPr>
                <w:rFonts w:ascii="Arial" w:cs="Arial" w:eastAsia="Arial" w:hAnsi="Arial"/>
                <w:sz w:val="18"/>
                <w:szCs w:val="18"/>
                <w:color w:val="auto"/>
              </w:rPr>
              <w:t>Weighted-average shares outstanding</w:t>
            </w:r>
          </w:p>
        </w:tc>
        <w:tc>
          <w:tcPr>
            <w:tcW w:w="1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368,791</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40" w:type="dxa"/>
            <w:vAlign w:val="bottom"/>
          </w:tcPr>
          <w:p>
            <w:pPr>
              <w:jc w:val="right"/>
              <w:ind w:right="12"/>
              <w:spacing w:after="0"/>
              <w:rPr>
                <w:sz w:val="20"/>
                <w:szCs w:val="20"/>
                <w:color w:val="auto"/>
              </w:rPr>
            </w:pPr>
            <w:r>
              <w:rPr>
                <w:rFonts w:ascii="Arial" w:cs="Arial" w:eastAsia="Arial" w:hAnsi="Arial"/>
                <w:sz w:val="18"/>
                <w:szCs w:val="18"/>
                <w:color w:val="auto"/>
              </w:rPr>
              <w:t>369,533</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368,417</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369,160</w:t>
            </w:r>
          </w:p>
        </w:tc>
        <w:tc>
          <w:tcPr>
            <w:tcW w:w="0" w:type="dxa"/>
            <w:vAlign w:val="bottom"/>
          </w:tcPr>
          <w:p>
            <w:pPr>
              <w:spacing w:after="0"/>
              <w:rPr>
                <w:sz w:val="1"/>
                <w:szCs w:val="1"/>
                <w:color w:val="auto"/>
              </w:rPr>
            </w:pPr>
          </w:p>
        </w:tc>
      </w:tr>
      <w:tr>
        <w:trPr>
          <w:trHeight w:val="27"/>
        </w:trPr>
        <w:tc>
          <w:tcPr>
            <w:tcW w:w="58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58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9"/>
        </w:trPr>
        <w:tc>
          <w:tcPr>
            <w:tcW w:w="582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Earnings per common share basic:</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0.98</w:t>
            </w:r>
          </w:p>
        </w:tc>
        <w:tc>
          <w:tcPr>
            <w:tcW w:w="10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0.98</w:t>
            </w:r>
          </w:p>
        </w:tc>
        <w:tc>
          <w:tcPr>
            <w:tcW w:w="10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2.26</w:t>
            </w:r>
          </w:p>
        </w:tc>
        <w:tc>
          <w:tcPr>
            <w:tcW w:w="12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2.93</w:t>
            </w:r>
          </w:p>
        </w:tc>
        <w:tc>
          <w:tcPr>
            <w:tcW w:w="0" w:type="dxa"/>
            <w:vAlign w:val="bottom"/>
          </w:tcPr>
          <w:p>
            <w:pPr>
              <w:spacing w:after="0"/>
              <w:rPr>
                <w:sz w:val="1"/>
                <w:szCs w:val="1"/>
                <w:color w:val="auto"/>
              </w:rPr>
            </w:pPr>
          </w:p>
        </w:tc>
      </w:tr>
      <w:tr>
        <w:trPr>
          <w:trHeight w:val="20"/>
        </w:trPr>
        <w:tc>
          <w:tcPr>
            <w:tcW w:w="582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rPr>
              <w:t>Diluted shares:</w:t>
            </w: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5820" w:type="dxa"/>
            <w:vAlign w:val="bottom"/>
            <w:vMerge w:val="continue"/>
          </w:tcPr>
          <w:p>
            <w:pPr>
              <w:spacing w:after="0"/>
              <w:rPr>
                <w:sz w:val="16"/>
                <w:szCs w:val="16"/>
                <w:color w:val="auto"/>
              </w:rPr>
            </w:pPr>
          </w:p>
        </w:tc>
        <w:tc>
          <w:tcPr>
            <w:tcW w:w="16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7"/>
        </w:trPr>
        <w:tc>
          <w:tcPr>
            <w:tcW w:w="58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82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Weighted-average shares outstanding</w:t>
            </w:r>
          </w:p>
        </w:tc>
        <w:tc>
          <w:tcPr>
            <w:tcW w:w="1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368,791</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369,533</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368,417</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369,160</w:t>
            </w:r>
          </w:p>
        </w:tc>
        <w:tc>
          <w:tcPr>
            <w:tcW w:w="0" w:type="dxa"/>
            <w:vAlign w:val="bottom"/>
          </w:tcPr>
          <w:p>
            <w:pPr>
              <w:spacing w:after="0"/>
              <w:rPr>
                <w:sz w:val="1"/>
                <w:szCs w:val="1"/>
                <w:color w:val="auto"/>
              </w:rPr>
            </w:pPr>
          </w:p>
        </w:tc>
      </w:tr>
      <w:tr>
        <w:trPr>
          <w:trHeight w:val="243"/>
        </w:trPr>
        <w:tc>
          <w:tcPr>
            <w:tcW w:w="5820" w:type="dxa"/>
            <w:vAlign w:val="bottom"/>
          </w:tcPr>
          <w:p>
            <w:pPr>
              <w:ind w:left="340"/>
              <w:spacing w:after="0"/>
              <w:rPr>
                <w:sz w:val="20"/>
                <w:szCs w:val="20"/>
                <w:color w:val="auto"/>
              </w:rPr>
            </w:pPr>
            <w:r>
              <w:rPr>
                <w:rFonts w:ascii="Arial" w:cs="Arial" w:eastAsia="Arial" w:hAnsi="Arial"/>
                <w:sz w:val="18"/>
                <w:szCs w:val="18"/>
                <w:color w:val="auto"/>
              </w:rPr>
              <w:t>Assumed exercise of common stock equivalents</w:t>
            </w:r>
          </w:p>
        </w:tc>
        <w:tc>
          <w:tcPr>
            <w:tcW w:w="1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3,212</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40" w:type="dxa"/>
            <w:vAlign w:val="bottom"/>
          </w:tcPr>
          <w:p>
            <w:pPr>
              <w:jc w:val="right"/>
              <w:ind w:right="12"/>
              <w:spacing w:after="0"/>
              <w:rPr>
                <w:sz w:val="20"/>
                <w:szCs w:val="20"/>
                <w:color w:val="auto"/>
              </w:rPr>
            </w:pPr>
            <w:r>
              <w:rPr>
                <w:rFonts w:ascii="Arial" w:cs="Arial" w:eastAsia="Arial" w:hAnsi="Arial"/>
                <w:sz w:val="18"/>
                <w:szCs w:val="18"/>
                <w:color w:val="auto"/>
              </w:rPr>
              <w:t>3,544</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3,440</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3,807</w:t>
            </w:r>
          </w:p>
        </w:tc>
        <w:tc>
          <w:tcPr>
            <w:tcW w:w="0" w:type="dxa"/>
            <w:vAlign w:val="bottom"/>
          </w:tcPr>
          <w:p>
            <w:pPr>
              <w:spacing w:after="0"/>
              <w:rPr>
                <w:sz w:val="1"/>
                <w:szCs w:val="1"/>
                <w:color w:val="auto"/>
              </w:rPr>
            </w:pPr>
          </w:p>
        </w:tc>
      </w:tr>
      <w:tr>
        <w:trPr>
          <w:trHeight w:val="27"/>
        </w:trPr>
        <w:tc>
          <w:tcPr>
            <w:tcW w:w="58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8"/>
        </w:trPr>
        <w:tc>
          <w:tcPr>
            <w:tcW w:w="582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Weighted-average common and common equivalent shares</w:t>
            </w:r>
          </w:p>
        </w:tc>
        <w:tc>
          <w:tcPr>
            <w:tcW w:w="160" w:type="dxa"/>
            <w:vAlign w:val="bottom"/>
            <w:tcBorders>
              <w:bottom w:val="single" w:sz="8" w:color="CCEEFF"/>
            </w:tcBorders>
            <w:shd w:val="clear" w:color="auto" w:fill="CCEEFF"/>
          </w:tcPr>
          <w:p>
            <w:pPr>
              <w:spacing w:after="0"/>
              <w:rPr>
                <w:sz w:val="24"/>
                <w:szCs w:val="24"/>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372,003</w:t>
            </w:r>
          </w:p>
        </w:tc>
        <w:tc>
          <w:tcPr>
            <w:tcW w:w="10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spacing w:after="0"/>
              <w:rPr>
                <w:sz w:val="24"/>
                <w:szCs w:val="24"/>
                <w:color w:val="auto"/>
              </w:rPr>
            </w:pPr>
          </w:p>
        </w:tc>
        <w:tc>
          <w:tcPr>
            <w:tcW w:w="11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373,077</w:t>
            </w:r>
          </w:p>
        </w:tc>
        <w:tc>
          <w:tcPr>
            <w:tcW w:w="10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spacing w:after="0"/>
              <w:rPr>
                <w:sz w:val="24"/>
                <w:szCs w:val="24"/>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371,857</w:t>
            </w:r>
          </w:p>
        </w:tc>
        <w:tc>
          <w:tcPr>
            <w:tcW w:w="12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spacing w:after="0"/>
              <w:rPr>
                <w:sz w:val="24"/>
                <w:szCs w:val="24"/>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372,967</w:t>
            </w:r>
          </w:p>
        </w:tc>
        <w:tc>
          <w:tcPr>
            <w:tcW w:w="0" w:type="dxa"/>
            <w:vAlign w:val="bottom"/>
          </w:tcPr>
          <w:p>
            <w:pPr>
              <w:spacing w:after="0"/>
              <w:rPr>
                <w:sz w:val="1"/>
                <w:szCs w:val="1"/>
                <w:color w:val="auto"/>
              </w:rPr>
            </w:pPr>
          </w:p>
        </w:tc>
      </w:tr>
      <w:tr>
        <w:trPr>
          <w:trHeight w:val="20"/>
        </w:trPr>
        <w:tc>
          <w:tcPr>
            <w:tcW w:w="5820" w:type="dxa"/>
            <w:vAlign w:val="bottom"/>
            <w:tcBorders>
              <w:top w:val="single" w:sz="8" w:color="CCEEFF"/>
              <w:bottom w:val="single" w:sz="8" w:color="CCEEFF"/>
            </w:tcBorders>
            <w:vMerge w:val="restart"/>
          </w:tcPr>
          <w:p>
            <w:pPr>
              <w:ind w:left="340"/>
              <w:spacing w:after="0"/>
              <w:rPr>
                <w:sz w:val="20"/>
                <w:szCs w:val="20"/>
                <w:color w:val="auto"/>
              </w:rPr>
            </w:pPr>
            <w:r>
              <w:rPr>
                <w:rFonts w:ascii="Arial" w:cs="Arial" w:eastAsia="Arial" w:hAnsi="Arial"/>
                <w:sz w:val="18"/>
                <w:szCs w:val="18"/>
                <w:color w:val="auto"/>
              </w:rPr>
              <w:t>Earnings per common share diluted:</w:t>
            </w: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5820" w:type="dxa"/>
            <w:vAlign w:val="bottom"/>
            <w:vMerge w:val="continue"/>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0.97</w:t>
            </w:r>
          </w:p>
        </w:tc>
        <w:tc>
          <w:tcPr>
            <w:tcW w:w="1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2"/>
              <w:spacing w:after="0"/>
              <w:rPr>
                <w:sz w:val="20"/>
                <w:szCs w:val="20"/>
                <w:color w:val="auto"/>
              </w:rPr>
            </w:pPr>
            <w:r>
              <w:rPr>
                <w:rFonts w:ascii="Arial" w:cs="Arial" w:eastAsia="Arial" w:hAnsi="Arial"/>
                <w:sz w:val="18"/>
                <w:szCs w:val="18"/>
                <w:color w:val="auto"/>
              </w:rPr>
              <w:t>0.97</w:t>
            </w:r>
          </w:p>
        </w:tc>
        <w:tc>
          <w:tcPr>
            <w:tcW w:w="1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2.24</w:t>
            </w:r>
          </w:p>
        </w:tc>
        <w:tc>
          <w:tcPr>
            <w:tcW w:w="12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2.90</w:t>
            </w:r>
          </w:p>
        </w:tc>
        <w:tc>
          <w:tcPr>
            <w:tcW w:w="0" w:type="dxa"/>
            <w:vAlign w:val="bottom"/>
          </w:tcPr>
          <w:p>
            <w:pPr>
              <w:spacing w:after="0"/>
              <w:rPr>
                <w:sz w:val="1"/>
                <w:szCs w:val="1"/>
                <w:color w:val="auto"/>
              </w:rPr>
            </w:pPr>
          </w:p>
        </w:tc>
      </w:tr>
      <w:tr>
        <w:trPr>
          <w:trHeight w:val="27"/>
        </w:trPr>
        <w:tc>
          <w:tcPr>
            <w:tcW w:w="58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58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58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Anti-dilutive shares related to:</w:t>
            </w:r>
          </w:p>
        </w:tc>
        <w:tc>
          <w:tcPr>
            <w:tcW w:w="160" w:type="dxa"/>
            <w:vAlign w:val="bottom"/>
            <w:tcBorders>
              <w:bottom w:val="single" w:sz="8" w:color="CCEEFF"/>
            </w:tcBorders>
            <w:shd w:val="clear" w:color="auto" w:fill="CCEEFF"/>
          </w:tcPr>
          <w:p>
            <w:pPr>
              <w:spacing w:after="0"/>
              <w:rPr>
                <w:sz w:val="18"/>
                <w:szCs w:val="18"/>
                <w:color w:val="auto"/>
              </w:rPr>
            </w:pPr>
          </w:p>
        </w:tc>
        <w:tc>
          <w:tcPr>
            <w:tcW w:w="11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11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5820" w:type="dxa"/>
            <w:vAlign w:val="bottom"/>
          </w:tcPr>
          <w:p>
            <w:pPr>
              <w:ind w:left="340"/>
              <w:spacing w:after="0"/>
              <w:rPr>
                <w:sz w:val="20"/>
                <w:szCs w:val="20"/>
                <w:color w:val="auto"/>
              </w:rPr>
            </w:pPr>
            <w:r>
              <w:rPr>
                <w:rFonts w:ascii="Arial" w:cs="Arial" w:eastAsia="Arial" w:hAnsi="Arial"/>
                <w:sz w:val="18"/>
                <w:szCs w:val="18"/>
                <w:color w:val="auto"/>
              </w:rPr>
              <w:t>Outstanding stock-based awards</w:t>
            </w:r>
          </w:p>
        </w:tc>
        <w:tc>
          <w:tcPr>
            <w:tcW w:w="1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384</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40" w:type="dxa"/>
            <w:vAlign w:val="bottom"/>
          </w:tcPr>
          <w:p>
            <w:pPr>
              <w:jc w:val="right"/>
              <w:ind w:right="12"/>
              <w:spacing w:after="0"/>
              <w:rPr>
                <w:sz w:val="20"/>
                <w:szCs w:val="20"/>
                <w:color w:val="auto"/>
              </w:rPr>
            </w:pPr>
            <w:r>
              <w:rPr>
                <w:rFonts w:ascii="Arial" w:cs="Arial" w:eastAsia="Arial" w:hAnsi="Arial"/>
                <w:sz w:val="18"/>
                <w:szCs w:val="18"/>
                <w:color w:val="auto"/>
              </w:rPr>
              <w:t>446</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487</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963</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20" w:lineRule="exact"/>
        <w:rPr>
          <w:sz w:val="20"/>
          <w:szCs w:val="20"/>
          <w:color w:val="auto"/>
        </w:rPr>
      </w:pPr>
    </w:p>
    <w:p>
      <w:pPr>
        <w:ind w:left="20"/>
        <w:spacing w:after="0"/>
        <w:rPr>
          <w:sz w:val="20"/>
          <w:szCs w:val="20"/>
          <w:color w:val="auto"/>
        </w:rPr>
      </w:pPr>
      <w:r>
        <w:rPr>
          <w:rFonts w:ascii="Arial" w:cs="Arial" w:eastAsia="Arial" w:hAnsi="Arial"/>
          <w:sz w:val="18"/>
          <w:szCs w:val="18"/>
          <w:color w:val="auto"/>
        </w:rPr>
        <w:t>*The amounts in the three-month and nine-month periods ended August 1, 2020 are not material.</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 Special Charges</w:t>
      </w:r>
    </w:p>
    <w:p>
      <w:pPr>
        <w:spacing w:after="0" w:line="175" w:lineRule="exact"/>
        <w:rPr>
          <w:sz w:val="20"/>
          <w:szCs w:val="20"/>
          <w:color w:val="auto"/>
        </w:rPr>
      </w:pPr>
    </w:p>
    <w:p>
      <w:pPr>
        <w:ind w:right="760" w:firstLine="445"/>
        <w:spacing w:after="0" w:line="276" w:lineRule="auto"/>
        <w:rPr>
          <w:sz w:val="20"/>
          <w:szCs w:val="20"/>
          <w:color w:val="auto"/>
        </w:rPr>
      </w:pPr>
      <w:r>
        <w:rPr>
          <w:rFonts w:ascii="Arial" w:cs="Arial" w:eastAsia="Arial" w:hAnsi="Arial"/>
          <w:sz w:val="18"/>
          <w:szCs w:val="18"/>
          <w:color w:val="auto"/>
        </w:rPr>
        <w:t>The following table is a quarterly roll-forward from November 2, 2019 to August 1, 2020 of the employee separation and exit cost accruals established related to existing restructuring actions:</w:t>
      </w:r>
    </w:p>
    <w:tbl>
      <w:tblPr>
        <w:tblLayout w:type="fixed"/>
        <w:tblInd w:w="0" w:type="dxa"/>
        <w:tblCellMar>
          <w:top w:w="0" w:type="dxa"/>
          <w:left w:w="0" w:type="dxa"/>
          <w:bottom w:w="0" w:type="dxa"/>
          <w:right w:w="0" w:type="dxa"/>
        </w:tblCellMar>
      </w:tblPr>
      <w:tr>
        <w:trPr>
          <w:trHeight w:val="150"/>
        </w:trPr>
        <w:tc>
          <w:tcPr>
            <w:tcW w:w="20" w:type="dxa"/>
            <w:vAlign w:val="bottom"/>
          </w:tcPr>
          <w:p>
            <w:pPr>
              <w:spacing w:after="0"/>
              <w:rPr>
                <w:sz w:val="13"/>
                <w:szCs w:val="13"/>
                <w:color w:val="auto"/>
              </w:rPr>
            </w:pPr>
          </w:p>
        </w:tc>
        <w:tc>
          <w:tcPr>
            <w:tcW w:w="57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Accrued Restructuring</w:t>
            </w:r>
          </w:p>
        </w:tc>
        <w:tc>
          <w:tcPr>
            <w:tcW w:w="1880" w:type="dxa"/>
            <w:vAlign w:val="bottom"/>
            <w:gridSpan w:val="3"/>
          </w:tcPr>
          <w:p>
            <w:pPr>
              <w:jc w:val="center"/>
              <w:ind w:right="120"/>
              <w:spacing w:after="0" w:line="150" w:lineRule="exact"/>
              <w:rPr>
                <w:sz w:val="20"/>
                <w:szCs w:val="20"/>
                <w:color w:val="auto"/>
              </w:rPr>
            </w:pPr>
            <w:r>
              <w:rPr>
                <w:rFonts w:ascii="Arial" w:cs="Arial" w:eastAsia="Arial" w:hAnsi="Arial"/>
                <w:sz w:val="14"/>
                <w:szCs w:val="14"/>
                <w:b w:val="1"/>
                <w:bCs w:val="1"/>
                <w:color w:val="auto"/>
                <w:w w:val="94"/>
              </w:rPr>
              <w:t>Closure of Manufacturing</w:t>
            </w:r>
          </w:p>
        </w:tc>
        <w:tc>
          <w:tcPr>
            <w:tcW w:w="160" w:type="dxa"/>
            <w:vAlign w:val="bottom"/>
          </w:tcPr>
          <w:p>
            <w:pPr>
              <w:spacing w:after="0"/>
              <w:rPr>
                <w:sz w:val="13"/>
                <w:szCs w:val="13"/>
                <w:color w:val="auto"/>
              </w:rPr>
            </w:pPr>
          </w:p>
        </w:tc>
        <w:tc>
          <w:tcPr>
            <w:tcW w:w="170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Repositioning Action</w:t>
            </w:r>
          </w:p>
        </w:tc>
        <w:tc>
          <w:tcPr>
            <w:tcW w:w="280" w:type="dxa"/>
            <w:vAlign w:val="bottom"/>
          </w:tcPr>
          <w:p>
            <w:pPr>
              <w:spacing w:after="0"/>
              <w:rPr>
                <w:sz w:val="13"/>
                <w:szCs w:val="13"/>
                <w:color w:val="auto"/>
              </w:rPr>
            </w:pPr>
          </w:p>
        </w:tc>
        <w:tc>
          <w:tcPr>
            <w:tcW w:w="1500" w:type="dxa"/>
            <w:vAlign w:val="bottom"/>
            <w:vMerge w:val="restart"/>
          </w:tcPr>
          <w:p>
            <w:pPr>
              <w:jc w:val="right"/>
              <w:ind w:right="371"/>
              <w:spacing w:after="0"/>
              <w:rPr>
                <w:sz w:val="20"/>
                <w:szCs w:val="20"/>
                <w:color w:val="auto"/>
              </w:rPr>
            </w:pPr>
            <w:r>
              <w:rPr>
                <w:rFonts w:ascii="Arial" w:cs="Arial" w:eastAsia="Arial" w:hAnsi="Arial"/>
                <w:sz w:val="14"/>
                <w:szCs w:val="14"/>
                <w:b w:val="1"/>
                <w:bCs w:val="1"/>
                <w:color w:val="auto"/>
              </w:rPr>
              <w:t>Other Actions</w:t>
            </w: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5700" w:type="dxa"/>
            <w:vAlign w:val="bottom"/>
            <w:gridSpan w:val="2"/>
            <w:vMerge w:val="continue"/>
          </w:tcPr>
          <w:p>
            <w:pPr>
              <w:spacing w:after="0"/>
              <w:rPr>
                <w:sz w:val="13"/>
                <w:szCs w:val="13"/>
                <w:color w:val="auto"/>
              </w:rPr>
            </w:pPr>
          </w:p>
        </w:tc>
        <w:tc>
          <w:tcPr>
            <w:tcW w:w="360" w:type="dxa"/>
            <w:vAlign w:val="bottom"/>
          </w:tcPr>
          <w:p>
            <w:pPr>
              <w:spacing w:after="0"/>
              <w:rPr>
                <w:sz w:val="13"/>
                <w:szCs w:val="13"/>
                <w:color w:val="auto"/>
              </w:rPr>
            </w:pPr>
          </w:p>
        </w:tc>
        <w:tc>
          <w:tcPr>
            <w:tcW w:w="1520" w:type="dxa"/>
            <w:vAlign w:val="bottom"/>
            <w:gridSpan w:val="2"/>
          </w:tcPr>
          <w:p>
            <w:pPr>
              <w:jc w:val="center"/>
              <w:ind w:right="480"/>
              <w:spacing w:after="0" w:line="158" w:lineRule="exact"/>
              <w:rPr>
                <w:sz w:val="20"/>
                <w:szCs w:val="20"/>
                <w:color w:val="auto"/>
              </w:rPr>
            </w:pPr>
            <w:r>
              <w:rPr>
                <w:rFonts w:ascii="Arial" w:cs="Arial" w:eastAsia="Arial" w:hAnsi="Arial"/>
                <w:sz w:val="14"/>
                <w:szCs w:val="14"/>
                <w:b w:val="1"/>
                <w:bCs w:val="1"/>
                <w:color w:val="auto"/>
                <w:w w:val="93"/>
              </w:rPr>
              <w:t>Facilities</w:t>
            </w:r>
          </w:p>
        </w:tc>
        <w:tc>
          <w:tcPr>
            <w:tcW w:w="160" w:type="dxa"/>
            <w:vAlign w:val="bottom"/>
          </w:tcPr>
          <w:p>
            <w:pPr>
              <w:spacing w:after="0"/>
              <w:rPr>
                <w:sz w:val="13"/>
                <w:szCs w:val="13"/>
                <w:color w:val="auto"/>
              </w:rPr>
            </w:pPr>
          </w:p>
        </w:tc>
        <w:tc>
          <w:tcPr>
            <w:tcW w:w="1700" w:type="dxa"/>
            <w:vAlign w:val="bottom"/>
            <w:gridSpan w:val="2"/>
            <w:vMerge w:val="continue"/>
          </w:tcPr>
          <w:p>
            <w:pPr>
              <w:spacing w:after="0"/>
              <w:rPr>
                <w:sz w:val="13"/>
                <w:szCs w:val="13"/>
                <w:color w:val="auto"/>
              </w:rPr>
            </w:pPr>
          </w:p>
        </w:tc>
        <w:tc>
          <w:tcPr>
            <w:tcW w:w="280" w:type="dxa"/>
            <w:vAlign w:val="bottom"/>
          </w:tcPr>
          <w:p>
            <w:pPr>
              <w:spacing w:after="0"/>
              <w:rPr>
                <w:sz w:val="13"/>
                <w:szCs w:val="13"/>
                <w:color w:val="auto"/>
              </w:rPr>
            </w:pPr>
          </w:p>
        </w:tc>
        <w:tc>
          <w:tcPr>
            <w:tcW w:w="15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1420" w:type="dxa"/>
            <w:vAlign w:val="bottom"/>
            <w:tcBorders>
              <w:top w:val="single" w:sz="8" w:color="auto"/>
              <w:bottom w:val="single" w:sz="8" w:color="CCEEFF"/>
            </w:tcBorders>
          </w:tcPr>
          <w:p>
            <w:pPr>
              <w:spacing w:after="0" w:line="20" w:lineRule="exact"/>
              <w:rPr>
                <w:sz w:val="1"/>
                <w:szCs w:val="1"/>
                <w:color w:val="auto"/>
              </w:rPr>
            </w:pPr>
          </w:p>
        </w:tc>
        <w:tc>
          <w:tcPr>
            <w:tcW w:w="428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63"/>
        </w:trPr>
        <w:tc>
          <w:tcPr>
            <w:tcW w:w="20" w:type="dxa"/>
            <w:vAlign w:val="bottom"/>
            <w:tcBorders>
              <w:bottom w:val="single" w:sz="8" w:color="CCEEFF"/>
            </w:tcBorders>
            <w:shd w:val="clear" w:color="auto" w:fill="CCEEFF"/>
          </w:tcPr>
          <w:p>
            <w:pPr>
              <w:spacing w:after="0"/>
              <w:rPr>
                <w:sz w:val="22"/>
                <w:szCs w:val="22"/>
                <w:color w:val="auto"/>
              </w:rPr>
            </w:pPr>
          </w:p>
        </w:tc>
        <w:tc>
          <w:tcPr>
            <w:tcW w:w="57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b w:val="1"/>
                <w:bCs w:val="1"/>
                <w:color w:val="auto"/>
              </w:rPr>
              <w:t>Balance at November 2, 2019</w:t>
            </w:r>
          </w:p>
        </w:tc>
        <w:tc>
          <w:tcPr>
            <w:tcW w:w="360" w:type="dxa"/>
            <w:vAlign w:val="bottom"/>
            <w:tcBorders>
              <w:bottom w:val="single" w:sz="8" w:color="CCEEFF"/>
            </w:tcBorders>
            <w:shd w:val="clear" w:color="auto" w:fill="CCEEFF"/>
          </w:tcPr>
          <w:p>
            <w:pPr>
              <w:jc w:val="right"/>
              <w:ind w:right="173"/>
              <w:spacing w:after="0"/>
              <w:rPr>
                <w:sz w:val="20"/>
                <w:szCs w:val="20"/>
                <w:color w:val="auto"/>
              </w:rPr>
            </w:pPr>
            <w:r>
              <w:rPr>
                <w:rFonts w:ascii="Arial" w:cs="Arial" w:eastAsia="Arial" w:hAnsi="Arial"/>
                <w:sz w:val="18"/>
                <w:szCs w:val="18"/>
                <w:color w:val="auto"/>
                <w:w w:val="79"/>
              </w:rPr>
              <w:t>$</w:t>
            </w: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50,401</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58,895</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5,523</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5700" w:type="dxa"/>
            <w:vAlign w:val="bottom"/>
            <w:gridSpan w:val="2"/>
          </w:tcPr>
          <w:p>
            <w:pPr>
              <w:spacing w:after="0"/>
              <w:rPr>
                <w:sz w:val="20"/>
                <w:szCs w:val="20"/>
                <w:color w:val="auto"/>
              </w:rPr>
            </w:pPr>
            <w:r>
              <w:rPr>
                <w:rFonts w:ascii="Arial" w:cs="Arial" w:eastAsia="Arial" w:hAnsi="Arial"/>
                <w:sz w:val="18"/>
                <w:szCs w:val="18"/>
                <w:color w:val="auto"/>
              </w:rPr>
              <w:t>First quarter fiscal 2020 special charges, net</w:t>
            </w:r>
          </w:p>
        </w:tc>
        <w:tc>
          <w:tcPr>
            <w:tcW w:w="360" w:type="dxa"/>
            <w:vAlign w:val="bottom"/>
            <w:tcBorders>
              <w:top w:val="single" w:sz="8" w:color="auto"/>
            </w:tcBorders>
          </w:tcPr>
          <w:p>
            <w:pPr>
              <w:spacing w:after="0"/>
              <w:rPr>
                <w:sz w:val="20"/>
                <w:szCs w:val="20"/>
                <w:color w:val="auto"/>
              </w:rPr>
            </w:pPr>
          </w:p>
        </w:tc>
        <w:tc>
          <w:tcPr>
            <w:tcW w:w="14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1,982</w:t>
            </w: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9,154</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42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57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Severance and other payments</w:t>
            </w:r>
          </w:p>
        </w:tc>
        <w:tc>
          <w:tcPr>
            <w:tcW w:w="36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(908)</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(29,597)</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(471)</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700" w:type="dxa"/>
            <w:vAlign w:val="bottom"/>
            <w:gridSpan w:val="2"/>
          </w:tcPr>
          <w:p>
            <w:pPr>
              <w:spacing w:after="0"/>
              <w:rPr>
                <w:sz w:val="20"/>
                <w:szCs w:val="20"/>
                <w:color w:val="auto"/>
              </w:rPr>
            </w:pPr>
            <w:r>
              <w:rPr>
                <w:rFonts w:ascii="Arial" w:cs="Arial" w:eastAsia="Arial" w:hAnsi="Arial"/>
                <w:sz w:val="18"/>
                <w:szCs w:val="18"/>
                <w:color w:val="auto"/>
              </w:rPr>
              <w:t>Effect of foreign currency on accrual</w:t>
            </w:r>
          </w:p>
        </w:tc>
        <w:tc>
          <w:tcPr>
            <w:tcW w:w="36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(30)</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(21)</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tcBorders>
              <w:bottom w:val="single" w:sz="8" w:color="CCEEFF"/>
            </w:tcBorders>
          </w:tcPr>
          <w:p>
            <w:pPr>
              <w:spacing w:after="0"/>
              <w:rPr>
                <w:sz w:val="2"/>
                <w:szCs w:val="2"/>
                <w:color w:val="auto"/>
              </w:rPr>
            </w:pPr>
          </w:p>
        </w:tc>
        <w:tc>
          <w:tcPr>
            <w:tcW w:w="1420" w:type="dxa"/>
            <w:vAlign w:val="bottom"/>
            <w:tcBorders>
              <w:bottom w:val="single" w:sz="8" w:color="CCEEFF"/>
            </w:tcBorders>
          </w:tcPr>
          <w:p>
            <w:pPr>
              <w:spacing w:after="0"/>
              <w:rPr>
                <w:sz w:val="2"/>
                <w:szCs w:val="2"/>
                <w:color w:val="auto"/>
              </w:rPr>
            </w:pPr>
          </w:p>
        </w:tc>
        <w:tc>
          <w:tcPr>
            <w:tcW w:w="428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20" w:type="dxa"/>
            <w:vAlign w:val="bottom"/>
            <w:tcBorders>
              <w:bottom w:val="single" w:sz="8" w:color="CCEEFF"/>
            </w:tcBorders>
            <w:shd w:val="clear" w:color="auto" w:fill="CCEEFF"/>
          </w:tcPr>
          <w:p>
            <w:pPr>
              <w:spacing w:after="0"/>
              <w:rPr>
                <w:sz w:val="22"/>
                <w:szCs w:val="22"/>
                <w:color w:val="auto"/>
              </w:rPr>
            </w:pPr>
          </w:p>
        </w:tc>
        <w:tc>
          <w:tcPr>
            <w:tcW w:w="57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b w:val="1"/>
                <w:bCs w:val="1"/>
                <w:color w:val="auto"/>
              </w:rPr>
              <w:t>Balance at February 1, 2020</w:t>
            </w:r>
          </w:p>
        </w:tc>
        <w:tc>
          <w:tcPr>
            <w:tcW w:w="360" w:type="dxa"/>
            <w:vAlign w:val="bottom"/>
            <w:tcBorders>
              <w:bottom w:val="single" w:sz="8" w:color="CCEEFF"/>
            </w:tcBorders>
            <w:shd w:val="clear" w:color="auto" w:fill="CCEEFF"/>
          </w:tcPr>
          <w:p>
            <w:pPr>
              <w:jc w:val="right"/>
              <w:ind w:right="173"/>
              <w:spacing w:after="0"/>
              <w:rPr>
                <w:sz w:val="20"/>
                <w:szCs w:val="20"/>
                <w:color w:val="auto"/>
              </w:rPr>
            </w:pPr>
            <w:r>
              <w:rPr>
                <w:rFonts w:ascii="Arial" w:cs="Arial" w:eastAsia="Arial" w:hAnsi="Arial"/>
                <w:sz w:val="18"/>
                <w:szCs w:val="18"/>
                <w:color w:val="auto"/>
                <w:w w:val="79"/>
              </w:rPr>
              <w:t>$</w:t>
            </w: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51,445</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38,431</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5,052</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5700" w:type="dxa"/>
            <w:vAlign w:val="bottom"/>
            <w:gridSpan w:val="2"/>
          </w:tcPr>
          <w:p>
            <w:pPr>
              <w:spacing w:after="0"/>
              <w:rPr>
                <w:sz w:val="20"/>
                <w:szCs w:val="20"/>
                <w:color w:val="auto"/>
              </w:rPr>
            </w:pPr>
            <w:r>
              <w:rPr>
                <w:rFonts w:ascii="Arial" w:cs="Arial" w:eastAsia="Arial" w:hAnsi="Arial"/>
                <w:sz w:val="18"/>
                <w:szCs w:val="18"/>
                <w:color w:val="auto"/>
              </w:rPr>
              <w:t>Second quarter fiscal 2020 special charges, net</w:t>
            </w:r>
          </w:p>
        </w:tc>
        <w:tc>
          <w:tcPr>
            <w:tcW w:w="360" w:type="dxa"/>
            <w:vAlign w:val="bottom"/>
            <w:tcBorders>
              <w:top w:val="single" w:sz="8" w:color="auto"/>
            </w:tcBorders>
          </w:tcPr>
          <w:p>
            <w:pPr>
              <w:spacing w:after="0"/>
              <w:rPr>
                <w:sz w:val="20"/>
                <w:szCs w:val="20"/>
                <w:color w:val="auto"/>
              </w:rPr>
            </w:pPr>
          </w:p>
        </w:tc>
        <w:tc>
          <w:tcPr>
            <w:tcW w:w="14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1,320</w:t>
            </w: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42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57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Severance and other payments</w:t>
            </w:r>
          </w:p>
        </w:tc>
        <w:tc>
          <w:tcPr>
            <w:tcW w:w="36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(2,564)</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(15,025)</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(327)</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700" w:type="dxa"/>
            <w:vAlign w:val="bottom"/>
            <w:gridSpan w:val="2"/>
          </w:tcPr>
          <w:p>
            <w:pPr>
              <w:spacing w:after="0"/>
              <w:rPr>
                <w:sz w:val="20"/>
                <w:szCs w:val="20"/>
                <w:color w:val="auto"/>
              </w:rPr>
            </w:pPr>
            <w:r>
              <w:rPr>
                <w:rFonts w:ascii="Arial" w:cs="Arial" w:eastAsia="Arial" w:hAnsi="Arial"/>
                <w:sz w:val="18"/>
                <w:szCs w:val="18"/>
                <w:color w:val="auto"/>
              </w:rPr>
              <w:t>Effect of foreign currency on accrual</w:t>
            </w:r>
          </w:p>
        </w:tc>
        <w:tc>
          <w:tcPr>
            <w:tcW w:w="36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(17)</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(127)</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tcBorders>
              <w:bottom w:val="single" w:sz="8" w:color="CCEEFF"/>
            </w:tcBorders>
          </w:tcPr>
          <w:p>
            <w:pPr>
              <w:spacing w:after="0"/>
              <w:rPr>
                <w:sz w:val="2"/>
                <w:szCs w:val="2"/>
                <w:color w:val="auto"/>
              </w:rPr>
            </w:pPr>
          </w:p>
        </w:tc>
        <w:tc>
          <w:tcPr>
            <w:tcW w:w="1420" w:type="dxa"/>
            <w:vAlign w:val="bottom"/>
            <w:tcBorders>
              <w:bottom w:val="single" w:sz="8" w:color="CCEEFF"/>
            </w:tcBorders>
          </w:tcPr>
          <w:p>
            <w:pPr>
              <w:spacing w:after="0"/>
              <w:rPr>
                <w:sz w:val="2"/>
                <w:szCs w:val="2"/>
                <w:color w:val="auto"/>
              </w:rPr>
            </w:pPr>
          </w:p>
        </w:tc>
        <w:tc>
          <w:tcPr>
            <w:tcW w:w="428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3"/>
        </w:trPr>
        <w:tc>
          <w:tcPr>
            <w:tcW w:w="20" w:type="dxa"/>
            <w:vAlign w:val="bottom"/>
            <w:tcBorders>
              <w:bottom w:val="single" w:sz="8" w:color="CCEEFF"/>
            </w:tcBorders>
            <w:shd w:val="clear" w:color="auto" w:fill="CCEEFF"/>
          </w:tcPr>
          <w:p>
            <w:pPr>
              <w:spacing w:after="0"/>
              <w:rPr>
                <w:sz w:val="22"/>
                <w:szCs w:val="22"/>
                <w:color w:val="auto"/>
              </w:rPr>
            </w:pPr>
          </w:p>
        </w:tc>
        <w:tc>
          <w:tcPr>
            <w:tcW w:w="57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b w:val="1"/>
                <w:bCs w:val="1"/>
                <w:color w:val="auto"/>
              </w:rPr>
              <w:t>Balance at May 2, 2020</w:t>
            </w:r>
          </w:p>
        </w:tc>
        <w:tc>
          <w:tcPr>
            <w:tcW w:w="360" w:type="dxa"/>
            <w:vAlign w:val="bottom"/>
            <w:tcBorders>
              <w:bottom w:val="single" w:sz="8" w:color="CCEEFF"/>
            </w:tcBorders>
            <w:shd w:val="clear" w:color="auto" w:fill="CCEEFF"/>
          </w:tcPr>
          <w:p>
            <w:pPr>
              <w:jc w:val="right"/>
              <w:ind w:right="173"/>
              <w:spacing w:after="0"/>
              <w:rPr>
                <w:sz w:val="20"/>
                <w:szCs w:val="20"/>
                <w:color w:val="auto"/>
              </w:rPr>
            </w:pPr>
            <w:r>
              <w:rPr>
                <w:rFonts w:ascii="Arial" w:cs="Arial" w:eastAsia="Arial" w:hAnsi="Arial"/>
                <w:sz w:val="18"/>
                <w:szCs w:val="18"/>
                <w:color w:val="auto"/>
                <w:w w:val="79"/>
              </w:rPr>
              <w:t>$</w:t>
            </w: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50,184</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23,279</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4,725</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5700" w:type="dxa"/>
            <w:vAlign w:val="bottom"/>
            <w:gridSpan w:val="2"/>
          </w:tcPr>
          <w:p>
            <w:pPr>
              <w:spacing w:after="0"/>
              <w:rPr>
                <w:sz w:val="20"/>
                <w:szCs w:val="20"/>
                <w:color w:val="auto"/>
              </w:rPr>
            </w:pPr>
            <w:r>
              <w:rPr>
                <w:rFonts w:ascii="Arial" w:cs="Arial" w:eastAsia="Arial" w:hAnsi="Arial"/>
                <w:sz w:val="18"/>
                <w:szCs w:val="18"/>
                <w:color w:val="auto"/>
              </w:rPr>
              <w:t>Third quarter fiscal 2020 special charges, net</w:t>
            </w:r>
          </w:p>
        </w:tc>
        <w:tc>
          <w:tcPr>
            <w:tcW w:w="360" w:type="dxa"/>
            <w:vAlign w:val="bottom"/>
            <w:tcBorders>
              <w:top w:val="single" w:sz="8" w:color="auto"/>
            </w:tcBorders>
          </w:tcPr>
          <w:p>
            <w:pPr>
              <w:spacing w:after="0"/>
              <w:rPr>
                <w:sz w:val="20"/>
                <w:szCs w:val="20"/>
                <w:color w:val="auto"/>
              </w:rPr>
            </w:pPr>
          </w:p>
        </w:tc>
        <w:tc>
          <w:tcPr>
            <w:tcW w:w="14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(1,402)</w:t>
            </w: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33,232</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42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57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Severance and other payments</w:t>
            </w:r>
          </w:p>
        </w:tc>
        <w:tc>
          <w:tcPr>
            <w:tcW w:w="36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(1,360)</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(12,824)</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(198)</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700" w:type="dxa"/>
            <w:vAlign w:val="bottom"/>
            <w:gridSpan w:val="2"/>
          </w:tcPr>
          <w:p>
            <w:pPr>
              <w:spacing w:after="0"/>
              <w:rPr>
                <w:sz w:val="20"/>
                <w:szCs w:val="20"/>
                <w:color w:val="auto"/>
              </w:rPr>
            </w:pPr>
            <w:r>
              <w:rPr>
                <w:rFonts w:ascii="Arial" w:cs="Arial" w:eastAsia="Arial" w:hAnsi="Arial"/>
                <w:sz w:val="18"/>
                <w:szCs w:val="18"/>
                <w:color w:val="auto"/>
              </w:rPr>
              <w:t>Effect of foreign currency on accrual</w:t>
            </w:r>
          </w:p>
        </w:tc>
        <w:tc>
          <w:tcPr>
            <w:tcW w:w="36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17</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172</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tcBorders>
              <w:bottom w:val="single" w:sz="8" w:color="CCEEFF"/>
            </w:tcBorders>
          </w:tcPr>
          <w:p>
            <w:pPr>
              <w:spacing w:after="0"/>
              <w:rPr>
                <w:sz w:val="2"/>
                <w:szCs w:val="2"/>
                <w:color w:val="auto"/>
              </w:rPr>
            </w:pPr>
          </w:p>
        </w:tc>
        <w:tc>
          <w:tcPr>
            <w:tcW w:w="1420" w:type="dxa"/>
            <w:vAlign w:val="bottom"/>
            <w:tcBorders>
              <w:bottom w:val="single" w:sz="8" w:color="CCEEFF"/>
            </w:tcBorders>
          </w:tcPr>
          <w:p>
            <w:pPr>
              <w:spacing w:after="0"/>
              <w:rPr>
                <w:sz w:val="2"/>
                <w:szCs w:val="2"/>
                <w:color w:val="auto"/>
              </w:rPr>
            </w:pPr>
          </w:p>
        </w:tc>
        <w:tc>
          <w:tcPr>
            <w:tcW w:w="428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9"/>
        </w:trPr>
        <w:tc>
          <w:tcPr>
            <w:tcW w:w="20" w:type="dxa"/>
            <w:vAlign w:val="bottom"/>
            <w:tcBorders>
              <w:bottom w:val="single" w:sz="8" w:color="CCEEFF"/>
            </w:tcBorders>
            <w:shd w:val="clear" w:color="auto" w:fill="CCEEFF"/>
          </w:tcPr>
          <w:p>
            <w:pPr>
              <w:spacing w:after="0"/>
              <w:rPr>
                <w:sz w:val="24"/>
                <w:szCs w:val="24"/>
                <w:color w:val="auto"/>
              </w:rPr>
            </w:pPr>
          </w:p>
        </w:tc>
        <w:tc>
          <w:tcPr>
            <w:tcW w:w="57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b w:val="1"/>
                <w:bCs w:val="1"/>
                <w:color w:val="auto"/>
              </w:rPr>
              <w:t>Balance at August 1, 2020</w:t>
            </w:r>
          </w:p>
        </w:tc>
        <w:tc>
          <w:tcPr>
            <w:tcW w:w="360" w:type="dxa"/>
            <w:vAlign w:val="bottom"/>
            <w:tcBorders>
              <w:bottom w:val="single" w:sz="8" w:color="CCEEFF"/>
            </w:tcBorders>
            <w:shd w:val="clear" w:color="auto" w:fill="CCEEFF"/>
          </w:tcPr>
          <w:p>
            <w:pPr>
              <w:jc w:val="right"/>
              <w:ind w:right="173"/>
              <w:spacing w:after="0"/>
              <w:rPr>
                <w:sz w:val="20"/>
                <w:szCs w:val="20"/>
                <w:color w:val="auto"/>
              </w:rPr>
            </w:pPr>
            <w:r>
              <w:rPr>
                <w:rFonts w:ascii="Arial" w:cs="Arial" w:eastAsia="Arial" w:hAnsi="Arial"/>
                <w:sz w:val="18"/>
                <w:szCs w:val="18"/>
                <w:color w:val="auto"/>
                <w:w w:val="79"/>
              </w:rPr>
              <w:t>$</w:t>
            </w: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47,439</w:t>
            </w:r>
          </w:p>
        </w:tc>
        <w:tc>
          <w:tcPr>
            <w:tcW w:w="12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43,859</w:t>
            </w:r>
          </w:p>
        </w:tc>
        <w:tc>
          <w:tcPr>
            <w:tcW w:w="10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4,527</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bottom w:val="single" w:sz="8" w:color="CCEEFF"/>
            </w:tcBorders>
            <w:vMerge w:val="restart"/>
          </w:tcPr>
          <w:p>
            <w:pPr>
              <w:spacing w:after="0" w:line="20" w:lineRule="exact"/>
              <w:rPr>
                <w:sz w:val="1"/>
                <w:szCs w:val="1"/>
                <w:color w:val="auto"/>
              </w:rPr>
            </w:pPr>
          </w:p>
        </w:tc>
        <w:tc>
          <w:tcPr>
            <w:tcW w:w="5700" w:type="dxa"/>
            <w:vAlign w:val="bottom"/>
            <w:tcBorders>
              <w:top w:val="single" w:sz="8" w:color="CCEEFF"/>
              <w:bottom w:val="single" w:sz="8" w:color="CCEEFF"/>
            </w:tcBorders>
            <w:gridSpan w:val="2"/>
            <w:vMerge w:val="restart"/>
          </w:tcPr>
          <w:p>
            <w:pPr>
              <w:spacing w:after="0"/>
              <w:rPr>
                <w:sz w:val="20"/>
                <w:szCs w:val="20"/>
                <w:color w:val="auto"/>
              </w:rPr>
            </w:pPr>
            <w:r>
              <w:rPr>
                <w:rFonts w:ascii="Arial" w:cs="Arial" w:eastAsia="Arial" w:hAnsi="Arial"/>
                <w:sz w:val="18"/>
                <w:szCs w:val="18"/>
                <w:b w:val="1"/>
                <w:bCs w:val="1"/>
                <w:color w:val="auto"/>
              </w:rPr>
              <w:t>Accrued liabilities</w:t>
            </w:r>
          </w:p>
        </w:tc>
        <w:tc>
          <w:tcPr>
            <w:tcW w:w="36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20" w:type="dxa"/>
            <w:vAlign w:val="bottom"/>
            <w:vMerge w:val="continue"/>
          </w:tcPr>
          <w:p>
            <w:pPr>
              <w:spacing w:after="0"/>
              <w:rPr>
                <w:sz w:val="18"/>
                <w:szCs w:val="18"/>
                <w:color w:val="auto"/>
              </w:rPr>
            </w:pPr>
          </w:p>
        </w:tc>
        <w:tc>
          <w:tcPr>
            <w:tcW w:w="5700" w:type="dxa"/>
            <w:vAlign w:val="bottom"/>
            <w:gridSpan w:val="2"/>
            <w:vMerge w:val="continue"/>
          </w:tcPr>
          <w:p>
            <w:pPr>
              <w:spacing w:after="0"/>
              <w:rPr>
                <w:sz w:val="18"/>
                <w:szCs w:val="18"/>
                <w:color w:val="auto"/>
              </w:rPr>
            </w:pPr>
          </w:p>
        </w:tc>
        <w:tc>
          <w:tcPr>
            <w:tcW w:w="360" w:type="dxa"/>
            <w:vAlign w:val="bottom"/>
          </w:tcPr>
          <w:p>
            <w:pPr>
              <w:jc w:val="right"/>
              <w:ind w:right="173"/>
              <w:spacing w:after="0"/>
              <w:rPr>
                <w:sz w:val="20"/>
                <w:szCs w:val="20"/>
                <w:color w:val="auto"/>
              </w:rPr>
            </w:pPr>
            <w:r>
              <w:rPr>
                <w:rFonts w:ascii="Arial" w:cs="Arial" w:eastAsia="Arial" w:hAnsi="Arial"/>
                <w:sz w:val="18"/>
                <w:szCs w:val="18"/>
                <w:color w:val="auto"/>
                <w:w w:val="79"/>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47,439</w:t>
            </w:r>
          </w:p>
        </w:tc>
        <w:tc>
          <w:tcPr>
            <w:tcW w:w="12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600" w:type="dxa"/>
            <w:vAlign w:val="bottom"/>
          </w:tcPr>
          <w:p>
            <w:pPr>
              <w:jc w:val="right"/>
              <w:spacing w:after="0"/>
              <w:rPr>
                <w:sz w:val="20"/>
                <w:szCs w:val="20"/>
                <w:color w:val="auto"/>
              </w:rPr>
            </w:pPr>
            <w:r>
              <w:rPr>
                <w:rFonts w:ascii="Arial" w:cs="Arial" w:eastAsia="Arial" w:hAnsi="Arial"/>
                <w:sz w:val="18"/>
                <w:szCs w:val="18"/>
                <w:color w:val="auto"/>
              </w:rPr>
              <w:t>43,859</w:t>
            </w:r>
          </w:p>
        </w:tc>
        <w:tc>
          <w:tcPr>
            <w:tcW w:w="100" w:type="dxa"/>
            <w:vAlign w:val="bottom"/>
          </w:tcPr>
          <w:p>
            <w:pPr>
              <w:spacing w:after="0"/>
              <w:rPr>
                <w:sz w:val="18"/>
                <w:szCs w:val="18"/>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500" w:type="dxa"/>
            <w:vAlign w:val="bottom"/>
          </w:tcPr>
          <w:p>
            <w:pPr>
              <w:jc w:val="right"/>
              <w:spacing w:after="0"/>
              <w:rPr>
                <w:sz w:val="20"/>
                <w:szCs w:val="20"/>
                <w:color w:val="auto"/>
              </w:rPr>
            </w:pPr>
            <w:r>
              <w:rPr>
                <w:rFonts w:ascii="Arial" w:cs="Arial" w:eastAsia="Arial" w:hAnsi="Arial"/>
                <w:sz w:val="18"/>
                <w:szCs w:val="18"/>
                <w:color w:val="auto"/>
              </w:rPr>
              <w:t>4,527</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428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42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2" w:name="page13"/>
    <w:bookmarkEnd w:id="12"/>
    <w:p>
      <w:pPr>
        <w:jc w:val="center"/>
        <w:spacing w:after="0"/>
        <w:rPr>
          <w:sz w:val="20"/>
          <w:szCs w:val="20"/>
          <w:color w:val="auto"/>
        </w:rPr>
      </w:pPr>
      <w:r>
        <w:rPr>
          <w:rFonts w:ascii="Arial" w:cs="Arial" w:eastAsia="Arial" w:hAnsi="Arial"/>
          <w:sz w:val="18"/>
          <w:szCs w:val="18"/>
          <w:b w:val="1"/>
          <w:bCs w:val="1"/>
          <w:color w:val="auto"/>
        </w:rPr>
        <w:t>ANALOG DEVICES,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Repositioning Action</w:t>
      </w:r>
    </w:p>
    <w:p>
      <w:pPr>
        <w:spacing w:after="0" w:line="171" w:lineRule="exact"/>
        <w:rPr>
          <w:sz w:val="20"/>
          <w:szCs w:val="20"/>
          <w:color w:val="auto"/>
        </w:rPr>
      </w:pPr>
    </w:p>
    <w:p>
      <w:pPr>
        <w:ind w:right="240" w:firstLine="405"/>
        <w:spacing w:after="0" w:line="296" w:lineRule="auto"/>
        <w:rPr>
          <w:sz w:val="20"/>
          <w:szCs w:val="20"/>
          <w:color w:val="auto"/>
        </w:rPr>
      </w:pPr>
      <w:r>
        <w:rPr>
          <w:rFonts w:ascii="Arial" w:cs="Arial" w:eastAsia="Arial" w:hAnsi="Arial"/>
          <w:sz w:val="16"/>
          <w:szCs w:val="16"/>
          <w:color w:val="auto"/>
        </w:rPr>
        <w:t>The Company recorded special charges of $130.5 million on a cumulative basis through August 1, 2020, as a result of organizational initiatives to better align the global workforce with the Company's long-term strategic plan. Approximately $116.3 million of the total charges was for severance and fringe benefit costs in accordance with either the Company's ongoing benefit plan or statutory requirements for the impacted manufacturing, engineering and selling, marketing, general and administrative (SMG&amp;A) employees. The remaining $14.2 million of the charges were recorded in fiscal 2019 and related to the write-off of acquired intellectual property due to the Company's decision to discontinue certain product development strategies.</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Closure of Manufacturing Facilities</w:t>
      </w:r>
    </w:p>
    <w:p>
      <w:pPr>
        <w:spacing w:after="0" w:line="171" w:lineRule="exact"/>
        <w:rPr>
          <w:sz w:val="20"/>
          <w:szCs w:val="20"/>
          <w:color w:val="auto"/>
        </w:rPr>
      </w:pPr>
    </w:p>
    <w:p>
      <w:pPr>
        <w:ind w:right="20" w:firstLine="405"/>
        <w:spacing w:after="0" w:line="290" w:lineRule="auto"/>
        <w:rPr>
          <w:sz w:val="20"/>
          <w:szCs w:val="20"/>
          <w:color w:val="auto"/>
        </w:rPr>
      </w:pPr>
      <w:r>
        <w:rPr>
          <w:rFonts w:ascii="Arial" w:cs="Arial" w:eastAsia="Arial" w:hAnsi="Arial"/>
          <w:sz w:val="16"/>
          <w:szCs w:val="16"/>
          <w:color w:val="auto"/>
        </w:rPr>
        <w:t>The Company recorded special charges of $53.9 million on a cumulative basis through August 1, 2020 as a result of its decision to consolidate certain wafer and test facility operations acquired as part of the acquisition of Linear Technology Corporation (Linear). The Company plans to close its Hillview wafer fabrication facility located in Milpitas, California and its Singapore test facility in the fiscal year ending October 30, 2021. The Company intends to transfer Hillview wafer fabrication production to its other internal facilities and to external foundries. In addition, the Company is planning to transition testing operations currently handled in its Singapore facility to its facilities in Penang, Malaysia and the Philippines, in addition to its outsourced assembly and test partners. The special charges include severance and fringe benefit costs, in accordance with the Company's ongoing benefit plan or statutory requirements at foreign locations, one-time termination benefits for the impacted manufacturing, engineering and SMG&amp;A employees and other exit costs. These one-time termination benefits are being recognized over the future service period required for employees to earn these benefits.</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 Property, Plant and Equipment</w:t>
      </w:r>
    </w:p>
    <w:p>
      <w:pPr>
        <w:spacing w:after="0" w:line="175" w:lineRule="exact"/>
        <w:rPr>
          <w:sz w:val="20"/>
          <w:szCs w:val="20"/>
          <w:color w:val="auto"/>
        </w:rPr>
      </w:pPr>
    </w:p>
    <w:p>
      <w:pPr>
        <w:ind w:firstLine="405"/>
        <w:spacing w:after="0" w:line="257" w:lineRule="auto"/>
        <w:rPr>
          <w:sz w:val="20"/>
          <w:szCs w:val="20"/>
          <w:color w:val="auto"/>
        </w:rPr>
      </w:pPr>
      <w:r>
        <w:rPr>
          <w:rFonts w:ascii="Arial" w:cs="Arial" w:eastAsia="Arial" w:hAnsi="Arial"/>
          <w:sz w:val="18"/>
          <w:szCs w:val="18"/>
          <w:color w:val="auto"/>
        </w:rPr>
        <w:t>Property, plant and equipment (PP&amp;E) is identified as held for sale when it meets the held for sale criteria of Accounting Standards Codification Topic 360, Property, Plant, and Equipment (ASC 360). Depreciation is not recorded for assets that are classified as held for sale. When an asset meets the held for sale criteria, its carrying value is reclassified from the relevant PP&amp;E line items and into current assets on the balance sheet, where it remains until either it is sold or it no longer meets the held for sale criteria. The fair value of assets held for sale is considered to be a Level 3 fair value measurement, and is determined based on the use of appraisals and input from market participants.</w:t>
      </w:r>
    </w:p>
    <w:p>
      <w:pPr>
        <w:spacing w:after="0" w:line="134" w:lineRule="exact"/>
        <w:rPr>
          <w:sz w:val="20"/>
          <w:szCs w:val="20"/>
          <w:color w:val="auto"/>
        </w:rPr>
      </w:pPr>
    </w:p>
    <w:p>
      <w:pPr>
        <w:ind w:firstLine="405"/>
        <w:spacing w:after="0" w:line="293" w:lineRule="auto"/>
        <w:rPr>
          <w:sz w:val="20"/>
          <w:szCs w:val="20"/>
          <w:color w:val="auto"/>
        </w:rPr>
      </w:pPr>
      <w:r>
        <w:rPr>
          <w:rFonts w:ascii="Arial" w:cs="Arial" w:eastAsia="Arial" w:hAnsi="Arial"/>
          <w:sz w:val="16"/>
          <w:szCs w:val="16"/>
          <w:color w:val="auto"/>
        </w:rPr>
        <w:t xml:space="preserve">As discussed in Note 6, </w:t>
      </w:r>
      <w:r>
        <w:rPr>
          <w:rFonts w:ascii="Arial" w:cs="Arial" w:eastAsia="Arial" w:hAnsi="Arial"/>
          <w:sz w:val="16"/>
          <w:szCs w:val="16"/>
          <w:i w:val="1"/>
          <w:iCs w:val="1"/>
          <w:color w:val="auto"/>
        </w:rPr>
        <w:t>Special Charges</w:t>
      </w:r>
      <w:r>
        <w:rPr>
          <w:rFonts w:ascii="Arial" w:cs="Arial" w:eastAsia="Arial" w:hAnsi="Arial"/>
          <w:sz w:val="16"/>
          <w:szCs w:val="16"/>
          <w:color w:val="auto"/>
        </w:rPr>
        <w:t>, the Company is planning to transition testing operations currently handled in its Singapore facility to its facilities in Penang, Malaysia and the Philippines, in addition to its outsourced assembly and test partners. Accordingly, management has entered into an agreement to sell the facility in Singapore in May 2021 and has determined that this facility and certain equipment therein have met the held for sale criteria as specified in ASC 360. No write-down to fair value was required upon this designation, as the fair value of the asset group, less costs to sell, was greater than its carrying value. As shown below, this carrying value was reclassified from PP&amp;E to Prepaid expenses and other current assets as of August 1, 2020.</w:t>
      </w:r>
    </w:p>
    <w:p>
      <w:pPr>
        <w:spacing w:after="0" w:line="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934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tcPr>
          <w:p>
            <w:pPr>
              <w:jc w:val="right"/>
              <w:ind w:right="412"/>
              <w:spacing w:after="0"/>
              <w:rPr>
                <w:sz w:val="20"/>
                <w:szCs w:val="20"/>
                <w:color w:val="auto"/>
              </w:rPr>
            </w:pPr>
            <w:r>
              <w:rPr>
                <w:rFonts w:ascii="Arial" w:cs="Arial" w:eastAsia="Arial" w:hAnsi="Arial"/>
                <w:sz w:val="14"/>
                <w:szCs w:val="14"/>
                <w:b w:val="1"/>
                <w:bCs w:val="1"/>
                <w:color w:val="auto"/>
              </w:rPr>
              <w:t>August 1, 2020</w:t>
            </w:r>
          </w:p>
        </w:tc>
      </w:tr>
      <w:tr>
        <w:trPr>
          <w:trHeight w:val="250"/>
        </w:trPr>
        <w:tc>
          <w:tcPr>
            <w:tcW w:w="934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Land and buildings</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36,451</w:t>
            </w:r>
          </w:p>
        </w:tc>
      </w:tr>
      <w:tr>
        <w:trPr>
          <w:trHeight w:val="243"/>
        </w:trPr>
        <w:tc>
          <w:tcPr>
            <w:tcW w:w="9340" w:type="dxa"/>
            <w:vAlign w:val="bottom"/>
          </w:tcPr>
          <w:p>
            <w:pPr>
              <w:ind w:left="120"/>
              <w:spacing w:after="0"/>
              <w:rPr>
                <w:sz w:val="20"/>
                <w:szCs w:val="20"/>
                <w:color w:val="auto"/>
              </w:rPr>
            </w:pPr>
            <w:r>
              <w:rPr>
                <w:rFonts w:ascii="Arial" w:cs="Arial" w:eastAsia="Arial" w:hAnsi="Arial"/>
                <w:sz w:val="18"/>
                <w:szCs w:val="18"/>
                <w:color w:val="auto"/>
              </w:rPr>
              <w:t>Machinery and equipment</w:t>
            </w:r>
          </w:p>
        </w:tc>
        <w:tc>
          <w:tcPr>
            <w:tcW w:w="300" w:type="dxa"/>
            <w:vAlign w:val="bottom"/>
          </w:tcPr>
          <w:p>
            <w:pPr>
              <w:spacing w:after="0"/>
              <w:rPr>
                <w:sz w:val="21"/>
                <w:szCs w:val="21"/>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1,468</w:t>
            </w:r>
          </w:p>
        </w:tc>
      </w:tr>
      <w:tr>
        <w:trPr>
          <w:trHeight w:val="27"/>
        </w:trPr>
        <w:tc>
          <w:tcPr>
            <w:tcW w:w="93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600" w:type="dxa"/>
            <w:vAlign w:val="bottom"/>
          </w:tcPr>
          <w:p>
            <w:pPr>
              <w:spacing w:after="0"/>
              <w:rPr>
                <w:sz w:val="2"/>
                <w:szCs w:val="2"/>
                <w:color w:val="auto"/>
              </w:rPr>
            </w:pPr>
          </w:p>
        </w:tc>
      </w:tr>
      <w:tr>
        <w:trPr>
          <w:trHeight w:val="250"/>
        </w:trPr>
        <w:tc>
          <w:tcPr>
            <w:tcW w:w="934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Office equipment</w:t>
            </w:r>
          </w:p>
        </w:tc>
        <w:tc>
          <w:tcPr>
            <w:tcW w:w="30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197</w:t>
            </w:r>
          </w:p>
        </w:tc>
      </w:tr>
      <w:tr>
        <w:trPr>
          <w:trHeight w:val="243"/>
        </w:trPr>
        <w:tc>
          <w:tcPr>
            <w:tcW w:w="9340" w:type="dxa"/>
            <w:vAlign w:val="bottom"/>
          </w:tcPr>
          <w:p>
            <w:pPr>
              <w:ind w:left="120"/>
              <w:spacing w:after="0"/>
              <w:rPr>
                <w:sz w:val="20"/>
                <w:szCs w:val="20"/>
                <w:color w:val="auto"/>
              </w:rPr>
            </w:pPr>
            <w:r>
              <w:rPr>
                <w:rFonts w:ascii="Arial" w:cs="Arial" w:eastAsia="Arial" w:hAnsi="Arial"/>
                <w:sz w:val="18"/>
                <w:szCs w:val="18"/>
                <w:color w:val="auto"/>
              </w:rPr>
              <w:t>Leasehold improvements</w:t>
            </w:r>
          </w:p>
        </w:tc>
        <w:tc>
          <w:tcPr>
            <w:tcW w:w="300" w:type="dxa"/>
            <w:vAlign w:val="bottom"/>
          </w:tcPr>
          <w:p>
            <w:pPr>
              <w:spacing w:after="0"/>
              <w:rPr>
                <w:sz w:val="21"/>
                <w:szCs w:val="21"/>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5,744</w:t>
            </w:r>
          </w:p>
        </w:tc>
      </w:tr>
      <w:tr>
        <w:trPr>
          <w:trHeight w:val="27"/>
        </w:trPr>
        <w:tc>
          <w:tcPr>
            <w:tcW w:w="934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r>
      <w:tr>
        <w:trPr>
          <w:trHeight w:val="243"/>
        </w:trPr>
        <w:tc>
          <w:tcPr>
            <w:tcW w:w="934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43,860</w:t>
            </w:r>
          </w:p>
        </w:tc>
      </w:tr>
      <w:tr>
        <w:trPr>
          <w:trHeight w:val="243"/>
        </w:trPr>
        <w:tc>
          <w:tcPr>
            <w:tcW w:w="9340" w:type="dxa"/>
            <w:vAlign w:val="bottom"/>
          </w:tcPr>
          <w:p>
            <w:pPr>
              <w:ind w:left="120"/>
              <w:spacing w:after="0"/>
              <w:rPr>
                <w:sz w:val="20"/>
                <w:szCs w:val="20"/>
                <w:color w:val="auto"/>
              </w:rPr>
            </w:pPr>
            <w:r>
              <w:rPr>
                <w:rFonts w:ascii="Arial" w:cs="Arial" w:eastAsia="Arial" w:hAnsi="Arial"/>
                <w:sz w:val="18"/>
                <w:szCs w:val="18"/>
                <w:color w:val="auto"/>
              </w:rPr>
              <w:t>Less accumulated depreciation and amortization</w:t>
            </w:r>
          </w:p>
        </w:tc>
        <w:tc>
          <w:tcPr>
            <w:tcW w:w="300" w:type="dxa"/>
            <w:vAlign w:val="bottom"/>
          </w:tcPr>
          <w:p>
            <w:pPr>
              <w:spacing w:after="0"/>
              <w:rPr>
                <w:sz w:val="21"/>
                <w:szCs w:val="21"/>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(21,706)</w:t>
            </w:r>
          </w:p>
        </w:tc>
      </w:tr>
      <w:tr>
        <w:trPr>
          <w:trHeight w:val="27"/>
        </w:trPr>
        <w:tc>
          <w:tcPr>
            <w:tcW w:w="934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r>
      <w:tr>
        <w:trPr>
          <w:trHeight w:val="288"/>
        </w:trPr>
        <w:tc>
          <w:tcPr>
            <w:tcW w:w="934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Net property, plant and equipment reclassified to Prepaid expenses and other current assets</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22,154</w:t>
            </w:r>
          </w:p>
        </w:tc>
      </w:tr>
      <w:tr>
        <w:trPr>
          <w:trHeight w:val="20"/>
        </w:trPr>
        <w:tc>
          <w:tcPr>
            <w:tcW w:w="93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60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 Segment Information</w:t>
      </w:r>
    </w:p>
    <w:p>
      <w:pPr>
        <w:spacing w:after="0" w:line="175" w:lineRule="exact"/>
        <w:rPr>
          <w:sz w:val="20"/>
          <w:szCs w:val="20"/>
          <w:color w:val="auto"/>
        </w:rPr>
      </w:pPr>
    </w:p>
    <w:p>
      <w:pPr>
        <w:ind w:right="40" w:firstLine="405"/>
        <w:spacing w:after="0" w:line="273" w:lineRule="auto"/>
        <w:rPr>
          <w:sz w:val="20"/>
          <w:szCs w:val="20"/>
          <w:color w:val="auto"/>
        </w:rPr>
      </w:pPr>
      <w:r>
        <w:rPr>
          <w:rFonts w:ascii="Arial" w:cs="Arial" w:eastAsia="Arial" w:hAnsi="Arial"/>
          <w:sz w:val="17"/>
          <w:szCs w:val="17"/>
          <w:color w:val="auto"/>
        </w:rPr>
        <w:t>The Company designs, develops, manufactures and markets a broad range of integrated circuits. The Company operates and tracks its results in one reportable segment based on the aggregation of eight operating segments, which reflects the consolidation of one operating segment into the existing operating segments in the three-months ended August 1, 2020 as a result of a continued refinement of the Company's organizational structure. Due to the current macroeconomic environment, in the second quarter of fiscal 2020, the Company elected to perform a quantitative goodwill impairment analysis for one of its reporting units. As a result of this analysis, management concluded that the reporting unit’s fair value exceeded its carrying amount as of the May 2, 2020 assessment date and no risk of impairment existed.</w:t>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3" w:name="page14"/>
    <w:bookmarkEnd w:id="13"/>
    <w:p>
      <w:pPr>
        <w:jc w:val="center"/>
        <w:spacing w:after="0"/>
        <w:rPr>
          <w:sz w:val="20"/>
          <w:szCs w:val="20"/>
          <w:color w:val="auto"/>
        </w:rPr>
      </w:pPr>
      <w:r>
        <w:rPr>
          <w:rFonts w:ascii="Arial" w:cs="Arial" w:eastAsia="Arial" w:hAnsi="Arial"/>
          <w:sz w:val="18"/>
          <w:szCs w:val="18"/>
          <w:b w:val="1"/>
          <w:bCs w:val="1"/>
          <w:color w:val="auto"/>
        </w:rPr>
        <w:t>ANALOG DEVICES,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 Trends by End Market</w:t>
      </w:r>
    </w:p>
    <w:p>
      <w:pPr>
        <w:spacing w:after="0" w:line="104" w:lineRule="exact"/>
        <w:rPr>
          <w:sz w:val="20"/>
          <w:szCs w:val="20"/>
          <w:color w:val="auto"/>
        </w:rPr>
      </w:pPr>
    </w:p>
    <w:p>
      <w:pPr>
        <w:ind w:right="40" w:firstLine="445"/>
        <w:spacing w:after="0" w:line="255" w:lineRule="auto"/>
        <w:rPr>
          <w:sz w:val="20"/>
          <w:szCs w:val="20"/>
          <w:color w:val="auto"/>
        </w:rPr>
      </w:pPr>
      <w:r>
        <w:rPr>
          <w:rFonts w:ascii="Arial" w:cs="Arial" w:eastAsia="Arial" w:hAnsi="Arial"/>
          <w:sz w:val="18"/>
          <w:szCs w:val="18"/>
          <w:color w:val="auto"/>
        </w:rPr>
        <w:t>The following table summarizes revenue by end market. The categorization of revenue by end market is determined using a variety of data points including the technical characteristics of the product, the “sold to” customer information, the “ship to” customer information and the end customer product or application into which the Company’s product will be incorporated. As data systems for capturing and tracking this data and the Company's methodology evolve and improve, the categorization of products by end market can vary over time. When this occurs, the Company reclassifies revenue by end market for prior periods. Such reclassifications typically do not materially change the sizing of, or the underlying trends of results within, each end market.</w:t>
      </w:r>
    </w:p>
    <w:p>
      <w:pPr>
        <w:spacing w:after="0" w:line="2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28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gridSpan w:val="5"/>
          </w:tcPr>
          <w:p>
            <w:pPr>
              <w:jc w:val="center"/>
              <w:ind w:right="110"/>
              <w:spacing w:after="0"/>
              <w:rPr>
                <w:sz w:val="20"/>
                <w:szCs w:val="20"/>
                <w:color w:val="auto"/>
              </w:rPr>
            </w:pPr>
            <w:r>
              <w:rPr>
                <w:rFonts w:ascii="Arial" w:cs="Arial" w:eastAsia="Arial" w:hAnsi="Arial"/>
                <w:sz w:val="14"/>
                <w:szCs w:val="14"/>
                <w:b w:val="1"/>
                <w:bCs w:val="1"/>
                <w:color w:val="auto"/>
                <w:w w:val="95"/>
              </w:rPr>
              <w:t>Three Months Ended</w:t>
            </w:r>
          </w:p>
        </w:tc>
        <w:tc>
          <w:tcPr>
            <w:tcW w:w="10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428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ind w:right="115"/>
              <w:spacing w:after="0"/>
              <w:rPr>
                <w:sz w:val="20"/>
                <w:szCs w:val="20"/>
                <w:color w:val="auto"/>
              </w:rPr>
            </w:pPr>
            <w:r>
              <w:rPr>
                <w:rFonts w:ascii="Arial" w:cs="Arial" w:eastAsia="Arial" w:hAnsi="Arial"/>
                <w:sz w:val="14"/>
                <w:szCs w:val="14"/>
                <w:b w:val="1"/>
                <w:bCs w:val="1"/>
                <w:color w:val="auto"/>
              </w:rPr>
              <w:t>August 1, 2020</w:t>
            </w:r>
          </w:p>
        </w:tc>
        <w:tc>
          <w:tcPr>
            <w:tcW w:w="18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2400" w:type="dxa"/>
            <w:vAlign w:val="bottom"/>
            <w:tcBorders>
              <w:bottom w:val="single" w:sz="8" w:color="auto"/>
            </w:tcBorders>
            <w:gridSpan w:val="3"/>
          </w:tcPr>
          <w:p>
            <w:pPr>
              <w:jc w:val="right"/>
              <w:ind w:right="673"/>
              <w:spacing w:after="0"/>
              <w:rPr>
                <w:sz w:val="20"/>
                <w:szCs w:val="20"/>
                <w:color w:val="auto"/>
              </w:rPr>
            </w:pPr>
            <w:r>
              <w:rPr>
                <w:rFonts w:ascii="Arial" w:cs="Arial" w:eastAsia="Arial" w:hAnsi="Arial"/>
                <w:sz w:val="14"/>
                <w:szCs w:val="14"/>
                <w:b w:val="1"/>
                <w:bCs w:val="1"/>
                <w:color w:val="auto"/>
              </w:rPr>
              <w:t>August 3, 2019</w:t>
            </w:r>
          </w:p>
        </w:tc>
        <w:tc>
          <w:tcPr>
            <w:tcW w:w="22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28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293"/>
              <w:spacing w:after="0"/>
              <w:rPr>
                <w:sz w:val="20"/>
                <w:szCs w:val="20"/>
                <w:color w:val="auto"/>
              </w:rPr>
            </w:pPr>
            <w:r>
              <w:rPr>
                <w:rFonts w:ascii="Arial" w:cs="Arial" w:eastAsia="Arial" w:hAnsi="Arial"/>
                <w:sz w:val="14"/>
                <w:szCs w:val="14"/>
                <w:b w:val="1"/>
                <w:bCs w:val="1"/>
                <w:color w:val="auto"/>
              </w:rPr>
              <w:t>Revenue</w:t>
            </w:r>
          </w:p>
        </w:tc>
        <w:tc>
          <w:tcPr>
            <w:tcW w:w="120" w:type="dxa"/>
            <w:vAlign w:val="bottom"/>
            <w:tcBorders>
              <w:bottom w:val="single" w:sz="8" w:color="CCEEFF"/>
            </w:tcBorders>
          </w:tcPr>
          <w:p>
            <w:pPr>
              <w:spacing w:after="0"/>
              <w:rPr>
                <w:sz w:val="17"/>
                <w:szCs w:val="17"/>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 of Revenue*</w:t>
            </w:r>
          </w:p>
        </w:tc>
        <w:tc>
          <w:tcPr>
            <w:tcW w:w="18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Y/Y%</w:t>
            </w:r>
          </w:p>
        </w:tc>
        <w:tc>
          <w:tcPr>
            <w:tcW w:w="12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295"/>
              <w:spacing w:after="0"/>
              <w:rPr>
                <w:sz w:val="20"/>
                <w:szCs w:val="20"/>
                <w:color w:val="auto"/>
              </w:rPr>
            </w:pPr>
            <w:r>
              <w:rPr>
                <w:rFonts w:ascii="Arial" w:cs="Arial" w:eastAsia="Arial" w:hAnsi="Arial"/>
                <w:sz w:val="14"/>
                <w:szCs w:val="14"/>
                <w:b w:val="1"/>
                <w:bCs w:val="1"/>
                <w:color w:val="auto"/>
              </w:rPr>
              <w:t>Revenue</w:t>
            </w:r>
          </w:p>
        </w:tc>
        <w:tc>
          <w:tcPr>
            <w:tcW w:w="120" w:type="dxa"/>
            <w:vAlign w:val="bottom"/>
            <w:tcBorders>
              <w:bottom w:val="single" w:sz="8" w:color="CCEEFF"/>
            </w:tcBorders>
          </w:tcPr>
          <w:p>
            <w:pPr>
              <w:spacing w:after="0"/>
              <w:rPr>
                <w:sz w:val="17"/>
                <w:szCs w:val="17"/>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 of Revenue*</w:t>
            </w:r>
          </w:p>
        </w:tc>
        <w:tc>
          <w:tcPr>
            <w:tcW w:w="22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4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Industrial</w:t>
            </w: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774,353</w:t>
            </w: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53</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3 %</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753,118</w:t>
            </w:r>
          </w:p>
        </w:tc>
        <w:tc>
          <w:tcPr>
            <w:tcW w:w="1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51</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4280" w:type="dxa"/>
            <w:vAlign w:val="bottom"/>
          </w:tcPr>
          <w:p>
            <w:pPr>
              <w:ind w:left="20"/>
              <w:spacing w:after="0"/>
              <w:rPr>
                <w:sz w:val="20"/>
                <w:szCs w:val="20"/>
                <w:color w:val="auto"/>
              </w:rPr>
            </w:pPr>
            <w:r>
              <w:rPr>
                <w:rFonts w:ascii="Arial" w:cs="Arial" w:eastAsia="Arial" w:hAnsi="Arial"/>
                <w:sz w:val="18"/>
                <w:szCs w:val="18"/>
                <w:color w:val="auto"/>
              </w:rPr>
              <w:t>Communications</w:t>
            </w:r>
          </w:p>
        </w:tc>
        <w:tc>
          <w:tcPr>
            <w:tcW w:w="24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363,613</w:t>
            </w:r>
          </w:p>
        </w:tc>
        <w:tc>
          <w:tcPr>
            <w:tcW w:w="12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25</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gridSpan w:val="3"/>
          </w:tcPr>
          <w:p>
            <w:pPr>
              <w:jc w:val="right"/>
              <w:spacing w:after="0"/>
              <w:rPr>
                <w:sz w:val="20"/>
                <w:szCs w:val="20"/>
                <w:color w:val="auto"/>
              </w:rPr>
            </w:pPr>
            <w:r>
              <w:rPr>
                <w:rFonts w:ascii="Arial" w:cs="Arial" w:eastAsia="Arial" w:hAnsi="Arial"/>
                <w:sz w:val="18"/>
                <w:szCs w:val="18"/>
                <w:color w:val="auto"/>
              </w:rPr>
              <w:t>14 %</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319,250</w:t>
            </w:r>
          </w:p>
        </w:tc>
        <w:tc>
          <w:tcPr>
            <w:tcW w:w="12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22</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2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Automotive</w:t>
            </w:r>
          </w:p>
        </w:tc>
        <w:tc>
          <w:tcPr>
            <w:tcW w:w="2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162,480</w:t>
            </w: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(29) %</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228,235</w:t>
            </w:r>
          </w:p>
        </w:tc>
        <w:tc>
          <w:tcPr>
            <w:tcW w:w="1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4280" w:type="dxa"/>
            <w:vAlign w:val="bottom"/>
          </w:tcPr>
          <w:p>
            <w:pPr>
              <w:ind w:left="20"/>
              <w:spacing w:after="0"/>
              <w:rPr>
                <w:sz w:val="20"/>
                <w:szCs w:val="20"/>
                <w:color w:val="auto"/>
              </w:rPr>
            </w:pPr>
            <w:r>
              <w:rPr>
                <w:rFonts w:ascii="Arial" w:cs="Arial" w:eastAsia="Arial" w:hAnsi="Arial"/>
                <w:sz w:val="18"/>
                <w:szCs w:val="18"/>
                <w:color w:val="auto"/>
              </w:rPr>
              <w:t>Consumer</w:t>
            </w:r>
          </w:p>
        </w:tc>
        <w:tc>
          <w:tcPr>
            <w:tcW w:w="24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155,690</w:t>
            </w:r>
          </w:p>
        </w:tc>
        <w:tc>
          <w:tcPr>
            <w:tcW w:w="12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11</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gridSpan w:val="3"/>
          </w:tcPr>
          <w:p>
            <w:pPr>
              <w:jc w:val="right"/>
              <w:spacing w:after="0"/>
              <w:rPr>
                <w:sz w:val="20"/>
                <w:szCs w:val="20"/>
                <w:color w:val="auto"/>
              </w:rPr>
            </w:pPr>
            <w:r>
              <w:rPr>
                <w:rFonts w:ascii="Arial" w:cs="Arial" w:eastAsia="Arial" w:hAnsi="Arial"/>
                <w:sz w:val="18"/>
                <w:szCs w:val="18"/>
                <w:color w:val="auto"/>
              </w:rPr>
              <w:t>(13) %</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179,540</w:t>
            </w:r>
          </w:p>
        </w:tc>
        <w:tc>
          <w:tcPr>
            <w:tcW w:w="12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12</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2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20" w:type="dxa"/>
            <w:vAlign w:val="bottom"/>
            <w:tcBorders>
              <w:bottom w:val="single" w:sz="8" w:color="auto"/>
            </w:tcBorders>
            <w:gridSpan w:val="2"/>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40" w:type="dxa"/>
            <w:vAlign w:val="bottom"/>
            <w:tcBorders>
              <w:bottom w:val="single" w:sz="8" w:color="auto"/>
            </w:tcBorders>
            <w:gridSpan w:val="2"/>
          </w:tcPr>
          <w:p>
            <w:pPr>
              <w:spacing w:after="0"/>
              <w:rPr>
                <w:sz w:val="2"/>
                <w:szCs w:val="2"/>
                <w:color w:val="auto"/>
              </w:rPr>
            </w:pPr>
          </w:p>
        </w:tc>
        <w:tc>
          <w:tcPr>
            <w:tcW w:w="0" w:type="dxa"/>
            <w:vAlign w:val="bottom"/>
          </w:tcPr>
          <w:p>
            <w:pPr>
              <w:spacing w:after="0"/>
              <w:rPr>
                <w:sz w:val="1"/>
                <w:szCs w:val="1"/>
                <w:color w:val="auto"/>
              </w:rPr>
            </w:pPr>
          </w:p>
        </w:tc>
      </w:tr>
      <w:tr>
        <w:trPr>
          <w:trHeight w:val="284"/>
        </w:trPr>
        <w:tc>
          <w:tcPr>
            <w:tcW w:w="42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Total revenue</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7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1,456,136</w:t>
            </w:r>
          </w:p>
        </w:tc>
        <w:tc>
          <w:tcPr>
            <w:tcW w:w="120" w:type="dxa"/>
            <w:vAlign w:val="bottom"/>
            <w:shd w:val="clear" w:color="auto" w:fill="CCEEFF"/>
          </w:tcPr>
          <w:p>
            <w:pPr>
              <w:spacing w:after="0"/>
              <w:rPr>
                <w:sz w:val="24"/>
                <w:szCs w:val="24"/>
                <w:color w:val="auto"/>
              </w:rPr>
            </w:pPr>
          </w:p>
        </w:tc>
        <w:tc>
          <w:tcPr>
            <w:tcW w:w="142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100 %</w:t>
            </w:r>
          </w:p>
        </w:tc>
        <w:tc>
          <w:tcPr>
            <w:tcW w:w="1160" w:type="dxa"/>
            <w:vAlign w:val="bottom"/>
            <w:gridSpan w:val="3"/>
            <w:shd w:val="clear" w:color="auto" w:fill="CCEEFF"/>
          </w:tcPr>
          <w:p>
            <w:pPr>
              <w:jc w:val="right"/>
              <w:spacing w:after="0"/>
              <w:rPr>
                <w:sz w:val="20"/>
                <w:szCs w:val="20"/>
                <w:color w:val="auto"/>
              </w:rPr>
            </w:pPr>
            <w:r>
              <w:rPr>
                <w:rFonts w:ascii="Arial" w:cs="Arial" w:eastAsia="Arial" w:hAnsi="Arial"/>
                <w:sz w:val="18"/>
                <w:szCs w:val="18"/>
                <w:b w:val="1"/>
                <w:bCs w:val="1"/>
                <w:color w:val="auto"/>
              </w:rPr>
              <w:t>(2)%</w:t>
            </w: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7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1,480,143</w:t>
            </w:r>
          </w:p>
        </w:tc>
        <w:tc>
          <w:tcPr>
            <w:tcW w:w="120" w:type="dxa"/>
            <w:vAlign w:val="bottom"/>
            <w:shd w:val="clear" w:color="auto" w:fill="CCEEFF"/>
          </w:tcPr>
          <w:p>
            <w:pPr>
              <w:spacing w:after="0"/>
              <w:rPr>
                <w:sz w:val="24"/>
                <w:szCs w:val="24"/>
                <w:color w:val="auto"/>
              </w:rPr>
            </w:pPr>
          </w:p>
        </w:tc>
        <w:tc>
          <w:tcPr>
            <w:tcW w:w="144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100 %</w:t>
            </w:r>
          </w:p>
        </w:tc>
        <w:tc>
          <w:tcPr>
            <w:tcW w:w="0" w:type="dxa"/>
            <w:vAlign w:val="bottom"/>
          </w:tcPr>
          <w:p>
            <w:pPr>
              <w:spacing w:after="0"/>
              <w:rPr>
                <w:sz w:val="1"/>
                <w:szCs w:val="1"/>
                <w:color w:val="auto"/>
              </w:rPr>
            </w:pPr>
          </w:p>
        </w:tc>
      </w:tr>
      <w:tr>
        <w:trPr>
          <w:trHeight w:val="20"/>
        </w:trPr>
        <w:tc>
          <w:tcPr>
            <w:tcW w:w="42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CCEEFF"/>
            </w:tcBorders>
            <w:gridSpan w:val="3"/>
            <w:vMerge w:val="restart"/>
          </w:tcPr>
          <w:p>
            <w:pPr>
              <w:jc w:val="center"/>
              <w:spacing w:after="0"/>
              <w:rPr>
                <w:sz w:val="20"/>
                <w:szCs w:val="20"/>
                <w:color w:val="auto"/>
              </w:rPr>
            </w:pPr>
            <w:r>
              <w:rPr>
                <w:rFonts w:ascii="Arial" w:cs="Arial" w:eastAsia="Arial" w:hAnsi="Arial"/>
                <w:sz w:val="14"/>
                <w:szCs w:val="14"/>
                <w:b w:val="1"/>
                <w:bCs w:val="1"/>
                <w:color w:val="auto"/>
                <w:w w:val="94"/>
              </w:rPr>
              <w:t>Nine Months Ended</w:t>
            </w: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2"/>
        </w:trPr>
        <w:tc>
          <w:tcPr>
            <w:tcW w:w="428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gridSpan w:val="3"/>
            <w:vMerge w:val="continue"/>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428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ind w:right="115"/>
              <w:spacing w:after="0"/>
              <w:rPr>
                <w:sz w:val="20"/>
                <w:szCs w:val="20"/>
                <w:color w:val="auto"/>
              </w:rPr>
            </w:pPr>
            <w:r>
              <w:rPr>
                <w:rFonts w:ascii="Arial" w:cs="Arial" w:eastAsia="Arial" w:hAnsi="Arial"/>
                <w:sz w:val="14"/>
                <w:szCs w:val="14"/>
                <w:b w:val="1"/>
                <w:bCs w:val="1"/>
                <w:color w:val="auto"/>
              </w:rPr>
              <w:t>August 1, 2020</w:t>
            </w:r>
          </w:p>
        </w:tc>
        <w:tc>
          <w:tcPr>
            <w:tcW w:w="18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2400" w:type="dxa"/>
            <w:vAlign w:val="bottom"/>
            <w:tcBorders>
              <w:bottom w:val="single" w:sz="8" w:color="auto"/>
            </w:tcBorders>
            <w:gridSpan w:val="3"/>
          </w:tcPr>
          <w:p>
            <w:pPr>
              <w:jc w:val="right"/>
              <w:ind w:right="673"/>
              <w:spacing w:after="0"/>
              <w:rPr>
                <w:sz w:val="20"/>
                <w:szCs w:val="20"/>
                <w:color w:val="auto"/>
              </w:rPr>
            </w:pPr>
            <w:r>
              <w:rPr>
                <w:rFonts w:ascii="Arial" w:cs="Arial" w:eastAsia="Arial" w:hAnsi="Arial"/>
                <w:sz w:val="14"/>
                <w:szCs w:val="14"/>
                <w:b w:val="1"/>
                <w:bCs w:val="1"/>
                <w:color w:val="auto"/>
              </w:rPr>
              <w:t>August 3, 2019</w:t>
            </w:r>
          </w:p>
        </w:tc>
        <w:tc>
          <w:tcPr>
            <w:tcW w:w="22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28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293"/>
              <w:spacing w:after="0"/>
              <w:rPr>
                <w:sz w:val="20"/>
                <w:szCs w:val="20"/>
                <w:color w:val="auto"/>
              </w:rPr>
            </w:pPr>
            <w:r>
              <w:rPr>
                <w:rFonts w:ascii="Arial" w:cs="Arial" w:eastAsia="Arial" w:hAnsi="Arial"/>
                <w:sz w:val="14"/>
                <w:szCs w:val="14"/>
                <w:b w:val="1"/>
                <w:bCs w:val="1"/>
                <w:color w:val="auto"/>
              </w:rPr>
              <w:t>Revenue</w:t>
            </w:r>
          </w:p>
        </w:tc>
        <w:tc>
          <w:tcPr>
            <w:tcW w:w="120" w:type="dxa"/>
            <w:vAlign w:val="bottom"/>
            <w:tcBorders>
              <w:bottom w:val="single" w:sz="8" w:color="CCEEFF"/>
            </w:tcBorders>
          </w:tcPr>
          <w:p>
            <w:pPr>
              <w:spacing w:after="0"/>
              <w:rPr>
                <w:sz w:val="17"/>
                <w:szCs w:val="17"/>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 of Revenue*</w:t>
            </w:r>
          </w:p>
        </w:tc>
        <w:tc>
          <w:tcPr>
            <w:tcW w:w="18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Y/Y%</w:t>
            </w:r>
          </w:p>
        </w:tc>
        <w:tc>
          <w:tcPr>
            <w:tcW w:w="12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295"/>
              <w:spacing w:after="0"/>
              <w:rPr>
                <w:sz w:val="20"/>
                <w:szCs w:val="20"/>
                <w:color w:val="auto"/>
              </w:rPr>
            </w:pPr>
            <w:r>
              <w:rPr>
                <w:rFonts w:ascii="Arial" w:cs="Arial" w:eastAsia="Arial" w:hAnsi="Arial"/>
                <w:sz w:val="14"/>
                <w:szCs w:val="14"/>
                <w:b w:val="1"/>
                <w:bCs w:val="1"/>
                <w:color w:val="auto"/>
              </w:rPr>
              <w:t>Revenue</w:t>
            </w:r>
          </w:p>
        </w:tc>
        <w:tc>
          <w:tcPr>
            <w:tcW w:w="120" w:type="dxa"/>
            <w:vAlign w:val="bottom"/>
            <w:tcBorders>
              <w:bottom w:val="single" w:sz="8" w:color="CCEEFF"/>
            </w:tcBorders>
          </w:tcPr>
          <w:p>
            <w:pPr>
              <w:spacing w:after="0"/>
              <w:rPr>
                <w:sz w:val="17"/>
                <w:szCs w:val="17"/>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 of Revenue*</w:t>
            </w:r>
          </w:p>
        </w:tc>
        <w:tc>
          <w:tcPr>
            <w:tcW w:w="22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49"/>
        </w:trPr>
        <w:tc>
          <w:tcPr>
            <w:tcW w:w="4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Industrial</w:t>
            </w: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2,174,183</w:t>
            </w: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53</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(4) %</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2,262,597</w:t>
            </w:r>
          </w:p>
        </w:tc>
        <w:tc>
          <w:tcPr>
            <w:tcW w:w="1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4280" w:type="dxa"/>
            <w:vAlign w:val="bottom"/>
          </w:tcPr>
          <w:p>
            <w:pPr>
              <w:ind w:left="20"/>
              <w:spacing w:after="0"/>
              <w:rPr>
                <w:sz w:val="20"/>
                <w:szCs w:val="20"/>
                <w:color w:val="auto"/>
              </w:rPr>
            </w:pPr>
            <w:r>
              <w:rPr>
                <w:rFonts w:ascii="Arial" w:cs="Arial" w:eastAsia="Arial" w:hAnsi="Arial"/>
                <w:sz w:val="18"/>
                <w:szCs w:val="18"/>
                <w:color w:val="auto"/>
              </w:rPr>
              <w:t>Communications</w:t>
            </w:r>
          </w:p>
        </w:tc>
        <w:tc>
          <w:tcPr>
            <w:tcW w:w="24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880,921</w:t>
            </w:r>
          </w:p>
        </w:tc>
        <w:tc>
          <w:tcPr>
            <w:tcW w:w="12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22</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gridSpan w:val="3"/>
          </w:tcPr>
          <w:p>
            <w:pPr>
              <w:jc w:val="right"/>
              <w:spacing w:after="0"/>
              <w:rPr>
                <w:sz w:val="20"/>
                <w:szCs w:val="20"/>
                <w:color w:val="auto"/>
              </w:rPr>
            </w:pPr>
            <w:r>
              <w:rPr>
                <w:rFonts w:ascii="Arial" w:cs="Arial" w:eastAsia="Arial" w:hAnsi="Arial"/>
                <w:sz w:val="18"/>
                <w:szCs w:val="18"/>
                <w:color w:val="auto"/>
              </w:rPr>
              <w:t>(14) %</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1,030,283</w:t>
            </w:r>
          </w:p>
        </w:tc>
        <w:tc>
          <w:tcPr>
            <w:tcW w:w="12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23</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2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Automotive</w:t>
            </w:r>
          </w:p>
        </w:tc>
        <w:tc>
          <w:tcPr>
            <w:tcW w:w="2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551,395</w:t>
            </w: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(22) %</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708,711</w:t>
            </w:r>
          </w:p>
        </w:tc>
        <w:tc>
          <w:tcPr>
            <w:tcW w:w="1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4280" w:type="dxa"/>
            <w:vAlign w:val="bottom"/>
          </w:tcPr>
          <w:p>
            <w:pPr>
              <w:ind w:left="20"/>
              <w:spacing w:after="0"/>
              <w:rPr>
                <w:sz w:val="20"/>
                <w:szCs w:val="20"/>
                <w:color w:val="auto"/>
              </w:rPr>
            </w:pPr>
            <w:r>
              <w:rPr>
                <w:rFonts w:ascii="Arial" w:cs="Arial" w:eastAsia="Arial" w:hAnsi="Arial"/>
                <w:sz w:val="18"/>
                <w:szCs w:val="18"/>
                <w:color w:val="auto"/>
              </w:rPr>
              <w:t>Consumer</w:t>
            </w:r>
          </w:p>
        </w:tc>
        <w:tc>
          <w:tcPr>
            <w:tcW w:w="24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470,262</w:t>
            </w:r>
          </w:p>
        </w:tc>
        <w:tc>
          <w:tcPr>
            <w:tcW w:w="12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12</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gridSpan w:val="3"/>
          </w:tcPr>
          <w:p>
            <w:pPr>
              <w:jc w:val="right"/>
              <w:spacing w:after="0"/>
              <w:rPr>
                <w:sz w:val="20"/>
                <w:szCs w:val="20"/>
                <w:color w:val="auto"/>
              </w:rPr>
            </w:pPr>
            <w:r>
              <w:rPr>
                <w:rFonts w:ascii="Arial" w:cs="Arial" w:eastAsia="Arial" w:hAnsi="Arial"/>
                <w:sz w:val="18"/>
                <w:szCs w:val="18"/>
                <w:color w:val="auto"/>
              </w:rPr>
              <w:t>(14) %</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546,255</w:t>
            </w:r>
          </w:p>
        </w:tc>
        <w:tc>
          <w:tcPr>
            <w:tcW w:w="12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12</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2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20" w:type="dxa"/>
            <w:vAlign w:val="bottom"/>
            <w:tcBorders>
              <w:bottom w:val="single" w:sz="8" w:color="auto"/>
            </w:tcBorders>
            <w:gridSpan w:val="2"/>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40" w:type="dxa"/>
            <w:vAlign w:val="bottom"/>
            <w:tcBorders>
              <w:bottom w:val="single" w:sz="8" w:color="auto"/>
            </w:tcBorders>
            <w:gridSpan w:val="2"/>
          </w:tcPr>
          <w:p>
            <w:pPr>
              <w:spacing w:after="0"/>
              <w:rPr>
                <w:sz w:val="2"/>
                <w:szCs w:val="2"/>
                <w:color w:val="auto"/>
              </w:rPr>
            </w:pPr>
          </w:p>
        </w:tc>
        <w:tc>
          <w:tcPr>
            <w:tcW w:w="0" w:type="dxa"/>
            <w:vAlign w:val="bottom"/>
          </w:tcPr>
          <w:p>
            <w:pPr>
              <w:spacing w:after="0"/>
              <w:rPr>
                <w:sz w:val="1"/>
                <w:szCs w:val="1"/>
                <w:color w:val="auto"/>
              </w:rPr>
            </w:pPr>
          </w:p>
        </w:tc>
      </w:tr>
      <w:tr>
        <w:trPr>
          <w:trHeight w:val="283"/>
        </w:trPr>
        <w:tc>
          <w:tcPr>
            <w:tcW w:w="42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Total revenue</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7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4,076,761</w:t>
            </w:r>
          </w:p>
        </w:tc>
        <w:tc>
          <w:tcPr>
            <w:tcW w:w="120" w:type="dxa"/>
            <w:vAlign w:val="bottom"/>
            <w:shd w:val="clear" w:color="auto" w:fill="CCEEFF"/>
          </w:tcPr>
          <w:p>
            <w:pPr>
              <w:spacing w:after="0"/>
              <w:rPr>
                <w:sz w:val="24"/>
                <w:szCs w:val="24"/>
                <w:color w:val="auto"/>
              </w:rPr>
            </w:pPr>
          </w:p>
        </w:tc>
        <w:tc>
          <w:tcPr>
            <w:tcW w:w="142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100 %</w:t>
            </w:r>
          </w:p>
        </w:tc>
        <w:tc>
          <w:tcPr>
            <w:tcW w:w="1160" w:type="dxa"/>
            <w:vAlign w:val="bottom"/>
            <w:gridSpan w:val="3"/>
            <w:shd w:val="clear" w:color="auto" w:fill="CCEEFF"/>
          </w:tcPr>
          <w:p>
            <w:pPr>
              <w:jc w:val="right"/>
              <w:spacing w:after="0"/>
              <w:rPr>
                <w:sz w:val="20"/>
                <w:szCs w:val="20"/>
                <w:color w:val="auto"/>
              </w:rPr>
            </w:pPr>
            <w:r>
              <w:rPr>
                <w:rFonts w:ascii="Arial" w:cs="Arial" w:eastAsia="Arial" w:hAnsi="Arial"/>
                <w:sz w:val="18"/>
                <w:szCs w:val="18"/>
                <w:b w:val="1"/>
                <w:bCs w:val="1"/>
                <w:color w:val="auto"/>
              </w:rPr>
              <w:t>(10)%</w:t>
            </w: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7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4,547,846</w:t>
            </w:r>
          </w:p>
        </w:tc>
        <w:tc>
          <w:tcPr>
            <w:tcW w:w="120" w:type="dxa"/>
            <w:vAlign w:val="bottom"/>
            <w:shd w:val="clear" w:color="auto" w:fill="CCEEFF"/>
          </w:tcPr>
          <w:p>
            <w:pPr>
              <w:spacing w:after="0"/>
              <w:rPr>
                <w:sz w:val="24"/>
                <w:szCs w:val="24"/>
                <w:color w:val="auto"/>
              </w:rPr>
            </w:pPr>
          </w:p>
        </w:tc>
        <w:tc>
          <w:tcPr>
            <w:tcW w:w="144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100 %</w:t>
            </w:r>
          </w:p>
        </w:tc>
        <w:tc>
          <w:tcPr>
            <w:tcW w:w="0" w:type="dxa"/>
            <w:vAlign w:val="bottom"/>
          </w:tcPr>
          <w:p>
            <w:pPr>
              <w:spacing w:after="0"/>
              <w:rPr>
                <w:sz w:val="1"/>
                <w:szCs w:val="1"/>
                <w:color w:val="auto"/>
              </w:rPr>
            </w:pPr>
          </w:p>
        </w:tc>
      </w:tr>
      <w:tr>
        <w:trPr>
          <w:trHeight w:val="20"/>
        </w:trPr>
        <w:tc>
          <w:tcPr>
            <w:tcW w:w="42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4" w:lineRule="exact"/>
        <w:rPr>
          <w:sz w:val="20"/>
          <w:szCs w:val="20"/>
          <w:color w:val="auto"/>
        </w:rPr>
      </w:pPr>
    </w:p>
    <w:p>
      <w:pPr>
        <w:ind w:left="20"/>
        <w:spacing w:after="0"/>
        <w:rPr>
          <w:sz w:val="20"/>
          <w:szCs w:val="20"/>
          <w:color w:val="auto"/>
        </w:rPr>
      </w:pPr>
      <w:r>
        <w:rPr>
          <w:rFonts w:ascii="Arial" w:cs="Arial" w:eastAsia="Arial" w:hAnsi="Arial"/>
          <w:sz w:val="18"/>
          <w:szCs w:val="18"/>
          <w:color w:val="auto"/>
        </w:rPr>
        <w:t>* The sum of the individual percentages may not equal the total due to rounding.</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 by Sales Channel</w:t>
      </w:r>
    </w:p>
    <w:p>
      <w:pPr>
        <w:spacing w:after="0" w:line="90" w:lineRule="exact"/>
        <w:rPr>
          <w:sz w:val="20"/>
          <w:szCs w:val="20"/>
          <w:color w:val="auto"/>
        </w:rPr>
      </w:pPr>
    </w:p>
    <w:p>
      <w:pPr>
        <w:ind w:right="20" w:firstLine="405"/>
        <w:spacing w:after="0" w:line="259" w:lineRule="auto"/>
        <w:rPr>
          <w:sz w:val="20"/>
          <w:szCs w:val="20"/>
          <w:color w:val="auto"/>
        </w:rPr>
      </w:pPr>
      <w:r>
        <w:rPr>
          <w:rFonts w:ascii="Arial" w:cs="Arial" w:eastAsia="Arial" w:hAnsi="Arial"/>
          <w:sz w:val="18"/>
          <w:szCs w:val="18"/>
          <w:color w:val="auto"/>
        </w:rPr>
        <w:t>The following table summarizes revenue by channel. The Company sells its products globally through a direct sales force, third party distributors, independent sales representatives and via its website. Distributors are customers that buy products with the intention of reselling them. Direct customers are non-distributor customers and consist primarily of original equipment manufacturers (OEMs). Other customers include the U.S. government, government prime contractors and certain commercial customers for which revenue is recorded over time.</w:t>
      </w:r>
    </w:p>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86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3440" w:type="dxa"/>
            <w:vAlign w:val="bottom"/>
            <w:tcBorders>
              <w:bottom w:val="single" w:sz="8" w:color="auto"/>
            </w:tcBorders>
            <w:gridSpan w:val="6"/>
          </w:tcPr>
          <w:p>
            <w:pPr>
              <w:jc w:val="center"/>
              <w:ind w:right="40"/>
              <w:spacing w:after="0"/>
              <w:rPr>
                <w:sz w:val="20"/>
                <w:szCs w:val="20"/>
                <w:color w:val="auto"/>
              </w:rPr>
            </w:pPr>
            <w:r>
              <w:rPr>
                <w:rFonts w:ascii="Arial" w:cs="Arial" w:eastAsia="Arial" w:hAnsi="Arial"/>
                <w:sz w:val="14"/>
                <w:szCs w:val="14"/>
                <w:b w:val="1"/>
                <w:bCs w:val="1"/>
                <w:color w:val="auto"/>
                <w:w w:val="95"/>
              </w:rPr>
              <w:t>Three Months Ended</w:t>
            </w:r>
          </w:p>
        </w:tc>
        <w:tc>
          <w:tcPr>
            <w:tcW w:w="142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r>
      <w:tr>
        <w:trPr>
          <w:trHeight w:val="195"/>
        </w:trPr>
        <w:tc>
          <w:tcPr>
            <w:tcW w:w="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386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2780" w:type="dxa"/>
            <w:vAlign w:val="bottom"/>
            <w:tcBorders>
              <w:bottom w:val="single" w:sz="8" w:color="auto"/>
            </w:tcBorders>
            <w:gridSpan w:val="3"/>
          </w:tcPr>
          <w:p>
            <w:pPr>
              <w:jc w:val="right"/>
              <w:ind w:right="896"/>
              <w:spacing w:after="0"/>
              <w:rPr>
                <w:sz w:val="20"/>
                <w:szCs w:val="20"/>
                <w:color w:val="auto"/>
              </w:rPr>
            </w:pPr>
            <w:r>
              <w:rPr>
                <w:rFonts w:ascii="Arial" w:cs="Arial" w:eastAsia="Arial" w:hAnsi="Arial"/>
                <w:sz w:val="14"/>
                <w:szCs w:val="14"/>
                <w:b w:val="1"/>
                <w:bCs w:val="1"/>
                <w:color w:val="auto"/>
              </w:rPr>
              <w:t>August 1, 2020</w:t>
            </w:r>
          </w:p>
        </w:tc>
        <w:tc>
          <w:tcPr>
            <w:tcW w:w="22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2800" w:type="dxa"/>
            <w:vAlign w:val="bottom"/>
            <w:tcBorders>
              <w:bottom w:val="single" w:sz="8" w:color="auto"/>
            </w:tcBorders>
            <w:gridSpan w:val="3"/>
          </w:tcPr>
          <w:p>
            <w:pPr>
              <w:jc w:val="right"/>
              <w:ind w:right="914"/>
              <w:spacing w:after="0"/>
              <w:rPr>
                <w:sz w:val="20"/>
                <w:szCs w:val="20"/>
                <w:color w:val="auto"/>
              </w:rPr>
            </w:pPr>
            <w:r>
              <w:rPr>
                <w:rFonts w:ascii="Arial" w:cs="Arial" w:eastAsia="Arial" w:hAnsi="Arial"/>
                <w:sz w:val="14"/>
                <w:szCs w:val="14"/>
                <w:b w:val="1"/>
                <w:bCs w:val="1"/>
                <w:color w:val="auto"/>
              </w:rPr>
              <w:t>August 3, 2019</w:t>
            </w:r>
          </w:p>
        </w:tc>
        <w:tc>
          <w:tcPr>
            <w:tcW w:w="220" w:type="dxa"/>
            <w:vAlign w:val="bottom"/>
            <w:tcBorders>
              <w:bottom w:val="single" w:sz="8" w:color="auto"/>
            </w:tcBorders>
          </w:tcPr>
          <w:p>
            <w:pPr>
              <w:spacing w:after="0"/>
              <w:rPr>
                <w:sz w:val="17"/>
                <w:szCs w:val="17"/>
                <w:color w:val="auto"/>
              </w:rPr>
            </w:pPr>
          </w:p>
        </w:tc>
      </w:tr>
      <w:tr>
        <w:trPr>
          <w:trHeight w:val="189"/>
        </w:trPr>
        <w:tc>
          <w:tcPr>
            <w:tcW w:w="20" w:type="dxa"/>
            <w:vAlign w:val="bottom"/>
          </w:tcPr>
          <w:p>
            <w:pPr>
              <w:spacing w:after="0"/>
              <w:rPr>
                <w:sz w:val="16"/>
                <w:szCs w:val="16"/>
                <w:color w:val="auto"/>
              </w:rPr>
            </w:pPr>
          </w:p>
        </w:tc>
        <w:tc>
          <w:tcPr>
            <w:tcW w:w="600" w:type="dxa"/>
            <w:vAlign w:val="bottom"/>
            <w:tcBorders>
              <w:bottom w:val="single" w:sz="8" w:color="auto"/>
            </w:tcBorders>
          </w:tcPr>
          <w:p>
            <w:pPr>
              <w:spacing w:after="0" w:line="169" w:lineRule="exact"/>
              <w:rPr>
                <w:sz w:val="20"/>
                <w:szCs w:val="20"/>
                <w:color w:val="auto"/>
              </w:rPr>
            </w:pPr>
            <w:r>
              <w:rPr>
                <w:rFonts w:ascii="Arial" w:cs="Arial" w:eastAsia="Arial" w:hAnsi="Arial"/>
                <w:sz w:val="18"/>
                <w:szCs w:val="18"/>
                <w:color w:val="auto"/>
                <w:w w:val="86"/>
              </w:rPr>
              <w:t>Channel</w:t>
            </w:r>
          </w:p>
        </w:tc>
        <w:tc>
          <w:tcPr>
            <w:tcW w:w="38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360" w:type="dxa"/>
            <w:vAlign w:val="bottom"/>
            <w:gridSpan w:val="2"/>
          </w:tcPr>
          <w:p>
            <w:pPr>
              <w:ind w:left="200"/>
              <w:spacing w:after="0"/>
              <w:rPr>
                <w:sz w:val="20"/>
                <w:szCs w:val="20"/>
                <w:color w:val="auto"/>
              </w:rPr>
            </w:pPr>
            <w:r>
              <w:rPr>
                <w:rFonts w:ascii="Arial" w:cs="Arial" w:eastAsia="Arial" w:hAnsi="Arial"/>
                <w:sz w:val="14"/>
                <w:szCs w:val="14"/>
                <w:b w:val="1"/>
                <w:bCs w:val="1"/>
                <w:color w:val="auto"/>
              </w:rPr>
              <w:t>Revenue</w:t>
            </w:r>
          </w:p>
        </w:tc>
        <w:tc>
          <w:tcPr>
            <w:tcW w:w="1420" w:type="dxa"/>
            <w:vAlign w:val="bottom"/>
          </w:tcPr>
          <w:p>
            <w:pPr>
              <w:jc w:val="right"/>
              <w:ind w:right="56"/>
              <w:spacing w:after="0"/>
              <w:rPr>
                <w:sz w:val="20"/>
                <w:szCs w:val="20"/>
                <w:color w:val="auto"/>
              </w:rPr>
            </w:pPr>
            <w:r>
              <w:rPr>
                <w:rFonts w:ascii="Arial" w:cs="Arial" w:eastAsia="Arial" w:hAnsi="Arial"/>
                <w:sz w:val="14"/>
                <w:szCs w:val="14"/>
                <w:b w:val="1"/>
                <w:bCs w:val="1"/>
                <w:color w:val="auto"/>
              </w:rPr>
              <w:t>% of Revenue*</w:t>
            </w: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380" w:type="dxa"/>
            <w:vAlign w:val="bottom"/>
            <w:gridSpan w:val="2"/>
          </w:tcPr>
          <w:p>
            <w:pPr>
              <w:ind w:left="220"/>
              <w:spacing w:after="0"/>
              <w:rPr>
                <w:sz w:val="20"/>
                <w:szCs w:val="20"/>
                <w:color w:val="auto"/>
              </w:rPr>
            </w:pPr>
            <w:r>
              <w:rPr>
                <w:rFonts w:ascii="Arial" w:cs="Arial" w:eastAsia="Arial" w:hAnsi="Arial"/>
                <w:sz w:val="14"/>
                <w:szCs w:val="14"/>
                <w:b w:val="1"/>
                <w:bCs w:val="1"/>
                <w:color w:val="auto"/>
              </w:rPr>
              <w:t>Revenue</w:t>
            </w:r>
          </w:p>
        </w:tc>
        <w:tc>
          <w:tcPr>
            <w:tcW w:w="1420" w:type="dxa"/>
            <w:vAlign w:val="bottom"/>
          </w:tcPr>
          <w:p>
            <w:pPr>
              <w:jc w:val="right"/>
              <w:ind w:right="54"/>
              <w:spacing w:after="0"/>
              <w:rPr>
                <w:sz w:val="20"/>
                <w:szCs w:val="20"/>
                <w:color w:val="auto"/>
              </w:rPr>
            </w:pPr>
            <w:r>
              <w:rPr>
                <w:rFonts w:ascii="Arial" w:cs="Arial" w:eastAsia="Arial" w:hAnsi="Arial"/>
                <w:sz w:val="14"/>
                <w:szCs w:val="14"/>
                <w:b w:val="1"/>
                <w:bCs w:val="1"/>
                <w:color w:val="auto"/>
              </w:rPr>
              <w:t>% of Revenue*</w:t>
            </w:r>
          </w:p>
        </w:tc>
        <w:tc>
          <w:tcPr>
            <w:tcW w:w="220" w:type="dxa"/>
            <w:vAlign w:val="bottom"/>
          </w:tcPr>
          <w:p>
            <w:pPr>
              <w:spacing w:after="0"/>
              <w:rPr>
                <w:sz w:val="16"/>
                <w:szCs w:val="16"/>
                <w:color w:val="auto"/>
              </w:rPr>
            </w:pPr>
          </w:p>
        </w:tc>
      </w:tr>
      <w:tr>
        <w:trPr>
          <w:trHeight w:val="48"/>
        </w:trPr>
        <w:tc>
          <w:tcPr>
            <w:tcW w:w="20" w:type="dxa"/>
            <w:vAlign w:val="bottom"/>
            <w:tcBorders>
              <w:bottom w:val="single" w:sz="8" w:color="CCEEFF"/>
            </w:tcBorders>
          </w:tcPr>
          <w:p>
            <w:pPr>
              <w:spacing w:after="0"/>
              <w:rPr>
                <w:sz w:val="4"/>
                <w:szCs w:val="4"/>
                <w:color w:val="auto"/>
              </w:rPr>
            </w:pPr>
          </w:p>
        </w:tc>
        <w:tc>
          <w:tcPr>
            <w:tcW w:w="600" w:type="dxa"/>
            <w:vAlign w:val="bottom"/>
            <w:tcBorders>
              <w:bottom w:val="single" w:sz="8" w:color="CCEEFF"/>
            </w:tcBorders>
          </w:tcPr>
          <w:p>
            <w:pPr>
              <w:spacing w:after="0"/>
              <w:rPr>
                <w:sz w:val="4"/>
                <w:szCs w:val="4"/>
                <w:color w:val="auto"/>
              </w:rPr>
            </w:pPr>
          </w:p>
        </w:tc>
        <w:tc>
          <w:tcPr>
            <w:tcW w:w="3860" w:type="dxa"/>
            <w:vAlign w:val="bottom"/>
            <w:tcBorders>
              <w:bottom w:val="single" w:sz="8" w:color="CCEEFF"/>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124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142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126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142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r>
      <w:tr>
        <w:trPr>
          <w:trHeight w:val="244"/>
        </w:trPr>
        <w:tc>
          <w:tcPr>
            <w:tcW w:w="20" w:type="dxa"/>
            <w:vAlign w:val="bottom"/>
            <w:tcBorders>
              <w:bottom w:val="single" w:sz="8" w:color="CCEEFF"/>
            </w:tcBorders>
            <w:shd w:val="clear" w:color="auto" w:fill="CCEEFF"/>
          </w:tcPr>
          <w:p>
            <w:pPr>
              <w:spacing w:after="0"/>
              <w:rPr>
                <w:sz w:val="21"/>
                <w:szCs w:val="21"/>
                <w:color w:val="auto"/>
              </w:rPr>
            </w:pPr>
          </w:p>
        </w:tc>
        <w:tc>
          <w:tcPr>
            <w:tcW w:w="446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Distributors</w:t>
            </w: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819,472</w:t>
            </w:r>
          </w:p>
        </w:tc>
        <w:tc>
          <w:tcPr>
            <w:tcW w:w="12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56</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863,055</w:t>
            </w:r>
          </w:p>
        </w:tc>
        <w:tc>
          <w:tcPr>
            <w:tcW w:w="12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58</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43"/>
        </w:trPr>
        <w:tc>
          <w:tcPr>
            <w:tcW w:w="20" w:type="dxa"/>
            <w:vAlign w:val="bottom"/>
          </w:tcPr>
          <w:p>
            <w:pPr>
              <w:spacing w:after="0"/>
              <w:rPr>
                <w:sz w:val="21"/>
                <w:szCs w:val="21"/>
                <w:color w:val="auto"/>
              </w:rPr>
            </w:pPr>
          </w:p>
        </w:tc>
        <w:tc>
          <w:tcPr>
            <w:tcW w:w="4460" w:type="dxa"/>
            <w:vAlign w:val="bottom"/>
            <w:gridSpan w:val="2"/>
          </w:tcPr>
          <w:p>
            <w:pPr>
              <w:ind w:left="140"/>
              <w:spacing w:after="0"/>
              <w:rPr>
                <w:sz w:val="20"/>
                <w:szCs w:val="20"/>
                <w:color w:val="auto"/>
              </w:rPr>
            </w:pPr>
            <w:r>
              <w:rPr>
                <w:rFonts w:ascii="Arial" w:cs="Arial" w:eastAsia="Arial" w:hAnsi="Arial"/>
                <w:sz w:val="18"/>
                <w:szCs w:val="18"/>
                <w:color w:val="auto"/>
              </w:rPr>
              <w:t>Direct customers</w:t>
            </w:r>
          </w:p>
        </w:tc>
        <w:tc>
          <w:tcPr>
            <w:tcW w:w="32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614,770</w:t>
            </w:r>
          </w:p>
        </w:tc>
        <w:tc>
          <w:tcPr>
            <w:tcW w:w="12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42</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600,609</w:t>
            </w:r>
          </w:p>
        </w:tc>
        <w:tc>
          <w:tcPr>
            <w:tcW w:w="12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41</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7"/>
        </w:trPr>
        <w:tc>
          <w:tcPr>
            <w:tcW w:w="20" w:type="dxa"/>
            <w:vAlign w:val="bottom"/>
          </w:tcPr>
          <w:p>
            <w:pPr>
              <w:spacing w:after="0"/>
              <w:rPr>
                <w:sz w:val="2"/>
                <w:szCs w:val="2"/>
                <w:color w:val="auto"/>
              </w:rPr>
            </w:pPr>
          </w:p>
        </w:tc>
        <w:tc>
          <w:tcPr>
            <w:tcW w:w="600" w:type="dxa"/>
            <w:vAlign w:val="bottom"/>
          </w:tcPr>
          <w:p>
            <w:pPr>
              <w:spacing w:after="0"/>
              <w:rPr>
                <w:sz w:val="2"/>
                <w:szCs w:val="2"/>
                <w:color w:val="auto"/>
              </w:rPr>
            </w:pPr>
          </w:p>
        </w:tc>
        <w:tc>
          <w:tcPr>
            <w:tcW w:w="38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220" w:type="dxa"/>
            <w:vAlign w:val="bottom"/>
          </w:tcPr>
          <w:p>
            <w:pPr>
              <w:spacing w:after="0"/>
              <w:rPr>
                <w:sz w:val="2"/>
                <w:szCs w:val="2"/>
                <w:color w:val="auto"/>
              </w:rPr>
            </w:pPr>
          </w:p>
        </w:tc>
      </w:tr>
      <w:tr>
        <w:trPr>
          <w:trHeight w:val="270"/>
        </w:trPr>
        <w:tc>
          <w:tcPr>
            <w:tcW w:w="20" w:type="dxa"/>
            <w:vAlign w:val="bottom"/>
            <w:tcBorders>
              <w:bottom w:val="single" w:sz="8" w:color="CCEEFF"/>
            </w:tcBorders>
            <w:shd w:val="clear" w:color="auto" w:fill="CCEEFF"/>
          </w:tcPr>
          <w:p>
            <w:pPr>
              <w:spacing w:after="0"/>
              <w:rPr>
                <w:sz w:val="23"/>
                <w:szCs w:val="23"/>
                <w:color w:val="auto"/>
              </w:rPr>
            </w:pPr>
          </w:p>
        </w:tc>
        <w:tc>
          <w:tcPr>
            <w:tcW w:w="446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Other</w:t>
            </w:r>
          </w:p>
        </w:tc>
        <w:tc>
          <w:tcPr>
            <w:tcW w:w="32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21,894</w:t>
            </w:r>
          </w:p>
        </w:tc>
        <w:tc>
          <w:tcPr>
            <w:tcW w:w="12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16,479</w:t>
            </w:r>
          </w:p>
        </w:tc>
        <w:tc>
          <w:tcPr>
            <w:tcW w:w="12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63"/>
        </w:trPr>
        <w:tc>
          <w:tcPr>
            <w:tcW w:w="20" w:type="dxa"/>
            <w:vAlign w:val="bottom"/>
          </w:tcPr>
          <w:p>
            <w:pPr>
              <w:spacing w:after="0"/>
              <w:rPr>
                <w:sz w:val="22"/>
                <w:szCs w:val="22"/>
                <w:color w:val="auto"/>
              </w:rPr>
            </w:pPr>
          </w:p>
        </w:tc>
        <w:tc>
          <w:tcPr>
            <w:tcW w:w="4460" w:type="dxa"/>
            <w:vAlign w:val="bottom"/>
            <w:gridSpan w:val="2"/>
          </w:tcPr>
          <w:p>
            <w:pPr>
              <w:spacing w:after="0"/>
              <w:rPr>
                <w:sz w:val="20"/>
                <w:szCs w:val="20"/>
                <w:color w:val="auto"/>
              </w:rPr>
            </w:pPr>
            <w:r>
              <w:rPr>
                <w:rFonts w:ascii="Arial" w:cs="Arial" w:eastAsia="Arial" w:hAnsi="Arial"/>
                <w:sz w:val="18"/>
                <w:szCs w:val="18"/>
                <w:b w:val="1"/>
                <w:bCs w:val="1"/>
                <w:color w:val="auto"/>
              </w:rPr>
              <w:t>Total revenue</w:t>
            </w: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w w:val="79"/>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1,456,136</w:t>
            </w:r>
          </w:p>
        </w:tc>
        <w:tc>
          <w:tcPr>
            <w:tcW w:w="120" w:type="dxa"/>
            <w:vAlign w:val="bottom"/>
          </w:tcPr>
          <w:p>
            <w:pPr>
              <w:spacing w:after="0"/>
              <w:rPr>
                <w:sz w:val="22"/>
                <w:szCs w:val="22"/>
                <w:color w:val="auto"/>
              </w:rPr>
            </w:pPr>
          </w:p>
        </w:tc>
        <w:tc>
          <w:tcPr>
            <w:tcW w:w="164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100 %</w:t>
            </w:r>
          </w:p>
        </w:tc>
        <w:tc>
          <w:tcPr>
            <w:tcW w:w="100" w:type="dxa"/>
            <w:vAlign w:val="bottom"/>
          </w:tcPr>
          <w:p>
            <w:pPr>
              <w:spacing w:after="0"/>
              <w:rPr>
                <w:sz w:val="22"/>
                <w:szCs w:val="22"/>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w w:val="99"/>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1,480,143</w:t>
            </w:r>
          </w:p>
        </w:tc>
        <w:tc>
          <w:tcPr>
            <w:tcW w:w="120" w:type="dxa"/>
            <w:vAlign w:val="bottom"/>
          </w:tcPr>
          <w:p>
            <w:pPr>
              <w:spacing w:after="0"/>
              <w:rPr>
                <w:sz w:val="22"/>
                <w:szCs w:val="22"/>
                <w:color w:val="auto"/>
              </w:rPr>
            </w:pPr>
          </w:p>
        </w:tc>
        <w:tc>
          <w:tcPr>
            <w:tcW w:w="164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100 %</w:t>
            </w:r>
          </w:p>
        </w:tc>
      </w:tr>
      <w:tr>
        <w:trPr>
          <w:trHeight w:val="20"/>
        </w:trPr>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8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4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8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r>
      <w:tr>
        <w:trPr>
          <w:trHeight w:val="312"/>
        </w:trPr>
        <w:tc>
          <w:tcPr>
            <w:tcW w:w="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86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440" w:type="dxa"/>
            <w:vAlign w:val="bottom"/>
            <w:tcBorders>
              <w:bottom w:val="single" w:sz="8" w:color="auto"/>
            </w:tcBorders>
            <w:gridSpan w:val="6"/>
          </w:tcPr>
          <w:p>
            <w:pPr>
              <w:jc w:val="center"/>
              <w:ind w:right="40"/>
              <w:spacing w:after="0"/>
              <w:rPr>
                <w:sz w:val="20"/>
                <w:szCs w:val="20"/>
                <w:color w:val="auto"/>
              </w:rPr>
            </w:pPr>
            <w:r>
              <w:rPr>
                <w:rFonts w:ascii="Arial" w:cs="Arial" w:eastAsia="Arial" w:hAnsi="Arial"/>
                <w:sz w:val="14"/>
                <w:szCs w:val="14"/>
                <w:b w:val="1"/>
                <w:bCs w:val="1"/>
                <w:color w:val="auto"/>
                <w:w w:val="94"/>
              </w:rPr>
              <w:t>Nine Months Ended</w:t>
            </w:r>
          </w:p>
        </w:tc>
        <w:tc>
          <w:tcPr>
            <w:tcW w:w="14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r>
      <w:tr>
        <w:trPr>
          <w:trHeight w:val="195"/>
        </w:trPr>
        <w:tc>
          <w:tcPr>
            <w:tcW w:w="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386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2780" w:type="dxa"/>
            <w:vAlign w:val="bottom"/>
            <w:tcBorders>
              <w:bottom w:val="single" w:sz="8" w:color="auto"/>
            </w:tcBorders>
            <w:gridSpan w:val="3"/>
          </w:tcPr>
          <w:p>
            <w:pPr>
              <w:jc w:val="right"/>
              <w:ind w:right="896"/>
              <w:spacing w:after="0"/>
              <w:rPr>
                <w:sz w:val="20"/>
                <w:szCs w:val="20"/>
                <w:color w:val="auto"/>
              </w:rPr>
            </w:pPr>
            <w:r>
              <w:rPr>
                <w:rFonts w:ascii="Arial" w:cs="Arial" w:eastAsia="Arial" w:hAnsi="Arial"/>
                <w:sz w:val="14"/>
                <w:szCs w:val="14"/>
                <w:b w:val="1"/>
                <w:bCs w:val="1"/>
                <w:color w:val="auto"/>
              </w:rPr>
              <w:t>August 1, 2020</w:t>
            </w:r>
          </w:p>
        </w:tc>
        <w:tc>
          <w:tcPr>
            <w:tcW w:w="22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2800" w:type="dxa"/>
            <w:vAlign w:val="bottom"/>
            <w:tcBorders>
              <w:bottom w:val="single" w:sz="8" w:color="auto"/>
            </w:tcBorders>
            <w:gridSpan w:val="3"/>
          </w:tcPr>
          <w:p>
            <w:pPr>
              <w:jc w:val="right"/>
              <w:ind w:right="914"/>
              <w:spacing w:after="0"/>
              <w:rPr>
                <w:sz w:val="20"/>
                <w:szCs w:val="20"/>
                <w:color w:val="auto"/>
              </w:rPr>
            </w:pPr>
            <w:r>
              <w:rPr>
                <w:rFonts w:ascii="Arial" w:cs="Arial" w:eastAsia="Arial" w:hAnsi="Arial"/>
                <w:sz w:val="14"/>
                <w:szCs w:val="14"/>
                <w:b w:val="1"/>
                <w:bCs w:val="1"/>
                <w:color w:val="auto"/>
              </w:rPr>
              <w:t>August 3, 2019</w:t>
            </w:r>
          </w:p>
        </w:tc>
        <w:tc>
          <w:tcPr>
            <w:tcW w:w="220" w:type="dxa"/>
            <w:vAlign w:val="bottom"/>
            <w:tcBorders>
              <w:bottom w:val="single" w:sz="8" w:color="auto"/>
            </w:tcBorders>
          </w:tcPr>
          <w:p>
            <w:pPr>
              <w:spacing w:after="0"/>
              <w:rPr>
                <w:sz w:val="17"/>
                <w:szCs w:val="17"/>
                <w:color w:val="auto"/>
              </w:rPr>
            </w:pPr>
          </w:p>
        </w:tc>
      </w:tr>
      <w:tr>
        <w:trPr>
          <w:trHeight w:val="189"/>
        </w:trPr>
        <w:tc>
          <w:tcPr>
            <w:tcW w:w="20" w:type="dxa"/>
            <w:vAlign w:val="bottom"/>
          </w:tcPr>
          <w:p>
            <w:pPr>
              <w:spacing w:after="0"/>
              <w:rPr>
                <w:sz w:val="16"/>
                <w:szCs w:val="16"/>
                <w:color w:val="auto"/>
              </w:rPr>
            </w:pPr>
          </w:p>
        </w:tc>
        <w:tc>
          <w:tcPr>
            <w:tcW w:w="600" w:type="dxa"/>
            <w:vAlign w:val="bottom"/>
            <w:tcBorders>
              <w:bottom w:val="single" w:sz="8" w:color="auto"/>
            </w:tcBorders>
          </w:tcPr>
          <w:p>
            <w:pPr>
              <w:spacing w:after="0" w:line="169" w:lineRule="exact"/>
              <w:rPr>
                <w:sz w:val="20"/>
                <w:szCs w:val="20"/>
                <w:color w:val="auto"/>
              </w:rPr>
            </w:pPr>
            <w:r>
              <w:rPr>
                <w:rFonts w:ascii="Arial" w:cs="Arial" w:eastAsia="Arial" w:hAnsi="Arial"/>
                <w:sz w:val="18"/>
                <w:szCs w:val="18"/>
                <w:color w:val="auto"/>
                <w:w w:val="86"/>
              </w:rPr>
              <w:t>Channel</w:t>
            </w:r>
          </w:p>
        </w:tc>
        <w:tc>
          <w:tcPr>
            <w:tcW w:w="38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360" w:type="dxa"/>
            <w:vAlign w:val="bottom"/>
            <w:gridSpan w:val="2"/>
          </w:tcPr>
          <w:p>
            <w:pPr>
              <w:ind w:left="200"/>
              <w:spacing w:after="0"/>
              <w:rPr>
                <w:sz w:val="20"/>
                <w:szCs w:val="20"/>
                <w:color w:val="auto"/>
              </w:rPr>
            </w:pPr>
            <w:r>
              <w:rPr>
                <w:rFonts w:ascii="Arial" w:cs="Arial" w:eastAsia="Arial" w:hAnsi="Arial"/>
                <w:sz w:val="14"/>
                <w:szCs w:val="14"/>
                <w:b w:val="1"/>
                <w:bCs w:val="1"/>
                <w:color w:val="auto"/>
              </w:rPr>
              <w:t>Revenue</w:t>
            </w:r>
          </w:p>
        </w:tc>
        <w:tc>
          <w:tcPr>
            <w:tcW w:w="1420" w:type="dxa"/>
            <w:vAlign w:val="bottom"/>
          </w:tcPr>
          <w:p>
            <w:pPr>
              <w:jc w:val="right"/>
              <w:ind w:right="56"/>
              <w:spacing w:after="0"/>
              <w:rPr>
                <w:sz w:val="20"/>
                <w:szCs w:val="20"/>
                <w:color w:val="auto"/>
              </w:rPr>
            </w:pPr>
            <w:r>
              <w:rPr>
                <w:rFonts w:ascii="Arial" w:cs="Arial" w:eastAsia="Arial" w:hAnsi="Arial"/>
                <w:sz w:val="14"/>
                <w:szCs w:val="14"/>
                <w:b w:val="1"/>
                <w:bCs w:val="1"/>
                <w:color w:val="auto"/>
              </w:rPr>
              <w:t>% of Revenue*</w:t>
            </w: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380" w:type="dxa"/>
            <w:vAlign w:val="bottom"/>
            <w:gridSpan w:val="2"/>
          </w:tcPr>
          <w:p>
            <w:pPr>
              <w:ind w:left="220"/>
              <w:spacing w:after="0"/>
              <w:rPr>
                <w:sz w:val="20"/>
                <w:szCs w:val="20"/>
                <w:color w:val="auto"/>
              </w:rPr>
            </w:pPr>
            <w:r>
              <w:rPr>
                <w:rFonts w:ascii="Arial" w:cs="Arial" w:eastAsia="Arial" w:hAnsi="Arial"/>
                <w:sz w:val="14"/>
                <w:szCs w:val="14"/>
                <w:b w:val="1"/>
                <w:bCs w:val="1"/>
                <w:color w:val="auto"/>
              </w:rPr>
              <w:t>Revenue</w:t>
            </w:r>
          </w:p>
        </w:tc>
        <w:tc>
          <w:tcPr>
            <w:tcW w:w="1420" w:type="dxa"/>
            <w:vAlign w:val="bottom"/>
          </w:tcPr>
          <w:p>
            <w:pPr>
              <w:jc w:val="right"/>
              <w:ind w:right="54"/>
              <w:spacing w:after="0"/>
              <w:rPr>
                <w:sz w:val="20"/>
                <w:szCs w:val="20"/>
                <w:color w:val="auto"/>
              </w:rPr>
            </w:pPr>
            <w:r>
              <w:rPr>
                <w:rFonts w:ascii="Arial" w:cs="Arial" w:eastAsia="Arial" w:hAnsi="Arial"/>
                <w:sz w:val="14"/>
                <w:szCs w:val="14"/>
                <w:b w:val="1"/>
                <w:bCs w:val="1"/>
                <w:color w:val="auto"/>
              </w:rPr>
              <w:t>% of Revenue*</w:t>
            </w:r>
          </w:p>
        </w:tc>
        <w:tc>
          <w:tcPr>
            <w:tcW w:w="220" w:type="dxa"/>
            <w:vAlign w:val="bottom"/>
          </w:tcPr>
          <w:p>
            <w:pPr>
              <w:spacing w:after="0"/>
              <w:rPr>
                <w:sz w:val="16"/>
                <w:szCs w:val="16"/>
                <w:color w:val="auto"/>
              </w:rPr>
            </w:pPr>
          </w:p>
        </w:tc>
      </w:tr>
      <w:tr>
        <w:trPr>
          <w:trHeight w:val="48"/>
        </w:trPr>
        <w:tc>
          <w:tcPr>
            <w:tcW w:w="20" w:type="dxa"/>
            <w:vAlign w:val="bottom"/>
            <w:tcBorders>
              <w:bottom w:val="single" w:sz="8" w:color="CCEEFF"/>
            </w:tcBorders>
          </w:tcPr>
          <w:p>
            <w:pPr>
              <w:spacing w:after="0"/>
              <w:rPr>
                <w:sz w:val="4"/>
                <w:szCs w:val="4"/>
                <w:color w:val="auto"/>
              </w:rPr>
            </w:pPr>
          </w:p>
        </w:tc>
        <w:tc>
          <w:tcPr>
            <w:tcW w:w="600" w:type="dxa"/>
            <w:vAlign w:val="bottom"/>
            <w:tcBorders>
              <w:bottom w:val="single" w:sz="8" w:color="CCEEFF"/>
            </w:tcBorders>
          </w:tcPr>
          <w:p>
            <w:pPr>
              <w:spacing w:after="0"/>
              <w:rPr>
                <w:sz w:val="4"/>
                <w:szCs w:val="4"/>
                <w:color w:val="auto"/>
              </w:rPr>
            </w:pPr>
          </w:p>
        </w:tc>
        <w:tc>
          <w:tcPr>
            <w:tcW w:w="3860" w:type="dxa"/>
            <w:vAlign w:val="bottom"/>
            <w:tcBorders>
              <w:bottom w:val="single" w:sz="8" w:color="CCEEFF"/>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124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142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126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142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r>
      <w:tr>
        <w:trPr>
          <w:trHeight w:val="244"/>
        </w:trPr>
        <w:tc>
          <w:tcPr>
            <w:tcW w:w="20" w:type="dxa"/>
            <w:vAlign w:val="bottom"/>
            <w:tcBorders>
              <w:bottom w:val="single" w:sz="8" w:color="CCEEFF"/>
            </w:tcBorders>
            <w:shd w:val="clear" w:color="auto" w:fill="CCEEFF"/>
          </w:tcPr>
          <w:p>
            <w:pPr>
              <w:spacing w:after="0"/>
              <w:rPr>
                <w:sz w:val="21"/>
                <w:szCs w:val="21"/>
                <w:color w:val="auto"/>
              </w:rPr>
            </w:pPr>
          </w:p>
        </w:tc>
        <w:tc>
          <w:tcPr>
            <w:tcW w:w="446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Distributors</w:t>
            </w: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2,317,421</w:t>
            </w:r>
          </w:p>
        </w:tc>
        <w:tc>
          <w:tcPr>
            <w:tcW w:w="12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57</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2,563,807</w:t>
            </w:r>
          </w:p>
        </w:tc>
        <w:tc>
          <w:tcPr>
            <w:tcW w:w="12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56</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43"/>
        </w:trPr>
        <w:tc>
          <w:tcPr>
            <w:tcW w:w="20" w:type="dxa"/>
            <w:vAlign w:val="bottom"/>
          </w:tcPr>
          <w:p>
            <w:pPr>
              <w:spacing w:after="0"/>
              <w:rPr>
                <w:sz w:val="21"/>
                <w:szCs w:val="21"/>
                <w:color w:val="auto"/>
              </w:rPr>
            </w:pPr>
          </w:p>
        </w:tc>
        <w:tc>
          <w:tcPr>
            <w:tcW w:w="4460" w:type="dxa"/>
            <w:vAlign w:val="bottom"/>
            <w:gridSpan w:val="2"/>
          </w:tcPr>
          <w:p>
            <w:pPr>
              <w:ind w:left="140"/>
              <w:spacing w:after="0"/>
              <w:rPr>
                <w:sz w:val="20"/>
                <w:szCs w:val="20"/>
                <w:color w:val="auto"/>
              </w:rPr>
            </w:pPr>
            <w:r>
              <w:rPr>
                <w:rFonts w:ascii="Arial" w:cs="Arial" w:eastAsia="Arial" w:hAnsi="Arial"/>
                <w:sz w:val="18"/>
                <w:szCs w:val="18"/>
                <w:color w:val="auto"/>
              </w:rPr>
              <w:t>Direct customers</w:t>
            </w:r>
          </w:p>
        </w:tc>
        <w:tc>
          <w:tcPr>
            <w:tcW w:w="32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1,692,152</w:t>
            </w:r>
          </w:p>
        </w:tc>
        <w:tc>
          <w:tcPr>
            <w:tcW w:w="12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42</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1,930,935</w:t>
            </w:r>
          </w:p>
        </w:tc>
        <w:tc>
          <w:tcPr>
            <w:tcW w:w="12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42</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7"/>
        </w:trPr>
        <w:tc>
          <w:tcPr>
            <w:tcW w:w="20" w:type="dxa"/>
            <w:vAlign w:val="bottom"/>
          </w:tcPr>
          <w:p>
            <w:pPr>
              <w:spacing w:after="0"/>
              <w:rPr>
                <w:sz w:val="2"/>
                <w:szCs w:val="2"/>
                <w:color w:val="auto"/>
              </w:rPr>
            </w:pPr>
          </w:p>
        </w:tc>
        <w:tc>
          <w:tcPr>
            <w:tcW w:w="600" w:type="dxa"/>
            <w:vAlign w:val="bottom"/>
          </w:tcPr>
          <w:p>
            <w:pPr>
              <w:spacing w:after="0"/>
              <w:rPr>
                <w:sz w:val="2"/>
                <w:szCs w:val="2"/>
                <w:color w:val="auto"/>
              </w:rPr>
            </w:pPr>
          </w:p>
        </w:tc>
        <w:tc>
          <w:tcPr>
            <w:tcW w:w="38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220" w:type="dxa"/>
            <w:vAlign w:val="bottom"/>
          </w:tcPr>
          <w:p>
            <w:pPr>
              <w:spacing w:after="0"/>
              <w:rPr>
                <w:sz w:val="2"/>
                <w:szCs w:val="2"/>
                <w:color w:val="auto"/>
              </w:rPr>
            </w:pPr>
          </w:p>
        </w:tc>
      </w:tr>
      <w:tr>
        <w:trPr>
          <w:trHeight w:val="270"/>
        </w:trPr>
        <w:tc>
          <w:tcPr>
            <w:tcW w:w="20" w:type="dxa"/>
            <w:vAlign w:val="bottom"/>
            <w:tcBorders>
              <w:bottom w:val="single" w:sz="8" w:color="CCEEFF"/>
            </w:tcBorders>
            <w:shd w:val="clear" w:color="auto" w:fill="CCEEFF"/>
          </w:tcPr>
          <w:p>
            <w:pPr>
              <w:spacing w:after="0"/>
              <w:rPr>
                <w:sz w:val="23"/>
                <w:szCs w:val="23"/>
                <w:color w:val="auto"/>
              </w:rPr>
            </w:pPr>
          </w:p>
        </w:tc>
        <w:tc>
          <w:tcPr>
            <w:tcW w:w="446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Other</w:t>
            </w:r>
          </w:p>
        </w:tc>
        <w:tc>
          <w:tcPr>
            <w:tcW w:w="32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67,188</w:t>
            </w:r>
          </w:p>
        </w:tc>
        <w:tc>
          <w:tcPr>
            <w:tcW w:w="12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53,104</w:t>
            </w:r>
          </w:p>
        </w:tc>
        <w:tc>
          <w:tcPr>
            <w:tcW w:w="12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64"/>
        </w:trPr>
        <w:tc>
          <w:tcPr>
            <w:tcW w:w="20" w:type="dxa"/>
            <w:vAlign w:val="bottom"/>
          </w:tcPr>
          <w:p>
            <w:pPr>
              <w:spacing w:after="0"/>
              <w:rPr>
                <w:sz w:val="22"/>
                <w:szCs w:val="22"/>
                <w:color w:val="auto"/>
              </w:rPr>
            </w:pPr>
          </w:p>
        </w:tc>
        <w:tc>
          <w:tcPr>
            <w:tcW w:w="4460" w:type="dxa"/>
            <w:vAlign w:val="bottom"/>
            <w:gridSpan w:val="2"/>
          </w:tcPr>
          <w:p>
            <w:pPr>
              <w:spacing w:after="0"/>
              <w:rPr>
                <w:sz w:val="20"/>
                <w:szCs w:val="20"/>
                <w:color w:val="auto"/>
              </w:rPr>
            </w:pPr>
            <w:r>
              <w:rPr>
                <w:rFonts w:ascii="Arial" w:cs="Arial" w:eastAsia="Arial" w:hAnsi="Arial"/>
                <w:sz w:val="18"/>
                <w:szCs w:val="18"/>
                <w:b w:val="1"/>
                <w:bCs w:val="1"/>
                <w:color w:val="auto"/>
              </w:rPr>
              <w:t>Total revenue</w:t>
            </w: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w w:val="79"/>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4,076,761</w:t>
            </w:r>
          </w:p>
        </w:tc>
        <w:tc>
          <w:tcPr>
            <w:tcW w:w="120" w:type="dxa"/>
            <w:vAlign w:val="bottom"/>
          </w:tcPr>
          <w:p>
            <w:pPr>
              <w:spacing w:after="0"/>
              <w:rPr>
                <w:sz w:val="22"/>
                <w:szCs w:val="22"/>
                <w:color w:val="auto"/>
              </w:rPr>
            </w:pPr>
          </w:p>
        </w:tc>
        <w:tc>
          <w:tcPr>
            <w:tcW w:w="164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100 %</w:t>
            </w:r>
          </w:p>
        </w:tc>
        <w:tc>
          <w:tcPr>
            <w:tcW w:w="100" w:type="dxa"/>
            <w:vAlign w:val="bottom"/>
          </w:tcPr>
          <w:p>
            <w:pPr>
              <w:spacing w:after="0"/>
              <w:rPr>
                <w:sz w:val="22"/>
                <w:szCs w:val="22"/>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w w:val="99"/>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4,547,846</w:t>
            </w:r>
          </w:p>
        </w:tc>
        <w:tc>
          <w:tcPr>
            <w:tcW w:w="120" w:type="dxa"/>
            <w:vAlign w:val="bottom"/>
          </w:tcPr>
          <w:p>
            <w:pPr>
              <w:spacing w:after="0"/>
              <w:rPr>
                <w:sz w:val="22"/>
                <w:szCs w:val="22"/>
                <w:color w:val="auto"/>
              </w:rPr>
            </w:pPr>
          </w:p>
        </w:tc>
        <w:tc>
          <w:tcPr>
            <w:tcW w:w="164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100 %</w:t>
            </w:r>
          </w:p>
        </w:tc>
      </w:tr>
      <w:tr>
        <w:trPr>
          <w:trHeight w:val="20"/>
        </w:trPr>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8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r>
    </w:tbl>
    <w:p>
      <w:pPr>
        <w:spacing w:after="0" w:line="80" w:lineRule="exact"/>
        <w:rPr>
          <w:sz w:val="20"/>
          <w:szCs w:val="20"/>
          <w:color w:val="auto"/>
        </w:rPr>
      </w:pPr>
    </w:p>
    <w:p>
      <w:pPr>
        <w:ind w:left="20"/>
        <w:spacing w:after="0"/>
        <w:rPr>
          <w:sz w:val="20"/>
          <w:szCs w:val="20"/>
          <w:color w:val="auto"/>
        </w:rPr>
      </w:pPr>
      <w:r>
        <w:rPr>
          <w:rFonts w:ascii="Arial" w:cs="Arial" w:eastAsia="Arial" w:hAnsi="Arial"/>
          <w:sz w:val="18"/>
          <w:szCs w:val="18"/>
          <w:color w:val="auto"/>
        </w:rPr>
        <w:t>* The sum of the individual percentages may not equal the total due to rounding.</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39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4" w:name="page15"/>
    <w:bookmarkEnd w:id="14"/>
    <w:p>
      <w:pPr>
        <w:jc w:val="center"/>
        <w:ind w:right="-19"/>
        <w:spacing w:after="0"/>
        <w:rPr>
          <w:sz w:val="20"/>
          <w:szCs w:val="20"/>
          <w:color w:val="auto"/>
        </w:rPr>
      </w:pPr>
      <w:r>
        <w:rPr>
          <w:rFonts w:ascii="Arial" w:cs="Arial" w:eastAsia="Arial" w:hAnsi="Arial"/>
          <w:sz w:val="18"/>
          <w:szCs w:val="18"/>
          <w:b w:val="1"/>
          <w:bCs w:val="1"/>
          <w:color w:val="auto"/>
        </w:rPr>
        <w:t>ANALOG DEVICES,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 Fair Value</w:t>
      </w:r>
    </w:p>
    <w:p>
      <w:pPr>
        <w:spacing w:after="0" w:line="175" w:lineRule="exact"/>
        <w:rPr>
          <w:sz w:val="20"/>
          <w:szCs w:val="20"/>
          <w:color w:val="auto"/>
        </w:rPr>
      </w:pPr>
    </w:p>
    <w:p>
      <w:pPr>
        <w:ind w:right="120" w:firstLine="445"/>
        <w:spacing w:after="0" w:line="257" w:lineRule="auto"/>
        <w:rPr>
          <w:sz w:val="20"/>
          <w:szCs w:val="20"/>
          <w:color w:val="auto"/>
        </w:rPr>
      </w:pPr>
      <w:r>
        <w:rPr>
          <w:rFonts w:ascii="Arial" w:cs="Arial" w:eastAsia="Arial" w:hAnsi="Arial"/>
          <w:sz w:val="18"/>
          <w:szCs w:val="18"/>
          <w:color w:val="auto"/>
        </w:rPr>
        <w:t>The Company defines fair value as the price that would be received to sell an asset or be paid to transfer a liability in an orderly transaction between market participants at the measurement date. The Company applies the following fair value hierarchy, which prioritizes the inputs used to measure fair value into three levels and bases the categorization within the hierarchy upon the lowest level of input that is available and significant to the fair value measurement. The hierarchy gives the highest priority to unadjusted quoted prices in active markets for identical assets or liabilities (Level 1 measurements) and the lowest priority to unobservable inputs (Level 3 measurements).</w:t>
      </w:r>
    </w:p>
    <w:p>
      <w:pPr>
        <w:spacing w:after="0" w:line="134" w:lineRule="exact"/>
        <w:rPr>
          <w:sz w:val="20"/>
          <w:szCs w:val="20"/>
          <w:color w:val="auto"/>
        </w:rPr>
      </w:pPr>
    </w:p>
    <w:p>
      <w:pPr>
        <w:ind w:right="200" w:firstLine="445"/>
        <w:spacing w:after="0" w:line="277" w:lineRule="auto"/>
        <w:rPr>
          <w:sz w:val="20"/>
          <w:szCs w:val="20"/>
          <w:color w:val="auto"/>
        </w:rPr>
      </w:pPr>
      <w:r>
        <w:rPr>
          <w:rFonts w:ascii="Arial" w:cs="Arial" w:eastAsia="Arial" w:hAnsi="Arial"/>
          <w:sz w:val="18"/>
          <w:szCs w:val="18"/>
          <w:i w:val="1"/>
          <w:iCs w:val="1"/>
          <w:color w:val="auto"/>
        </w:rPr>
        <w:t xml:space="preserve">Level 1 </w:t>
      </w:r>
      <w:r>
        <w:rPr>
          <w:rFonts w:ascii="Arial" w:cs="Arial" w:eastAsia="Arial" w:hAnsi="Arial"/>
          <w:sz w:val="18"/>
          <w:szCs w:val="18"/>
          <w:color w:val="auto"/>
        </w:rPr>
        <w:t>— Level 1 inputs are quoted prices (unadjusted) in active markets for identical assets or liabilities that the reporting entity has the ability to</w:t>
      </w:r>
      <w:r>
        <w:rPr>
          <w:rFonts w:ascii="Arial" w:cs="Arial" w:eastAsia="Arial" w:hAnsi="Arial"/>
          <w:sz w:val="18"/>
          <w:szCs w:val="18"/>
          <w:i w:val="1"/>
          <w:iCs w:val="1"/>
          <w:color w:val="auto"/>
        </w:rPr>
        <w:t xml:space="preserve"> </w:t>
      </w:r>
      <w:r>
        <w:rPr>
          <w:rFonts w:ascii="Arial" w:cs="Arial" w:eastAsia="Arial" w:hAnsi="Arial"/>
          <w:sz w:val="18"/>
          <w:szCs w:val="18"/>
          <w:color w:val="auto"/>
        </w:rPr>
        <w:t>access at the measurement date.</w:t>
      </w:r>
    </w:p>
    <w:p>
      <w:pPr>
        <w:spacing w:after="0" w:line="116" w:lineRule="exact"/>
        <w:rPr>
          <w:sz w:val="20"/>
          <w:szCs w:val="20"/>
          <w:color w:val="auto"/>
        </w:rPr>
      </w:pPr>
    </w:p>
    <w:p>
      <w:pPr>
        <w:ind w:firstLine="445"/>
        <w:spacing w:after="0" w:line="342" w:lineRule="auto"/>
        <w:rPr>
          <w:sz w:val="20"/>
          <w:szCs w:val="20"/>
          <w:color w:val="auto"/>
        </w:rPr>
      </w:pPr>
      <w:r>
        <w:rPr>
          <w:rFonts w:ascii="Arial" w:cs="Arial" w:eastAsia="Arial" w:hAnsi="Arial"/>
          <w:sz w:val="16"/>
          <w:szCs w:val="16"/>
          <w:i w:val="1"/>
          <w:iCs w:val="1"/>
          <w:color w:val="auto"/>
        </w:rPr>
        <w:t xml:space="preserve">Level 2 </w:t>
      </w:r>
      <w:r>
        <w:rPr>
          <w:rFonts w:ascii="Arial" w:cs="Arial" w:eastAsia="Arial" w:hAnsi="Arial"/>
          <w:sz w:val="16"/>
          <w:szCs w:val="16"/>
          <w:color w:val="auto"/>
        </w:rPr>
        <w:t>— Level 2 inputs are inputs other than quoted prices included within Level 1 that are observable for the asset or liability, either directly or</w:t>
      </w:r>
      <w:r>
        <w:rPr>
          <w:rFonts w:ascii="Arial" w:cs="Arial" w:eastAsia="Arial" w:hAnsi="Arial"/>
          <w:sz w:val="16"/>
          <w:szCs w:val="16"/>
          <w:i w:val="1"/>
          <w:iCs w:val="1"/>
          <w:color w:val="auto"/>
        </w:rPr>
        <w:t xml:space="preserve"> </w:t>
      </w:r>
      <w:r>
        <w:rPr>
          <w:rFonts w:ascii="Arial" w:cs="Arial" w:eastAsia="Arial" w:hAnsi="Arial"/>
          <w:sz w:val="16"/>
          <w:szCs w:val="16"/>
          <w:color w:val="auto"/>
        </w:rPr>
        <w:t>indirectly. If the asset or liability has a specified (contractual) term, a Level 2 input must be observable for substantially the full term of the asset or liability.</w:t>
      </w:r>
    </w:p>
    <w:p>
      <w:pPr>
        <w:spacing w:after="0" w:line="70" w:lineRule="exact"/>
        <w:rPr>
          <w:sz w:val="20"/>
          <w:szCs w:val="20"/>
          <w:color w:val="auto"/>
        </w:rPr>
      </w:pPr>
    </w:p>
    <w:p>
      <w:pPr>
        <w:ind w:right="60" w:firstLine="445"/>
        <w:spacing w:after="0" w:line="277" w:lineRule="auto"/>
        <w:rPr>
          <w:sz w:val="20"/>
          <w:szCs w:val="20"/>
          <w:color w:val="auto"/>
        </w:rPr>
      </w:pPr>
      <w:r>
        <w:rPr>
          <w:rFonts w:ascii="Arial" w:cs="Arial" w:eastAsia="Arial" w:hAnsi="Arial"/>
          <w:sz w:val="18"/>
          <w:szCs w:val="18"/>
          <w:i w:val="1"/>
          <w:iCs w:val="1"/>
          <w:color w:val="auto"/>
        </w:rPr>
        <w:t xml:space="preserve">Level 3 </w:t>
      </w:r>
      <w:r>
        <w:rPr>
          <w:rFonts w:ascii="Arial" w:cs="Arial" w:eastAsia="Arial" w:hAnsi="Arial"/>
          <w:sz w:val="18"/>
          <w:szCs w:val="18"/>
          <w:color w:val="auto"/>
        </w:rPr>
        <w:t>— Level 3 inputs are unobservable inputs for the asset or liability in which there is little, if any, market activity for the asset or liability at the</w:t>
      </w:r>
      <w:r>
        <w:rPr>
          <w:rFonts w:ascii="Arial" w:cs="Arial" w:eastAsia="Arial" w:hAnsi="Arial"/>
          <w:sz w:val="18"/>
          <w:szCs w:val="18"/>
          <w:i w:val="1"/>
          <w:iCs w:val="1"/>
          <w:color w:val="auto"/>
        </w:rPr>
        <w:t xml:space="preserve"> </w:t>
      </w:r>
      <w:r>
        <w:rPr>
          <w:rFonts w:ascii="Arial" w:cs="Arial" w:eastAsia="Arial" w:hAnsi="Arial"/>
          <w:sz w:val="18"/>
          <w:szCs w:val="18"/>
          <w:color w:val="auto"/>
        </w:rPr>
        <w:t>measurement date.</w:t>
      </w:r>
    </w:p>
    <w:p>
      <w:pPr>
        <w:spacing w:after="0" w:line="116" w:lineRule="exact"/>
        <w:rPr>
          <w:sz w:val="20"/>
          <w:szCs w:val="20"/>
          <w:color w:val="auto"/>
        </w:rPr>
      </w:pPr>
    </w:p>
    <w:p>
      <w:pPr>
        <w:ind w:right="120" w:firstLine="445"/>
        <w:spacing w:after="0" w:line="279" w:lineRule="auto"/>
        <w:rPr>
          <w:sz w:val="20"/>
          <w:szCs w:val="20"/>
          <w:color w:val="auto"/>
        </w:rPr>
      </w:pPr>
      <w:r>
        <w:rPr>
          <w:rFonts w:ascii="Arial" w:cs="Arial" w:eastAsia="Arial" w:hAnsi="Arial"/>
          <w:sz w:val="17"/>
          <w:szCs w:val="17"/>
          <w:color w:val="auto"/>
        </w:rPr>
        <w:t>The tables below, set forth by level, presents the Company’s financial assets and liabilities, excluding accrued interest components that were accounted for at fair value on a recurring basis as of August 1, 2020 and November 2, 2019. The tables exclude cash on hand and assets and liabilities that are measured at historical cost or any basis other than fair value. As of August 1, 2020 and November 2, 2019, the Company held $144.8 million and $231.4 million, respectively, of cash and held-to-maturity investments that were excluded from the tables below.</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94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gridSpan w:val="2"/>
          </w:tcPr>
          <w:p>
            <w:pPr>
              <w:jc w:val="center"/>
              <w:ind w:right="300"/>
              <w:spacing w:after="0"/>
              <w:rPr>
                <w:sz w:val="20"/>
                <w:szCs w:val="20"/>
                <w:color w:val="auto"/>
              </w:rPr>
            </w:pPr>
            <w:r>
              <w:rPr>
                <w:rFonts w:ascii="Arial" w:cs="Arial" w:eastAsia="Arial" w:hAnsi="Arial"/>
                <w:sz w:val="14"/>
                <w:szCs w:val="14"/>
                <w:b w:val="1"/>
                <w:bCs w:val="1"/>
                <w:color w:val="auto"/>
                <w:w w:val="91"/>
              </w:rPr>
              <w:t>August 1, 2020</w:t>
            </w:r>
          </w:p>
        </w:tc>
        <w:tc>
          <w:tcPr>
            <w:tcW w:w="38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spacing w:after="0"/>
              <w:rPr>
                <w:sz w:val="16"/>
                <w:szCs w:val="16"/>
                <w:color w:val="auto"/>
              </w:rPr>
            </w:pPr>
          </w:p>
        </w:tc>
      </w:tr>
      <w:tr>
        <w:trPr>
          <w:trHeight w:val="166"/>
        </w:trPr>
        <w:tc>
          <w:tcPr>
            <w:tcW w:w="5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460" w:type="dxa"/>
            <w:vAlign w:val="bottom"/>
            <w:gridSpan w:val="5"/>
          </w:tcPr>
          <w:p>
            <w:pPr>
              <w:jc w:val="center"/>
              <w:ind w:right="120"/>
              <w:spacing w:after="0"/>
              <w:rPr>
                <w:sz w:val="20"/>
                <w:szCs w:val="20"/>
                <w:color w:val="auto"/>
              </w:rPr>
            </w:pPr>
            <w:r>
              <w:rPr>
                <w:rFonts w:ascii="Arial" w:cs="Arial" w:eastAsia="Arial" w:hAnsi="Arial"/>
                <w:sz w:val="14"/>
                <w:szCs w:val="14"/>
                <w:b w:val="1"/>
                <w:bCs w:val="1"/>
                <w:color w:val="auto"/>
                <w:w w:val="93"/>
              </w:rPr>
              <w:t>Fair Value measurement at</w:t>
            </w:r>
          </w:p>
        </w:tc>
        <w:tc>
          <w:tcPr>
            <w:tcW w:w="380" w:type="dxa"/>
            <w:vAlign w:val="bottom"/>
          </w:tcPr>
          <w:p>
            <w:pPr>
              <w:spacing w:after="0"/>
              <w:rPr>
                <w:sz w:val="14"/>
                <w:szCs w:val="14"/>
                <w:color w:val="auto"/>
              </w:rPr>
            </w:pPr>
          </w:p>
        </w:tc>
        <w:tc>
          <w:tcPr>
            <w:tcW w:w="1280" w:type="dxa"/>
            <w:vAlign w:val="bottom"/>
          </w:tcPr>
          <w:p>
            <w:pPr>
              <w:spacing w:after="0"/>
              <w:rPr>
                <w:sz w:val="14"/>
                <w:szCs w:val="14"/>
                <w:color w:val="auto"/>
              </w:rPr>
            </w:pPr>
          </w:p>
        </w:tc>
      </w:tr>
      <w:tr>
        <w:trPr>
          <w:trHeight w:val="186"/>
        </w:trPr>
        <w:tc>
          <w:tcPr>
            <w:tcW w:w="59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460" w:type="dxa"/>
            <w:vAlign w:val="bottom"/>
            <w:gridSpan w:val="5"/>
          </w:tcPr>
          <w:p>
            <w:pPr>
              <w:jc w:val="center"/>
              <w:ind w:right="120"/>
              <w:spacing w:after="0"/>
              <w:rPr>
                <w:sz w:val="20"/>
                <w:szCs w:val="20"/>
                <w:color w:val="auto"/>
              </w:rPr>
            </w:pPr>
            <w:r>
              <w:rPr>
                <w:rFonts w:ascii="Arial" w:cs="Arial" w:eastAsia="Arial" w:hAnsi="Arial"/>
                <w:sz w:val="14"/>
                <w:szCs w:val="14"/>
                <w:b w:val="1"/>
                <w:bCs w:val="1"/>
                <w:color w:val="auto"/>
                <w:w w:val="91"/>
              </w:rPr>
              <w:t>Reporting Date using:</w:t>
            </w:r>
          </w:p>
        </w:tc>
        <w:tc>
          <w:tcPr>
            <w:tcW w:w="380" w:type="dxa"/>
            <w:vAlign w:val="bottom"/>
          </w:tcPr>
          <w:p>
            <w:pPr>
              <w:spacing w:after="0"/>
              <w:rPr>
                <w:sz w:val="16"/>
                <w:szCs w:val="16"/>
                <w:color w:val="auto"/>
              </w:rPr>
            </w:pPr>
          </w:p>
        </w:tc>
        <w:tc>
          <w:tcPr>
            <w:tcW w:w="1280" w:type="dxa"/>
            <w:vAlign w:val="bottom"/>
          </w:tcPr>
          <w:p>
            <w:pPr>
              <w:spacing w:after="0"/>
              <w:rPr>
                <w:sz w:val="16"/>
                <w:szCs w:val="16"/>
                <w:color w:val="auto"/>
              </w:rPr>
            </w:pPr>
          </w:p>
        </w:tc>
      </w:tr>
      <w:tr>
        <w:trPr>
          <w:trHeight w:val="26"/>
        </w:trPr>
        <w:tc>
          <w:tcPr>
            <w:tcW w:w="594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8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160"/>
        </w:trPr>
        <w:tc>
          <w:tcPr>
            <w:tcW w:w="59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60" w:type="dxa"/>
            <w:vAlign w:val="bottom"/>
            <w:gridSpan w:val="2"/>
          </w:tcPr>
          <w:p>
            <w:pPr>
              <w:jc w:val="center"/>
              <w:ind w:right="200"/>
              <w:spacing w:after="0" w:line="160" w:lineRule="exact"/>
              <w:rPr>
                <w:sz w:val="20"/>
                <w:szCs w:val="20"/>
                <w:color w:val="auto"/>
              </w:rPr>
            </w:pPr>
            <w:r>
              <w:rPr>
                <w:rFonts w:ascii="Arial" w:cs="Arial" w:eastAsia="Arial" w:hAnsi="Arial"/>
                <w:sz w:val="14"/>
                <w:szCs w:val="14"/>
                <w:b w:val="1"/>
                <w:bCs w:val="1"/>
                <w:color w:val="auto"/>
                <w:w w:val="92"/>
              </w:rPr>
              <w:t>Quoted Prices in Active</w:t>
            </w:r>
          </w:p>
        </w:tc>
        <w:tc>
          <w:tcPr>
            <w:tcW w:w="20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280" w:type="dxa"/>
            <w:vAlign w:val="bottom"/>
          </w:tcPr>
          <w:p>
            <w:pPr>
              <w:spacing w:after="0"/>
              <w:rPr>
                <w:sz w:val="13"/>
                <w:szCs w:val="13"/>
                <w:color w:val="auto"/>
              </w:rPr>
            </w:pPr>
          </w:p>
        </w:tc>
      </w:tr>
      <w:tr>
        <w:trPr>
          <w:trHeight w:val="162"/>
        </w:trPr>
        <w:tc>
          <w:tcPr>
            <w:tcW w:w="5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6"/>
              </w:rPr>
              <w:t>Markets for Identical</w:t>
            </w:r>
          </w:p>
        </w:tc>
        <w:tc>
          <w:tcPr>
            <w:tcW w:w="200" w:type="dxa"/>
            <w:vAlign w:val="bottom"/>
          </w:tcPr>
          <w:p>
            <w:pPr>
              <w:spacing w:after="0"/>
              <w:rPr>
                <w:sz w:val="14"/>
                <w:szCs w:val="14"/>
                <w:color w:val="auto"/>
              </w:rPr>
            </w:pPr>
          </w:p>
        </w:tc>
        <w:tc>
          <w:tcPr>
            <w:tcW w:w="16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3"/>
              </w:rPr>
              <w:t>Significant Other</w:t>
            </w:r>
          </w:p>
        </w:tc>
        <w:tc>
          <w:tcPr>
            <w:tcW w:w="380" w:type="dxa"/>
            <w:vAlign w:val="bottom"/>
          </w:tcPr>
          <w:p>
            <w:pPr>
              <w:spacing w:after="0"/>
              <w:rPr>
                <w:sz w:val="14"/>
                <w:szCs w:val="14"/>
                <w:color w:val="auto"/>
              </w:rPr>
            </w:pPr>
          </w:p>
        </w:tc>
        <w:tc>
          <w:tcPr>
            <w:tcW w:w="1280" w:type="dxa"/>
            <w:vAlign w:val="bottom"/>
          </w:tcPr>
          <w:p>
            <w:pPr>
              <w:spacing w:after="0"/>
              <w:rPr>
                <w:sz w:val="14"/>
                <w:szCs w:val="14"/>
                <w:color w:val="auto"/>
              </w:rPr>
            </w:pPr>
          </w:p>
        </w:tc>
      </w:tr>
      <w:tr>
        <w:trPr>
          <w:trHeight w:val="162"/>
        </w:trPr>
        <w:tc>
          <w:tcPr>
            <w:tcW w:w="5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6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2"/>
              </w:rPr>
              <w:t>Assets</w:t>
            </w:r>
          </w:p>
        </w:tc>
        <w:tc>
          <w:tcPr>
            <w:tcW w:w="200" w:type="dxa"/>
            <w:vAlign w:val="bottom"/>
          </w:tcPr>
          <w:p>
            <w:pPr>
              <w:spacing w:after="0"/>
              <w:rPr>
                <w:sz w:val="14"/>
                <w:szCs w:val="14"/>
                <w:color w:val="auto"/>
              </w:rPr>
            </w:pPr>
          </w:p>
        </w:tc>
        <w:tc>
          <w:tcPr>
            <w:tcW w:w="16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3"/>
              </w:rPr>
              <w:t>Observable Inputs</w:t>
            </w:r>
          </w:p>
        </w:tc>
        <w:tc>
          <w:tcPr>
            <w:tcW w:w="380" w:type="dxa"/>
            <w:vAlign w:val="bottom"/>
          </w:tcPr>
          <w:p>
            <w:pPr>
              <w:spacing w:after="0"/>
              <w:rPr>
                <w:sz w:val="14"/>
                <w:szCs w:val="14"/>
                <w:color w:val="auto"/>
              </w:rPr>
            </w:pPr>
          </w:p>
        </w:tc>
        <w:tc>
          <w:tcPr>
            <w:tcW w:w="1280" w:type="dxa"/>
            <w:vAlign w:val="bottom"/>
          </w:tcPr>
          <w:p>
            <w:pPr>
              <w:spacing w:after="0"/>
              <w:rPr>
                <w:sz w:val="14"/>
                <w:szCs w:val="14"/>
                <w:color w:val="auto"/>
              </w:rPr>
            </w:pPr>
          </w:p>
        </w:tc>
      </w:tr>
      <w:tr>
        <w:trPr>
          <w:trHeight w:val="186"/>
        </w:trPr>
        <w:tc>
          <w:tcPr>
            <w:tcW w:w="59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6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4"/>
              </w:rPr>
              <w:t>(Level 1)</w:t>
            </w:r>
          </w:p>
        </w:tc>
        <w:tc>
          <w:tcPr>
            <w:tcW w:w="200" w:type="dxa"/>
            <w:vAlign w:val="bottom"/>
          </w:tcPr>
          <w:p>
            <w:pPr>
              <w:spacing w:after="0"/>
              <w:rPr>
                <w:sz w:val="16"/>
                <w:szCs w:val="16"/>
                <w:color w:val="auto"/>
              </w:rPr>
            </w:pPr>
          </w:p>
        </w:tc>
        <w:tc>
          <w:tcPr>
            <w:tcW w:w="16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4"/>
              </w:rPr>
              <w:t>(Level 2)</w:t>
            </w:r>
          </w:p>
        </w:tc>
        <w:tc>
          <w:tcPr>
            <w:tcW w:w="380" w:type="dxa"/>
            <w:vAlign w:val="bottom"/>
          </w:tcPr>
          <w:p>
            <w:pPr>
              <w:spacing w:after="0"/>
              <w:rPr>
                <w:sz w:val="16"/>
                <w:szCs w:val="16"/>
                <w:color w:val="auto"/>
              </w:rPr>
            </w:pPr>
          </w:p>
        </w:tc>
        <w:tc>
          <w:tcPr>
            <w:tcW w:w="1280" w:type="dxa"/>
            <w:vAlign w:val="bottom"/>
          </w:tcPr>
          <w:p>
            <w:pPr>
              <w:jc w:val="right"/>
              <w:ind w:right="593"/>
              <w:spacing w:after="0"/>
              <w:rPr>
                <w:sz w:val="20"/>
                <w:szCs w:val="20"/>
                <w:color w:val="auto"/>
              </w:rPr>
            </w:pPr>
            <w:r>
              <w:rPr>
                <w:rFonts w:ascii="Arial" w:cs="Arial" w:eastAsia="Arial" w:hAnsi="Arial"/>
                <w:sz w:val="14"/>
                <w:szCs w:val="14"/>
                <w:b w:val="1"/>
                <w:bCs w:val="1"/>
                <w:color w:val="auto"/>
              </w:rPr>
              <w:t>Total</w:t>
            </w:r>
          </w:p>
        </w:tc>
      </w:tr>
      <w:tr>
        <w:trPr>
          <w:trHeight w:val="25"/>
        </w:trPr>
        <w:tc>
          <w:tcPr>
            <w:tcW w:w="594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30"/>
        </w:trPr>
        <w:tc>
          <w:tcPr>
            <w:tcW w:w="59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Assets</w:t>
            </w:r>
          </w:p>
        </w:tc>
        <w:tc>
          <w:tcPr>
            <w:tcW w:w="120" w:type="dxa"/>
            <w:vAlign w:val="bottom"/>
            <w:tcBorders>
              <w:bottom w:val="single" w:sz="8" w:color="CCEEFF"/>
            </w:tcBorders>
            <w:shd w:val="clear" w:color="auto" w:fill="CCEEFF"/>
          </w:tcPr>
          <w:p>
            <w:pPr>
              <w:spacing w:after="0"/>
              <w:rPr>
                <w:sz w:val="20"/>
                <w:szCs w:val="20"/>
                <w:color w:val="auto"/>
              </w:rPr>
            </w:pPr>
          </w:p>
        </w:tc>
        <w:tc>
          <w:tcPr>
            <w:tcW w:w="15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4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shd w:val="clear" w:color="auto" w:fill="CCEEFF"/>
          </w:tcPr>
          <w:p>
            <w:pPr>
              <w:spacing w:after="0"/>
              <w:rPr>
                <w:sz w:val="20"/>
                <w:szCs w:val="20"/>
                <w:color w:val="auto"/>
              </w:rPr>
            </w:pPr>
          </w:p>
        </w:tc>
      </w:tr>
      <w:tr>
        <w:trPr>
          <w:trHeight w:val="243"/>
        </w:trPr>
        <w:tc>
          <w:tcPr>
            <w:tcW w:w="5940" w:type="dxa"/>
            <w:vAlign w:val="bottom"/>
          </w:tcPr>
          <w:p>
            <w:pPr>
              <w:ind w:left="20"/>
              <w:spacing w:after="0"/>
              <w:rPr>
                <w:sz w:val="20"/>
                <w:szCs w:val="20"/>
                <w:color w:val="auto"/>
              </w:rPr>
            </w:pPr>
            <w:r>
              <w:rPr>
                <w:rFonts w:ascii="Arial" w:cs="Arial" w:eastAsia="Arial" w:hAnsi="Arial"/>
                <w:sz w:val="18"/>
                <w:szCs w:val="18"/>
                <w:b w:val="1"/>
                <w:bCs w:val="1"/>
                <w:color w:val="auto"/>
              </w:rPr>
              <w:t>Cash equivalents:</w:t>
            </w:r>
          </w:p>
        </w:tc>
        <w:tc>
          <w:tcPr>
            <w:tcW w:w="120" w:type="dxa"/>
            <w:vAlign w:val="bottom"/>
          </w:tcPr>
          <w:p>
            <w:pPr>
              <w:spacing w:after="0"/>
              <w:rPr>
                <w:sz w:val="21"/>
                <w:szCs w:val="21"/>
                <w:color w:val="auto"/>
              </w:rPr>
            </w:pPr>
          </w:p>
        </w:tc>
        <w:tc>
          <w:tcPr>
            <w:tcW w:w="15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80" w:type="dxa"/>
            <w:vAlign w:val="bottom"/>
          </w:tcPr>
          <w:p>
            <w:pPr>
              <w:spacing w:after="0"/>
              <w:rPr>
                <w:sz w:val="21"/>
                <w:szCs w:val="21"/>
                <w:color w:val="auto"/>
              </w:rPr>
            </w:pPr>
          </w:p>
        </w:tc>
      </w:tr>
      <w:tr>
        <w:trPr>
          <w:trHeight w:val="27"/>
        </w:trPr>
        <w:tc>
          <w:tcPr>
            <w:tcW w:w="5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594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Available-for-sale:</w:t>
            </w:r>
          </w:p>
        </w:tc>
        <w:tc>
          <w:tcPr>
            <w:tcW w:w="12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r>
      <w:tr>
        <w:trPr>
          <w:trHeight w:val="243"/>
        </w:trPr>
        <w:tc>
          <w:tcPr>
            <w:tcW w:w="5940" w:type="dxa"/>
            <w:vAlign w:val="bottom"/>
          </w:tcPr>
          <w:p>
            <w:pPr>
              <w:ind w:left="660"/>
              <w:spacing w:after="0"/>
              <w:rPr>
                <w:sz w:val="20"/>
                <w:szCs w:val="20"/>
                <w:color w:val="auto"/>
              </w:rPr>
            </w:pPr>
            <w:r>
              <w:rPr>
                <w:rFonts w:ascii="Arial" w:cs="Arial" w:eastAsia="Arial" w:hAnsi="Arial"/>
                <w:sz w:val="18"/>
                <w:szCs w:val="18"/>
                <w:color w:val="auto"/>
              </w:rPr>
              <w:t>Government and institutional money market funds</w:t>
            </w: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560" w:type="dxa"/>
            <w:vAlign w:val="bottom"/>
          </w:tcPr>
          <w:p>
            <w:pPr>
              <w:jc w:val="right"/>
              <w:spacing w:after="0"/>
              <w:rPr>
                <w:sz w:val="20"/>
                <w:szCs w:val="20"/>
                <w:color w:val="auto"/>
              </w:rPr>
            </w:pPr>
            <w:r>
              <w:rPr>
                <w:rFonts w:ascii="Arial" w:cs="Arial" w:eastAsia="Arial" w:hAnsi="Arial"/>
                <w:sz w:val="18"/>
                <w:szCs w:val="18"/>
                <w:color w:val="auto"/>
              </w:rPr>
              <w:t>945,471</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6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80" w:type="dxa"/>
            <w:vAlign w:val="bottom"/>
          </w:tcPr>
          <w:p>
            <w:pPr>
              <w:jc w:val="right"/>
              <w:ind w:right="190"/>
              <w:spacing w:after="0"/>
              <w:rPr>
                <w:sz w:val="20"/>
                <w:szCs w:val="20"/>
                <w:color w:val="auto"/>
              </w:rPr>
            </w:pPr>
            <w:r>
              <w:rPr>
                <w:rFonts w:ascii="Arial" w:cs="Arial" w:eastAsia="Arial" w:hAnsi="Arial"/>
                <w:sz w:val="18"/>
                <w:szCs w:val="18"/>
                <w:color w:val="auto"/>
                <w:w w:val="7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945,471</w:t>
            </w:r>
          </w:p>
        </w:tc>
      </w:tr>
      <w:tr>
        <w:trPr>
          <w:trHeight w:val="27"/>
        </w:trPr>
        <w:tc>
          <w:tcPr>
            <w:tcW w:w="5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59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Other assets:</w:t>
            </w:r>
          </w:p>
        </w:tc>
        <w:tc>
          <w:tcPr>
            <w:tcW w:w="12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r>
      <w:tr>
        <w:trPr>
          <w:trHeight w:val="243"/>
        </w:trPr>
        <w:tc>
          <w:tcPr>
            <w:tcW w:w="5940" w:type="dxa"/>
            <w:vAlign w:val="bottom"/>
          </w:tcPr>
          <w:p>
            <w:pPr>
              <w:ind w:left="340"/>
              <w:spacing w:after="0"/>
              <w:rPr>
                <w:sz w:val="20"/>
                <w:szCs w:val="20"/>
                <w:color w:val="auto"/>
              </w:rPr>
            </w:pPr>
            <w:r>
              <w:rPr>
                <w:rFonts w:ascii="Arial" w:cs="Arial" w:eastAsia="Arial" w:hAnsi="Arial"/>
                <w:sz w:val="18"/>
                <w:szCs w:val="18"/>
                <w:color w:val="auto"/>
              </w:rPr>
              <w:t>Deferred compensation investments</w:t>
            </w:r>
          </w:p>
        </w:tc>
        <w:tc>
          <w:tcPr>
            <w:tcW w:w="12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52,956</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6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52,956</w:t>
            </w:r>
          </w:p>
        </w:tc>
      </w:tr>
      <w:tr>
        <w:trPr>
          <w:trHeight w:val="27"/>
        </w:trPr>
        <w:tc>
          <w:tcPr>
            <w:tcW w:w="5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70"/>
        </w:trPr>
        <w:tc>
          <w:tcPr>
            <w:tcW w:w="594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Forward foreign currency exchange contracts (1)</w:t>
            </w:r>
          </w:p>
        </w:tc>
        <w:tc>
          <w:tcPr>
            <w:tcW w:w="120" w:type="dxa"/>
            <w:vAlign w:val="bottom"/>
            <w:tcBorders>
              <w:bottom w:val="single" w:sz="8" w:color="CCEEFF"/>
            </w:tcBorders>
            <w:shd w:val="clear" w:color="auto" w:fill="CCEEFF"/>
          </w:tcPr>
          <w:p>
            <w:pPr>
              <w:spacing w:after="0"/>
              <w:rPr>
                <w:sz w:val="23"/>
                <w:szCs w:val="23"/>
                <w:color w:val="auto"/>
              </w:rPr>
            </w:pPr>
          </w:p>
        </w:tc>
        <w:tc>
          <w:tcPr>
            <w:tcW w:w="166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8,400</w:t>
            </w:r>
          </w:p>
        </w:tc>
        <w:tc>
          <w:tcPr>
            <w:tcW w:w="12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8,400</w:t>
            </w:r>
          </w:p>
        </w:tc>
      </w:tr>
      <w:tr>
        <w:trPr>
          <w:trHeight w:val="237"/>
        </w:trPr>
        <w:tc>
          <w:tcPr>
            <w:tcW w:w="5940" w:type="dxa"/>
            <w:vAlign w:val="bottom"/>
          </w:tcPr>
          <w:p>
            <w:pPr>
              <w:ind w:left="20"/>
              <w:spacing w:after="0"/>
              <w:rPr>
                <w:sz w:val="20"/>
                <w:szCs w:val="20"/>
                <w:color w:val="auto"/>
              </w:rPr>
            </w:pPr>
            <w:r>
              <w:rPr>
                <w:rFonts w:ascii="Arial" w:cs="Arial" w:eastAsia="Arial" w:hAnsi="Arial"/>
                <w:sz w:val="18"/>
                <w:szCs w:val="18"/>
                <w:b w:val="1"/>
                <w:bCs w:val="1"/>
                <w:color w:val="auto"/>
              </w:rPr>
              <w:t>Total assets measured at fair value</w:t>
            </w: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998,427</w:t>
            </w:r>
          </w:p>
        </w:tc>
        <w:tc>
          <w:tcPr>
            <w:tcW w:w="100" w:type="dxa"/>
            <w:vAlign w:val="bottom"/>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8,400</w:t>
            </w:r>
          </w:p>
        </w:tc>
        <w:tc>
          <w:tcPr>
            <w:tcW w:w="120" w:type="dxa"/>
            <w:vAlign w:val="bottom"/>
          </w:tcPr>
          <w:p>
            <w:pPr>
              <w:spacing w:after="0"/>
              <w:rPr>
                <w:sz w:val="20"/>
                <w:szCs w:val="20"/>
                <w:color w:val="auto"/>
              </w:rPr>
            </w:pPr>
          </w:p>
        </w:tc>
        <w:tc>
          <w:tcPr>
            <w:tcW w:w="380" w:type="dxa"/>
            <w:vAlign w:val="bottom"/>
            <w:tcBorders>
              <w:top w:val="single" w:sz="8" w:color="auto"/>
            </w:tcBorders>
          </w:tcPr>
          <w:p>
            <w:pPr>
              <w:jc w:val="right"/>
              <w:ind w:right="190"/>
              <w:spacing w:after="0"/>
              <w:rPr>
                <w:sz w:val="20"/>
                <w:szCs w:val="20"/>
                <w:color w:val="auto"/>
              </w:rPr>
            </w:pPr>
            <w:r>
              <w:rPr>
                <w:rFonts w:ascii="Arial" w:cs="Arial" w:eastAsia="Arial" w:hAnsi="Arial"/>
                <w:sz w:val="18"/>
                <w:szCs w:val="18"/>
                <w:color w:val="auto"/>
                <w:w w:val="79"/>
              </w:rPr>
              <w:t>$</w:t>
            </w:r>
          </w:p>
        </w:tc>
        <w:tc>
          <w:tcPr>
            <w:tcW w:w="12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1,006,827</w:t>
            </w:r>
          </w:p>
        </w:tc>
      </w:tr>
      <w:tr>
        <w:trPr>
          <w:trHeight w:val="27"/>
        </w:trPr>
        <w:tc>
          <w:tcPr>
            <w:tcW w:w="594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0"/>
        </w:trPr>
        <w:tc>
          <w:tcPr>
            <w:tcW w:w="594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r>
        <w:trPr>
          <w:trHeight w:val="217"/>
        </w:trPr>
        <w:tc>
          <w:tcPr>
            <w:tcW w:w="59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Liabilities</w:t>
            </w:r>
          </w:p>
        </w:tc>
        <w:tc>
          <w:tcPr>
            <w:tcW w:w="120" w:type="dxa"/>
            <w:vAlign w:val="bottom"/>
            <w:tcBorders>
              <w:bottom w:val="single" w:sz="8" w:color="CCEEFF"/>
            </w:tcBorders>
            <w:shd w:val="clear" w:color="auto" w:fill="CCEEFF"/>
          </w:tcPr>
          <w:p>
            <w:pPr>
              <w:spacing w:after="0"/>
              <w:rPr>
                <w:sz w:val="18"/>
                <w:szCs w:val="18"/>
                <w:color w:val="auto"/>
              </w:rPr>
            </w:pPr>
          </w:p>
        </w:tc>
        <w:tc>
          <w:tcPr>
            <w:tcW w:w="15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14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380" w:type="dxa"/>
            <w:vAlign w:val="bottom"/>
            <w:tcBorders>
              <w:bottom w:val="single" w:sz="8" w:color="CCEEFF"/>
            </w:tcBorders>
            <w:shd w:val="clear" w:color="auto" w:fill="CCEEFF"/>
          </w:tcPr>
          <w:p>
            <w:pPr>
              <w:spacing w:after="0"/>
              <w:rPr>
                <w:sz w:val="18"/>
                <w:szCs w:val="18"/>
                <w:color w:val="auto"/>
              </w:rPr>
            </w:pPr>
          </w:p>
        </w:tc>
        <w:tc>
          <w:tcPr>
            <w:tcW w:w="1280" w:type="dxa"/>
            <w:vAlign w:val="bottom"/>
            <w:tcBorders>
              <w:bottom w:val="single" w:sz="8" w:color="CCEEFF"/>
            </w:tcBorders>
            <w:shd w:val="clear" w:color="auto" w:fill="CCEEFF"/>
          </w:tcPr>
          <w:p>
            <w:pPr>
              <w:spacing w:after="0"/>
              <w:rPr>
                <w:sz w:val="18"/>
                <w:szCs w:val="18"/>
                <w:color w:val="auto"/>
              </w:rPr>
            </w:pPr>
          </w:p>
        </w:tc>
      </w:tr>
      <w:tr>
        <w:trPr>
          <w:trHeight w:val="243"/>
        </w:trPr>
        <w:tc>
          <w:tcPr>
            <w:tcW w:w="5940" w:type="dxa"/>
            <w:vAlign w:val="bottom"/>
          </w:tcPr>
          <w:p>
            <w:pPr>
              <w:ind w:left="340"/>
              <w:spacing w:after="0"/>
              <w:rPr>
                <w:sz w:val="20"/>
                <w:szCs w:val="20"/>
                <w:color w:val="auto"/>
              </w:rPr>
            </w:pPr>
            <w:r>
              <w:rPr>
                <w:rFonts w:ascii="Arial" w:cs="Arial" w:eastAsia="Arial" w:hAnsi="Arial"/>
                <w:sz w:val="18"/>
                <w:szCs w:val="18"/>
                <w:color w:val="auto"/>
              </w:rPr>
              <w:t>Interest rate derivatives</w:t>
            </w: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6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80" w:type="dxa"/>
            <w:vAlign w:val="bottom"/>
          </w:tcPr>
          <w:p>
            <w:pPr>
              <w:jc w:val="right"/>
              <w:spacing w:after="0"/>
              <w:rPr>
                <w:sz w:val="20"/>
                <w:szCs w:val="20"/>
                <w:color w:val="auto"/>
              </w:rPr>
            </w:pPr>
            <w:r>
              <w:rPr>
                <w:rFonts w:ascii="Arial" w:cs="Arial" w:eastAsia="Arial" w:hAnsi="Arial"/>
                <w:sz w:val="18"/>
                <w:szCs w:val="18"/>
                <w:color w:val="auto"/>
              </w:rPr>
              <w:t>258,071</w:t>
            </w:r>
          </w:p>
        </w:tc>
        <w:tc>
          <w:tcPr>
            <w:tcW w:w="120" w:type="dxa"/>
            <w:vAlign w:val="bottom"/>
          </w:tcPr>
          <w:p>
            <w:pPr>
              <w:spacing w:after="0"/>
              <w:rPr>
                <w:sz w:val="21"/>
                <w:szCs w:val="21"/>
                <w:color w:val="auto"/>
              </w:rPr>
            </w:pPr>
          </w:p>
        </w:tc>
        <w:tc>
          <w:tcPr>
            <w:tcW w:w="380" w:type="dxa"/>
            <w:vAlign w:val="bottom"/>
          </w:tcPr>
          <w:p>
            <w:pPr>
              <w:jc w:val="right"/>
              <w:ind w:right="190"/>
              <w:spacing w:after="0"/>
              <w:rPr>
                <w:sz w:val="20"/>
                <w:szCs w:val="20"/>
                <w:color w:val="auto"/>
              </w:rPr>
            </w:pPr>
            <w:r>
              <w:rPr>
                <w:rFonts w:ascii="Arial" w:cs="Arial" w:eastAsia="Arial" w:hAnsi="Arial"/>
                <w:sz w:val="18"/>
                <w:szCs w:val="18"/>
                <w:color w:val="auto"/>
                <w:w w:val="7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258,071</w:t>
            </w:r>
          </w:p>
        </w:tc>
      </w:tr>
      <w:tr>
        <w:trPr>
          <w:trHeight w:val="27"/>
        </w:trPr>
        <w:tc>
          <w:tcPr>
            <w:tcW w:w="594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89"/>
        </w:trPr>
        <w:tc>
          <w:tcPr>
            <w:tcW w:w="59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Total liabilities measured at fair value</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6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258,071</w:t>
            </w:r>
          </w:p>
        </w:tc>
        <w:tc>
          <w:tcPr>
            <w:tcW w:w="120" w:type="dxa"/>
            <w:vAlign w:val="bottom"/>
            <w:tcBorders>
              <w:bottom w:val="single" w:sz="8" w:color="CCEEFF"/>
            </w:tcBorders>
            <w:shd w:val="clear" w:color="auto" w:fill="CCEEFF"/>
          </w:tcPr>
          <w:p>
            <w:pPr>
              <w:spacing w:after="0"/>
              <w:rPr>
                <w:sz w:val="24"/>
                <w:szCs w:val="24"/>
                <w:color w:val="auto"/>
              </w:rPr>
            </w:pPr>
          </w:p>
        </w:tc>
        <w:tc>
          <w:tcPr>
            <w:tcW w:w="38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258,071</w:t>
            </w:r>
          </w:p>
        </w:tc>
      </w:tr>
      <w:tr>
        <w:trPr>
          <w:trHeight w:val="20"/>
        </w:trPr>
        <w:tc>
          <w:tcPr>
            <w:tcW w:w="59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ind w:left="660" w:right="240" w:hanging="328"/>
        <w:spacing w:after="0" w:line="308" w:lineRule="auto"/>
        <w:tabs>
          <w:tab w:leader="none" w:pos="695" w:val="left"/>
        </w:tabs>
        <w:numPr>
          <w:ilvl w:val="0"/>
          <w:numId w:val="5"/>
        </w:numPr>
        <w:rPr>
          <w:rFonts w:ascii="Arial" w:cs="Arial" w:eastAsia="Arial" w:hAnsi="Arial"/>
          <w:sz w:val="17"/>
          <w:szCs w:val="17"/>
          <w:color w:val="auto"/>
        </w:rPr>
      </w:pPr>
      <w:r>
        <w:rPr>
          <w:rFonts w:ascii="Arial" w:cs="Arial" w:eastAsia="Arial" w:hAnsi="Arial"/>
          <w:sz w:val="17"/>
          <w:szCs w:val="17"/>
          <w:color w:val="auto"/>
        </w:rPr>
        <w:t xml:space="preserve">The Company has master netting arrangements by counterparty with respect to derivative contracts. See Note 10, </w:t>
      </w:r>
      <w:r>
        <w:rPr>
          <w:rFonts w:ascii="Arial" w:cs="Arial" w:eastAsia="Arial" w:hAnsi="Arial"/>
          <w:sz w:val="17"/>
          <w:szCs w:val="17"/>
          <w:i w:val="1"/>
          <w:iCs w:val="1"/>
          <w:color w:val="auto"/>
        </w:rPr>
        <w:t>Derivatives,</w:t>
      </w:r>
      <w:r>
        <w:rPr>
          <w:rFonts w:ascii="Arial" w:cs="Arial" w:eastAsia="Arial" w:hAnsi="Arial"/>
          <w:sz w:val="17"/>
          <w:szCs w:val="17"/>
          <w:color w:val="auto"/>
        </w:rPr>
        <w:t xml:space="preserve"> in these Notes to Condensed Consolidated Financial Statements for more information related to the Company's master netting arrangements.</w:t>
      </w:r>
    </w:p>
    <w:p>
      <w:pPr>
        <w:spacing w:after="0" w:line="200" w:lineRule="exact"/>
        <w:rPr>
          <w:sz w:val="20"/>
          <w:szCs w:val="20"/>
          <w:color w:val="auto"/>
        </w:rPr>
      </w:pPr>
    </w:p>
    <w:p>
      <w:pPr>
        <w:spacing w:after="0" w:line="2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5" w:name="page16"/>
    <w:bookmarkEnd w:id="15"/>
    <w:p>
      <w:pPr>
        <w:jc w:val="center"/>
        <w:ind w:right="-19"/>
        <w:spacing w:after="0"/>
        <w:rPr>
          <w:sz w:val="20"/>
          <w:szCs w:val="20"/>
          <w:color w:val="auto"/>
        </w:rPr>
      </w:pPr>
      <w:r>
        <w:rPr>
          <w:rFonts w:ascii="Arial" w:cs="Arial" w:eastAsia="Arial" w:hAnsi="Arial"/>
          <w:sz w:val="18"/>
          <w:szCs w:val="18"/>
          <w:b w:val="1"/>
          <w:bCs w:val="1"/>
          <w:color w:val="auto"/>
        </w:rPr>
        <w:t>ANALOG DEVICES,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200" w:lineRule="exact"/>
        <w:rPr>
          <w:sz w:val="20"/>
          <w:szCs w:val="20"/>
          <w:color w:val="auto"/>
        </w:rPr>
      </w:pPr>
    </w:p>
    <w:p>
      <w:pPr>
        <w:spacing w:after="0" w:line="29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7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6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660" w:type="dxa"/>
            <w:vAlign w:val="bottom"/>
            <w:tcBorders>
              <w:bottom w:val="single" w:sz="8" w:color="auto"/>
            </w:tcBorders>
            <w:gridSpan w:val="2"/>
          </w:tcPr>
          <w:p>
            <w:pPr>
              <w:jc w:val="center"/>
              <w:ind w:right="320"/>
              <w:spacing w:after="0"/>
              <w:rPr>
                <w:sz w:val="20"/>
                <w:szCs w:val="20"/>
                <w:color w:val="auto"/>
              </w:rPr>
            </w:pPr>
            <w:r>
              <w:rPr>
                <w:rFonts w:ascii="Arial" w:cs="Arial" w:eastAsia="Arial" w:hAnsi="Arial"/>
                <w:sz w:val="14"/>
                <w:szCs w:val="14"/>
                <w:b w:val="1"/>
                <w:bCs w:val="1"/>
                <w:color w:val="auto"/>
                <w:w w:val="92"/>
              </w:rPr>
              <w:t>November 2, 2019</w:t>
            </w:r>
          </w:p>
        </w:tc>
        <w:tc>
          <w:tcPr>
            <w:tcW w:w="42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66"/>
        </w:trPr>
        <w:tc>
          <w:tcPr>
            <w:tcW w:w="5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620" w:type="dxa"/>
            <w:vAlign w:val="bottom"/>
            <w:gridSpan w:val="5"/>
          </w:tcPr>
          <w:p>
            <w:pPr>
              <w:jc w:val="center"/>
              <w:ind w:right="240"/>
              <w:spacing w:after="0"/>
              <w:rPr>
                <w:sz w:val="20"/>
                <w:szCs w:val="20"/>
                <w:color w:val="auto"/>
              </w:rPr>
            </w:pPr>
            <w:r>
              <w:rPr>
                <w:rFonts w:ascii="Arial" w:cs="Arial" w:eastAsia="Arial" w:hAnsi="Arial"/>
                <w:sz w:val="14"/>
                <w:szCs w:val="14"/>
                <w:b w:val="1"/>
                <w:bCs w:val="1"/>
                <w:color w:val="auto"/>
                <w:w w:val="93"/>
              </w:rPr>
              <w:t>Fair Value measurement at</w:t>
            </w:r>
          </w:p>
        </w:tc>
        <w:tc>
          <w:tcPr>
            <w:tcW w:w="42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6"/>
        </w:trPr>
        <w:tc>
          <w:tcPr>
            <w:tcW w:w="57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620" w:type="dxa"/>
            <w:vAlign w:val="bottom"/>
            <w:gridSpan w:val="5"/>
          </w:tcPr>
          <w:p>
            <w:pPr>
              <w:jc w:val="center"/>
              <w:ind w:right="220"/>
              <w:spacing w:after="0"/>
              <w:rPr>
                <w:sz w:val="20"/>
                <w:szCs w:val="20"/>
                <w:color w:val="auto"/>
              </w:rPr>
            </w:pPr>
            <w:r>
              <w:rPr>
                <w:rFonts w:ascii="Arial" w:cs="Arial" w:eastAsia="Arial" w:hAnsi="Arial"/>
                <w:sz w:val="14"/>
                <w:szCs w:val="14"/>
                <w:b w:val="1"/>
                <w:bCs w:val="1"/>
                <w:color w:val="auto"/>
                <w:w w:val="92"/>
              </w:rPr>
              <w:t>Reporting Date using:</w:t>
            </w:r>
          </w:p>
        </w:tc>
        <w:tc>
          <w:tcPr>
            <w:tcW w:w="42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57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60"/>
        </w:trPr>
        <w:tc>
          <w:tcPr>
            <w:tcW w:w="57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740" w:type="dxa"/>
            <w:vAlign w:val="bottom"/>
            <w:gridSpan w:val="2"/>
          </w:tcPr>
          <w:p>
            <w:pPr>
              <w:jc w:val="center"/>
              <w:ind w:right="220"/>
              <w:spacing w:after="0" w:line="160" w:lineRule="exact"/>
              <w:rPr>
                <w:sz w:val="20"/>
                <w:szCs w:val="20"/>
                <w:color w:val="auto"/>
              </w:rPr>
            </w:pPr>
            <w:r>
              <w:rPr>
                <w:rFonts w:ascii="Arial" w:cs="Arial" w:eastAsia="Arial" w:hAnsi="Arial"/>
                <w:sz w:val="14"/>
                <w:szCs w:val="14"/>
                <w:b w:val="1"/>
                <w:bCs w:val="1"/>
                <w:color w:val="auto"/>
                <w:w w:val="91"/>
              </w:rPr>
              <w:t>Quoted Prices in Active</w:t>
            </w:r>
          </w:p>
        </w:tc>
        <w:tc>
          <w:tcPr>
            <w:tcW w:w="220" w:type="dxa"/>
            <w:vAlign w:val="bottom"/>
          </w:tcPr>
          <w:p>
            <w:pPr>
              <w:spacing w:after="0"/>
              <w:rPr>
                <w:sz w:val="13"/>
                <w:szCs w:val="13"/>
                <w:color w:val="auto"/>
              </w:rPr>
            </w:pPr>
          </w:p>
        </w:tc>
        <w:tc>
          <w:tcPr>
            <w:tcW w:w="15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5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7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6"/>
              </w:rPr>
              <w:t>Markets for Identical</w:t>
            </w:r>
          </w:p>
        </w:tc>
        <w:tc>
          <w:tcPr>
            <w:tcW w:w="220" w:type="dxa"/>
            <w:vAlign w:val="bottom"/>
          </w:tcPr>
          <w:p>
            <w:pPr>
              <w:spacing w:after="0"/>
              <w:rPr>
                <w:sz w:val="14"/>
                <w:szCs w:val="14"/>
                <w:color w:val="auto"/>
              </w:rPr>
            </w:pPr>
          </w:p>
        </w:tc>
        <w:tc>
          <w:tcPr>
            <w:tcW w:w="166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3"/>
              </w:rPr>
              <w:t>Significant Other</w:t>
            </w:r>
          </w:p>
        </w:tc>
        <w:tc>
          <w:tcPr>
            <w:tcW w:w="42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5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74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82"/>
              </w:rPr>
              <w:t>Assets</w:t>
            </w:r>
          </w:p>
        </w:tc>
        <w:tc>
          <w:tcPr>
            <w:tcW w:w="220" w:type="dxa"/>
            <w:vAlign w:val="bottom"/>
          </w:tcPr>
          <w:p>
            <w:pPr>
              <w:spacing w:after="0"/>
              <w:rPr>
                <w:sz w:val="12"/>
                <w:szCs w:val="12"/>
                <w:color w:val="auto"/>
              </w:rPr>
            </w:pPr>
          </w:p>
        </w:tc>
        <w:tc>
          <w:tcPr>
            <w:tcW w:w="166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3"/>
              </w:rPr>
              <w:t>Observable Inputs</w:t>
            </w:r>
          </w:p>
        </w:tc>
        <w:tc>
          <w:tcPr>
            <w:tcW w:w="420" w:type="dxa"/>
            <w:vAlign w:val="bottom"/>
          </w:tcPr>
          <w:p>
            <w:pPr>
              <w:spacing w:after="0"/>
              <w:rPr>
                <w:sz w:val="12"/>
                <w:szCs w:val="12"/>
                <w:color w:val="auto"/>
              </w:rPr>
            </w:pPr>
          </w:p>
        </w:tc>
        <w:tc>
          <w:tcPr>
            <w:tcW w:w="1360" w:type="dxa"/>
            <w:vAlign w:val="bottom"/>
            <w:vMerge w:val="restart"/>
          </w:tcPr>
          <w:p>
            <w:pPr>
              <w:jc w:val="right"/>
              <w:ind w:right="653"/>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57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7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4"/>
              </w:rPr>
              <w:t>(Level 1)</w:t>
            </w:r>
          </w:p>
        </w:tc>
        <w:tc>
          <w:tcPr>
            <w:tcW w:w="220" w:type="dxa"/>
            <w:vAlign w:val="bottom"/>
          </w:tcPr>
          <w:p>
            <w:pPr>
              <w:spacing w:after="0"/>
              <w:rPr>
                <w:sz w:val="16"/>
                <w:szCs w:val="16"/>
                <w:color w:val="auto"/>
              </w:rPr>
            </w:pPr>
          </w:p>
        </w:tc>
        <w:tc>
          <w:tcPr>
            <w:tcW w:w="166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4"/>
              </w:rPr>
              <w:t>(Level 2)</w:t>
            </w:r>
          </w:p>
        </w:tc>
        <w:tc>
          <w:tcPr>
            <w:tcW w:w="420" w:type="dxa"/>
            <w:vAlign w:val="bottom"/>
          </w:tcPr>
          <w:p>
            <w:pPr>
              <w:spacing w:after="0"/>
              <w:rPr>
                <w:sz w:val="16"/>
                <w:szCs w:val="16"/>
                <w:color w:val="auto"/>
              </w:rPr>
            </w:pPr>
          </w:p>
        </w:tc>
        <w:tc>
          <w:tcPr>
            <w:tcW w:w="13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6"/>
        </w:trPr>
        <w:tc>
          <w:tcPr>
            <w:tcW w:w="57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Assets</w:t>
            </w:r>
          </w:p>
        </w:tc>
        <w:tc>
          <w:tcPr>
            <w:tcW w:w="120" w:type="dxa"/>
            <w:vAlign w:val="bottom"/>
            <w:tcBorders>
              <w:top w:val="single" w:sz="8" w:color="auto"/>
              <w:bottom w:val="single" w:sz="8" w:color="CCEEFF"/>
            </w:tcBorders>
            <w:shd w:val="clear" w:color="auto" w:fill="CCEEFF"/>
          </w:tcPr>
          <w:p>
            <w:pPr>
              <w:spacing w:after="0"/>
              <w:rPr>
                <w:sz w:val="20"/>
                <w:szCs w:val="20"/>
                <w:color w:val="auto"/>
              </w:rPr>
            </w:pPr>
          </w:p>
        </w:tc>
        <w:tc>
          <w:tcPr>
            <w:tcW w:w="1640" w:type="dxa"/>
            <w:vAlign w:val="bottom"/>
            <w:tcBorders>
              <w:top w:val="single" w:sz="8" w:color="auto"/>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20" w:type="dxa"/>
            <w:vAlign w:val="bottom"/>
            <w:tcBorders>
              <w:top w:val="single" w:sz="8" w:color="auto"/>
              <w:bottom w:val="single" w:sz="8" w:color="CCEEFF"/>
            </w:tcBorders>
            <w:shd w:val="clear" w:color="auto" w:fill="CCEEFF"/>
          </w:tcPr>
          <w:p>
            <w:pPr>
              <w:spacing w:after="0"/>
              <w:rPr>
                <w:sz w:val="20"/>
                <w:szCs w:val="20"/>
                <w:color w:val="auto"/>
              </w:rPr>
            </w:pPr>
          </w:p>
        </w:tc>
        <w:tc>
          <w:tcPr>
            <w:tcW w:w="1560" w:type="dxa"/>
            <w:vAlign w:val="bottom"/>
            <w:tcBorders>
              <w:top w:val="single" w:sz="8" w:color="auto"/>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420" w:type="dxa"/>
            <w:vAlign w:val="bottom"/>
            <w:tcBorders>
              <w:top w:val="single" w:sz="8" w:color="auto"/>
              <w:bottom w:val="single" w:sz="8" w:color="CCEEFF"/>
            </w:tcBorders>
            <w:shd w:val="clear" w:color="auto" w:fill="CCEEFF"/>
          </w:tcPr>
          <w:p>
            <w:pPr>
              <w:spacing w:after="0"/>
              <w:rPr>
                <w:sz w:val="20"/>
                <w:szCs w:val="20"/>
                <w:color w:val="auto"/>
              </w:rPr>
            </w:pPr>
          </w:p>
        </w:tc>
        <w:tc>
          <w:tcPr>
            <w:tcW w:w="1360" w:type="dxa"/>
            <w:vAlign w:val="bottom"/>
            <w:tcBorders>
              <w:top w:val="single" w:sz="8" w:color="auto"/>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5700" w:type="dxa"/>
            <w:vAlign w:val="bottom"/>
          </w:tcPr>
          <w:p>
            <w:pPr>
              <w:ind w:left="20"/>
              <w:spacing w:after="0"/>
              <w:rPr>
                <w:sz w:val="20"/>
                <w:szCs w:val="20"/>
                <w:color w:val="auto"/>
              </w:rPr>
            </w:pPr>
            <w:r>
              <w:rPr>
                <w:rFonts w:ascii="Arial" w:cs="Arial" w:eastAsia="Arial" w:hAnsi="Arial"/>
                <w:sz w:val="18"/>
                <w:szCs w:val="18"/>
                <w:b w:val="1"/>
                <w:bCs w:val="1"/>
                <w:color w:val="auto"/>
              </w:rPr>
              <w:t>Cash equivalents:</w:t>
            </w:r>
          </w:p>
        </w:tc>
        <w:tc>
          <w:tcPr>
            <w:tcW w:w="120" w:type="dxa"/>
            <w:vAlign w:val="bottom"/>
          </w:tcPr>
          <w:p>
            <w:pPr>
              <w:spacing w:after="0"/>
              <w:rPr>
                <w:sz w:val="21"/>
                <w:szCs w:val="21"/>
                <w:color w:val="auto"/>
              </w:rPr>
            </w:pPr>
          </w:p>
        </w:tc>
        <w:tc>
          <w:tcPr>
            <w:tcW w:w="16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5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70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Available-for-sale:</w:t>
            </w:r>
          </w:p>
        </w:tc>
        <w:tc>
          <w:tcPr>
            <w:tcW w:w="12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700" w:type="dxa"/>
            <w:vAlign w:val="bottom"/>
          </w:tcPr>
          <w:p>
            <w:pPr>
              <w:ind w:left="660"/>
              <w:spacing w:after="0"/>
              <w:rPr>
                <w:sz w:val="20"/>
                <w:szCs w:val="20"/>
                <w:color w:val="auto"/>
              </w:rPr>
            </w:pPr>
            <w:r>
              <w:rPr>
                <w:rFonts w:ascii="Arial" w:cs="Arial" w:eastAsia="Arial" w:hAnsi="Arial"/>
                <w:sz w:val="18"/>
                <w:szCs w:val="18"/>
                <w:color w:val="auto"/>
              </w:rPr>
              <w:t>Government and institutional money market funds</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640" w:type="dxa"/>
            <w:vAlign w:val="bottom"/>
          </w:tcPr>
          <w:p>
            <w:pPr>
              <w:jc w:val="right"/>
              <w:spacing w:after="0"/>
              <w:rPr>
                <w:sz w:val="20"/>
                <w:szCs w:val="20"/>
                <w:color w:val="auto"/>
              </w:rPr>
            </w:pPr>
            <w:r>
              <w:rPr>
                <w:rFonts w:ascii="Arial" w:cs="Arial" w:eastAsia="Arial" w:hAnsi="Arial"/>
                <w:sz w:val="18"/>
                <w:szCs w:val="18"/>
                <w:color w:val="auto"/>
              </w:rPr>
              <w:t>416,890</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6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1360" w:type="dxa"/>
            <w:vAlign w:val="bottom"/>
          </w:tcPr>
          <w:p>
            <w:pPr>
              <w:jc w:val="right"/>
              <w:ind w:right="13"/>
              <w:spacing w:after="0"/>
              <w:rPr>
                <w:sz w:val="20"/>
                <w:szCs w:val="20"/>
                <w:color w:val="auto"/>
              </w:rPr>
            </w:pPr>
            <w:r>
              <w:rPr>
                <w:rFonts w:ascii="Arial" w:cs="Arial" w:eastAsia="Arial" w:hAnsi="Arial"/>
                <w:sz w:val="18"/>
                <w:szCs w:val="18"/>
                <w:color w:val="auto"/>
              </w:rPr>
              <w:t>416,890</w:t>
            </w:r>
          </w:p>
        </w:tc>
        <w:tc>
          <w:tcPr>
            <w:tcW w:w="0" w:type="dxa"/>
            <w:vAlign w:val="bottom"/>
          </w:tcPr>
          <w:p>
            <w:pPr>
              <w:spacing w:after="0"/>
              <w:rPr>
                <w:sz w:val="1"/>
                <w:szCs w:val="1"/>
                <w:color w:val="auto"/>
              </w:rPr>
            </w:pPr>
          </w:p>
        </w:tc>
      </w:tr>
      <w:tr>
        <w:trPr>
          <w:trHeight w:val="27"/>
        </w:trPr>
        <w:tc>
          <w:tcPr>
            <w:tcW w:w="5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Other assets:</w:t>
            </w:r>
          </w:p>
        </w:tc>
        <w:tc>
          <w:tcPr>
            <w:tcW w:w="12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700" w:type="dxa"/>
            <w:vAlign w:val="bottom"/>
          </w:tcPr>
          <w:p>
            <w:pPr>
              <w:ind w:left="340"/>
              <w:spacing w:after="0"/>
              <w:rPr>
                <w:sz w:val="20"/>
                <w:szCs w:val="20"/>
                <w:color w:val="auto"/>
              </w:rPr>
            </w:pPr>
            <w:r>
              <w:rPr>
                <w:rFonts w:ascii="Arial" w:cs="Arial" w:eastAsia="Arial" w:hAnsi="Arial"/>
                <w:sz w:val="18"/>
                <w:szCs w:val="18"/>
                <w:color w:val="auto"/>
              </w:rPr>
              <w:t>Deferred compensation investments</w:t>
            </w:r>
          </w:p>
        </w:tc>
        <w:tc>
          <w:tcPr>
            <w:tcW w:w="120" w:type="dxa"/>
            <w:vAlign w:val="bottom"/>
          </w:tcPr>
          <w:p>
            <w:pPr>
              <w:spacing w:after="0"/>
              <w:rPr>
                <w:sz w:val="21"/>
                <w:szCs w:val="21"/>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48,302</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6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21"/>
                <w:szCs w:val="21"/>
                <w:color w:val="auto"/>
              </w:rPr>
            </w:pPr>
          </w:p>
        </w:tc>
        <w:tc>
          <w:tcPr>
            <w:tcW w:w="1360" w:type="dxa"/>
            <w:vAlign w:val="bottom"/>
          </w:tcPr>
          <w:p>
            <w:pPr>
              <w:jc w:val="right"/>
              <w:ind w:right="13"/>
              <w:spacing w:after="0"/>
              <w:rPr>
                <w:sz w:val="20"/>
                <w:szCs w:val="20"/>
                <w:color w:val="auto"/>
              </w:rPr>
            </w:pPr>
            <w:r>
              <w:rPr>
                <w:rFonts w:ascii="Arial" w:cs="Arial" w:eastAsia="Arial" w:hAnsi="Arial"/>
                <w:sz w:val="18"/>
                <w:szCs w:val="18"/>
                <w:color w:val="auto"/>
              </w:rPr>
              <w:t>48,302</w:t>
            </w:r>
          </w:p>
        </w:tc>
        <w:tc>
          <w:tcPr>
            <w:tcW w:w="0" w:type="dxa"/>
            <w:vAlign w:val="bottom"/>
          </w:tcPr>
          <w:p>
            <w:pPr>
              <w:spacing w:after="0"/>
              <w:rPr>
                <w:sz w:val="1"/>
                <w:szCs w:val="1"/>
                <w:color w:val="auto"/>
              </w:rPr>
            </w:pPr>
          </w:p>
        </w:tc>
      </w:tr>
      <w:tr>
        <w:trPr>
          <w:trHeight w:val="27"/>
        </w:trPr>
        <w:tc>
          <w:tcPr>
            <w:tcW w:w="57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8"/>
        </w:trPr>
        <w:tc>
          <w:tcPr>
            <w:tcW w:w="5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Total assets measured at fair value</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465,192</w:t>
            </w:r>
          </w:p>
        </w:tc>
        <w:tc>
          <w:tcPr>
            <w:tcW w:w="10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66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465,192</w:t>
            </w:r>
          </w:p>
        </w:tc>
        <w:tc>
          <w:tcPr>
            <w:tcW w:w="0" w:type="dxa"/>
            <w:vAlign w:val="bottom"/>
          </w:tcPr>
          <w:p>
            <w:pPr>
              <w:spacing w:after="0"/>
              <w:rPr>
                <w:sz w:val="1"/>
                <w:szCs w:val="1"/>
                <w:color w:val="auto"/>
              </w:rPr>
            </w:pPr>
          </w:p>
        </w:tc>
      </w:tr>
      <w:tr>
        <w:trPr>
          <w:trHeight w:val="20"/>
        </w:trPr>
        <w:tc>
          <w:tcPr>
            <w:tcW w:w="570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b w:val="1"/>
                <w:bCs w:val="1"/>
                <w:color w:val="auto"/>
              </w:rPr>
              <w:t>Liabilities</w:t>
            </w:r>
          </w:p>
        </w:tc>
        <w:tc>
          <w:tcPr>
            <w:tcW w:w="120" w:type="dxa"/>
            <w:vAlign w:val="bottom"/>
            <w:tcBorders>
              <w:top w:val="single" w:sz="8" w:color="auto"/>
              <w:bottom w:val="single" w:sz="8" w:color="auto"/>
            </w:tcBorders>
          </w:tcPr>
          <w:p>
            <w:pPr>
              <w:spacing w:after="0" w:line="20" w:lineRule="exact"/>
              <w:rPr>
                <w:sz w:val="1"/>
                <w:szCs w:val="1"/>
                <w:color w:val="auto"/>
              </w:rPr>
            </w:pPr>
          </w:p>
        </w:tc>
        <w:tc>
          <w:tcPr>
            <w:tcW w:w="1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570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7"/>
        </w:trPr>
        <w:tc>
          <w:tcPr>
            <w:tcW w:w="5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70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Interest rate derivatives</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74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138,798</w:t>
            </w:r>
          </w:p>
        </w:tc>
        <w:tc>
          <w:tcPr>
            <w:tcW w:w="10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138,798</w:t>
            </w:r>
          </w:p>
        </w:tc>
        <w:tc>
          <w:tcPr>
            <w:tcW w:w="0" w:type="dxa"/>
            <w:vAlign w:val="bottom"/>
          </w:tcPr>
          <w:p>
            <w:pPr>
              <w:spacing w:after="0"/>
              <w:rPr>
                <w:sz w:val="1"/>
                <w:szCs w:val="1"/>
                <w:color w:val="auto"/>
              </w:rPr>
            </w:pPr>
          </w:p>
        </w:tc>
      </w:tr>
      <w:tr>
        <w:trPr>
          <w:trHeight w:val="237"/>
        </w:trPr>
        <w:tc>
          <w:tcPr>
            <w:tcW w:w="5700" w:type="dxa"/>
            <w:vAlign w:val="bottom"/>
          </w:tcPr>
          <w:p>
            <w:pPr>
              <w:ind w:left="20"/>
              <w:spacing w:after="0"/>
              <w:rPr>
                <w:sz w:val="20"/>
                <w:szCs w:val="20"/>
                <w:color w:val="auto"/>
              </w:rPr>
            </w:pPr>
            <w:r>
              <w:rPr>
                <w:rFonts w:ascii="Arial" w:cs="Arial" w:eastAsia="Arial" w:hAnsi="Arial"/>
                <w:sz w:val="18"/>
                <w:szCs w:val="18"/>
                <w:b w:val="1"/>
                <w:bCs w:val="1"/>
                <w:color w:val="auto"/>
              </w:rPr>
              <w:t>Total liabilities measured at fair value</w:t>
            </w: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138,798</w:t>
            </w:r>
          </w:p>
        </w:tc>
        <w:tc>
          <w:tcPr>
            <w:tcW w:w="100" w:type="dxa"/>
            <w:vAlign w:val="bottom"/>
          </w:tcPr>
          <w:p>
            <w:pPr>
              <w:spacing w:after="0"/>
              <w:rPr>
                <w:sz w:val="20"/>
                <w:szCs w:val="20"/>
                <w:color w:val="auto"/>
              </w:rPr>
            </w:pPr>
          </w:p>
        </w:tc>
        <w:tc>
          <w:tcPr>
            <w:tcW w:w="420" w:type="dxa"/>
            <w:vAlign w:val="bottom"/>
            <w:tcBorders>
              <w:top w:val="single" w:sz="8" w:color="auto"/>
            </w:tcBorders>
          </w:tcPr>
          <w:p>
            <w:pPr>
              <w:jc w:val="right"/>
              <w:ind w:right="210"/>
              <w:spacing w:after="0"/>
              <w:rPr>
                <w:sz w:val="20"/>
                <w:szCs w:val="20"/>
                <w:color w:val="auto"/>
              </w:rPr>
            </w:pPr>
            <w:r>
              <w:rPr>
                <w:rFonts w:ascii="Arial" w:cs="Arial" w:eastAsia="Arial" w:hAnsi="Arial"/>
                <w:sz w:val="18"/>
                <w:szCs w:val="18"/>
                <w:color w:val="auto"/>
                <w:w w:val="99"/>
              </w:rPr>
              <w:t>$</w:t>
            </w:r>
          </w:p>
        </w:tc>
        <w:tc>
          <w:tcPr>
            <w:tcW w:w="136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138,798</w:t>
            </w:r>
          </w:p>
        </w:tc>
        <w:tc>
          <w:tcPr>
            <w:tcW w:w="0" w:type="dxa"/>
            <w:vAlign w:val="bottom"/>
          </w:tcPr>
          <w:p>
            <w:pPr>
              <w:spacing w:after="0"/>
              <w:rPr>
                <w:sz w:val="1"/>
                <w:szCs w:val="1"/>
                <w:color w:val="auto"/>
              </w:rPr>
            </w:pPr>
          </w:p>
        </w:tc>
      </w:tr>
      <w:tr>
        <w:trPr>
          <w:trHeight w:val="27"/>
        </w:trPr>
        <w:tc>
          <w:tcPr>
            <w:tcW w:w="57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
        </w:trPr>
        <w:tc>
          <w:tcPr>
            <w:tcW w:w="57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10"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following methods and assumptions were used by the Company in estimating its fair value disclosures for financial instruments:</w:t>
      </w:r>
    </w:p>
    <w:p>
      <w:pPr>
        <w:spacing w:after="0" w:line="171" w:lineRule="exact"/>
        <w:rPr>
          <w:sz w:val="20"/>
          <w:szCs w:val="20"/>
          <w:color w:val="auto"/>
        </w:rPr>
      </w:pPr>
    </w:p>
    <w:p>
      <w:pPr>
        <w:ind w:right="180" w:firstLine="445"/>
        <w:spacing w:after="0" w:line="277" w:lineRule="auto"/>
        <w:rPr>
          <w:sz w:val="20"/>
          <w:szCs w:val="20"/>
          <w:color w:val="auto"/>
        </w:rPr>
      </w:pPr>
      <w:r>
        <w:rPr>
          <w:rFonts w:ascii="Arial" w:cs="Arial" w:eastAsia="Arial" w:hAnsi="Arial"/>
          <w:sz w:val="18"/>
          <w:szCs w:val="18"/>
          <w:b w:val="1"/>
          <w:bCs w:val="1"/>
          <w:i w:val="1"/>
          <w:iCs w:val="1"/>
          <w:color w:val="auto"/>
        </w:rPr>
        <w:t xml:space="preserve">Cash equivalents </w:t>
      </w:r>
      <w:r>
        <w:rPr>
          <w:rFonts w:ascii="Arial" w:cs="Arial" w:eastAsia="Arial" w:hAnsi="Arial"/>
          <w:sz w:val="18"/>
          <w:szCs w:val="18"/>
          <w:color w:val="auto"/>
        </w:rPr>
        <w:t>— These investments are adjusted to fair value based on quoted market prices or are determined using a yield curve model based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on current market rates.</w:t>
      </w:r>
    </w:p>
    <w:p>
      <w:pPr>
        <w:spacing w:after="0" w:line="116" w:lineRule="exact"/>
        <w:rPr>
          <w:sz w:val="20"/>
          <w:szCs w:val="20"/>
          <w:color w:val="auto"/>
        </w:rPr>
      </w:pPr>
    </w:p>
    <w:p>
      <w:pPr>
        <w:ind w:right="280" w:firstLine="445"/>
        <w:spacing w:after="0" w:line="277" w:lineRule="auto"/>
        <w:rPr>
          <w:sz w:val="20"/>
          <w:szCs w:val="20"/>
          <w:color w:val="auto"/>
        </w:rPr>
      </w:pPr>
      <w:r>
        <w:rPr>
          <w:rFonts w:ascii="Arial" w:cs="Arial" w:eastAsia="Arial" w:hAnsi="Arial"/>
          <w:sz w:val="18"/>
          <w:szCs w:val="18"/>
          <w:b w:val="1"/>
          <w:bCs w:val="1"/>
          <w:i w:val="1"/>
          <w:iCs w:val="1"/>
          <w:color w:val="auto"/>
        </w:rPr>
        <w:t xml:space="preserve">Deferred compensation plan investments </w:t>
      </w:r>
      <w:r>
        <w:rPr>
          <w:rFonts w:ascii="Arial" w:cs="Arial" w:eastAsia="Arial" w:hAnsi="Arial"/>
          <w:sz w:val="18"/>
          <w:szCs w:val="18"/>
          <w:color w:val="auto"/>
        </w:rPr>
        <w:t>— The fair value of these mutual fund, money market fund and equity investments are based on quoted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market prices.</w:t>
      </w:r>
    </w:p>
    <w:p>
      <w:pPr>
        <w:spacing w:after="0" w:line="116" w:lineRule="exact"/>
        <w:rPr>
          <w:sz w:val="20"/>
          <w:szCs w:val="20"/>
          <w:color w:val="auto"/>
        </w:rPr>
      </w:pPr>
    </w:p>
    <w:p>
      <w:pPr>
        <w:ind w:right="140" w:firstLine="445"/>
        <w:spacing w:after="0" w:line="277" w:lineRule="auto"/>
        <w:rPr>
          <w:sz w:val="20"/>
          <w:szCs w:val="20"/>
          <w:color w:val="auto"/>
        </w:rPr>
      </w:pPr>
      <w:r>
        <w:rPr>
          <w:rFonts w:ascii="Arial" w:cs="Arial" w:eastAsia="Arial" w:hAnsi="Arial"/>
          <w:sz w:val="18"/>
          <w:szCs w:val="18"/>
          <w:b w:val="1"/>
          <w:bCs w:val="1"/>
          <w:i w:val="1"/>
          <w:iCs w:val="1"/>
          <w:color w:val="auto"/>
        </w:rPr>
        <w:t xml:space="preserve">Interest rate derivatives </w:t>
      </w:r>
      <w:r>
        <w:rPr>
          <w:rFonts w:ascii="Arial" w:cs="Arial" w:eastAsia="Arial" w:hAnsi="Arial"/>
          <w:sz w:val="18"/>
          <w:szCs w:val="18"/>
          <w:color w:val="auto"/>
        </w:rPr>
        <w:t>— The fair value of the interest rate derivatives is estimated using a discounted cash flow analysis based on the contractual</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terms of the derivative.</w:t>
      </w:r>
    </w:p>
    <w:p>
      <w:pPr>
        <w:spacing w:after="0" w:line="116" w:lineRule="exact"/>
        <w:rPr>
          <w:sz w:val="20"/>
          <w:szCs w:val="20"/>
          <w:color w:val="auto"/>
        </w:rPr>
      </w:pPr>
    </w:p>
    <w:p>
      <w:pPr>
        <w:ind w:firstLine="445"/>
        <w:spacing w:after="0" w:line="257" w:lineRule="auto"/>
        <w:rPr>
          <w:sz w:val="20"/>
          <w:szCs w:val="20"/>
          <w:color w:val="auto"/>
        </w:rPr>
      </w:pPr>
      <w:r>
        <w:rPr>
          <w:rFonts w:ascii="Arial" w:cs="Arial" w:eastAsia="Arial" w:hAnsi="Arial"/>
          <w:sz w:val="18"/>
          <w:szCs w:val="18"/>
          <w:b w:val="1"/>
          <w:bCs w:val="1"/>
          <w:i w:val="1"/>
          <w:iCs w:val="1"/>
          <w:color w:val="auto"/>
        </w:rPr>
        <w:t xml:space="preserve">Forward foreign currency exchange contracts </w:t>
      </w:r>
      <w:r>
        <w:rPr>
          <w:rFonts w:ascii="Arial" w:cs="Arial" w:eastAsia="Arial" w:hAnsi="Arial"/>
          <w:sz w:val="18"/>
          <w:szCs w:val="18"/>
          <w:color w:val="auto"/>
        </w:rPr>
        <w:t>— The estimated fair value of forward foreign currency exchange contracts, which includes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derivatives that are accounted for as cash flow hedges and those that are not designated as cash flow hedges, is based on the estimated amount the Company would receive if it sold these agreements at the reporting date taking into consideration current interest rates as well as the creditworthiness of the counterparty for assets and the Company’s creditworthiness for liabilities. The fair value of these instruments is based upon valuation models using current market information such as strike price, spot rate, maturity date and volatility.</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Financial Instruments Not Recorded at Fair Value on a Recurring Basis</w:t>
      </w:r>
    </w:p>
    <w:p>
      <w:pPr>
        <w:spacing w:after="0" w:line="171" w:lineRule="exact"/>
        <w:rPr>
          <w:sz w:val="20"/>
          <w:szCs w:val="20"/>
          <w:color w:val="auto"/>
        </w:rPr>
      </w:pPr>
    </w:p>
    <w:p>
      <w:pPr>
        <w:ind w:right="80" w:firstLine="405"/>
        <w:spacing w:after="0" w:line="277" w:lineRule="auto"/>
        <w:rPr>
          <w:sz w:val="20"/>
          <w:szCs w:val="20"/>
          <w:color w:val="auto"/>
        </w:rPr>
      </w:pPr>
      <w:r>
        <w:rPr>
          <w:rFonts w:ascii="Arial" w:cs="Arial" w:eastAsia="Arial" w:hAnsi="Arial"/>
          <w:sz w:val="18"/>
          <w:szCs w:val="18"/>
          <w:b w:val="1"/>
          <w:bCs w:val="1"/>
          <w:i w:val="1"/>
          <w:iCs w:val="1"/>
          <w:color w:val="auto"/>
        </w:rPr>
        <w:t xml:space="preserve">Held for sale assets — </w:t>
      </w:r>
      <w:r>
        <w:rPr>
          <w:rFonts w:ascii="Arial" w:cs="Arial" w:eastAsia="Arial" w:hAnsi="Arial"/>
          <w:sz w:val="18"/>
          <w:szCs w:val="18"/>
          <w:color w:val="auto"/>
        </w:rPr>
        <w:t>The fair value of assets held for sale is considered to be a Level 3 fair value measurement, and is determined based on the use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of appraisals and input from market participants.</w:t>
      </w:r>
    </w:p>
    <w:p>
      <w:pPr>
        <w:spacing w:after="0" w:line="76" w:lineRule="exact"/>
        <w:rPr>
          <w:sz w:val="20"/>
          <w:szCs w:val="20"/>
          <w:color w:val="auto"/>
        </w:rPr>
      </w:pPr>
    </w:p>
    <w:p>
      <w:pPr>
        <w:ind w:right="80" w:firstLine="405"/>
        <w:spacing w:after="0" w:line="311" w:lineRule="auto"/>
        <w:rPr>
          <w:sz w:val="20"/>
          <w:szCs w:val="20"/>
          <w:color w:val="auto"/>
        </w:rPr>
      </w:pPr>
      <w:r>
        <w:rPr>
          <w:rFonts w:ascii="Arial" w:cs="Arial" w:eastAsia="Arial" w:hAnsi="Arial"/>
          <w:sz w:val="16"/>
          <w:szCs w:val="16"/>
          <w:b w:val="1"/>
          <w:bCs w:val="1"/>
          <w:i w:val="1"/>
          <w:iCs w:val="1"/>
          <w:color w:val="auto"/>
        </w:rPr>
        <w:t xml:space="preserve">Debt — </w:t>
      </w:r>
      <w:r>
        <w:rPr>
          <w:rFonts w:ascii="Arial" w:cs="Arial" w:eastAsia="Arial" w:hAnsi="Arial"/>
          <w:sz w:val="16"/>
          <w:szCs w:val="16"/>
          <w:color w:val="auto"/>
        </w:rPr>
        <w:t>The table below presents the estimated fair value of certain financial instruments not recorded at fair value on a recurring basis. The carrying</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amounts of the term loan approximates fair value. The term loan is classified as a Level 2 measurement according to the fair value hierarchy. The fair values of the senior unsecured notes are obtained from broker prices and are classified as Level 1 measurements according to the fair value hierarchy.</w:t>
      </w:r>
    </w:p>
    <w:p>
      <w:pPr>
        <w:spacing w:after="0" w:line="200" w:lineRule="exact"/>
        <w:rPr>
          <w:sz w:val="20"/>
          <w:szCs w:val="20"/>
          <w:color w:val="auto"/>
        </w:rPr>
      </w:pPr>
    </w:p>
    <w:p>
      <w:pPr>
        <w:spacing w:after="0" w:line="2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6" w:name="page17"/>
    <w:bookmarkEnd w:id="16"/>
    <w:p>
      <w:pPr>
        <w:jc w:val="center"/>
        <w:ind w:right="-19"/>
        <w:spacing w:after="0"/>
        <w:rPr>
          <w:sz w:val="20"/>
          <w:szCs w:val="20"/>
          <w:color w:val="auto"/>
        </w:rPr>
      </w:pPr>
      <w:r>
        <w:rPr>
          <w:rFonts w:ascii="Arial" w:cs="Arial" w:eastAsia="Arial" w:hAnsi="Arial"/>
          <w:sz w:val="18"/>
          <w:szCs w:val="18"/>
          <w:b w:val="1"/>
          <w:bCs w:val="1"/>
          <w:color w:val="auto"/>
        </w:rPr>
        <w:t>ANALOG DEVICES,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tbl>
      <w:tblPr>
        <w:tblLayout w:type="fixed"/>
        <w:tblInd w:w="40" w:type="dxa"/>
        <w:tblCellMar>
          <w:top w:w="0" w:type="dxa"/>
          <w:left w:w="0" w:type="dxa"/>
          <w:bottom w:w="0" w:type="dxa"/>
          <w:right w:w="0" w:type="dxa"/>
        </w:tblCellMar>
      </w:tblPr>
      <w:tr>
        <w:trPr>
          <w:trHeight w:val="192"/>
        </w:trPr>
        <w:tc>
          <w:tcPr>
            <w:tcW w:w="500" w:type="dxa"/>
            <w:vAlign w:val="bottom"/>
          </w:tcPr>
          <w:p>
            <w:pPr>
              <w:spacing w:after="0"/>
              <w:rPr>
                <w:sz w:val="16"/>
                <w:szCs w:val="16"/>
                <w:color w:val="auto"/>
              </w:rPr>
            </w:pPr>
          </w:p>
        </w:tc>
        <w:tc>
          <w:tcPr>
            <w:tcW w:w="416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9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August 1, 2020</w:t>
            </w:r>
          </w:p>
        </w:tc>
        <w:tc>
          <w:tcPr>
            <w:tcW w:w="11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3060" w:type="dxa"/>
            <w:vAlign w:val="bottom"/>
            <w:tcBorders>
              <w:bottom w:val="single" w:sz="8" w:color="auto"/>
            </w:tcBorders>
            <w:gridSpan w:val="4"/>
          </w:tcPr>
          <w:p>
            <w:pPr>
              <w:jc w:val="right"/>
              <w:ind w:right="971"/>
              <w:spacing w:after="0"/>
              <w:rPr>
                <w:sz w:val="20"/>
                <w:szCs w:val="20"/>
                <w:color w:val="auto"/>
              </w:rPr>
            </w:pPr>
            <w:r>
              <w:rPr>
                <w:rFonts w:ascii="Arial" w:cs="Arial" w:eastAsia="Arial" w:hAnsi="Arial"/>
                <w:sz w:val="14"/>
                <w:szCs w:val="14"/>
                <w:b w:val="1"/>
                <w:bCs w:val="1"/>
                <w:color w:val="auto"/>
              </w:rPr>
              <w:t>November 2, 2019</w:t>
            </w:r>
          </w:p>
        </w:tc>
        <w:tc>
          <w:tcPr>
            <w:tcW w:w="0" w:type="dxa"/>
            <w:vAlign w:val="bottom"/>
          </w:tcPr>
          <w:p>
            <w:pPr>
              <w:spacing w:after="0"/>
              <w:rPr>
                <w:sz w:val="1"/>
                <w:szCs w:val="1"/>
                <w:color w:val="auto"/>
              </w:rPr>
            </w:pPr>
          </w:p>
        </w:tc>
      </w:tr>
      <w:tr>
        <w:trPr>
          <w:trHeight w:val="152"/>
        </w:trPr>
        <w:tc>
          <w:tcPr>
            <w:tcW w:w="500" w:type="dxa"/>
            <w:vAlign w:val="bottom"/>
          </w:tcPr>
          <w:p>
            <w:pPr>
              <w:spacing w:after="0"/>
              <w:rPr>
                <w:sz w:val="13"/>
                <w:szCs w:val="13"/>
                <w:color w:val="auto"/>
              </w:rPr>
            </w:pPr>
          </w:p>
        </w:tc>
        <w:tc>
          <w:tcPr>
            <w:tcW w:w="4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500" w:type="dxa"/>
            <w:vAlign w:val="bottom"/>
            <w:gridSpan w:val="2"/>
          </w:tcPr>
          <w:p>
            <w:pPr>
              <w:jc w:val="center"/>
              <w:ind w:right="280"/>
              <w:spacing w:after="0" w:line="153" w:lineRule="exact"/>
              <w:rPr>
                <w:sz w:val="20"/>
                <w:szCs w:val="20"/>
                <w:color w:val="auto"/>
              </w:rPr>
            </w:pPr>
            <w:r>
              <w:rPr>
                <w:rFonts w:ascii="Arial" w:cs="Arial" w:eastAsia="Arial" w:hAnsi="Arial"/>
                <w:sz w:val="14"/>
                <w:szCs w:val="14"/>
                <w:b w:val="1"/>
                <w:bCs w:val="1"/>
                <w:color w:val="auto"/>
                <w:w w:val="94"/>
              </w:rPr>
              <w:t>Principal Amount</w:t>
            </w:r>
          </w:p>
        </w:tc>
        <w:tc>
          <w:tcPr>
            <w:tcW w:w="420" w:type="dxa"/>
            <w:vAlign w:val="bottom"/>
          </w:tcPr>
          <w:p>
            <w:pPr>
              <w:spacing w:after="0"/>
              <w:rPr>
                <w:sz w:val="13"/>
                <w:szCs w:val="13"/>
                <w:color w:val="auto"/>
              </w:rPr>
            </w:pPr>
          </w:p>
        </w:tc>
        <w:tc>
          <w:tcPr>
            <w:tcW w:w="124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Fair Value</w:t>
            </w:r>
          </w:p>
        </w:tc>
        <w:tc>
          <w:tcPr>
            <w:tcW w:w="160" w:type="dxa"/>
            <w:vAlign w:val="bottom"/>
          </w:tcPr>
          <w:p>
            <w:pPr>
              <w:spacing w:after="0"/>
              <w:rPr>
                <w:sz w:val="13"/>
                <w:szCs w:val="13"/>
                <w:color w:val="auto"/>
              </w:rPr>
            </w:pPr>
          </w:p>
        </w:tc>
        <w:tc>
          <w:tcPr>
            <w:tcW w:w="1500" w:type="dxa"/>
            <w:vAlign w:val="bottom"/>
            <w:gridSpan w:val="2"/>
          </w:tcPr>
          <w:p>
            <w:pPr>
              <w:jc w:val="center"/>
              <w:ind w:right="280"/>
              <w:spacing w:after="0" w:line="153" w:lineRule="exact"/>
              <w:rPr>
                <w:sz w:val="20"/>
                <w:szCs w:val="20"/>
                <w:color w:val="auto"/>
              </w:rPr>
            </w:pPr>
            <w:r>
              <w:rPr>
                <w:rFonts w:ascii="Arial" w:cs="Arial" w:eastAsia="Arial" w:hAnsi="Arial"/>
                <w:sz w:val="14"/>
                <w:szCs w:val="14"/>
                <w:b w:val="1"/>
                <w:bCs w:val="1"/>
                <w:color w:val="auto"/>
                <w:w w:val="94"/>
              </w:rPr>
              <w:t>Principal Amount</w:t>
            </w:r>
          </w:p>
        </w:tc>
        <w:tc>
          <w:tcPr>
            <w:tcW w:w="280" w:type="dxa"/>
            <w:vAlign w:val="bottom"/>
          </w:tcPr>
          <w:p>
            <w:pPr>
              <w:spacing w:after="0"/>
              <w:rPr>
                <w:sz w:val="13"/>
                <w:szCs w:val="13"/>
                <w:color w:val="auto"/>
              </w:rPr>
            </w:pPr>
          </w:p>
        </w:tc>
        <w:tc>
          <w:tcPr>
            <w:tcW w:w="1280" w:type="dxa"/>
            <w:vAlign w:val="bottom"/>
            <w:vMerge w:val="restart"/>
          </w:tcPr>
          <w:p>
            <w:pPr>
              <w:jc w:val="right"/>
              <w:ind w:right="371"/>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192"/>
        </w:trPr>
        <w:tc>
          <w:tcPr>
            <w:tcW w:w="500" w:type="dxa"/>
            <w:vAlign w:val="bottom"/>
          </w:tcPr>
          <w:p>
            <w:pPr>
              <w:spacing w:after="0"/>
              <w:rPr>
                <w:sz w:val="16"/>
                <w:szCs w:val="16"/>
                <w:color w:val="auto"/>
              </w:rPr>
            </w:pPr>
          </w:p>
        </w:tc>
        <w:tc>
          <w:tcPr>
            <w:tcW w:w="4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5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2"/>
              </w:rPr>
              <w:t>Outstanding</w:t>
            </w:r>
          </w:p>
        </w:tc>
        <w:tc>
          <w:tcPr>
            <w:tcW w:w="420" w:type="dxa"/>
            <w:vAlign w:val="bottom"/>
          </w:tcPr>
          <w:p>
            <w:pPr>
              <w:spacing w:after="0"/>
              <w:rPr>
                <w:sz w:val="16"/>
                <w:szCs w:val="16"/>
                <w:color w:val="auto"/>
              </w:rPr>
            </w:pPr>
          </w:p>
        </w:tc>
        <w:tc>
          <w:tcPr>
            <w:tcW w:w="124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15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4"/>
              </w:rPr>
              <w:t>Outstanding</w:t>
            </w:r>
          </w:p>
        </w:tc>
        <w:tc>
          <w:tcPr>
            <w:tcW w:w="280" w:type="dxa"/>
            <w:vAlign w:val="bottom"/>
          </w:tcPr>
          <w:p>
            <w:pPr>
              <w:spacing w:after="0"/>
              <w:rPr>
                <w:sz w:val="16"/>
                <w:szCs w:val="16"/>
                <w:color w:val="auto"/>
              </w:rPr>
            </w:pPr>
          </w:p>
        </w:tc>
        <w:tc>
          <w:tcPr>
            <w:tcW w:w="12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69"/>
        </w:trPr>
        <w:tc>
          <w:tcPr>
            <w:tcW w:w="4660" w:type="dxa"/>
            <w:vAlign w:val="bottom"/>
            <w:tcBorders>
              <w:top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3-Year term loan, due March 2022</w:t>
            </w: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tcBorders>
              <w:top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925,000</w:t>
            </w:r>
          </w:p>
        </w:tc>
        <w:tc>
          <w:tcPr>
            <w:tcW w:w="100" w:type="dxa"/>
            <w:vAlign w:val="bottom"/>
            <w:tcBorders>
              <w:top w:val="single" w:sz="8" w:color="CCEEFF"/>
            </w:tcBorders>
            <w:shd w:val="clear" w:color="auto" w:fill="CCEEFF"/>
          </w:tcPr>
          <w:p>
            <w:pPr>
              <w:spacing w:after="0"/>
              <w:rPr>
                <w:sz w:val="23"/>
                <w:szCs w:val="23"/>
                <w:color w:val="auto"/>
              </w:rPr>
            </w:pPr>
          </w:p>
        </w:tc>
        <w:tc>
          <w:tcPr>
            <w:tcW w:w="420" w:type="dxa"/>
            <w:vAlign w:val="bottom"/>
            <w:tcBorders>
              <w:top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925,000</w:t>
            </w:r>
          </w:p>
        </w:tc>
        <w:tc>
          <w:tcPr>
            <w:tcW w:w="100" w:type="dxa"/>
            <w:vAlign w:val="bottom"/>
            <w:tcBorders>
              <w:top w:val="single" w:sz="8" w:color="CCEEFF"/>
            </w:tcBorders>
            <w:shd w:val="clear" w:color="auto" w:fill="CCEEFF"/>
          </w:tcPr>
          <w:p>
            <w:pPr>
              <w:spacing w:after="0"/>
              <w:rPr>
                <w:sz w:val="23"/>
                <w:szCs w:val="23"/>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tcBorders>
              <w:top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925,000</w:t>
            </w:r>
          </w:p>
        </w:tc>
        <w:tc>
          <w:tcPr>
            <w:tcW w:w="100" w:type="dxa"/>
            <w:vAlign w:val="bottom"/>
            <w:tcBorders>
              <w:top w:val="single" w:sz="8" w:color="CCEEFF"/>
            </w:tcBorders>
            <w:shd w:val="clear" w:color="auto" w:fill="CCEEFF"/>
          </w:tcPr>
          <w:p>
            <w:pPr>
              <w:spacing w:after="0"/>
              <w:rPr>
                <w:sz w:val="23"/>
                <w:szCs w:val="23"/>
                <w:color w:val="auto"/>
              </w:rPr>
            </w:pP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280" w:type="dxa"/>
            <w:vAlign w:val="bottom"/>
            <w:tcBorders>
              <w:top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925,000</w:t>
            </w:r>
          </w:p>
        </w:tc>
        <w:tc>
          <w:tcPr>
            <w:tcW w:w="0" w:type="dxa"/>
            <w:vAlign w:val="bottom"/>
          </w:tcPr>
          <w:p>
            <w:pPr>
              <w:spacing w:after="0"/>
              <w:rPr>
                <w:sz w:val="1"/>
                <w:szCs w:val="1"/>
                <w:color w:val="auto"/>
              </w:rPr>
            </w:pPr>
          </w:p>
        </w:tc>
      </w:tr>
      <w:tr>
        <w:trPr>
          <w:trHeight w:val="270"/>
        </w:trPr>
        <w:tc>
          <w:tcPr>
            <w:tcW w:w="500" w:type="dxa"/>
            <w:vAlign w:val="bottom"/>
          </w:tcPr>
          <w:p>
            <w:pPr>
              <w:ind w:left="20"/>
              <w:spacing w:after="0"/>
              <w:rPr>
                <w:sz w:val="20"/>
                <w:szCs w:val="20"/>
                <w:color w:val="auto"/>
              </w:rPr>
            </w:pPr>
            <w:r>
              <w:rPr>
                <w:rFonts w:ascii="Arial" w:cs="Arial" w:eastAsia="Arial" w:hAnsi="Arial"/>
                <w:sz w:val="18"/>
                <w:szCs w:val="18"/>
                <w:color w:val="auto"/>
                <w:w w:val="90"/>
              </w:rPr>
              <w:t>2.85%</w:t>
            </w:r>
          </w:p>
        </w:tc>
        <w:tc>
          <w:tcPr>
            <w:tcW w:w="4160" w:type="dxa"/>
            <w:vAlign w:val="bottom"/>
          </w:tcPr>
          <w:p>
            <w:pPr>
              <w:ind w:left="20"/>
              <w:spacing w:after="0"/>
              <w:rPr>
                <w:sz w:val="20"/>
                <w:szCs w:val="20"/>
                <w:color w:val="auto"/>
              </w:rPr>
            </w:pPr>
            <w:r>
              <w:rPr>
                <w:rFonts w:ascii="Arial" w:cs="Arial" w:eastAsia="Arial" w:hAnsi="Arial"/>
                <w:sz w:val="18"/>
                <w:szCs w:val="18"/>
                <w:color w:val="auto"/>
              </w:rPr>
              <w:t>Senior unsecured notes, due March 2020</w:t>
            </w:r>
          </w:p>
        </w:tc>
        <w:tc>
          <w:tcPr>
            <w:tcW w:w="140" w:type="dxa"/>
            <w:vAlign w:val="bottom"/>
          </w:tcPr>
          <w:p>
            <w:pPr>
              <w:spacing w:after="0"/>
              <w:rPr>
                <w:sz w:val="23"/>
                <w:szCs w:val="23"/>
                <w:color w:val="auto"/>
              </w:rPr>
            </w:pPr>
          </w:p>
        </w:tc>
        <w:tc>
          <w:tcPr>
            <w:tcW w:w="15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23"/>
                <w:szCs w:val="23"/>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3"/>
                <w:szCs w:val="23"/>
                <w:color w:val="auto"/>
              </w:rPr>
            </w:pPr>
          </w:p>
        </w:tc>
        <w:tc>
          <w:tcPr>
            <w:tcW w:w="1400" w:type="dxa"/>
            <w:vAlign w:val="bottom"/>
          </w:tcPr>
          <w:p>
            <w:pPr>
              <w:jc w:val="right"/>
              <w:ind w:right="14"/>
              <w:spacing w:after="0"/>
              <w:rPr>
                <w:sz w:val="20"/>
                <w:szCs w:val="20"/>
                <w:color w:val="auto"/>
              </w:rPr>
            </w:pPr>
            <w:r>
              <w:rPr>
                <w:rFonts w:ascii="Arial" w:cs="Arial" w:eastAsia="Arial" w:hAnsi="Arial"/>
                <w:sz w:val="18"/>
                <w:szCs w:val="18"/>
                <w:color w:val="auto"/>
              </w:rPr>
              <w:t>300,000</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280" w:type="dxa"/>
            <w:vAlign w:val="bottom"/>
          </w:tcPr>
          <w:p>
            <w:pPr>
              <w:jc w:val="right"/>
              <w:ind w:right="11"/>
              <w:spacing w:after="0"/>
              <w:rPr>
                <w:sz w:val="20"/>
                <w:szCs w:val="20"/>
                <w:color w:val="auto"/>
              </w:rPr>
            </w:pPr>
            <w:r>
              <w:rPr>
                <w:rFonts w:ascii="Arial" w:cs="Arial" w:eastAsia="Arial" w:hAnsi="Arial"/>
                <w:sz w:val="18"/>
                <w:szCs w:val="18"/>
                <w:color w:val="auto"/>
              </w:rPr>
              <w:t>300,872</w:t>
            </w:r>
          </w:p>
        </w:tc>
        <w:tc>
          <w:tcPr>
            <w:tcW w:w="0" w:type="dxa"/>
            <w:vAlign w:val="bottom"/>
          </w:tcPr>
          <w:p>
            <w:pPr>
              <w:spacing w:after="0"/>
              <w:rPr>
                <w:sz w:val="1"/>
                <w:szCs w:val="1"/>
                <w:color w:val="auto"/>
              </w:rPr>
            </w:pPr>
          </w:p>
        </w:tc>
      </w:tr>
      <w:tr>
        <w:trPr>
          <w:trHeight w:val="270"/>
        </w:trPr>
        <w:tc>
          <w:tcPr>
            <w:tcW w:w="500" w:type="dxa"/>
            <w:vAlign w:val="bottom"/>
            <w:shd w:val="clear" w:color="auto" w:fill="CCEEFF"/>
          </w:tcPr>
          <w:p>
            <w:pPr>
              <w:ind w:left="20"/>
              <w:spacing w:after="0"/>
              <w:rPr>
                <w:sz w:val="20"/>
                <w:szCs w:val="20"/>
                <w:color w:val="auto"/>
              </w:rPr>
            </w:pPr>
            <w:r>
              <w:rPr>
                <w:rFonts w:ascii="Arial" w:cs="Arial" w:eastAsia="Arial" w:hAnsi="Arial"/>
                <w:sz w:val="18"/>
                <w:szCs w:val="18"/>
                <w:color w:val="auto"/>
                <w:w w:val="90"/>
              </w:rPr>
              <w:t>2.95%</w:t>
            </w:r>
          </w:p>
        </w:tc>
        <w:tc>
          <w:tcPr>
            <w:tcW w:w="4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Senior unsecured notes, due January 2021</w:t>
            </w:r>
          </w:p>
        </w:tc>
        <w:tc>
          <w:tcPr>
            <w:tcW w:w="140" w:type="dxa"/>
            <w:vAlign w:val="bottom"/>
            <w:shd w:val="clear" w:color="auto" w:fill="CCEEFF"/>
          </w:tcPr>
          <w:p>
            <w:pPr>
              <w:spacing w:after="0"/>
              <w:rPr>
                <w:sz w:val="23"/>
                <w:szCs w:val="23"/>
                <w:color w:val="auto"/>
              </w:rPr>
            </w:pPr>
          </w:p>
        </w:tc>
        <w:tc>
          <w:tcPr>
            <w:tcW w:w="140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450,000</w:t>
            </w:r>
          </w:p>
        </w:tc>
        <w:tc>
          <w:tcPr>
            <w:tcW w:w="100" w:type="dxa"/>
            <w:vAlign w:val="bottom"/>
            <w:shd w:val="clear" w:color="auto" w:fill="CCEEFF"/>
          </w:tcPr>
          <w:p>
            <w:pPr>
              <w:spacing w:after="0"/>
              <w:rPr>
                <w:sz w:val="23"/>
                <w:szCs w:val="23"/>
                <w:color w:val="auto"/>
              </w:rPr>
            </w:pPr>
          </w:p>
        </w:tc>
        <w:tc>
          <w:tcPr>
            <w:tcW w:w="420" w:type="dxa"/>
            <w:vAlign w:val="bottom"/>
            <w:shd w:val="clear" w:color="auto" w:fill="CCEEFF"/>
          </w:tcPr>
          <w:p>
            <w:pPr>
              <w:spacing w:after="0"/>
              <w:rPr>
                <w:sz w:val="23"/>
                <w:szCs w:val="23"/>
                <w:color w:val="auto"/>
              </w:rPr>
            </w:pPr>
          </w:p>
        </w:tc>
        <w:tc>
          <w:tcPr>
            <w:tcW w:w="11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455,085</w:t>
            </w: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40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450,000</w:t>
            </w:r>
          </w:p>
        </w:tc>
        <w:tc>
          <w:tcPr>
            <w:tcW w:w="10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12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454,634</w:t>
            </w:r>
          </w:p>
        </w:tc>
        <w:tc>
          <w:tcPr>
            <w:tcW w:w="0" w:type="dxa"/>
            <w:vAlign w:val="bottom"/>
          </w:tcPr>
          <w:p>
            <w:pPr>
              <w:spacing w:after="0"/>
              <w:rPr>
                <w:sz w:val="1"/>
                <w:szCs w:val="1"/>
                <w:color w:val="auto"/>
              </w:rPr>
            </w:pPr>
          </w:p>
        </w:tc>
      </w:tr>
      <w:tr>
        <w:trPr>
          <w:trHeight w:val="270"/>
        </w:trPr>
        <w:tc>
          <w:tcPr>
            <w:tcW w:w="500" w:type="dxa"/>
            <w:vAlign w:val="bottom"/>
          </w:tcPr>
          <w:p>
            <w:pPr>
              <w:ind w:left="20"/>
              <w:spacing w:after="0"/>
              <w:rPr>
                <w:sz w:val="20"/>
                <w:szCs w:val="20"/>
                <w:color w:val="auto"/>
              </w:rPr>
            </w:pPr>
            <w:r>
              <w:rPr>
                <w:rFonts w:ascii="Arial" w:cs="Arial" w:eastAsia="Arial" w:hAnsi="Arial"/>
                <w:sz w:val="18"/>
                <w:szCs w:val="18"/>
                <w:color w:val="auto"/>
                <w:w w:val="90"/>
              </w:rPr>
              <w:t>2.50%</w:t>
            </w:r>
          </w:p>
        </w:tc>
        <w:tc>
          <w:tcPr>
            <w:tcW w:w="4160" w:type="dxa"/>
            <w:vAlign w:val="bottom"/>
          </w:tcPr>
          <w:p>
            <w:pPr>
              <w:ind w:left="20"/>
              <w:spacing w:after="0"/>
              <w:rPr>
                <w:sz w:val="20"/>
                <w:szCs w:val="20"/>
                <w:color w:val="auto"/>
              </w:rPr>
            </w:pPr>
            <w:r>
              <w:rPr>
                <w:rFonts w:ascii="Arial" w:cs="Arial" w:eastAsia="Arial" w:hAnsi="Arial"/>
                <w:sz w:val="18"/>
                <w:szCs w:val="18"/>
                <w:color w:val="auto"/>
              </w:rPr>
              <w:t>Senior unsecured notes, due December 2021</w:t>
            </w:r>
          </w:p>
        </w:tc>
        <w:tc>
          <w:tcPr>
            <w:tcW w:w="140" w:type="dxa"/>
            <w:vAlign w:val="bottom"/>
          </w:tcPr>
          <w:p>
            <w:pPr>
              <w:spacing w:after="0"/>
              <w:rPr>
                <w:sz w:val="23"/>
                <w:szCs w:val="23"/>
                <w:color w:val="auto"/>
              </w:rPr>
            </w:pPr>
          </w:p>
        </w:tc>
        <w:tc>
          <w:tcPr>
            <w:tcW w:w="1400" w:type="dxa"/>
            <w:vAlign w:val="bottom"/>
          </w:tcPr>
          <w:p>
            <w:pPr>
              <w:jc w:val="right"/>
              <w:ind w:right="14"/>
              <w:spacing w:after="0"/>
              <w:rPr>
                <w:sz w:val="20"/>
                <w:szCs w:val="20"/>
                <w:color w:val="auto"/>
              </w:rPr>
            </w:pPr>
            <w:r>
              <w:rPr>
                <w:rFonts w:ascii="Arial" w:cs="Arial" w:eastAsia="Arial" w:hAnsi="Arial"/>
                <w:sz w:val="18"/>
                <w:szCs w:val="18"/>
                <w:color w:val="auto"/>
              </w:rPr>
              <w:t>400,000</w:t>
            </w:r>
          </w:p>
        </w:tc>
        <w:tc>
          <w:tcPr>
            <w:tcW w:w="1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410,100</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400" w:type="dxa"/>
            <w:vAlign w:val="bottom"/>
          </w:tcPr>
          <w:p>
            <w:pPr>
              <w:jc w:val="right"/>
              <w:ind w:right="14"/>
              <w:spacing w:after="0"/>
              <w:rPr>
                <w:sz w:val="20"/>
                <w:szCs w:val="20"/>
                <w:color w:val="auto"/>
              </w:rPr>
            </w:pPr>
            <w:r>
              <w:rPr>
                <w:rFonts w:ascii="Arial" w:cs="Arial" w:eastAsia="Arial" w:hAnsi="Arial"/>
                <w:sz w:val="18"/>
                <w:szCs w:val="18"/>
                <w:color w:val="auto"/>
              </w:rPr>
              <w:t>400,000</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280" w:type="dxa"/>
            <w:vAlign w:val="bottom"/>
          </w:tcPr>
          <w:p>
            <w:pPr>
              <w:jc w:val="right"/>
              <w:ind w:right="11"/>
              <w:spacing w:after="0"/>
              <w:rPr>
                <w:sz w:val="20"/>
                <w:szCs w:val="20"/>
                <w:color w:val="auto"/>
              </w:rPr>
            </w:pPr>
            <w:r>
              <w:rPr>
                <w:rFonts w:ascii="Arial" w:cs="Arial" w:eastAsia="Arial" w:hAnsi="Arial"/>
                <w:sz w:val="18"/>
                <w:szCs w:val="18"/>
                <w:color w:val="auto"/>
              </w:rPr>
              <w:t>402,591</w:t>
            </w:r>
          </w:p>
        </w:tc>
        <w:tc>
          <w:tcPr>
            <w:tcW w:w="0" w:type="dxa"/>
            <w:vAlign w:val="bottom"/>
          </w:tcPr>
          <w:p>
            <w:pPr>
              <w:spacing w:after="0"/>
              <w:rPr>
                <w:sz w:val="1"/>
                <w:szCs w:val="1"/>
                <w:color w:val="auto"/>
              </w:rPr>
            </w:pPr>
          </w:p>
        </w:tc>
      </w:tr>
      <w:tr>
        <w:trPr>
          <w:trHeight w:val="270"/>
        </w:trPr>
        <w:tc>
          <w:tcPr>
            <w:tcW w:w="46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2.875% Senior unsecured notes, due June 2023</w:t>
            </w:r>
          </w:p>
        </w:tc>
        <w:tc>
          <w:tcPr>
            <w:tcW w:w="140" w:type="dxa"/>
            <w:vAlign w:val="bottom"/>
            <w:shd w:val="clear" w:color="auto" w:fill="CCEEFF"/>
          </w:tcPr>
          <w:p>
            <w:pPr>
              <w:spacing w:after="0"/>
              <w:rPr>
                <w:sz w:val="23"/>
                <w:szCs w:val="23"/>
                <w:color w:val="auto"/>
              </w:rPr>
            </w:pPr>
          </w:p>
        </w:tc>
        <w:tc>
          <w:tcPr>
            <w:tcW w:w="140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500,000</w:t>
            </w:r>
          </w:p>
        </w:tc>
        <w:tc>
          <w:tcPr>
            <w:tcW w:w="100" w:type="dxa"/>
            <w:vAlign w:val="bottom"/>
            <w:shd w:val="clear" w:color="auto" w:fill="CCEEFF"/>
          </w:tcPr>
          <w:p>
            <w:pPr>
              <w:spacing w:after="0"/>
              <w:rPr>
                <w:sz w:val="23"/>
                <w:szCs w:val="23"/>
                <w:color w:val="auto"/>
              </w:rPr>
            </w:pPr>
          </w:p>
        </w:tc>
        <w:tc>
          <w:tcPr>
            <w:tcW w:w="420" w:type="dxa"/>
            <w:vAlign w:val="bottom"/>
            <w:shd w:val="clear" w:color="auto" w:fill="CCEEFF"/>
          </w:tcPr>
          <w:p>
            <w:pPr>
              <w:spacing w:after="0"/>
              <w:rPr>
                <w:sz w:val="23"/>
                <w:szCs w:val="23"/>
                <w:color w:val="auto"/>
              </w:rPr>
            </w:pPr>
          </w:p>
        </w:tc>
        <w:tc>
          <w:tcPr>
            <w:tcW w:w="11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528,773</w:t>
            </w: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40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500,000</w:t>
            </w:r>
          </w:p>
        </w:tc>
        <w:tc>
          <w:tcPr>
            <w:tcW w:w="10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12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511,190</w:t>
            </w:r>
          </w:p>
        </w:tc>
        <w:tc>
          <w:tcPr>
            <w:tcW w:w="0" w:type="dxa"/>
            <w:vAlign w:val="bottom"/>
          </w:tcPr>
          <w:p>
            <w:pPr>
              <w:spacing w:after="0"/>
              <w:rPr>
                <w:sz w:val="1"/>
                <w:szCs w:val="1"/>
                <w:color w:val="auto"/>
              </w:rPr>
            </w:pPr>
          </w:p>
        </w:tc>
      </w:tr>
      <w:tr>
        <w:trPr>
          <w:trHeight w:val="270"/>
        </w:trPr>
        <w:tc>
          <w:tcPr>
            <w:tcW w:w="4660" w:type="dxa"/>
            <w:vAlign w:val="bottom"/>
            <w:gridSpan w:val="2"/>
          </w:tcPr>
          <w:p>
            <w:pPr>
              <w:ind w:left="20"/>
              <w:spacing w:after="0"/>
              <w:rPr>
                <w:sz w:val="20"/>
                <w:szCs w:val="20"/>
                <w:color w:val="auto"/>
              </w:rPr>
            </w:pPr>
            <w:r>
              <w:rPr>
                <w:rFonts w:ascii="Arial" w:cs="Arial" w:eastAsia="Arial" w:hAnsi="Arial"/>
                <w:sz w:val="18"/>
                <w:szCs w:val="18"/>
                <w:color w:val="auto"/>
              </w:rPr>
              <w:t>3.125% Senior unsecured notes, due December 2023</w:t>
            </w:r>
          </w:p>
        </w:tc>
        <w:tc>
          <w:tcPr>
            <w:tcW w:w="140" w:type="dxa"/>
            <w:vAlign w:val="bottom"/>
          </w:tcPr>
          <w:p>
            <w:pPr>
              <w:spacing w:after="0"/>
              <w:rPr>
                <w:sz w:val="23"/>
                <w:szCs w:val="23"/>
                <w:color w:val="auto"/>
              </w:rPr>
            </w:pPr>
          </w:p>
        </w:tc>
        <w:tc>
          <w:tcPr>
            <w:tcW w:w="1400" w:type="dxa"/>
            <w:vAlign w:val="bottom"/>
          </w:tcPr>
          <w:p>
            <w:pPr>
              <w:jc w:val="right"/>
              <w:ind w:right="14"/>
              <w:spacing w:after="0"/>
              <w:rPr>
                <w:sz w:val="20"/>
                <w:szCs w:val="20"/>
                <w:color w:val="auto"/>
              </w:rPr>
            </w:pPr>
            <w:r>
              <w:rPr>
                <w:rFonts w:ascii="Arial" w:cs="Arial" w:eastAsia="Arial" w:hAnsi="Arial"/>
                <w:sz w:val="18"/>
                <w:szCs w:val="18"/>
                <w:color w:val="auto"/>
              </w:rPr>
              <w:t>550,000</w:t>
            </w:r>
          </w:p>
        </w:tc>
        <w:tc>
          <w:tcPr>
            <w:tcW w:w="1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594,446</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400" w:type="dxa"/>
            <w:vAlign w:val="bottom"/>
          </w:tcPr>
          <w:p>
            <w:pPr>
              <w:jc w:val="right"/>
              <w:ind w:right="14"/>
              <w:spacing w:after="0"/>
              <w:rPr>
                <w:sz w:val="20"/>
                <w:szCs w:val="20"/>
                <w:color w:val="auto"/>
              </w:rPr>
            </w:pPr>
            <w:r>
              <w:rPr>
                <w:rFonts w:ascii="Arial" w:cs="Arial" w:eastAsia="Arial" w:hAnsi="Arial"/>
                <w:sz w:val="18"/>
                <w:szCs w:val="18"/>
                <w:color w:val="auto"/>
              </w:rPr>
              <w:t>550,000</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280" w:type="dxa"/>
            <w:vAlign w:val="bottom"/>
          </w:tcPr>
          <w:p>
            <w:pPr>
              <w:jc w:val="right"/>
              <w:ind w:right="11"/>
              <w:spacing w:after="0"/>
              <w:rPr>
                <w:sz w:val="20"/>
                <w:szCs w:val="20"/>
                <w:color w:val="auto"/>
              </w:rPr>
            </w:pPr>
            <w:r>
              <w:rPr>
                <w:rFonts w:ascii="Arial" w:cs="Arial" w:eastAsia="Arial" w:hAnsi="Arial"/>
                <w:sz w:val="18"/>
                <w:szCs w:val="18"/>
                <w:color w:val="auto"/>
              </w:rPr>
              <w:t>567,159</w:t>
            </w:r>
          </w:p>
        </w:tc>
        <w:tc>
          <w:tcPr>
            <w:tcW w:w="0" w:type="dxa"/>
            <w:vAlign w:val="bottom"/>
          </w:tcPr>
          <w:p>
            <w:pPr>
              <w:spacing w:after="0"/>
              <w:rPr>
                <w:sz w:val="1"/>
                <w:szCs w:val="1"/>
                <w:color w:val="auto"/>
              </w:rPr>
            </w:pPr>
          </w:p>
        </w:tc>
      </w:tr>
      <w:tr>
        <w:trPr>
          <w:trHeight w:val="270"/>
        </w:trPr>
        <w:tc>
          <w:tcPr>
            <w:tcW w:w="500" w:type="dxa"/>
            <w:vAlign w:val="bottom"/>
            <w:shd w:val="clear" w:color="auto" w:fill="CCEEFF"/>
          </w:tcPr>
          <w:p>
            <w:pPr>
              <w:ind w:left="20"/>
              <w:spacing w:after="0"/>
              <w:rPr>
                <w:sz w:val="20"/>
                <w:szCs w:val="20"/>
                <w:color w:val="auto"/>
              </w:rPr>
            </w:pPr>
            <w:r>
              <w:rPr>
                <w:rFonts w:ascii="Arial" w:cs="Arial" w:eastAsia="Arial" w:hAnsi="Arial"/>
                <w:sz w:val="18"/>
                <w:szCs w:val="18"/>
                <w:color w:val="auto"/>
                <w:w w:val="90"/>
              </w:rPr>
              <w:t>2.95%</w:t>
            </w:r>
          </w:p>
        </w:tc>
        <w:tc>
          <w:tcPr>
            <w:tcW w:w="4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Senior unsecured notes, due April 2025</w:t>
            </w:r>
          </w:p>
        </w:tc>
        <w:tc>
          <w:tcPr>
            <w:tcW w:w="140" w:type="dxa"/>
            <w:vAlign w:val="bottom"/>
            <w:shd w:val="clear" w:color="auto" w:fill="CCEEFF"/>
          </w:tcPr>
          <w:p>
            <w:pPr>
              <w:spacing w:after="0"/>
              <w:rPr>
                <w:sz w:val="23"/>
                <w:szCs w:val="23"/>
                <w:color w:val="auto"/>
              </w:rPr>
            </w:pPr>
          </w:p>
        </w:tc>
        <w:tc>
          <w:tcPr>
            <w:tcW w:w="140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400,000</w:t>
            </w:r>
          </w:p>
        </w:tc>
        <w:tc>
          <w:tcPr>
            <w:tcW w:w="100" w:type="dxa"/>
            <w:vAlign w:val="bottom"/>
            <w:shd w:val="clear" w:color="auto" w:fill="CCEEFF"/>
          </w:tcPr>
          <w:p>
            <w:pPr>
              <w:spacing w:after="0"/>
              <w:rPr>
                <w:sz w:val="23"/>
                <w:szCs w:val="23"/>
                <w:color w:val="auto"/>
              </w:rPr>
            </w:pPr>
          </w:p>
        </w:tc>
        <w:tc>
          <w:tcPr>
            <w:tcW w:w="420" w:type="dxa"/>
            <w:vAlign w:val="bottom"/>
            <w:shd w:val="clear" w:color="auto" w:fill="CCEEFF"/>
          </w:tcPr>
          <w:p>
            <w:pPr>
              <w:spacing w:after="0"/>
              <w:rPr>
                <w:sz w:val="23"/>
                <w:szCs w:val="23"/>
                <w:color w:val="auto"/>
              </w:rPr>
            </w:pPr>
          </w:p>
        </w:tc>
        <w:tc>
          <w:tcPr>
            <w:tcW w:w="11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439,468</w:t>
            </w: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5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23"/>
                <w:szCs w:val="23"/>
                <w:color w:val="auto"/>
              </w:rPr>
            </w:pPr>
          </w:p>
        </w:tc>
        <w:tc>
          <w:tcPr>
            <w:tcW w:w="12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0"/>
        </w:trPr>
        <w:tc>
          <w:tcPr>
            <w:tcW w:w="500" w:type="dxa"/>
            <w:vAlign w:val="bottom"/>
          </w:tcPr>
          <w:p>
            <w:pPr>
              <w:ind w:left="20"/>
              <w:spacing w:after="0"/>
              <w:rPr>
                <w:sz w:val="20"/>
                <w:szCs w:val="20"/>
                <w:color w:val="auto"/>
              </w:rPr>
            </w:pPr>
            <w:r>
              <w:rPr>
                <w:rFonts w:ascii="Arial" w:cs="Arial" w:eastAsia="Arial" w:hAnsi="Arial"/>
                <w:sz w:val="18"/>
                <w:szCs w:val="18"/>
                <w:color w:val="auto"/>
                <w:w w:val="90"/>
              </w:rPr>
              <w:t>3.90%</w:t>
            </w:r>
          </w:p>
        </w:tc>
        <w:tc>
          <w:tcPr>
            <w:tcW w:w="4160" w:type="dxa"/>
            <w:vAlign w:val="bottom"/>
          </w:tcPr>
          <w:p>
            <w:pPr>
              <w:ind w:left="20"/>
              <w:spacing w:after="0"/>
              <w:rPr>
                <w:sz w:val="20"/>
                <w:szCs w:val="20"/>
                <w:color w:val="auto"/>
              </w:rPr>
            </w:pPr>
            <w:r>
              <w:rPr>
                <w:rFonts w:ascii="Arial" w:cs="Arial" w:eastAsia="Arial" w:hAnsi="Arial"/>
                <w:sz w:val="18"/>
                <w:szCs w:val="18"/>
                <w:color w:val="auto"/>
              </w:rPr>
              <w:t>Senior unsecured notes, due December 2025</w:t>
            </w:r>
          </w:p>
        </w:tc>
        <w:tc>
          <w:tcPr>
            <w:tcW w:w="140" w:type="dxa"/>
            <w:vAlign w:val="bottom"/>
          </w:tcPr>
          <w:p>
            <w:pPr>
              <w:spacing w:after="0"/>
              <w:rPr>
                <w:sz w:val="23"/>
                <w:szCs w:val="23"/>
                <w:color w:val="auto"/>
              </w:rPr>
            </w:pPr>
          </w:p>
        </w:tc>
        <w:tc>
          <w:tcPr>
            <w:tcW w:w="1400" w:type="dxa"/>
            <w:vAlign w:val="bottom"/>
          </w:tcPr>
          <w:p>
            <w:pPr>
              <w:jc w:val="right"/>
              <w:ind w:right="14"/>
              <w:spacing w:after="0"/>
              <w:rPr>
                <w:sz w:val="20"/>
                <w:szCs w:val="20"/>
                <w:color w:val="auto"/>
              </w:rPr>
            </w:pPr>
            <w:r>
              <w:rPr>
                <w:rFonts w:ascii="Arial" w:cs="Arial" w:eastAsia="Arial" w:hAnsi="Arial"/>
                <w:sz w:val="18"/>
                <w:szCs w:val="18"/>
                <w:color w:val="auto"/>
              </w:rPr>
              <w:t>850,000</w:t>
            </w:r>
          </w:p>
        </w:tc>
        <w:tc>
          <w:tcPr>
            <w:tcW w:w="1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980,777</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400" w:type="dxa"/>
            <w:vAlign w:val="bottom"/>
          </w:tcPr>
          <w:p>
            <w:pPr>
              <w:jc w:val="right"/>
              <w:ind w:right="14"/>
              <w:spacing w:after="0"/>
              <w:rPr>
                <w:sz w:val="20"/>
                <w:szCs w:val="20"/>
                <w:color w:val="auto"/>
              </w:rPr>
            </w:pPr>
            <w:r>
              <w:rPr>
                <w:rFonts w:ascii="Arial" w:cs="Arial" w:eastAsia="Arial" w:hAnsi="Arial"/>
                <w:sz w:val="18"/>
                <w:szCs w:val="18"/>
                <w:color w:val="auto"/>
              </w:rPr>
              <w:t>850,000</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280" w:type="dxa"/>
            <w:vAlign w:val="bottom"/>
          </w:tcPr>
          <w:p>
            <w:pPr>
              <w:jc w:val="right"/>
              <w:ind w:right="11"/>
              <w:spacing w:after="0"/>
              <w:rPr>
                <w:sz w:val="20"/>
                <w:szCs w:val="20"/>
                <w:color w:val="auto"/>
              </w:rPr>
            </w:pPr>
            <w:r>
              <w:rPr>
                <w:rFonts w:ascii="Arial" w:cs="Arial" w:eastAsia="Arial" w:hAnsi="Arial"/>
                <w:sz w:val="18"/>
                <w:szCs w:val="18"/>
                <w:color w:val="auto"/>
              </w:rPr>
              <w:t>914,567</w:t>
            </w:r>
          </w:p>
        </w:tc>
        <w:tc>
          <w:tcPr>
            <w:tcW w:w="0" w:type="dxa"/>
            <w:vAlign w:val="bottom"/>
          </w:tcPr>
          <w:p>
            <w:pPr>
              <w:spacing w:after="0"/>
              <w:rPr>
                <w:sz w:val="1"/>
                <w:szCs w:val="1"/>
                <w:color w:val="auto"/>
              </w:rPr>
            </w:pPr>
          </w:p>
        </w:tc>
      </w:tr>
      <w:tr>
        <w:trPr>
          <w:trHeight w:val="270"/>
        </w:trPr>
        <w:tc>
          <w:tcPr>
            <w:tcW w:w="500" w:type="dxa"/>
            <w:vAlign w:val="bottom"/>
            <w:shd w:val="clear" w:color="auto" w:fill="CCEEFF"/>
          </w:tcPr>
          <w:p>
            <w:pPr>
              <w:ind w:left="20"/>
              <w:spacing w:after="0"/>
              <w:rPr>
                <w:sz w:val="20"/>
                <w:szCs w:val="20"/>
                <w:color w:val="auto"/>
              </w:rPr>
            </w:pPr>
            <w:r>
              <w:rPr>
                <w:rFonts w:ascii="Arial" w:cs="Arial" w:eastAsia="Arial" w:hAnsi="Arial"/>
                <w:sz w:val="18"/>
                <w:szCs w:val="18"/>
                <w:color w:val="auto"/>
                <w:w w:val="90"/>
              </w:rPr>
              <w:t>3.50%</w:t>
            </w:r>
          </w:p>
        </w:tc>
        <w:tc>
          <w:tcPr>
            <w:tcW w:w="4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Senior unsecured notes, due December 2026</w:t>
            </w:r>
          </w:p>
        </w:tc>
        <w:tc>
          <w:tcPr>
            <w:tcW w:w="140" w:type="dxa"/>
            <w:vAlign w:val="bottom"/>
            <w:shd w:val="clear" w:color="auto" w:fill="CCEEFF"/>
          </w:tcPr>
          <w:p>
            <w:pPr>
              <w:spacing w:after="0"/>
              <w:rPr>
                <w:sz w:val="23"/>
                <w:szCs w:val="23"/>
                <w:color w:val="auto"/>
              </w:rPr>
            </w:pPr>
          </w:p>
        </w:tc>
        <w:tc>
          <w:tcPr>
            <w:tcW w:w="140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900,000</w:t>
            </w:r>
          </w:p>
        </w:tc>
        <w:tc>
          <w:tcPr>
            <w:tcW w:w="100" w:type="dxa"/>
            <w:vAlign w:val="bottom"/>
            <w:shd w:val="clear" w:color="auto" w:fill="CCEEFF"/>
          </w:tcPr>
          <w:p>
            <w:pPr>
              <w:spacing w:after="0"/>
              <w:rPr>
                <w:sz w:val="23"/>
                <w:szCs w:val="23"/>
                <w:color w:val="auto"/>
              </w:rPr>
            </w:pPr>
          </w:p>
        </w:tc>
        <w:tc>
          <w:tcPr>
            <w:tcW w:w="420" w:type="dxa"/>
            <w:vAlign w:val="bottom"/>
            <w:shd w:val="clear" w:color="auto" w:fill="CCEEFF"/>
          </w:tcPr>
          <w:p>
            <w:pPr>
              <w:spacing w:after="0"/>
              <w:rPr>
                <w:sz w:val="23"/>
                <w:szCs w:val="23"/>
                <w:color w:val="auto"/>
              </w:rPr>
            </w:pPr>
          </w:p>
        </w:tc>
        <w:tc>
          <w:tcPr>
            <w:tcW w:w="11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1,026,081</w:t>
            </w: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40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900,000</w:t>
            </w:r>
          </w:p>
        </w:tc>
        <w:tc>
          <w:tcPr>
            <w:tcW w:w="10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12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940,192</w:t>
            </w:r>
          </w:p>
        </w:tc>
        <w:tc>
          <w:tcPr>
            <w:tcW w:w="0" w:type="dxa"/>
            <w:vAlign w:val="bottom"/>
          </w:tcPr>
          <w:p>
            <w:pPr>
              <w:spacing w:after="0"/>
              <w:rPr>
                <w:sz w:val="1"/>
                <w:szCs w:val="1"/>
                <w:color w:val="auto"/>
              </w:rPr>
            </w:pPr>
          </w:p>
        </w:tc>
      </w:tr>
      <w:tr>
        <w:trPr>
          <w:trHeight w:val="270"/>
        </w:trPr>
        <w:tc>
          <w:tcPr>
            <w:tcW w:w="500" w:type="dxa"/>
            <w:vAlign w:val="bottom"/>
          </w:tcPr>
          <w:p>
            <w:pPr>
              <w:ind w:left="20"/>
              <w:spacing w:after="0"/>
              <w:rPr>
                <w:sz w:val="20"/>
                <w:szCs w:val="20"/>
                <w:color w:val="auto"/>
              </w:rPr>
            </w:pPr>
            <w:r>
              <w:rPr>
                <w:rFonts w:ascii="Arial" w:cs="Arial" w:eastAsia="Arial" w:hAnsi="Arial"/>
                <w:sz w:val="18"/>
                <w:szCs w:val="18"/>
                <w:color w:val="auto"/>
                <w:w w:val="90"/>
              </w:rPr>
              <w:t>4.50%</w:t>
            </w:r>
          </w:p>
        </w:tc>
        <w:tc>
          <w:tcPr>
            <w:tcW w:w="4160" w:type="dxa"/>
            <w:vAlign w:val="bottom"/>
          </w:tcPr>
          <w:p>
            <w:pPr>
              <w:ind w:left="20"/>
              <w:spacing w:after="0"/>
              <w:rPr>
                <w:sz w:val="20"/>
                <w:szCs w:val="20"/>
                <w:color w:val="auto"/>
              </w:rPr>
            </w:pPr>
            <w:r>
              <w:rPr>
                <w:rFonts w:ascii="Arial" w:cs="Arial" w:eastAsia="Arial" w:hAnsi="Arial"/>
                <w:sz w:val="18"/>
                <w:szCs w:val="18"/>
                <w:color w:val="auto"/>
              </w:rPr>
              <w:t>Senior unsecured notes, due December 2036</w:t>
            </w:r>
          </w:p>
        </w:tc>
        <w:tc>
          <w:tcPr>
            <w:tcW w:w="140" w:type="dxa"/>
            <w:vAlign w:val="bottom"/>
          </w:tcPr>
          <w:p>
            <w:pPr>
              <w:spacing w:after="0"/>
              <w:rPr>
                <w:sz w:val="23"/>
                <w:szCs w:val="23"/>
                <w:color w:val="auto"/>
              </w:rPr>
            </w:pPr>
          </w:p>
        </w:tc>
        <w:tc>
          <w:tcPr>
            <w:tcW w:w="1400" w:type="dxa"/>
            <w:vAlign w:val="bottom"/>
          </w:tcPr>
          <w:p>
            <w:pPr>
              <w:jc w:val="right"/>
              <w:ind w:right="14"/>
              <w:spacing w:after="0"/>
              <w:rPr>
                <w:sz w:val="20"/>
                <w:szCs w:val="20"/>
                <w:color w:val="auto"/>
              </w:rPr>
            </w:pPr>
            <w:r>
              <w:rPr>
                <w:rFonts w:ascii="Arial" w:cs="Arial" w:eastAsia="Arial" w:hAnsi="Arial"/>
                <w:sz w:val="18"/>
                <w:szCs w:val="18"/>
                <w:color w:val="auto"/>
              </w:rPr>
              <w:t>250,000</w:t>
            </w:r>
          </w:p>
        </w:tc>
        <w:tc>
          <w:tcPr>
            <w:tcW w:w="1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310,681</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400" w:type="dxa"/>
            <w:vAlign w:val="bottom"/>
          </w:tcPr>
          <w:p>
            <w:pPr>
              <w:jc w:val="right"/>
              <w:ind w:right="14"/>
              <w:spacing w:after="0"/>
              <w:rPr>
                <w:sz w:val="20"/>
                <w:szCs w:val="20"/>
                <w:color w:val="auto"/>
              </w:rPr>
            </w:pPr>
            <w:r>
              <w:rPr>
                <w:rFonts w:ascii="Arial" w:cs="Arial" w:eastAsia="Arial" w:hAnsi="Arial"/>
                <w:sz w:val="18"/>
                <w:szCs w:val="18"/>
                <w:color w:val="auto"/>
              </w:rPr>
              <w:t>250,000</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280" w:type="dxa"/>
            <w:vAlign w:val="bottom"/>
          </w:tcPr>
          <w:p>
            <w:pPr>
              <w:jc w:val="right"/>
              <w:ind w:right="11"/>
              <w:spacing w:after="0"/>
              <w:rPr>
                <w:sz w:val="20"/>
                <w:szCs w:val="20"/>
                <w:color w:val="auto"/>
              </w:rPr>
            </w:pPr>
            <w:r>
              <w:rPr>
                <w:rFonts w:ascii="Arial" w:cs="Arial" w:eastAsia="Arial" w:hAnsi="Arial"/>
                <w:sz w:val="18"/>
                <w:szCs w:val="18"/>
                <w:color w:val="auto"/>
              </w:rPr>
              <w:t>270,891</w:t>
            </w:r>
          </w:p>
        </w:tc>
        <w:tc>
          <w:tcPr>
            <w:tcW w:w="0" w:type="dxa"/>
            <w:vAlign w:val="bottom"/>
          </w:tcPr>
          <w:p>
            <w:pPr>
              <w:spacing w:after="0"/>
              <w:rPr>
                <w:sz w:val="1"/>
                <w:szCs w:val="1"/>
                <w:color w:val="auto"/>
              </w:rPr>
            </w:pPr>
          </w:p>
        </w:tc>
      </w:tr>
      <w:tr>
        <w:trPr>
          <w:trHeight w:val="270"/>
        </w:trPr>
        <w:tc>
          <w:tcPr>
            <w:tcW w:w="500" w:type="dxa"/>
            <w:vAlign w:val="bottom"/>
            <w:shd w:val="clear" w:color="auto" w:fill="CCEEFF"/>
          </w:tcPr>
          <w:p>
            <w:pPr>
              <w:ind w:left="20"/>
              <w:spacing w:after="0"/>
              <w:rPr>
                <w:sz w:val="20"/>
                <w:szCs w:val="20"/>
                <w:color w:val="auto"/>
              </w:rPr>
            </w:pPr>
            <w:r>
              <w:rPr>
                <w:rFonts w:ascii="Arial" w:cs="Arial" w:eastAsia="Arial" w:hAnsi="Arial"/>
                <w:sz w:val="18"/>
                <w:szCs w:val="18"/>
                <w:color w:val="auto"/>
                <w:w w:val="90"/>
              </w:rPr>
              <w:t>5.30%</w:t>
            </w:r>
          </w:p>
        </w:tc>
        <w:tc>
          <w:tcPr>
            <w:tcW w:w="4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Senior unsecured notes, due December 2045</w:t>
            </w:r>
          </w:p>
        </w:tc>
        <w:tc>
          <w:tcPr>
            <w:tcW w:w="140" w:type="dxa"/>
            <w:vAlign w:val="bottom"/>
            <w:tcBorders>
              <w:bottom w:val="single" w:sz="8" w:color="auto"/>
            </w:tcBorders>
            <w:shd w:val="clear" w:color="auto" w:fill="CCEEFF"/>
          </w:tcPr>
          <w:p>
            <w:pPr>
              <w:spacing w:after="0"/>
              <w:rPr>
                <w:sz w:val="23"/>
                <w:szCs w:val="23"/>
                <w:color w:val="auto"/>
              </w:rPr>
            </w:pPr>
          </w:p>
        </w:tc>
        <w:tc>
          <w:tcPr>
            <w:tcW w:w="140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400,000</w:t>
            </w:r>
          </w:p>
        </w:tc>
        <w:tc>
          <w:tcPr>
            <w:tcW w:w="100" w:type="dxa"/>
            <w:vAlign w:val="bottom"/>
            <w:shd w:val="clear" w:color="auto" w:fill="CCEEFF"/>
          </w:tcPr>
          <w:p>
            <w:pPr>
              <w:spacing w:after="0"/>
              <w:rPr>
                <w:sz w:val="23"/>
                <w:szCs w:val="23"/>
                <w:color w:val="auto"/>
              </w:rPr>
            </w:pPr>
          </w:p>
        </w:tc>
        <w:tc>
          <w:tcPr>
            <w:tcW w:w="420" w:type="dxa"/>
            <w:vAlign w:val="bottom"/>
            <w:tcBorders>
              <w:bottom w:val="single" w:sz="8" w:color="auto"/>
            </w:tcBorders>
            <w:shd w:val="clear" w:color="auto" w:fill="CCEEFF"/>
          </w:tcPr>
          <w:p>
            <w:pPr>
              <w:spacing w:after="0"/>
              <w:rPr>
                <w:sz w:val="23"/>
                <w:szCs w:val="23"/>
                <w:color w:val="auto"/>
              </w:rPr>
            </w:pPr>
          </w:p>
        </w:tc>
        <w:tc>
          <w:tcPr>
            <w:tcW w:w="114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576,504</w:t>
            </w:r>
          </w:p>
        </w:tc>
        <w:tc>
          <w:tcPr>
            <w:tcW w:w="10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140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400,000</w:t>
            </w:r>
          </w:p>
        </w:tc>
        <w:tc>
          <w:tcPr>
            <w:tcW w:w="100" w:type="dxa"/>
            <w:vAlign w:val="bottom"/>
            <w:shd w:val="clear" w:color="auto" w:fill="CCEEFF"/>
          </w:tcPr>
          <w:p>
            <w:pPr>
              <w:spacing w:after="0"/>
              <w:rPr>
                <w:sz w:val="23"/>
                <w:szCs w:val="23"/>
                <w:color w:val="auto"/>
              </w:rPr>
            </w:pPr>
          </w:p>
        </w:tc>
        <w:tc>
          <w:tcPr>
            <w:tcW w:w="280" w:type="dxa"/>
            <w:vAlign w:val="bottom"/>
            <w:tcBorders>
              <w:bottom w:val="single" w:sz="8" w:color="auto"/>
            </w:tcBorders>
            <w:shd w:val="clear" w:color="auto" w:fill="CCEEFF"/>
          </w:tcPr>
          <w:p>
            <w:pPr>
              <w:spacing w:after="0"/>
              <w:rPr>
                <w:sz w:val="23"/>
                <w:szCs w:val="23"/>
                <w:color w:val="auto"/>
              </w:rPr>
            </w:pPr>
          </w:p>
        </w:tc>
        <w:tc>
          <w:tcPr>
            <w:tcW w:w="128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491,439</w:t>
            </w:r>
          </w:p>
        </w:tc>
        <w:tc>
          <w:tcPr>
            <w:tcW w:w="0" w:type="dxa"/>
            <w:vAlign w:val="bottom"/>
          </w:tcPr>
          <w:p>
            <w:pPr>
              <w:spacing w:after="0"/>
              <w:rPr>
                <w:sz w:val="1"/>
                <w:szCs w:val="1"/>
                <w:color w:val="auto"/>
              </w:rPr>
            </w:pPr>
          </w:p>
        </w:tc>
      </w:tr>
      <w:tr>
        <w:trPr>
          <w:trHeight w:val="263"/>
        </w:trPr>
        <w:tc>
          <w:tcPr>
            <w:tcW w:w="4660" w:type="dxa"/>
            <w:vAlign w:val="bottom"/>
            <w:gridSpan w:val="2"/>
          </w:tcPr>
          <w:p>
            <w:pPr>
              <w:ind w:left="20"/>
              <w:spacing w:after="0"/>
              <w:rPr>
                <w:sz w:val="20"/>
                <w:szCs w:val="20"/>
                <w:color w:val="auto"/>
              </w:rPr>
            </w:pPr>
            <w:r>
              <w:rPr>
                <w:rFonts w:ascii="Arial" w:cs="Arial" w:eastAsia="Arial" w:hAnsi="Arial"/>
                <w:sz w:val="18"/>
                <w:szCs w:val="18"/>
                <w:color w:val="auto"/>
              </w:rPr>
              <w:t>Total debt</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5,625,000</w:t>
            </w:r>
          </w:p>
        </w:tc>
        <w:tc>
          <w:tcPr>
            <w:tcW w:w="100" w:type="dxa"/>
            <w:vAlign w:val="bottom"/>
          </w:tcPr>
          <w:p>
            <w:pPr>
              <w:spacing w:after="0"/>
              <w:rPr>
                <w:sz w:val="22"/>
                <w:szCs w:val="22"/>
                <w:color w:val="auto"/>
              </w:rPr>
            </w:pPr>
          </w:p>
        </w:tc>
        <w:tc>
          <w:tcPr>
            <w:tcW w:w="42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6,246,915</w:t>
            </w:r>
          </w:p>
        </w:tc>
        <w:tc>
          <w:tcPr>
            <w:tcW w:w="100" w:type="dxa"/>
            <w:vAlign w:val="bottom"/>
          </w:tcPr>
          <w:p>
            <w:pPr>
              <w:spacing w:after="0"/>
              <w:rPr>
                <w:sz w:val="22"/>
                <w:szCs w:val="22"/>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5,525,000</w:t>
            </w:r>
          </w:p>
        </w:tc>
        <w:tc>
          <w:tcPr>
            <w:tcW w:w="100" w:type="dxa"/>
            <w:vAlign w:val="bottom"/>
          </w:tcPr>
          <w:p>
            <w:pPr>
              <w:spacing w:after="0"/>
              <w:rPr>
                <w:sz w:val="22"/>
                <w:szCs w:val="22"/>
                <w:color w:val="auto"/>
              </w:rPr>
            </w:pP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5,778,535</w:t>
            </w:r>
          </w:p>
        </w:tc>
        <w:tc>
          <w:tcPr>
            <w:tcW w:w="0" w:type="dxa"/>
            <w:vAlign w:val="bottom"/>
          </w:tcPr>
          <w:p>
            <w:pPr>
              <w:spacing w:after="0"/>
              <w:rPr>
                <w:sz w:val="1"/>
                <w:szCs w:val="1"/>
                <w:color w:val="auto"/>
              </w:rPr>
            </w:pPr>
          </w:p>
        </w:tc>
      </w:tr>
      <w:tr>
        <w:trPr>
          <w:trHeight w:val="21"/>
        </w:trPr>
        <w:tc>
          <w:tcPr>
            <w:tcW w:w="500" w:type="dxa"/>
            <w:vAlign w:val="bottom"/>
          </w:tcPr>
          <w:p>
            <w:pPr>
              <w:spacing w:after="0" w:line="20" w:lineRule="exact"/>
              <w:rPr>
                <w:sz w:val="1"/>
                <w:szCs w:val="1"/>
                <w:color w:val="auto"/>
              </w:rPr>
            </w:pPr>
          </w:p>
        </w:tc>
        <w:tc>
          <w:tcPr>
            <w:tcW w:w="4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 Derivatives</w:t>
      </w:r>
    </w:p>
    <w:p>
      <w:pPr>
        <w:spacing w:after="0" w:line="175" w:lineRule="exact"/>
        <w:rPr>
          <w:sz w:val="20"/>
          <w:szCs w:val="20"/>
          <w:color w:val="auto"/>
        </w:rPr>
      </w:pPr>
    </w:p>
    <w:p>
      <w:pPr>
        <w:ind w:firstLine="445"/>
        <w:spacing w:after="0" w:line="288" w:lineRule="auto"/>
        <w:rPr>
          <w:sz w:val="20"/>
          <w:szCs w:val="20"/>
          <w:color w:val="auto"/>
        </w:rPr>
      </w:pPr>
      <w:r>
        <w:rPr>
          <w:rFonts w:ascii="Arial" w:cs="Arial" w:eastAsia="Arial" w:hAnsi="Arial"/>
          <w:sz w:val="16"/>
          <w:szCs w:val="16"/>
          <w:i w:val="1"/>
          <w:iCs w:val="1"/>
          <w:color w:val="auto"/>
        </w:rPr>
        <w:t xml:space="preserve">Foreign Exchange Exposure Management </w:t>
      </w:r>
      <w:r>
        <w:rPr>
          <w:rFonts w:ascii="Arial" w:cs="Arial" w:eastAsia="Arial" w:hAnsi="Arial"/>
          <w:sz w:val="16"/>
          <w:szCs w:val="16"/>
          <w:color w:val="auto"/>
        </w:rPr>
        <w:t>— The Company enters into forward foreign currency exchange contracts to offset certain operational and</w:t>
      </w:r>
      <w:r>
        <w:rPr>
          <w:rFonts w:ascii="Arial" w:cs="Arial" w:eastAsia="Arial" w:hAnsi="Arial"/>
          <w:sz w:val="16"/>
          <w:szCs w:val="16"/>
          <w:i w:val="1"/>
          <w:iCs w:val="1"/>
          <w:color w:val="auto"/>
        </w:rPr>
        <w:t xml:space="preserve"> </w:t>
      </w:r>
      <w:r>
        <w:rPr>
          <w:rFonts w:ascii="Arial" w:cs="Arial" w:eastAsia="Arial" w:hAnsi="Arial"/>
          <w:sz w:val="16"/>
          <w:szCs w:val="16"/>
          <w:color w:val="auto"/>
        </w:rPr>
        <w:t>balance sheet exposures from the impact of changes in foreign currency exchange rates. Such exposures result from the portion of the Company’s operations, assets and liabilities that are denominated in currencies other than the U.S. dollar, primarily the Euro; other significant exposures include the British Pound, Philippine Peso and the Japanese Yen. Derivative instruments are employed to eliminate or minimize certain foreign currency exposures that can be confidently identified and quantified. These foreign currency exchange contracts are entered into to support transactions made in the normal course of business, and accordingly, are not speculative in nature. The contracts are for periods consistent with the terms of the underlying transactions, generally one year or less. Hedges related to anticipated transactions are matched with the underlying exposures at inception and designated and documented as cash flow hedges. They are qualitatively evaluated for effectiveness on a quarterly basis. The gain or loss on the derivative is recorded as a component of AOCI in shareholders’ equity and is reclassified into earnings in the same line item on the Consolidated Statements of Income as the impact of the hedged transaction in the same period during which the hedged transaction affects earnings.</w:t>
      </w:r>
    </w:p>
    <w:p>
      <w:pPr>
        <w:spacing w:after="0" w:line="114" w:lineRule="exact"/>
        <w:rPr>
          <w:sz w:val="20"/>
          <w:szCs w:val="20"/>
          <w:color w:val="auto"/>
        </w:rPr>
      </w:pPr>
    </w:p>
    <w:p>
      <w:pPr>
        <w:ind w:right="160" w:firstLine="445"/>
        <w:spacing w:after="0" w:line="259" w:lineRule="auto"/>
        <w:rPr>
          <w:sz w:val="20"/>
          <w:szCs w:val="20"/>
          <w:color w:val="auto"/>
        </w:rPr>
      </w:pPr>
      <w:r>
        <w:rPr>
          <w:rFonts w:ascii="Arial" w:cs="Arial" w:eastAsia="Arial" w:hAnsi="Arial"/>
          <w:sz w:val="18"/>
          <w:szCs w:val="18"/>
          <w:color w:val="auto"/>
        </w:rPr>
        <w:t>The total notional amounts of forward foreign currency derivative instruments designated as hedging instruments of cash flow hedges denominated in Euros, British Pounds, Philippine Pesos and Japanese Yen as of August 1, 2020 and November 2, 2019 were $202.8 million and $191.1 million, respectively. The fair values of forward foreign currency derivative instruments designated as hedging instruments in the Company’s Condensed Consolidated Balance Sheets as of August 1, 2020 and November 2, 2019 were as follows:</w:t>
      </w:r>
    </w:p>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080" w:type="dxa"/>
            <w:vAlign w:val="bottom"/>
          </w:tcPr>
          <w:p>
            <w:pPr>
              <w:spacing w:after="0"/>
              <w:rPr>
                <w:sz w:val="16"/>
                <w:szCs w:val="16"/>
                <w:color w:val="auto"/>
              </w:rPr>
            </w:pPr>
          </w:p>
        </w:tc>
        <w:tc>
          <w:tcPr>
            <w:tcW w:w="37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3060" w:type="dxa"/>
            <w:vAlign w:val="bottom"/>
            <w:tcBorders>
              <w:bottom w:val="single" w:sz="8" w:color="auto"/>
            </w:tcBorders>
            <w:gridSpan w:val="4"/>
          </w:tcPr>
          <w:p>
            <w:pPr>
              <w:jc w:val="right"/>
              <w:ind w:right="1159"/>
              <w:spacing w:after="0"/>
              <w:rPr>
                <w:sz w:val="20"/>
                <w:szCs w:val="20"/>
                <w:color w:val="auto"/>
              </w:rPr>
            </w:pPr>
            <w:r>
              <w:rPr>
                <w:rFonts w:ascii="Arial" w:cs="Arial" w:eastAsia="Arial" w:hAnsi="Arial"/>
                <w:sz w:val="14"/>
                <w:szCs w:val="14"/>
                <w:b w:val="1"/>
                <w:bCs w:val="1"/>
                <w:color w:val="auto"/>
              </w:rPr>
              <w:t>Fair Value At</w:t>
            </w:r>
          </w:p>
        </w:tc>
      </w:tr>
      <w:tr>
        <w:trPr>
          <w:trHeight w:val="197"/>
        </w:trPr>
        <w:tc>
          <w:tcPr>
            <w:tcW w:w="4080" w:type="dxa"/>
            <w:vAlign w:val="bottom"/>
            <w:tcBorders>
              <w:bottom w:val="single" w:sz="8" w:color="CCEEFF"/>
            </w:tcBorders>
          </w:tcPr>
          <w:p>
            <w:pPr>
              <w:spacing w:after="0"/>
              <w:rPr>
                <w:sz w:val="17"/>
                <w:szCs w:val="17"/>
                <w:color w:val="auto"/>
              </w:rPr>
            </w:pPr>
          </w:p>
        </w:tc>
        <w:tc>
          <w:tcPr>
            <w:tcW w:w="3700" w:type="dxa"/>
            <w:vAlign w:val="bottom"/>
            <w:tcBorders>
              <w:bottom w:val="single" w:sz="8" w:color="auto"/>
            </w:tcBorders>
          </w:tcPr>
          <w:p>
            <w:pPr>
              <w:ind w:left="1120"/>
              <w:spacing w:after="0"/>
              <w:rPr>
                <w:sz w:val="20"/>
                <w:szCs w:val="20"/>
                <w:color w:val="auto"/>
              </w:rPr>
            </w:pPr>
            <w:r>
              <w:rPr>
                <w:rFonts w:ascii="Arial" w:cs="Arial" w:eastAsia="Arial" w:hAnsi="Arial"/>
                <w:sz w:val="14"/>
                <w:szCs w:val="14"/>
                <w:b w:val="1"/>
                <w:bCs w:val="1"/>
                <w:color w:val="auto"/>
              </w:rPr>
              <w:t>Balance Sheet Location</w:t>
            </w:r>
          </w:p>
        </w:tc>
        <w:tc>
          <w:tcPr>
            <w:tcW w:w="12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jc w:val="right"/>
              <w:ind w:right="262"/>
              <w:spacing w:after="0"/>
              <w:rPr>
                <w:sz w:val="20"/>
                <w:szCs w:val="20"/>
                <w:color w:val="auto"/>
              </w:rPr>
            </w:pPr>
            <w:r>
              <w:rPr>
                <w:rFonts w:ascii="Arial" w:cs="Arial" w:eastAsia="Arial" w:hAnsi="Arial"/>
                <w:sz w:val="14"/>
                <w:szCs w:val="14"/>
                <w:b w:val="1"/>
                <w:bCs w:val="1"/>
                <w:color w:val="auto"/>
              </w:rPr>
              <w:t>August 1, 2020</w:t>
            </w:r>
          </w:p>
        </w:tc>
        <w:tc>
          <w:tcPr>
            <w:tcW w:w="10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tcPr>
          <w:p>
            <w:pPr>
              <w:jc w:val="right"/>
              <w:ind w:right="179"/>
              <w:spacing w:after="0"/>
              <w:rPr>
                <w:sz w:val="20"/>
                <w:szCs w:val="20"/>
                <w:color w:val="auto"/>
              </w:rPr>
            </w:pPr>
            <w:r>
              <w:rPr>
                <w:rFonts w:ascii="Arial" w:cs="Arial" w:eastAsia="Arial" w:hAnsi="Arial"/>
                <w:sz w:val="14"/>
                <w:szCs w:val="14"/>
                <w:b w:val="1"/>
                <w:bCs w:val="1"/>
                <w:color w:val="auto"/>
                <w:w w:val="95"/>
              </w:rPr>
              <w:t>November 2, 2019</w:t>
            </w:r>
          </w:p>
        </w:tc>
      </w:tr>
      <w:tr>
        <w:trPr>
          <w:trHeight w:val="243"/>
        </w:trPr>
        <w:tc>
          <w:tcPr>
            <w:tcW w:w="4080" w:type="dxa"/>
            <w:vAlign w:val="bottom"/>
            <w:shd w:val="clear" w:color="auto" w:fill="CCEEFF"/>
          </w:tcPr>
          <w:p>
            <w:pPr>
              <w:ind w:left="20"/>
              <w:spacing w:after="0"/>
              <w:rPr>
                <w:sz w:val="20"/>
                <w:szCs w:val="20"/>
                <w:color w:val="auto"/>
              </w:rPr>
            </w:pPr>
            <w:r>
              <w:rPr>
                <w:rFonts w:ascii="Arial" w:cs="Arial" w:eastAsia="Arial" w:hAnsi="Arial"/>
                <w:sz w:val="18"/>
                <w:szCs w:val="18"/>
                <w:color w:val="auto"/>
              </w:rPr>
              <w:t>Forward foreign currency exchange contracts</w:t>
            </w:r>
          </w:p>
        </w:tc>
        <w:tc>
          <w:tcPr>
            <w:tcW w:w="3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Prepaid expenses and other current assets</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360" w:type="dxa"/>
            <w:vAlign w:val="bottom"/>
            <w:shd w:val="clear" w:color="auto" w:fill="CCEEFF"/>
          </w:tcPr>
          <w:p>
            <w:pPr>
              <w:jc w:val="right"/>
              <w:ind w:right="22"/>
              <w:spacing w:after="0"/>
              <w:rPr>
                <w:sz w:val="20"/>
                <w:szCs w:val="20"/>
                <w:color w:val="auto"/>
              </w:rPr>
            </w:pPr>
            <w:r>
              <w:rPr>
                <w:rFonts w:ascii="Arial" w:cs="Arial" w:eastAsia="Arial" w:hAnsi="Arial"/>
                <w:sz w:val="18"/>
                <w:szCs w:val="18"/>
                <w:color w:val="auto"/>
              </w:rPr>
              <w:t>9,811</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shd w:val="clear" w:color="auto" w:fill="CCEEFF"/>
          </w:tcPr>
          <w:p>
            <w:pPr>
              <w:jc w:val="right"/>
              <w:ind w:right="19"/>
              <w:spacing w:after="0"/>
              <w:rPr>
                <w:sz w:val="20"/>
                <w:szCs w:val="20"/>
                <w:color w:val="auto"/>
              </w:rPr>
            </w:pPr>
            <w:r>
              <w:rPr>
                <w:rFonts w:ascii="Arial" w:cs="Arial" w:eastAsia="Arial" w:hAnsi="Arial"/>
                <w:sz w:val="18"/>
                <w:szCs w:val="18"/>
                <w:color w:val="auto"/>
              </w:rPr>
              <w:t>65</w:t>
            </w:r>
          </w:p>
        </w:tc>
      </w:tr>
      <w:tr>
        <w:trPr>
          <w:trHeight w:val="27"/>
        </w:trPr>
        <w:tc>
          <w:tcPr>
            <w:tcW w:w="4080" w:type="dxa"/>
            <w:vAlign w:val="bottom"/>
            <w:shd w:val="clear" w:color="auto" w:fill="CCEEFF"/>
          </w:tcPr>
          <w:p>
            <w:pPr>
              <w:spacing w:after="0"/>
              <w:rPr>
                <w:sz w:val="2"/>
                <w:szCs w:val="2"/>
                <w:color w:val="auto"/>
              </w:rPr>
            </w:pPr>
          </w:p>
        </w:tc>
        <w:tc>
          <w:tcPr>
            <w:tcW w:w="37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3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420" w:type="dxa"/>
            <w:vAlign w:val="bottom"/>
            <w:shd w:val="clear" w:color="auto" w:fill="CCEEFF"/>
          </w:tcPr>
          <w:p>
            <w:pPr>
              <w:spacing w:after="0"/>
              <w:rPr>
                <w:sz w:val="2"/>
                <w:szCs w:val="2"/>
                <w:color w:val="auto"/>
              </w:rPr>
            </w:pPr>
          </w:p>
        </w:tc>
      </w:tr>
    </w:tbl>
    <w:p>
      <w:pPr>
        <w:spacing w:after="0" w:line="148" w:lineRule="exact"/>
        <w:rPr>
          <w:sz w:val="20"/>
          <w:szCs w:val="20"/>
          <w:color w:val="auto"/>
        </w:rPr>
      </w:pPr>
    </w:p>
    <w:p>
      <w:pPr>
        <w:jc w:val="both"/>
        <w:ind w:right="440" w:firstLine="445"/>
        <w:spacing w:after="0" w:line="263" w:lineRule="auto"/>
        <w:rPr>
          <w:sz w:val="20"/>
          <w:szCs w:val="20"/>
          <w:color w:val="auto"/>
        </w:rPr>
      </w:pPr>
      <w:r>
        <w:rPr>
          <w:rFonts w:ascii="Arial" w:cs="Arial" w:eastAsia="Arial" w:hAnsi="Arial"/>
          <w:sz w:val="18"/>
          <w:szCs w:val="18"/>
          <w:color w:val="auto"/>
        </w:rPr>
        <w:t>As of August 1, 2020 and November 2, 2019, the total notional amounts of undesignated hedges related to forward foreign currency exchange contracts were $32.3 million and $55.3 million, respectively. The fair values of these hedging instruments in the Company’s Condensed Consolidated Balance Sheets were immaterial as of August 1, 2020 and November 2, 2019.</w:t>
      </w:r>
    </w:p>
    <w:p>
      <w:pPr>
        <w:spacing w:after="0" w:line="130" w:lineRule="exact"/>
        <w:rPr>
          <w:sz w:val="20"/>
          <w:szCs w:val="20"/>
          <w:color w:val="auto"/>
        </w:rPr>
      </w:pPr>
    </w:p>
    <w:p>
      <w:pPr>
        <w:ind w:right="40" w:firstLine="405"/>
        <w:spacing w:after="0" w:line="311" w:lineRule="auto"/>
        <w:rPr>
          <w:sz w:val="20"/>
          <w:szCs w:val="20"/>
          <w:color w:val="auto"/>
        </w:rPr>
      </w:pPr>
      <w:r>
        <w:rPr>
          <w:rFonts w:ascii="Arial" w:cs="Arial" w:eastAsia="Arial" w:hAnsi="Arial"/>
          <w:sz w:val="16"/>
          <w:szCs w:val="16"/>
          <w:color w:val="auto"/>
        </w:rPr>
        <w:t>All the Company’s derivative financial instruments are eligible for netting arrangements that allow the Company and its counterparties to net settle amounts owed to each other. Derivative assets and liabilities that can be net settled under these arrangements have been presented in the Company's Condensed Consolidated Balance Sheets on a net basis. As of August 1, 2020 and November 2, 2019, none of the netting arrangements involved collateral.</w:t>
      </w:r>
    </w:p>
    <w:p>
      <w:pPr>
        <w:spacing w:after="0" w:line="200" w:lineRule="exact"/>
        <w:rPr>
          <w:sz w:val="20"/>
          <w:szCs w:val="20"/>
          <w:color w:val="auto"/>
        </w:rPr>
      </w:pPr>
    </w:p>
    <w:p>
      <w:pPr>
        <w:spacing w:after="0" w:line="3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7" w:name="page18"/>
    <w:bookmarkEnd w:id="17"/>
    <w:p>
      <w:pPr>
        <w:jc w:val="center"/>
        <w:spacing w:after="0"/>
        <w:rPr>
          <w:sz w:val="20"/>
          <w:szCs w:val="20"/>
          <w:color w:val="auto"/>
        </w:rPr>
      </w:pPr>
      <w:r>
        <w:rPr>
          <w:rFonts w:ascii="Arial" w:cs="Arial" w:eastAsia="Arial" w:hAnsi="Arial"/>
          <w:sz w:val="18"/>
          <w:szCs w:val="18"/>
          <w:b w:val="1"/>
          <w:bCs w:val="1"/>
          <w:color w:val="auto"/>
        </w:rPr>
        <w:t>ANALOG DEVICES,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The following table presents the gross amounts of the Company's forward foreign currency exchange contract derivative assets and liabilities and the net amounts recorded in the Company's Condensed Consolidated Balance Sheets:</w:t>
      </w:r>
    </w:p>
    <w:p>
      <w:pPr>
        <w:spacing w:after="0" w:line="9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0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40" w:type="dxa"/>
            <w:vAlign w:val="bottom"/>
            <w:gridSpan w:val="2"/>
          </w:tcPr>
          <w:p>
            <w:pPr>
              <w:ind w:left="100"/>
              <w:spacing w:after="0"/>
              <w:rPr>
                <w:sz w:val="20"/>
                <w:szCs w:val="20"/>
                <w:color w:val="auto"/>
              </w:rPr>
            </w:pPr>
            <w:r>
              <w:rPr>
                <w:rFonts w:ascii="Arial" w:cs="Arial" w:eastAsia="Arial" w:hAnsi="Arial"/>
                <w:sz w:val="14"/>
                <w:szCs w:val="14"/>
                <w:b w:val="1"/>
                <w:bCs w:val="1"/>
                <w:color w:val="auto"/>
              </w:rPr>
              <w:t>August 1, 2020</w:t>
            </w:r>
          </w:p>
        </w:tc>
        <w:tc>
          <w:tcPr>
            <w:tcW w:w="160" w:type="dxa"/>
            <w:vAlign w:val="bottom"/>
          </w:tcPr>
          <w:p>
            <w:pPr>
              <w:spacing w:after="0"/>
              <w:rPr>
                <w:sz w:val="16"/>
                <w:szCs w:val="16"/>
                <w:color w:val="auto"/>
              </w:rPr>
            </w:pPr>
          </w:p>
        </w:tc>
        <w:tc>
          <w:tcPr>
            <w:tcW w:w="1380" w:type="dxa"/>
            <w:vAlign w:val="bottom"/>
          </w:tcPr>
          <w:p>
            <w:pPr>
              <w:jc w:val="right"/>
              <w:ind w:right="135"/>
              <w:spacing w:after="0"/>
              <w:rPr>
                <w:sz w:val="20"/>
                <w:szCs w:val="20"/>
                <w:color w:val="auto"/>
              </w:rPr>
            </w:pPr>
            <w:r>
              <w:rPr>
                <w:rFonts w:ascii="Arial" w:cs="Arial" w:eastAsia="Arial" w:hAnsi="Arial"/>
                <w:sz w:val="14"/>
                <w:szCs w:val="14"/>
                <w:b w:val="1"/>
                <w:bCs w:val="1"/>
                <w:color w:val="auto"/>
                <w:w w:val="95"/>
              </w:rPr>
              <w:t>November 2, 2019</w:t>
            </w:r>
          </w:p>
        </w:tc>
      </w:tr>
      <w:tr>
        <w:trPr>
          <w:trHeight w:val="250"/>
        </w:trPr>
        <w:tc>
          <w:tcPr>
            <w:tcW w:w="80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Gross amount of recognized assets</w:t>
            </w:r>
          </w:p>
        </w:tc>
        <w:tc>
          <w:tcPr>
            <w:tcW w:w="20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340" w:type="dxa"/>
            <w:vAlign w:val="bottom"/>
            <w:tcBorders>
              <w:top w:val="single" w:sz="8" w:color="auto"/>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10,059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2,828</w:t>
            </w:r>
          </w:p>
        </w:tc>
      </w:tr>
      <w:tr>
        <w:trPr>
          <w:trHeight w:val="243"/>
        </w:trPr>
        <w:tc>
          <w:tcPr>
            <w:tcW w:w="8060" w:type="dxa"/>
            <w:vAlign w:val="bottom"/>
          </w:tcPr>
          <w:p>
            <w:pPr>
              <w:ind w:left="20"/>
              <w:spacing w:after="0"/>
              <w:rPr>
                <w:sz w:val="20"/>
                <w:szCs w:val="20"/>
                <w:color w:val="auto"/>
              </w:rPr>
            </w:pPr>
            <w:r>
              <w:rPr>
                <w:rFonts w:ascii="Arial" w:cs="Arial" w:eastAsia="Arial" w:hAnsi="Arial"/>
                <w:sz w:val="18"/>
                <w:szCs w:val="18"/>
                <w:color w:val="auto"/>
              </w:rPr>
              <w:t>Gross amounts of recognized liabilities offset in the Condensed Consolidated Balance Sheets</w:t>
            </w:r>
          </w:p>
        </w:tc>
        <w:tc>
          <w:tcPr>
            <w:tcW w:w="20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(1,659)</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(2,828)</w:t>
            </w:r>
          </w:p>
        </w:tc>
      </w:tr>
      <w:tr>
        <w:trPr>
          <w:trHeight w:val="27"/>
        </w:trPr>
        <w:tc>
          <w:tcPr>
            <w:tcW w:w="806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89"/>
        </w:trPr>
        <w:tc>
          <w:tcPr>
            <w:tcW w:w="80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assets presented in the Condensed Consolidated Balance Sheets</w:t>
            </w: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8,400</w:t>
            </w:r>
          </w:p>
        </w:tc>
        <w:tc>
          <w:tcPr>
            <w:tcW w:w="10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0"/>
        </w:trPr>
        <w:tc>
          <w:tcPr>
            <w:tcW w:w="80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ind w:right="180" w:firstLine="445"/>
        <w:spacing w:after="0" w:line="308" w:lineRule="auto"/>
        <w:rPr>
          <w:sz w:val="20"/>
          <w:szCs w:val="20"/>
          <w:color w:val="auto"/>
        </w:rPr>
      </w:pPr>
      <w:r>
        <w:rPr>
          <w:rFonts w:ascii="Arial" w:cs="Arial" w:eastAsia="Arial" w:hAnsi="Arial"/>
          <w:sz w:val="17"/>
          <w:szCs w:val="17"/>
          <w:color w:val="auto"/>
        </w:rPr>
        <w:t>As of August 1, 2020 and November 2, 2019, the fair value of the interest rate swap agreement designated as a cash flow hedge was $258.1 million and $138.8 million, respectively, and is included within Accrued liabilities in the Company's Condensed Consolidated Balance Sheets.</w:t>
      </w:r>
    </w:p>
    <w:p>
      <w:pPr>
        <w:spacing w:after="0" w:line="92" w:lineRule="exact"/>
        <w:rPr>
          <w:sz w:val="20"/>
          <w:szCs w:val="20"/>
          <w:color w:val="auto"/>
        </w:rPr>
      </w:pPr>
    </w:p>
    <w:p>
      <w:pPr>
        <w:ind w:right="40" w:firstLine="445"/>
        <w:spacing w:after="0" w:line="269" w:lineRule="auto"/>
        <w:rPr>
          <w:sz w:val="20"/>
          <w:szCs w:val="20"/>
          <w:color w:val="auto"/>
        </w:rPr>
      </w:pPr>
      <w:r>
        <w:rPr>
          <w:rFonts w:ascii="Arial" w:cs="Arial" w:eastAsia="Arial" w:hAnsi="Arial"/>
          <w:sz w:val="17"/>
          <w:szCs w:val="17"/>
          <w:color w:val="auto"/>
        </w:rPr>
        <w:t>The market risk associated with the Company’s derivative instruments results from currency exchange rate or interest rate movements that are expected to offset the market risk of the underlying transactions, assets and liabilities being hedged. The counterparties to the agreements relating to the Company’s derivative instruments consist of a number of major international financial institutions with high credit ratings. Based on the credit ratings of the Company’s counterparties as of August 1, 2020 and November 2, 2019, nonperformance is not perceived to be a material risk. Furthermore, none of the Company’s derivatives are subject to collateral or other security arrangements and none contain provisions that are dependent on the Company’s credit ratings from any credit rating agency. While the contract or notional amounts of derivative financial instruments provide one measure of the volume of these transactions, they do not represent the amount of the Company’s exposure to credit risk. The amounts potentially subject to credit risk (arising from the possible inability of counterparties to meet the terms of their contracts) are generally limited to the amounts, if any, by which the counterparties’ obligations under the contracts exceed the obligations of the Company to the counterparties. As a result of the above considerations, the Company does not consider the risk of counterparty default to be significant.</w:t>
      </w:r>
    </w:p>
    <w:p>
      <w:pPr>
        <w:spacing w:after="0" w:line="131" w:lineRule="exact"/>
        <w:rPr>
          <w:sz w:val="20"/>
          <w:szCs w:val="20"/>
          <w:color w:val="auto"/>
        </w:rPr>
      </w:pPr>
    </w:p>
    <w:p>
      <w:pPr>
        <w:ind w:right="280" w:firstLine="445"/>
        <w:spacing w:after="0" w:line="263" w:lineRule="auto"/>
        <w:rPr>
          <w:sz w:val="20"/>
          <w:szCs w:val="20"/>
          <w:color w:val="auto"/>
        </w:rPr>
      </w:pPr>
      <w:r>
        <w:rPr>
          <w:rFonts w:ascii="Arial" w:cs="Arial" w:eastAsia="Arial" w:hAnsi="Arial"/>
          <w:sz w:val="18"/>
          <w:szCs w:val="18"/>
          <w:color w:val="auto"/>
        </w:rPr>
        <w:t xml:space="preserve">For information on the unrealized holding gains (losses) on derivatives included in and reclassified out of AOCI into the Condensed Consolidated Statements of Income related to forward foreign currency exchange contracts, see Note 4, </w:t>
      </w:r>
      <w:r>
        <w:rPr>
          <w:rFonts w:ascii="Arial" w:cs="Arial" w:eastAsia="Arial" w:hAnsi="Arial"/>
          <w:sz w:val="18"/>
          <w:szCs w:val="18"/>
          <w:i w:val="1"/>
          <w:iCs w:val="1"/>
          <w:color w:val="auto"/>
        </w:rPr>
        <w:t>Accumulated Other Comprehensive (Loss) Income,</w:t>
      </w:r>
      <w:r>
        <w:rPr>
          <w:rFonts w:ascii="Arial" w:cs="Arial" w:eastAsia="Arial" w:hAnsi="Arial"/>
          <w:sz w:val="18"/>
          <w:szCs w:val="18"/>
          <w:color w:val="auto"/>
        </w:rPr>
        <w:t xml:space="preserve"> in these Notes to Condensed Consolidated Financial Statements for further information.</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 Debt</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Term Loan Agreement</w:t>
      </w:r>
    </w:p>
    <w:p>
      <w:pPr>
        <w:spacing w:after="0" w:line="117" w:lineRule="exact"/>
        <w:rPr>
          <w:sz w:val="20"/>
          <w:szCs w:val="20"/>
          <w:color w:val="auto"/>
        </w:rPr>
      </w:pPr>
    </w:p>
    <w:p>
      <w:pPr>
        <w:ind w:right="40" w:firstLine="445"/>
        <w:spacing w:after="0" w:line="255" w:lineRule="auto"/>
        <w:rPr>
          <w:sz w:val="20"/>
          <w:szCs w:val="20"/>
          <w:color w:val="auto"/>
        </w:rPr>
      </w:pPr>
      <w:r>
        <w:rPr>
          <w:rFonts w:ascii="Arial" w:cs="Arial" w:eastAsia="Arial" w:hAnsi="Arial"/>
          <w:sz w:val="18"/>
          <w:szCs w:val="18"/>
          <w:color w:val="auto"/>
        </w:rPr>
        <w:t>On June 28, 2019, the Company entered into a term loan credit agreement (Term Loan Agreement) with the Company as the borrower and JPMorgan Chase Bank, N.A. as administrative agent and the other banks identified therein as lenders, for an unsecured term loan facility in the principal amount of $1.25 billion, maturing on March 10, 2022. Loans under the term loan facility bear interest, at the Company’s option, at either a rate equal to (a) the Adjusted LIBO Rate (as defined in the Term Loan Agreement) plus a margin based on the Company’s debt rating or (b) the Base Rate (defined as the highest of (i) the prime rate, (ii) the NYFRB Rate (as defined in the Term Loan Agreement) plus .50%, and (iii) one month Adjusted LIBO Rate plus 1.00%) plus a margin based on the Company’s debt rating.</w:t>
      </w:r>
    </w:p>
    <w:p>
      <w:pPr>
        <w:spacing w:after="0" w:line="84" w:lineRule="exact"/>
        <w:rPr>
          <w:sz w:val="20"/>
          <w:szCs w:val="20"/>
          <w:color w:val="auto"/>
        </w:rPr>
      </w:pPr>
    </w:p>
    <w:p>
      <w:pPr>
        <w:ind w:right="60" w:firstLine="486"/>
        <w:spacing w:after="0" w:line="290" w:lineRule="auto"/>
        <w:rPr>
          <w:sz w:val="20"/>
          <w:szCs w:val="20"/>
          <w:color w:val="auto"/>
        </w:rPr>
      </w:pPr>
      <w:r>
        <w:rPr>
          <w:rFonts w:ascii="Arial" w:cs="Arial" w:eastAsia="Arial" w:hAnsi="Arial"/>
          <w:sz w:val="16"/>
          <w:szCs w:val="16"/>
          <w:color w:val="auto"/>
        </w:rPr>
        <w:t>The Term Loan Agreement contains customary representations and warranties, affirmative and negative covenants and events of default applicable to the Company and its subsidiaries. The events of default include, among others, nonpayment of principal, interest, fees or other amounts, failure to perform certain covenants, cross-defaults to certain other indebtedness, insolvency or bankruptcy, customary ERISA defaults or the occurrence of a change of control. The negative covenants include limitations on liens, indebtedness of non-guarantor subsidiaries and mergers and other fundamental changes, among others. The Term Loan Agreement also requires the Company to maintain a consolidated leverage ratio of total consolidated funded debt to consolidated EBITDA (earnings before interest, taxes, depreciation, and amortization) for a trailing twelve-month period of not greater than 3.5 to 1.0, assuming the Company does not undertake any significant acquisitions, mergers, and other fundamental changes. Should such a change occur, the Company may be authorized to increase the covenant back to 4.0 to 1.0. As of August 1, 2020, the Company was compliant with these covenants.</w:t>
      </w:r>
    </w:p>
    <w:p>
      <w:pPr>
        <w:spacing w:after="0" w:line="200" w:lineRule="exact"/>
        <w:rPr>
          <w:sz w:val="20"/>
          <w:szCs w:val="20"/>
          <w:color w:val="auto"/>
        </w:rPr>
      </w:pPr>
    </w:p>
    <w:p>
      <w:pPr>
        <w:spacing w:after="0" w:line="3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8" w:name="page19"/>
    <w:bookmarkEnd w:id="18"/>
    <w:p>
      <w:pPr>
        <w:jc w:val="center"/>
        <w:ind w:right="-39"/>
        <w:spacing w:after="0"/>
        <w:rPr>
          <w:sz w:val="20"/>
          <w:szCs w:val="20"/>
          <w:color w:val="auto"/>
        </w:rPr>
      </w:pPr>
      <w:r>
        <w:rPr>
          <w:rFonts w:ascii="Arial" w:cs="Arial" w:eastAsia="Arial" w:hAnsi="Arial"/>
          <w:sz w:val="18"/>
          <w:szCs w:val="18"/>
          <w:b w:val="1"/>
          <w:bCs w:val="1"/>
          <w:color w:val="auto"/>
        </w:rPr>
        <w:t>ANALOG DEVICES, INC.</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200" w:lineRule="exact"/>
        <w:rPr>
          <w:sz w:val="20"/>
          <w:szCs w:val="20"/>
          <w:color w:val="auto"/>
        </w:rPr>
      </w:pPr>
    </w:p>
    <w:p>
      <w:pPr>
        <w:spacing w:after="0" w:line="36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Senior Notes</w:t>
      </w:r>
    </w:p>
    <w:p>
      <w:pPr>
        <w:spacing w:after="0" w:line="117" w:lineRule="exact"/>
        <w:rPr>
          <w:sz w:val="20"/>
          <w:szCs w:val="20"/>
          <w:color w:val="auto"/>
        </w:rPr>
      </w:pPr>
    </w:p>
    <w:p>
      <w:pPr>
        <w:ind w:right="80" w:firstLine="486"/>
        <w:spacing w:after="0" w:line="269" w:lineRule="auto"/>
        <w:rPr>
          <w:sz w:val="20"/>
          <w:szCs w:val="20"/>
          <w:color w:val="auto"/>
        </w:rPr>
      </w:pPr>
      <w:r>
        <w:rPr>
          <w:rFonts w:ascii="Arial" w:cs="Arial" w:eastAsia="Arial" w:hAnsi="Arial"/>
          <w:sz w:val="17"/>
          <w:szCs w:val="17"/>
          <w:color w:val="auto"/>
        </w:rPr>
        <w:t>On April 8, 2020, in an underwritten public offering, the Company issued its first green bond consisting of $400.0 million aggregate principal amount of 2.95% senior unsecured notes due April 1, 2025 (the 2025 Notes). Interest on the 2025 Notes is payable on April 1 and October 1 of each year, beginning on October 1, 2020. The Company intends to use the net proceeds of $395.6 million from the green bond offering to finance or refinance, in whole or in part, one or more new or existing eligible projects involving renewable energy, energy efficiency, green buildings, sustainable water and wastewater management, pollution prevention and control, clean transportation or eco-efficient and/or circular economy adapted products, production technologies and processes. Debt discount and underwriting fees will be amortized over the life of the debt. At any time prior to March 1, 2025, the Company may, at its option, redeem some or all of the 2025 Notes at a redemption price equal to the greater of 100% of the principal amount of the 2025 Notes being redeemed and the make-whole premium, plus accrued and unpaid interest on the 2025 Notes being redeemed, if any, to but excluding the date of redemption. The 2025 Notes are unsecured and rank equally in right of payment with all of the Company's other existing and future unsecured senior indebtedness. The 2025 Notes were issued pursuant to an indenture, as supplemented by a supplemental indenture, and the indenture and supplemental indenture contain certain covenants, events of default and other customary provisions. As of August 1, 2020, the Company was in compliance with these covenants.</w:t>
      </w:r>
    </w:p>
    <w:p>
      <w:pPr>
        <w:spacing w:after="0" w:line="71" w:lineRule="exact"/>
        <w:rPr>
          <w:sz w:val="20"/>
          <w:szCs w:val="20"/>
          <w:color w:val="auto"/>
        </w:rPr>
      </w:pPr>
    </w:p>
    <w:p>
      <w:pPr>
        <w:ind w:left="500"/>
        <w:spacing w:after="0"/>
        <w:rPr>
          <w:sz w:val="20"/>
          <w:szCs w:val="20"/>
          <w:color w:val="auto"/>
        </w:rPr>
      </w:pPr>
      <w:r>
        <w:rPr>
          <w:rFonts w:ascii="Arial" w:cs="Arial" w:eastAsia="Arial" w:hAnsi="Arial"/>
          <w:sz w:val="16"/>
          <w:szCs w:val="16"/>
          <w:color w:val="auto"/>
        </w:rPr>
        <w:t>On March 12, 2020, the Company repaid $300.0 million of principal on its 2.85% senior unsecured notes that were contractually due in March 2020.</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This obligation has been paid in full and is no longer outstanding.</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Revolving Credit Agreement</w:t>
      </w:r>
    </w:p>
    <w:p>
      <w:pPr>
        <w:spacing w:after="0" w:line="117" w:lineRule="exact"/>
        <w:rPr>
          <w:sz w:val="20"/>
          <w:szCs w:val="20"/>
          <w:color w:val="auto"/>
        </w:rPr>
      </w:pPr>
    </w:p>
    <w:p>
      <w:pPr>
        <w:ind w:left="500"/>
        <w:spacing w:after="0"/>
        <w:rPr>
          <w:sz w:val="20"/>
          <w:szCs w:val="20"/>
          <w:color w:val="auto"/>
        </w:rPr>
      </w:pPr>
      <w:r>
        <w:rPr>
          <w:rFonts w:ascii="Arial" w:cs="Arial" w:eastAsia="Arial" w:hAnsi="Arial"/>
          <w:sz w:val="16"/>
          <w:szCs w:val="16"/>
          <w:color w:val="auto"/>
        </w:rPr>
        <w:t>On June 28, 2019, the Company entered into a second amended and restated revolving credit agreement (Revolving Credit Agreement) with the</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Company as borrower and Bank of America, N.A. as administrative agent and the other banks identified therein as lenders, which further amended and</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restated its amended and restated revolving credit agreement dated as of September 23, 2016. The Revolving Credit Agreement provides for a five</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year unsecured revolving credit facility in an aggregate principal amount of up to $1.25 billion, expiring on June 28, 2024. In March 2020, the Company</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borrowed $350.0 million under this revolving credit facility and utilized the proceeds for the repayment of existing indebtedness and working capital</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requirements. The Company repaid the $350.0 million plus interest of $0.6 million in April 2020.</w:t>
      </w:r>
    </w:p>
    <w:p>
      <w:pPr>
        <w:spacing w:after="0" w:line="103" w:lineRule="exact"/>
        <w:rPr>
          <w:sz w:val="20"/>
          <w:szCs w:val="20"/>
          <w:color w:val="auto"/>
        </w:rPr>
      </w:pPr>
    </w:p>
    <w:p>
      <w:pPr>
        <w:ind w:right="460" w:firstLine="486"/>
        <w:spacing w:after="0" w:line="308" w:lineRule="auto"/>
        <w:rPr>
          <w:sz w:val="20"/>
          <w:szCs w:val="20"/>
          <w:color w:val="auto"/>
        </w:rPr>
      </w:pPr>
      <w:r>
        <w:rPr>
          <w:rFonts w:ascii="Arial" w:cs="Arial" w:eastAsia="Arial" w:hAnsi="Arial"/>
          <w:sz w:val="17"/>
          <w:szCs w:val="17"/>
          <w:color w:val="auto"/>
        </w:rPr>
        <w:t>The Revolving Credit Agreement contains the customary representations and warranties, and affirmative and negative covenants and events of default applicable to the Company and its subsidiaries. As of August 1, 2020, the Company was in compliance with these covenants.</w:t>
      </w:r>
    </w:p>
    <w:p>
      <w:pPr>
        <w:spacing w:after="0" w:line="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 – Inventories</w:t>
      </w:r>
    </w:p>
    <w:p>
      <w:pPr>
        <w:spacing w:after="0" w:line="17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Inventories at August 1, 2020 and November 2, 2019 were as follows:</w:t>
      </w:r>
    </w:p>
    <w:p>
      <w:pPr>
        <w:spacing w:after="0" w:line="5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3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680" w:type="dxa"/>
            <w:vAlign w:val="bottom"/>
            <w:gridSpan w:val="2"/>
          </w:tcPr>
          <w:p>
            <w:pPr>
              <w:ind w:left="180"/>
              <w:spacing w:after="0"/>
              <w:rPr>
                <w:sz w:val="20"/>
                <w:szCs w:val="20"/>
                <w:color w:val="auto"/>
              </w:rPr>
            </w:pPr>
            <w:r>
              <w:rPr>
                <w:rFonts w:ascii="Arial" w:cs="Arial" w:eastAsia="Arial" w:hAnsi="Arial"/>
                <w:sz w:val="14"/>
                <w:szCs w:val="14"/>
                <w:b w:val="1"/>
                <w:bCs w:val="1"/>
                <w:color w:val="auto"/>
              </w:rPr>
              <w:t>August 1, 2020</w:t>
            </w:r>
          </w:p>
        </w:tc>
        <w:tc>
          <w:tcPr>
            <w:tcW w:w="240" w:type="dxa"/>
            <w:vAlign w:val="bottom"/>
          </w:tcPr>
          <w:p>
            <w:pPr>
              <w:spacing w:after="0"/>
              <w:rPr>
                <w:sz w:val="16"/>
                <w:szCs w:val="16"/>
                <w:color w:val="auto"/>
              </w:rPr>
            </w:pPr>
          </w:p>
        </w:tc>
        <w:tc>
          <w:tcPr>
            <w:tcW w:w="1640" w:type="dxa"/>
            <w:vAlign w:val="bottom"/>
          </w:tcPr>
          <w:p>
            <w:pPr>
              <w:jc w:val="right"/>
              <w:ind w:right="294"/>
              <w:spacing w:after="0"/>
              <w:rPr>
                <w:sz w:val="20"/>
                <w:szCs w:val="20"/>
                <w:color w:val="auto"/>
              </w:rPr>
            </w:pPr>
            <w:r>
              <w:rPr>
                <w:rFonts w:ascii="Arial" w:cs="Arial" w:eastAsia="Arial" w:hAnsi="Arial"/>
                <w:sz w:val="14"/>
                <w:szCs w:val="14"/>
                <w:b w:val="1"/>
                <w:bCs w:val="1"/>
                <w:color w:val="auto"/>
              </w:rPr>
              <w:t>November 2, 2019</w:t>
            </w:r>
          </w:p>
        </w:tc>
      </w:tr>
      <w:tr>
        <w:trPr>
          <w:trHeight w:val="250"/>
        </w:trPr>
        <w:tc>
          <w:tcPr>
            <w:tcW w:w="73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Raw materials</w:t>
            </w:r>
          </w:p>
        </w:tc>
        <w:tc>
          <w:tcPr>
            <w:tcW w:w="300" w:type="dxa"/>
            <w:vAlign w:val="bottom"/>
            <w:tcBorders>
              <w:top w:val="single" w:sz="8" w:color="auto"/>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58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33,234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6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35,447</w:t>
            </w:r>
          </w:p>
        </w:tc>
      </w:tr>
      <w:tr>
        <w:trPr>
          <w:trHeight w:val="243"/>
        </w:trPr>
        <w:tc>
          <w:tcPr>
            <w:tcW w:w="7340" w:type="dxa"/>
            <w:vAlign w:val="bottom"/>
          </w:tcPr>
          <w:p>
            <w:pPr>
              <w:ind w:left="20"/>
              <w:spacing w:after="0"/>
              <w:rPr>
                <w:sz w:val="20"/>
                <w:szCs w:val="20"/>
                <w:color w:val="auto"/>
              </w:rPr>
            </w:pPr>
            <w:r>
              <w:rPr>
                <w:rFonts w:ascii="Arial" w:cs="Arial" w:eastAsia="Arial" w:hAnsi="Arial"/>
                <w:sz w:val="18"/>
                <w:szCs w:val="18"/>
                <w:color w:val="auto"/>
              </w:rPr>
              <w:t>Work in process</w:t>
            </w:r>
          </w:p>
        </w:tc>
        <w:tc>
          <w:tcPr>
            <w:tcW w:w="300" w:type="dxa"/>
            <w:vAlign w:val="bottom"/>
          </w:tcPr>
          <w:p>
            <w:pPr>
              <w:spacing w:after="0"/>
              <w:rPr>
                <w:sz w:val="21"/>
                <w:szCs w:val="21"/>
                <w:color w:val="auto"/>
              </w:rPr>
            </w:pPr>
          </w:p>
        </w:tc>
        <w:tc>
          <w:tcPr>
            <w:tcW w:w="1580" w:type="dxa"/>
            <w:vAlign w:val="bottom"/>
          </w:tcPr>
          <w:p>
            <w:pPr>
              <w:jc w:val="right"/>
              <w:ind w:right="14"/>
              <w:spacing w:after="0"/>
              <w:rPr>
                <w:sz w:val="20"/>
                <w:szCs w:val="20"/>
                <w:color w:val="auto"/>
              </w:rPr>
            </w:pPr>
            <w:r>
              <w:rPr>
                <w:rFonts w:ascii="Arial" w:cs="Arial" w:eastAsia="Arial" w:hAnsi="Arial"/>
                <w:sz w:val="18"/>
                <w:szCs w:val="18"/>
                <w:color w:val="auto"/>
              </w:rPr>
              <w:t>446,136</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400,409</w:t>
            </w:r>
          </w:p>
        </w:tc>
      </w:tr>
      <w:tr>
        <w:trPr>
          <w:trHeight w:val="27"/>
        </w:trPr>
        <w:tc>
          <w:tcPr>
            <w:tcW w:w="73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40" w:type="dxa"/>
            <w:vAlign w:val="bottom"/>
          </w:tcPr>
          <w:p>
            <w:pPr>
              <w:spacing w:after="0"/>
              <w:rPr>
                <w:sz w:val="2"/>
                <w:szCs w:val="2"/>
                <w:color w:val="auto"/>
              </w:rPr>
            </w:pPr>
          </w:p>
        </w:tc>
      </w:tr>
      <w:tr>
        <w:trPr>
          <w:trHeight w:val="270"/>
        </w:trPr>
        <w:tc>
          <w:tcPr>
            <w:tcW w:w="7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Finished goods</w:t>
            </w:r>
          </w:p>
        </w:tc>
        <w:tc>
          <w:tcPr>
            <w:tcW w:w="300" w:type="dxa"/>
            <w:vAlign w:val="bottom"/>
            <w:tcBorders>
              <w:bottom w:val="single" w:sz="8" w:color="CCEEFF"/>
            </w:tcBorders>
            <w:shd w:val="clear" w:color="auto" w:fill="CCEEFF"/>
          </w:tcPr>
          <w:p>
            <w:pPr>
              <w:spacing w:after="0"/>
              <w:rPr>
                <w:sz w:val="23"/>
                <w:szCs w:val="23"/>
                <w:color w:val="auto"/>
              </w:rPr>
            </w:pPr>
          </w:p>
        </w:tc>
        <w:tc>
          <w:tcPr>
            <w:tcW w:w="15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133,276</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174,030</w:t>
            </w:r>
          </w:p>
        </w:tc>
      </w:tr>
      <w:tr>
        <w:trPr>
          <w:trHeight w:val="263"/>
        </w:trPr>
        <w:tc>
          <w:tcPr>
            <w:tcW w:w="7340" w:type="dxa"/>
            <w:vAlign w:val="bottom"/>
          </w:tcPr>
          <w:p>
            <w:pPr>
              <w:ind w:left="120"/>
              <w:spacing w:after="0"/>
              <w:rPr>
                <w:sz w:val="20"/>
                <w:szCs w:val="20"/>
                <w:color w:val="auto"/>
              </w:rPr>
            </w:pPr>
            <w:r>
              <w:rPr>
                <w:rFonts w:ascii="Arial" w:cs="Arial" w:eastAsia="Arial" w:hAnsi="Arial"/>
                <w:sz w:val="18"/>
                <w:szCs w:val="18"/>
                <w:color w:val="auto"/>
              </w:rPr>
              <w:t>Total inventories</w:t>
            </w: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58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612,646</w:t>
            </w:r>
          </w:p>
        </w:tc>
        <w:tc>
          <w:tcPr>
            <w:tcW w:w="100" w:type="dxa"/>
            <w:vAlign w:val="bottom"/>
          </w:tcPr>
          <w:p>
            <w:pPr>
              <w:spacing w:after="0"/>
              <w:rPr>
                <w:sz w:val="22"/>
                <w:szCs w:val="22"/>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609,886</w:t>
            </w:r>
          </w:p>
        </w:tc>
      </w:tr>
      <w:tr>
        <w:trPr>
          <w:trHeight w:val="20"/>
        </w:trPr>
        <w:tc>
          <w:tcPr>
            <w:tcW w:w="73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13 – Income Taxes</w:t>
      </w:r>
    </w:p>
    <w:p>
      <w:pPr>
        <w:spacing w:after="0" w:line="175" w:lineRule="exact"/>
        <w:rPr>
          <w:sz w:val="20"/>
          <w:szCs w:val="20"/>
          <w:color w:val="auto"/>
        </w:rPr>
      </w:pPr>
    </w:p>
    <w:p>
      <w:pPr>
        <w:jc w:val="both"/>
        <w:ind w:right="40" w:firstLine="445"/>
        <w:spacing w:after="0" w:line="342" w:lineRule="auto"/>
        <w:rPr>
          <w:sz w:val="20"/>
          <w:szCs w:val="20"/>
          <w:color w:val="auto"/>
        </w:rPr>
      </w:pPr>
      <w:r>
        <w:rPr>
          <w:rFonts w:ascii="Arial" w:cs="Arial" w:eastAsia="Arial" w:hAnsi="Arial"/>
          <w:sz w:val="16"/>
          <w:szCs w:val="16"/>
          <w:color w:val="auto"/>
        </w:rPr>
        <w:t>The Company’s effective tax rates for the three- and nine-month periods ended August 1, 2020 and August 3, 2019 were below the U.S. statutory tax rate of 21.0%, due to lower statutory tax rates applicable to the Company's operations in the foreign jurisdictions in which it earns income.</w:t>
      </w:r>
    </w:p>
    <w:p>
      <w:pPr>
        <w:spacing w:after="0" w:line="70" w:lineRule="exact"/>
        <w:rPr>
          <w:sz w:val="20"/>
          <w:szCs w:val="20"/>
          <w:color w:val="auto"/>
        </w:rPr>
      </w:pPr>
    </w:p>
    <w:p>
      <w:pPr>
        <w:jc w:val="both"/>
        <w:ind w:right="540" w:firstLine="445"/>
        <w:spacing w:after="0" w:line="259" w:lineRule="auto"/>
        <w:rPr>
          <w:sz w:val="20"/>
          <w:szCs w:val="20"/>
          <w:color w:val="auto"/>
        </w:rPr>
      </w:pPr>
      <w:r>
        <w:rPr>
          <w:rFonts w:ascii="Arial" w:cs="Arial" w:eastAsia="Arial" w:hAnsi="Arial"/>
          <w:sz w:val="18"/>
          <w:szCs w:val="18"/>
          <w:color w:val="auto"/>
        </w:rPr>
        <w:t>The tax rates for the three- and nine-month periods ended August 1, 2020 were also impacted by discrete income tax benefits of $33.7 million recorded in the third quarter of fiscal 2020, comprised primarily of $25.9 million of income tax benefits resulting from the resolution of the Internal Revenue Service (IRS) audit of Linear’s pre-acquisition federal income tax returns for Linear's fiscal years 2015 through 2017 and other income tax benefits recorded upon filing of the Company's federal income tax return for fiscal 2019.</w:t>
      </w:r>
    </w:p>
    <w:p>
      <w:pPr>
        <w:spacing w:after="0" w:line="133" w:lineRule="exact"/>
        <w:rPr>
          <w:sz w:val="20"/>
          <w:szCs w:val="20"/>
          <w:color w:val="auto"/>
        </w:rPr>
      </w:pPr>
    </w:p>
    <w:p>
      <w:pPr>
        <w:ind w:right="300" w:firstLine="445"/>
        <w:spacing w:after="0" w:line="308" w:lineRule="auto"/>
        <w:rPr>
          <w:sz w:val="20"/>
          <w:szCs w:val="20"/>
          <w:color w:val="auto"/>
        </w:rPr>
      </w:pPr>
      <w:r>
        <w:rPr>
          <w:rFonts w:ascii="Arial" w:cs="Arial" w:eastAsia="Arial" w:hAnsi="Arial"/>
          <w:sz w:val="17"/>
          <w:szCs w:val="17"/>
          <w:color w:val="auto"/>
        </w:rPr>
        <w:t>The Company has numerous audits ongoing throughout the world including: an IRS income tax audit for the fiscal year ended November 3, 2018 (fiscal 2018); various U.S. state and local tax audits; and international audits, including the transfer pricing audit in Ireland discussed below.</w:t>
      </w:r>
    </w:p>
    <w:p>
      <w:pPr>
        <w:spacing w:after="0" w:line="200" w:lineRule="exact"/>
        <w:rPr>
          <w:sz w:val="20"/>
          <w:szCs w:val="20"/>
          <w:color w:val="auto"/>
        </w:rPr>
      </w:pPr>
    </w:p>
    <w:p>
      <w:pPr>
        <w:spacing w:after="0" w:line="28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9" w:name="page20"/>
    <w:bookmarkEnd w:id="19"/>
    <w:p>
      <w:pPr>
        <w:jc w:val="center"/>
        <w:ind w:right="-19"/>
        <w:spacing w:after="0"/>
        <w:rPr>
          <w:sz w:val="20"/>
          <w:szCs w:val="20"/>
          <w:color w:val="auto"/>
        </w:rPr>
      </w:pPr>
      <w:r>
        <w:rPr>
          <w:rFonts w:ascii="Arial" w:cs="Arial" w:eastAsia="Arial" w:hAnsi="Arial"/>
          <w:sz w:val="18"/>
          <w:szCs w:val="18"/>
          <w:b w:val="1"/>
          <w:bCs w:val="1"/>
          <w:color w:val="auto"/>
        </w:rPr>
        <w:t>ANALOG DEVICES,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200" w:lineRule="exact"/>
        <w:rPr>
          <w:sz w:val="20"/>
          <w:szCs w:val="20"/>
          <w:color w:val="auto"/>
        </w:rPr>
      </w:pPr>
    </w:p>
    <w:p>
      <w:pPr>
        <w:spacing w:after="0" w:line="362" w:lineRule="exact"/>
        <w:rPr>
          <w:sz w:val="20"/>
          <w:szCs w:val="20"/>
          <w:color w:val="auto"/>
        </w:rPr>
      </w:pPr>
    </w:p>
    <w:p>
      <w:pPr>
        <w:ind w:right="20" w:firstLine="445"/>
        <w:spacing w:after="0" w:line="268" w:lineRule="auto"/>
        <w:rPr>
          <w:sz w:val="20"/>
          <w:szCs w:val="20"/>
          <w:color w:val="auto"/>
        </w:rPr>
      </w:pPr>
      <w:r>
        <w:rPr>
          <w:rFonts w:ascii="Arial" w:cs="Arial" w:eastAsia="Arial" w:hAnsi="Arial"/>
          <w:sz w:val="17"/>
          <w:szCs w:val="17"/>
          <w:color w:val="auto"/>
        </w:rPr>
        <w:t>The Company’s Ireland tax returns prior to the fiscal year ended November 2, 2013 are no longer subject to examination. During the fourth quarter of fiscal 2018, the Company’s Irish tax resident subsidiary received an assessment for the fiscal year ended November 2, 2013 (fiscal 2013) of approximately €43.0 million, or $50.9 million (as of August 1, 2020), from the Irish Revenue Commissioners (Irish Revenue). This assessment excludes any penalties and interest. The assessment claims that the Company’s Irish entity failed to conform to 2010 OECD Transfer Pricing Guidelines. The Company strongly disagrees with the assessment and maintains that its transfer pricing is appropriate. Therefore, the Company has not recorded any additional tax liability related to fiscal 2013 or any other periods. The Company intends to vigorously defend its originally filed tax return position and is currently preparing for an appeal with the Irish Tax Appeals Commission, which is the normal process for the resolution of differences between Irish Revenue and taxpayers. If Irish Revenue were ultimately to prevail with respect to its assessment for fiscal 2013, such assessment and any potential impact related to years subsequent to fiscal 2013 could have a material unfavorable impact on the Company's income tax expense and net earnings in future periods. During fiscal 2019, Irish Revenue commenced transfer pricing audits of the fiscal years ended November 1, 2014; October 31, 2015 (fiscal 2015); October 29, 2016 (fiscal 2016); and October 28, 2017 (fiscal 2017); however, the Company received confirmation from Irish Revenue that the audit relating to the period ended November 1, 2014 was complete and that no further tax assessment arose in respect of that period. The audits related to fiscal 2015, fiscal 2016 and fiscal 2017 are on-going.</w:t>
      </w:r>
    </w:p>
    <w:p>
      <w:pPr>
        <w:spacing w:after="0" w:line="78" w:lineRule="exact"/>
        <w:rPr>
          <w:sz w:val="20"/>
          <w:szCs w:val="20"/>
          <w:color w:val="auto"/>
        </w:rPr>
      </w:pPr>
    </w:p>
    <w:p>
      <w:pPr>
        <w:ind w:right="100" w:firstLine="445"/>
        <w:spacing w:after="0" w:line="257" w:lineRule="auto"/>
        <w:rPr>
          <w:sz w:val="20"/>
          <w:szCs w:val="20"/>
          <w:color w:val="auto"/>
        </w:rPr>
      </w:pPr>
      <w:r>
        <w:rPr>
          <w:rFonts w:ascii="Arial" w:cs="Arial" w:eastAsia="Arial" w:hAnsi="Arial"/>
          <w:sz w:val="18"/>
          <w:szCs w:val="18"/>
          <w:color w:val="auto"/>
        </w:rPr>
        <w:t xml:space="preserve">In February 2018, the Financial Accounting Standards Board (FASB) issued ASU 2018-02, </w:t>
      </w:r>
      <w:r>
        <w:rPr>
          <w:rFonts w:ascii="Arial" w:cs="Arial" w:eastAsia="Arial" w:hAnsi="Arial"/>
          <w:sz w:val="18"/>
          <w:szCs w:val="18"/>
          <w:i w:val="1"/>
          <w:iCs w:val="1"/>
          <w:color w:val="auto"/>
        </w:rPr>
        <w:t>Income Statement - Reporting Comprehensive Income</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(Topic 220): Reclassification of Certain Tax Effects from Accumulated Other Comprehensive Income </w:t>
      </w:r>
      <w:r>
        <w:rPr>
          <w:rFonts w:ascii="Arial" w:cs="Arial" w:eastAsia="Arial" w:hAnsi="Arial"/>
          <w:sz w:val="18"/>
          <w:szCs w:val="18"/>
          <w:color w:val="auto"/>
        </w:rPr>
        <w:t>(ASU 2018-02). ASU 2018-02 allows stranded tax</w:t>
      </w:r>
      <w:r>
        <w:rPr>
          <w:rFonts w:ascii="Arial" w:cs="Arial" w:eastAsia="Arial" w:hAnsi="Arial"/>
          <w:sz w:val="18"/>
          <w:szCs w:val="18"/>
          <w:i w:val="1"/>
          <w:iCs w:val="1"/>
          <w:color w:val="auto"/>
        </w:rPr>
        <w:t xml:space="preserve"> </w:t>
      </w:r>
      <w:r>
        <w:rPr>
          <w:rFonts w:ascii="Arial" w:cs="Arial" w:eastAsia="Arial" w:hAnsi="Arial"/>
          <w:sz w:val="18"/>
          <w:szCs w:val="18"/>
          <w:color w:val="auto"/>
        </w:rPr>
        <w:t>effects resulting from changes to tax legislation to be reclassified from AOCI to retained earnings. The Company adopted this ASU during the first quarter of fiscal 2020 and therefore applied the ASU in the period of adoption using the specific identification approach. As a result, the Company reclassified approximately $2.4 million from AOCI into retained earnings.</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14 – New Accounting Pronouncements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Standards Implemented</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Leases</w:t>
      </w:r>
    </w:p>
    <w:p>
      <w:pPr>
        <w:spacing w:after="0" w:line="171" w:lineRule="exact"/>
        <w:rPr>
          <w:sz w:val="20"/>
          <w:szCs w:val="20"/>
          <w:color w:val="auto"/>
        </w:rPr>
      </w:pPr>
    </w:p>
    <w:p>
      <w:pPr>
        <w:ind w:right="20" w:firstLine="445"/>
        <w:spacing w:after="0" w:line="289" w:lineRule="auto"/>
        <w:rPr>
          <w:sz w:val="20"/>
          <w:szCs w:val="20"/>
          <w:color w:val="auto"/>
        </w:rPr>
      </w:pPr>
      <w:r>
        <w:rPr>
          <w:rFonts w:ascii="Arial" w:cs="Arial" w:eastAsia="Arial" w:hAnsi="Arial"/>
          <w:sz w:val="16"/>
          <w:szCs w:val="16"/>
          <w:color w:val="auto"/>
        </w:rPr>
        <w:t xml:space="preserve">In February 2016, the FASB issued ASU 2016-02, </w:t>
      </w:r>
      <w:r>
        <w:rPr>
          <w:rFonts w:ascii="Arial" w:cs="Arial" w:eastAsia="Arial" w:hAnsi="Arial"/>
          <w:sz w:val="16"/>
          <w:szCs w:val="16"/>
          <w:i w:val="1"/>
          <w:iCs w:val="1"/>
          <w:color w:val="auto"/>
        </w:rPr>
        <w:t>Leases (Topic 842)</w:t>
      </w:r>
      <w:r>
        <w:rPr>
          <w:rFonts w:ascii="Arial" w:cs="Arial" w:eastAsia="Arial" w:hAnsi="Arial"/>
          <w:sz w:val="16"/>
          <w:szCs w:val="16"/>
          <w:color w:val="auto"/>
        </w:rPr>
        <w:t xml:space="preserve"> (ASU 2016-02). ASU 2016-02 requires a lessee to recognize most leases on the balance sheet but recognize expenses on the income statement in a manner similar to current practice. The update states that a lessee will recognize a lease liability for the obligation to make lease payments and a right-to-use asset for the right to use the underlying assets for the lease term. Leases will continue to be classified as either financing or operating, with classification affecting the recognition, measurement and presentation of expenses and cash flows arising from a lease. In January 2018, the FASB issued ASU 2018-01, Leases (Topic 842): Land Easement Practical Expedient for Transition to Topic 842 (ASU 2018-01). ASU 2018-01 permits an entity to elect an optional transition practical expedient to not evaluate land easements that existed or expired before the entity’s adoption of Topic 842 and that were not previously accounted for as leases under Topic 840. In July 2018, the FASB issued ASU 2018-11, Leases – Targeted Improvements (Topic 842) (ASU 2018-11), which provides for an additional transition method that allows companies to apply the new lease standard at the adoption date, eliminating the requirement to apply the standard to the earliest period presented in the financial statements.</w:t>
      </w:r>
    </w:p>
    <w:p>
      <w:pPr>
        <w:spacing w:after="0" w:line="112" w:lineRule="exact"/>
        <w:rPr>
          <w:sz w:val="20"/>
          <w:szCs w:val="20"/>
          <w:color w:val="auto"/>
        </w:rPr>
      </w:pPr>
    </w:p>
    <w:p>
      <w:pPr>
        <w:ind w:firstLine="445"/>
        <w:spacing w:after="0" w:line="286" w:lineRule="auto"/>
        <w:rPr>
          <w:sz w:val="20"/>
          <w:szCs w:val="20"/>
          <w:color w:val="auto"/>
        </w:rPr>
      </w:pPr>
      <w:r>
        <w:rPr>
          <w:rFonts w:ascii="Arial" w:cs="Arial" w:eastAsia="Arial" w:hAnsi="Arial"/>
          <w:sz w:val="16"/>
          <w:szCs w:val="16"/>
          <w:color w:val="auto"/>
        </w:rPr>
        <w:t>ASU 2016-02, ASU 2018-01 and ASU 2018-11 are effective for financial statements issued for fiscal years beginning after December 15, 2018, and interim periods within those fiscal years. The Company adopted the standard in the first quarter of fiscal 2020 under the modified retrospective approach. As allowed by the new standard, the Company elected the package of transition practical expedients but elected to not apply the hindsight practical expedient to its leases at transition. As a result, the Company was not required to reassess (i) whether any expired or existing contracts are or contain leases,</w:t>
      </w:r>
    </w:p>
    <w:p>
      <w:pPr>
        <w:spacing w:after="0" w:line="1" w:lineRule="exact"/>
        <w:rPr>
          <w:sz w:val="20"/>
          <w:szCs w:val="20"/>
          <w:color w:val="auto"/>
        </w:rPr>
      </w:pPr>
    </w:p>
    <w:p>
      <w:pPr>
        <w:ind w:right="20" w:firstLine="8"/>
        <w:spacing w:after="0" w:line="270" w:lineRule="auto"/>
        <w:tabs>
          <w:tab w:leader="none" w:pos="265" w:val="left"/>
        </w:tabs>
        <w:numPr>
          <w:ilvl w:val="0"/>
          <w:numId w:val="6"/>
        </w:numPr>
        <w:rPr>
          <w:rFonts w:ascii="Arial" w:cs="Arial" w:eastAsia="Arial" w:hAnsi="Arial"/>
          <w:sz w:val="17"/>
          <w:szCs w:val="17"/>
          <w:color w:val="auto"/>
        </w:rPr>
      </w:pPr>
      <w:r>
        <w:rPr>
          <w:rFonts w:ascii="Arial" w:cs="Arial" w:eastAsia="Arial" w:hAnsi="Arial"/>
          <w:sz w:val="17"/>
          <w:szCs w:val="17"/>
          <w:color w:val="auto"/>
        </w:rPr>
        <w:t>the classification of any expired or existing leases and (iii) the treatment of initial direct costs for any existing leases. The Company also elected not to separate lease and non-lease components for its leases. Instead, for all applicable classes of underlying assets, the Company accounts for each separate lease component and the non-lease components associated with that lease component, as a single lease component. Additionally, the Company has elected the short-term lease exception for all classes of assets, does not apply the recognition requirements for leases of twelve months or less, and recognizes lease payments for short-term leases as expense either straight-line over the lease term or as incurred depending on whether the lease payments are fixed or variable. These elections are applied consistently for all leases.</w:t>
      </w:r>
    </w:p>
    <w:p>
      <w:pPr>
        <w:spacing w:after="0" w:line="124" w:lineRule="exact"/>
        <w:rPr>
          <w:sz w:val="20"/>
          <w:szCs w:val="20"/>
          <w:color w:val="auto"/>
        </w:rPr>
      </w:pPr>
    </w:p>
    <w:p>
      <w:pPr>
        <w:ind w:right="180" w:firstLine="445"/>
        <w:spacing w:after="0" w:line="296" w:lineRule="auto"/>
        <w:rPr>
          <w:sz w:val="20"/>
          <w:szCs w:val="20"/>
          <w:color w:val="auto"/>
        </w:rPr>
      </w:pPr>
      <w:r>
        <w:rPr>
          <w:rFonts w:ascii="Arial" w:cs="Arial" w:eastAsia="Arial" w:hAnsi="Arial"/>
          <w:sz w:val="16"/>
          <w:szCs w:val="16"/>
          <w:color w:val="auto"/>
        </w:rPr>
        <w:t>Upon adoption on November 3, 2019, the Company recorded operating lease liabilities of $301.4 million and operating lease assets for its leases of $233.2 million. The operating lease assets are net of liabilities of $68.2 million for deferred rent and unamortized landlord construction allowances that were previously recorded in Accrued liabilities and Other non-current liabilities in the Condensed Consolidated Balance Sheets. Operating lease right-of-use assets are presented within Other assets and corresponding liabilities are presented within Accrued liabilities and Other non-current liabilities in the Condensed Consolidated Balance Sheets. There was no material impact to the Condensed Consolidated Statements of Income or</w:t>
      </w:r>
    </w:p>
    <w:p>
      <w:pPr>
        <w:spacing w:after="0" w:line="200" w:lineRule="exact"/>
        <w:rPr>
          <w:sz w:val="20"/>
          <w:szCs w:val="20"/>
          <w:color w:val="auto"/>
        </w:rPr>
      </w:pPr>
    </w:p>
    <w:p>
      <w:pPr>
        <w:spacing w:after="0" w:line="2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0" w:name="page21"/>
    <w:bookmarkEnd w:id="20"/>
    <w:p>
      <w:pPr>
        <w:jc w:val="center"/>
        <w:ind w:right="-19"/>
        <w:spacing w:after="0"/>
        <w:rPr>
          <w:sz w:val="20"/>
          <w:szCs w:val="20"/>
          <w:color w:val="auto"/>
        </w:rPr>
      </w:pPr>
      <w:r>
        <w:rPr>
          <w:rFonts w:ascii="Arial" w:cs="Arial" w:eastAsia="Arial" w:hAnsi="Arial"/>
          <w:sz w:val="18"/>
          <w:szCs w:val="18"/>
          <w:b w:val="1"/>
          <w:bCs w:val="1"/>
          <w:color w:val="auto"/>
        </w:rPr>
        <w:t>ANALOG DEVICES,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Condensed Consolidated Statements of Cash Flows. Please refer to Note 2</w:t>
      </w:r>
      <w:r>
        <w:rPr>
          <w:rFonts w:ascii="Arial" w:cs="Arial" w:eastAsia="Arial" w:hAnsi="Arial"/>
          <w:sz w:val="18"/>
          <w:szCs w:val="18"/>
          <w:i w:val="1"/>
          <w:iCs w:val="1"/>
          <w:color w:val="auto"/>
        </w:rPr>
        <w:t>, Leases</w:t>
      </w:r>
      <w:r>
        <w:rPr>
          <w:rFonts w:ascii="Arial" w:cs="Arial" w:eastAsia="Arial" w:hAnsi="Arial"/>
          <w:sz w:val="18"/>
          <w:szCs w:val="18"/>
          <w:color w:val="auto"/>
        </w:rPr>
        <w:t xml:space="preserve"> for information regarding the Company's lease portfolio as of August 1, 2020.</w:t>
      </w:r>
    </w:p>
    <w:p>
      <w:pPr>
        <w:spacing w:after="0" w:line="116"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Comprehensive Income</w:t>
      </w:r>
    </w:p>
    <w:p>
      <w:pPr>
        <w:spacing w:after="0" w:line="104" w:lineRule="exact"/>
        <w:rPr>
          <w:sz w:val="20"/>
          <w:szCs w:val="20"/>
          <w:color w:val="auto"/>
        </w:rPr>
      </w:pPr>
    </w:p>
    <w:p>
      <w:pPr>
        <w:jc w:val="both"/>
        <w:ind w:firstLine="445"/>
        <w:spacing w:after="0" w:line="285" w:lineRule="auto"/>
        <w:rPr>
          <w:sz w:val="20"/>
          <w:szCs w:val="20"/>
          <w:color w:val="auto"/>
        </w:rPr>
      </w:pPr>
      <w:r>
        <w:rPr>
          <w:rFonts w:ascii="Arial" w:cs="Arial" w:eastAsia="Arial" w:hAnsi="Arial"/>
          <w:sz w:val="16"/>
          <w:szCs w:val="16"/>
          <w:color w:val="auto"/>
        </w:rPr>
        <w:t xml:space="preserve">In February 2018, the FASB issued ASU 2018-02, </w:t>
      </w:r>
      <w:r>
        <w:rPr>
          <w:rFonts w:ascii="Arial" w:cs="Arial" w:eastAsia="Arial" w:hAnsi="Arial"/>
          <w:sz w:val="16"/>
          <w:szCs w:val="16"/>
          <w:i w:val="1"/>
          <w:iCs w:val="1"/>
          <w:color w:val="auto"/>
        </w:rPr>
        <w:t>Income Statement - Reporting Comprehensive Income (Topic 220): Reclassification of Certain Tax</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Effects from Accumulated Other Comprehensive Income </w:t>
      </w:r>
      <w:r>
        <w:rPr>
          <w:rFonts w:ascii="Arial" w:cs="Arial" w:eastAsia="Arial" w:hAnsi="Arial"/>
          <w:sz w:val="16"/>
          <w:szCs w:val="16"/>
          <w:color w:val="auto"/>
        </w:rPr>
        <w:t>(ASU 2018-02). ASU 2018-02 allows stranded tax effects resulting from changes to tax legislation</w:t>
      </w:r>
      <w:r>
        <w:rPr>
          <w:rFonts w:ascii="Arial" w:cs="Arial" w:eastAsia="Arial" w:hAnsi="Arial"/>
          <w:sz w:val="16"/>
          <w:szCs w:val="16"/>
          <w:i w:val="1"/>
          <w:iCs w:val="1"/>
          <w:color w:val="auto"/>
        </w:rPr>
        <w:t xml:space="preserve"> </w:t>
      </w:r>
      <w:r>
        <w:rPr>
          <w:rFonts w:ascii="Arial" w:cs="Arial" w:eastAsia="Arial" w:hAnsi="Arial"/>
          <w:sz w:val="16"/>
          <w:szCs w:val="16"/>
          <w:color w:val="auto"/>
        </w:rPr>
        <w:t>to be reclassified from AOCI to retained earnings. The Company adopted this ASU during the first quarter of fiscal 2020 and therefore applied the ASU in the period of adoption using the specific identification approach. As a result, the Company reclassified approximately $2.4 million from AOCI into retained earnings. The Company does not expect to record any additional reclassification adjustments in subsequent periods barring further regulatory changes.</w:t>
      </w:r>
    </w:p>
    <w:p>
      <w:pPr>
        <w:spacing w:after="0" w:line="2" w:lineRule="exact"/>
        <w:rPr>
          <w:sz w:val="20"/>
          <w:szCs w:val="20"/>
          <w:color w:val="auto"/>
        </w:rPr>
      </w:pPr>
    </w:p>
    <w:p>
      <w:pPr>
        <w:ind w:right="60"/>
        <w:spacing w:after="0" w:line="260" w:lineRule="auto"/>
        <w:rPr>
          <w:sz w:val="20"/>
          <w:szCs w:val="20"/>
          <w:color w:val="auto"/>
        </w:rPr>
      </w:pPr>
      <w:r>
        <w:rPr>
          <w:rFonts w:ascii="Arial" w:cs="Arial" w:eastAsia="Arial" w:hAnsi="Arial"/>
          <w:sz w:val="18"/>
          <w:szCs w:val="18"/>
          <w:color w:val="auto"/>
        </w:rPr>
        <w:t xml:space="preserve">Please refer to Note 13, </w:t>
      </w:r>
      <w:r>
        <w:rPr>
          <w:rFonts w:ascii="Arial" w:cs="Arial" w:eastAsia="Arial" w:hAnsi="Arial"/>
          <w:sz w:val="18"/>
          <w:szCs w:val="18"/>
          <w:i w:val="1"/>
          <w:iCs w:val="1"/>
          <w:color w:val="auto"/>
        </w:rPr>
        <w:t>Income Taxes</w:t>
      </w:r>
      <w:r>
        <w:rPr>
          <w:rFonts w:ascii="Arial" w:cs="Arial" w:eastAsia="Arial" w:hAnsi="Arial"/>
          <w:sz w:val="18"/>
          <w:szCs w:val="18"/>
          <w:color w:val="auto"/>
        </w:rPr>
        <w:t xml:space="preserve"> for additional information regarding the Company's accounting policy for releasing stranded income tax effects from AOCI.</w:t>
      </w:r>
    </w:p>
    <w:p>
      <w:pPr>
        <w:spacing w:after="0" w:line="131"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Other</w:t>
      </w:r>
    </w:p>
    <w:p>
      <w:pPr>
        <w:spacing w:after="0" w:line="90" w:lineRule="exact"/>
        <w:rPr>
          <w:sz w:val="20"/>
          <w:szCs w:val="20"/>
          <w:color w:val="auto"/>
        </w:rPr>
      </w:pPr>
    </w:p>
    <w:p>
      <w:pPr>
        <w:ind w:right="200" w:firstLine="405"/>
        <w:spacing w:after="0" w:line="258" w:lineRule="auto"/>
        <w:rPr>
          <w:sz w:val="20"/>
          <w:szCs w:val="20"/>
          <w:color w:val="auto"/>
        </w:rPr>
      </w:pPr>
      <w:r>
        <w:rPr>
          <w:rFonts w:ascii="Arial" w:cs="Arial" w:eastAsia="Arial" w:hAnsi="Arial"/>
          <w:sz w:val="18"/>
          <w:szCs w:val="18"/>
          <w:color w:val="auto"/>
        </w:rPr>
        <w:t>The following standards were adopted during the first quarter of fiscal 2020 and did not have a material impact on the Company's financial position and results of operations:</w:t>
      </w:r>
    </w:p>
    <w:p>
      <w:pPr>
        <w:spacing w:after="0" w:line="1" w:lineRule="exact"/>
        <w:rPr>
          <w:sz w:val="20"/>
          <w:szCs w:val="20"/>
          <w:color w:val="auto"/>
        </w:rPr>
      </w:pPr>
    </w:p>
    <w:p>
      <w:pPr>
        <w:ind w:left="660" w:right="220" w:hanging="328"/>
        <w:spacing w:after="0" w:line="277" w:lineRule="auto"/>
        <w:tabs>
          <w:tab w:leader="none" w:pos="655" w:val="left"/>
        </w:tabs>
        <w:numPr>
          <w:ilvl w:val="0"/>
          <w:numId w:val="7"/>
        </w:numPr>
        <w:rPr>
          <w:rFonts w:ascii="Arial" w:cs="Arial" w:eastAsia="Arial" w:hAnsi="Arial"/>
          <w:sz w:val="17"/>
          <w:szCs w:val="17"/>
          <w:color w:val="auto"/>
        </w:rPr>
      </w:pPr>
      <w:r>
        <w:rPr>
          <w:rFonts w:ascii="Arial" w:cs="Arial" w:eastAsia="Arial" w:hAnsi="Arial"/>
          <w:sz w:val="17"/>
          <w:szCs w:val="17"/>
          <w:color w:val="auto"/>
        </w:rPr>
        <w:t xml:space="preserve">ASU 2017-11, </w:t>
      </w:r>
      <w:r>
        <w:rPr>
          <w:rFonts w:ascii="Arial" w:cs="Arial" w:eastAsia="Arial" w:hAnsi="Arial"/>
          <w:sz w:val="17"/>
          <w:szCs w:val="17"/>
          <w:i w:val="1"/>
          <w:iCs w:val="1"/>
          <w:color w:val="auto"/>
        </w:rPr>
        <w:t>Earnings Per Share (Topic 860), Distinguishing Liabilities from Equity (Topic 480), and Derivatives and Hedging (Topic 815): I.</w:t>
      </w:r>
      <w:r>
        <w:rPr>
          <w:rFonts w:ascii="Arial" w:cs="Arial" w:eastAsia="Arial" w:hAnsi="Arial"/>
          <w:sz w:val="17"/>
          <w:szCs w:val="17"/>
          <w:color w:val="auto"/>
        </w:rPr>
        <w:t xml:space="preserve"> </w:t>
      </w:r>
      <w:r>
        <w:rPr>
          <w:rFonts w:ascii="Arial" w:cs="Arial" w:eastAsia="Arial" w:hAnsi="Arial"/>
          <w:sz w:val="17"/>
          <w:szCs w:val="17"/>
          <w:i w:val="1"/>
          <w:iCs w:val="1"/>
          <w:color w:val="auto"/>
        </w:rPr>
        <w:t>Accounting for Certain Financial Instruments with Down Round Features II. Replacement of the Indefinite Deferral Financial Instruments of Certain Nonpublic Entities and Certain Mandatorily Redeemable Noncontrolling Interests with a Scope Exception;</w:t>
      </w:r>
    </w:p>
    <w:p>
      <w:pPr>
        <w:spacing w:after="0" w:line="10" w:lineRule="exact"/>
        <w:rPr>
          <w:rFonts w:ascii="Arial" w:cs="Arial" w:eastAsia="Arial" w:hAnsi="Arial"/>
          <w:sz w:val="17"/>
          <w:szCs w:val="17"/>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 xml:space="preserve">ASU 2017-12, </w:t>
      </w:r>
      <w:r>
        <w:rPr>
          <w:rFonts w:ascii="Arial" w:cs="Arial" w:eastAsia="Arial" w:hAnsi="Arial"/>
          <w:sz w:val="18"/>
          <w:szCs w:val="18"/>
          <w:i w:val="1"/>
          <w:iCs w:val="1"/>
          <w:color w:val="auto"/>
        </w:rPr>
        <w:t>Derivatives and Hedging (Topic 815): Targeted Improvements to Accounting for Hedging Activities;</w:t>
      </w:r>
      <w:r>
        <w:rPr>
          <w:rFonts w:ascii="Arial" w:cs="Arial" w:eastAsia="Arial" w:hAnsi="Arial"/>
          <w:sz w:val="18"/>
          <w:szCs w:val="18"/>
          <w:color w:val="auto"/>
        </w:rPr>
        <w:t xml:space="preserve"> and</w:t>
      </w:r>
    </w:p>
    <w:p>
      <w:pPr>
        <w:spacing w:after="0" w:line="103"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 xml:space="preserve">ASU 2018-07, </w:t>
      </w:r>
      <w:r>
        <w:rPr>
          <w:rFonts w:ascii="Arial" w:cs="Arial" w:eastAsia="Arial" w:hAnsi="Arial"/>
          <w:sz w:val="18"/>
          <w:szCs w:val="18"/>
          <w:i w:val="1"/>
          <w:iCs w:val="1"/>
          <w:color w:val="auto"/>
        </w:rPr>
        <w:t>Compensation - Stock Compensation (Topic 718): Improvements to Nonemployee Share-Based Payment Accounting.</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Standards to Be Implemented</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Retirement Benefits</w:t>
      </w:r>
    </w:p>
    <w:p>
      <w:pPr>
        <w:spacing w:after="0" w:line="104" w:lineRule="exact"/>
        <w:rPr>
          <w:sz w:val="20"/>
          <w:szCs w:val="20"/>
          <w:color w:val="auto"/>
        </w:rPr>
      </w:pPr>
    </w:p>
    <w:p>
      <w:pPr>
        <w:ind w:right="60" w:firstLine="445"/>
        <w:spacing w:after="0" w:line="255" w:lineRule="auto"/>
        <w:rPr>
          <w:sz w:val="20"/>
          <w:szCs w:val="20"/>
          <w:color w:val="auto"/>
        </w:rPr>
      </w:pPr>
      <w:r>
        <w:rPr>
          <w:rFonts w:ascii="Arial" w:cs="Arial" w:eastAsia="Arial" w:hAnsi="Arial"/>
          <w:sz w:val="18"/>
          <w:szCs w:val="18"/>
          <w:color w:val="auto"/>
        </w:rPr>
        <w:t xml:space="preserve">In August 2018, the FASB issued ASU 2018-14, </w:t>
      </w:r>
      <w:r>
        <w:rPr>
          <w:rFonts w:ascii="Arial" w:cs="Arial" w:eastAsia="Arial" w:hAnsi="Arial"/>
          <w:sz w:val="18"/>
          <w:szCs w:val="18"/>
          <w:i w:val="1"/>
          <w:iCs w:val="1"/>
          <w:color w:val="auto"/>
        </w:rPr>
        <w:t>Compensation-Retirement Benefits-Defined Benefit Plans-General (Topic 715-20): Disclosure</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Framework-Changes to the Disclosure Requirements for Defined Benefit Plans </w:t>
      </w:r>
      <w:r>
        <w:rPr>
          <w:rFonts w:ascii="Arial" w:cs="Arial" w:eastAsia="Arial" w:hAnsi="Arial"/>
          <w:sz w:val="18"/>
          <w:szCs w:val="18"/>
          <w:color w:val="auto"/>
        </w:rPr>
        <w:t>(ASU 2018-14), which modifies the disclosure requirements for defined</w:t>
      </w:r>
      <w:r>
        <w:rPr>
          <w:rFonts w:ascii="Arial" w:cs="Arial" w:eastAsia="Arial" w:hAnsi="Arial"/>
          <w:sz w:val="18"/>
          <w:szCs w:val="18"/>
          <w:i w:val="1"/>
          <w:iCs w:val="1"/>
          <w:color w:val="auto"/>
        </w:rPr>
        <w:t xml:space="preserve"> </w:t>
      </w:r>
      <w:r>
        <w:rPr>
          <w:rFonts w:ascii="Arial" w:cs="Arial" w:eastAsia="Arial" w:hAnsi="Arial"/>
          <w:sz w:val="18"/>
          <w:szCs w:val="18"/>
          <w:color w:val="auto"/>
        </w:rPr>
        <w:t>benefit pension plans and other post-retirement plans. ASU 2018-14 is effective for fiscal years ending after December 15, 2020, with early adoption permitted. ASU 2018-14 is effective for the Company in the first quarter of the fiscal year ending October 30, 2021 (fiscal 2021). The adoption of ASU 2018-14 will modify the Company's disclosures for defined benefit plans and other post-retirement plans but is not expected to impact its financial position or results of operations.</w:t>
      </w:r>
    </w:p>
    <w:p>
      <w:pPr>
        <w:spacing w:after="0" w:line="138"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Financial Instruments</w:t>
      </w:r>
    </w:p>
    <w:p>
      <w:pPr>
        <w:spacing w:after="0" w:line="90" w:lineRule="exact"/>
        <w:rPr>
          <w:sz w:val="20"/>
          <w:szCs w:val="20"/>
          <w:color w:val="auto"/>
        </w:rPr>
      </w:pPr>
    </w:p>
    <w:p>
      <w:pPr>
        <w:ind w:right="200" w:firstLine="405"/>
        <w:spacing w:after="0" w:line="285" w:lineRule="auto"/>
        <w:rPr>
          <w:sz w:val="20"/>
          <w:szCs w:val="20"/>
          <w:color w:val="auto"/>
        </w:rPr>
      </w:pPr>
      <w:r>
        <w:rPr>
          <w:rFonts w:ascii="Arial" w:cs="Arial" w:eastAsia="Arial" w:hAnsi="Arial"/>
          <w:sz w:val="16"/>
          <w:szCs w:val="16"/>
          <w:color w:val="auto"/>
        </w:rPr>
        <w:t xml:space="preserve">In June 2016, the FASB issued ASU 2016-13, </w:t>
      </w:r>
      <w:r>
        <w:rPr>
          <w:rFonts w:ascii="Arial" w:cs="Arial" w:eastAsia="Arial" w:hAnsi="Arial"/>
          <w:sz w:val="16"/>
          <w:szCs w:val="16"/>
          <w:i w:val="1"/>
          <w:iCs w:val="1"/>
          <w:color w:val="auto"/>
        </w:rPr>
        <w:t>Financial Instruments - Credit Losses (Topic 326), Measurement of Credit Losses on Financial</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Instruments </w:t>
      </w:r>
      <w:r>
        <w:rPr>
          <w:rFonts w:ascii="Arial" w:cs="Arial" w:eastAsia="Arial" w:hAnsi="Arial"/>
          <w:sz w:val="16"/>
          <w:szCs w:val="16"/>
          <w:color w:val="auto"/>
        </w:rPr>
        <w:t>(ASU 2016-13). ASU 2016-13 requires a financial asset (or group of financial assets) measured at amortized cost basis to be presented at the</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net amount expected to be collected. The allowance for credit losses is a valuation account that is deducted from the amortized cost basis of the financial asset(s) to present the net carrying value at the amount expected to be collected on the financial asset. In 2019, the FASB issued ASU 2019-05, </w:t>
      </w:r>
      <w:r>
        <w:rPr>
          <w:rFonts w:ascii="Arial" w:cs="Arial" w:eastAsia="Arial" w:hAnsi="Arial"/>
          <w:sz w:val="16"/>
          <w:szCs w:val="16"/>
          <w:i w:val="1"/>
          <w:iCs w:val="1"/>
          <w:color w:val="auto"/>
        </w:rPr>
        <w:t>Financial</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Instruments - Credit Losses (Topic 326): Targeted Transition Relief </w:t>
      </w:r>
      <w:r>
        <w:rPr>
          <w:rFonts w:ascii="Arial" w:cs="Arial" w:eastAsia="Arial" w:hAnsi="Arial"/>
          <w:sz w:val="16"/>
          <w:szCs w:val="16"/>
          <w:color w:val="auto"/>
        </w:rPr>
        <w:t>(ASU 2019-05) and ASU 2019-11,</w:t>
      </w:r>
      <w:r>
        <w:rPr>
          <w:rFonts w:ascii="Arial" w:cs="Arial" w:eastAsia="Arial" w:hAnsi="Arial"/>
          <w:sz w:val="16"/>
          <w:szCs w:val="16"/>
          <w:i w:val="1"/>
          <w:iCs w:val="1"/>
          <w:color w:val="auto"/>
        </w:rPr>
        <w:t xml:space="preserve"> Codification Improvements to Topic 326 </w:t>
      </w:r>
      <w:r>
        <w:rPr>
          <w:rFonts w:ascii="Arial" w:cs="Arial" w:eastAsia="Arial" w:hAnsi="Arial"/>
          <w:sz w:val="16"/>
          <w:szCs w:val="16"/>
          <w:color w:val="auto"/>
        </w:rPr>
        <w:t>(ASU</w:t>
      </w:r>
    </w:p>
    <w:p>
      <w:pPr>
        <w:spacing w:after="0" w:line="2" w:lineRule="exact"/>
        <w:rPr>
          <w:sz w:val="20"/>
          <w:szCs w:val="20"/>
          <w:color w:val="auto"/>
        </w:rPr>
      </w:pPr>
    </w:p>
    <w:p>
      <w:pPr>
        <w:ind w:right="40"/>
        <w:spacing w:after="0" w:line="252" w:lineRule="auto"/>
        <w:rPr>
          <w:sz w:val="20"/>
          <w:szCs w:val="20"/>
          <w:color w:val="auto"/>
        </w:rPr>
      </w:pPr>
      <w:r>
        <w:rPr>
          <w:rFonts w:ascii="Arial" w:cs="Arial" w:eastAsia="Arial" w:hAnsi="Arial"/>
          <w:sz w:val="18"/>
          <w:szCs w:val="18"/>
          <w:color w:val="auto"/>
        </w:rPr>
        <w:t>2019-11). ASU 2019-05 allows an entity to irrevocably elect the fair value option for certain financial instruments. Once elected, an entity would recognize the difference between the carrying amount and the fair value of the financial instrument as part of the cumulative effect adjustments associated with the adoption of ASU 2016-13. ASU 2019-11 allows entities to exclude the accrued interest component of amortized cost from various disclosures required by ASC 326. These ASUs are effective for fiscal years beginning after December 15, 2019, and for interim periods within those fiscal years; and therefore, are effective for the Company in the first quarter of fiscal 2021. The Company is currently evaluating the impact, if any, adoption will have on its financial position and results of operations.</w:t>
      </w:r>
    </w:p>
    <w:p>
      <w:pPr>
        <w:spacing w:after="0" w:line="200" w:lineRule="exact"/>
        <w:rPr>
          <w:sz w:val="20"/>
          <w:szCs w:val="20"/>
          <w:color w:val="auto"/>
        </w:rPr>
      </w:pPr>
    </w:p>
    <w:p>
      <w:pPr>
        <w:spacing w:after="0" w:line="3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1" w:name="page22"/>
    <w:bookmarkEnd w:id="21"/>
    <w:p>
      <w:pPr>
        <w:jc w:val="center"/>
        <w:ind w:right="-39"/>
        <w:spacing w:after="0"/>
        <w:rPr>
          <w:sz w:val="20"/>
          <w:szCs w:val="20"/>
          <w:color w:val="auto"/>
        </w:rPr>
      </w:pPr>
      <w:r>
        <w:rPr>
          <w:rFonts w:ascii="Arial" w:cs="Arial" w:eastAsia="Arial" w:hAnsi="Arial"/>
          <w:sz w:val="18"/>
          <w:szCs w:val="18"/>
          <w:b w:val="1"/>
          <w:bCs w:val="1"/>
          <w:color w:val="auto"/>
        </w:rPr>
        <w:t>ANALOG DEVICES, INC.</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200" w:lineRule="exact"/>
        <w:rPr>
          <w:sz w:val="20"/>
          <w:szCs w:val="20"/>
          <w:color w:val="auto"/>
        </w:rPr>
      </w:pPr>
    </w:p>
    <w:p>
      <w:pPr>
        <w:spacing w:after="0" w:line="348"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Income taxes</w:t>
      </w:r>
    </w:p>
    <w:p>
      <w:pPr>
        <w:spacing w:after="0" w:line="90" w:lineRule="exact"/>
        <w:rPr>
          <w:sz w:val="20"/>
          <w:szCs w:val="20"/>
          <w:color w:val="auto"/>
        </w:rPr>
      </w:pPr>
    </w:p>
    <w:p>
      <w:pPr>
        <w:ind w:firstLine="405"/>
        <w:spacing w:after="0" w:line="257" w:lineRule="auto"/>
        <w:rPr>
          <w:sz w:val="20"/>
          <w:szCs w:val="20"/>
          <w:color w:val="auto"/>
        </w:rPr>
      </w:pPr>
      <w:r>
        <w:rPr>
          <w:rFonts w:ascii="Arial" w:cs="Arial" w:eastAsia="Arial" w:hAnsi="Arial"/>
          <w:sz w:val="18"/>
          <w:szCs w:val="18"/>
          <w:color w:val="auto"/>
        </w:rPr>
        <w:t xml:space="preserve">In December 2019, the FASB issued ASU 2019-12, </w:t>
      </w:r>
      <w:r>
        <w:rPr>
          <w:rFonts w:ascii="Arial" w:cs="Arial" w:eastAsia="Arial" w:hAnsi="Arial"/>
          <w:sz w:val="18"/>
          <w:szCs w:val="18"/>
          <w:i w:val="1"/>
          <w:iCs w:val="1"/>
          <w:color w:val="auto"/>
        </w:rPr>
        <w:t>Simplifying the Accounting for Income Taxes</w:t>
      </w:r>
      <w:r>
        <w:rPr>
          <w:rFonts w:ascii="Arial" w:cs="Arial" w:eastAsia="Arial" w:hAnsi="Arial"/>
          <w:sz w:val="18"/>
          <w:szCs w:val="18"/>
          <w:color w:val="auto"/>
        </w:rPr>
        <w:t>. ASU 2019-12 eliminates certain exceptions related to the approach for intraperiod tax allocation, the methodology for calculating income taxes in an interim period and the recognition of deferred tax liabilities for outside basis differences. It also clarifies and simplifies other aspects of the accounting for income taxes. ASU 2019-12 is effective for fiscal years beginning after December 15, 2020, and interim periods within those fiscal years. The Company is currently evaluating the adoption date and impact, if any, adoption will have on its financial position and results of operations.</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15 – Acquisitions</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Proposed acquisition of Maxim Integrated Products, Inc.</w:t>
      </w:r>
    </w:p>
    <w:p>
      <w:pPr>
        <w:spacing w:after="0" w:line="171" w:lineRule="exact"/>
        <w:rPr>
          <w:sz w:val="20"/>
          <w:szCs w:val="20"/>
          <w:color w:val="auto"/>
        </w:rPr>
      </w:pPr>
    </w:p>
    <w:p>
      <w:pPr>
        <w:ind w:right="60" w:firstLine="445"/>
        <w:spacing w:after="0" w:line="255" w:lineRule="auto"/>
        <w:rPr>
          <w:sz w:val="20"/>
          <w:szCs w:val="20"/>
          <w:color w:val="auto"/>
        </w:rPr>
      </w:pPr>
      <w:r>
        <w:rPr>
          <w:rFonts w:ascii="Arial" w:cs="Arial" w:eastAsia="Arial" w:hAnsi="Arial"/>
          <w:sz w:val="18"/>
          <w:szCs w:val="18"/>
          <w:color w:val="auto"/>
        </w:rPr>
        <w:t>On July 12, 2020, the Company entered into a definitive agreement (the Merger Agreement) to acquire Maxim, an independent manufacturer of innovative analog and mixed-signal products and technologies. Under the terms of the Merger Agreement, Maxim stockholders will receive, for each outstanding share of Maxim common stock, 0.630 of a share of the Company’s common stock at the closing. The estimated merger consideration is approximately $20.0 billion based on the closing price of the Company's common stock on August 14, 2020. The value of the merger consideration will fluctuate based upon changes in the price of the Company's common stock and the number of shares of Maxim common stock, restricted stock awards and restricted stock unit awards outstanding on the closing date.</w:t>
      </w:r>
    </w:p>
    <w:p>
      <w:pPr>
        <w:spacing w:after="0" w:line="138" w:lineRule="exact"/>
        <w:rPr>
          <w:sz w:val="20"/>
          <w:szCs w:val="20"/>
          <w:color w:val="auto"/>
        </w:rPr>
      </w:pPr>
    </w:p>
    <w:p>
      <w:pPr>
        <w:ind w:right="100" w:firstLine="445"/>
        <w:spacing w:after="0" w:line="293" w:lineRule="auto"/>
        <w:rPr>
          <w:sz w:val="20"/>
          <w:szCs w:val="20"/>
          <w:color w:val="auto"/>
        </w:rPr>
      </w:pPr>
      <w:r>
        <w:rPr>
          <w:rFonts w:ascii="Arial" w:cs="Arial" w:eastAsia="Arial" w:hAnsi="Arial"/>
          <w:sz w:val="16"/>
          <w:szCs w:val="16"/>
          <w:color w:val="auto"/>
        </w:rPr>
        <w:t>The transaction is subject to customary closing conditions, including antitrust regulatory clearances, approval by Maxim stockholders, and approval by the Company's shareholders of the issuance of shares of the Company's common stock. The Merger Agreement includes termination rights for both the Company and Maxim. Maxim and the Company have each agreed to pay a termination fee of $725.0 million in cash to the other party if the Merger Agreement is terminated in certain circumstances involving an acquisition proposal, a change of recommendation or a breach of the other party’s non-solicitation obligations under the Merger Agreement. In addition, the Company may be required to pay Maxim a regulatory termination fee of $830.0 million in cash if the Merger Agreement is terminated in certain circumstances involving the failure to obtain required regulatory approvals.</w:t>
      </w:r>
    </w:p>
    <w:p>
      <w:pPr>
        <w:spacing w:after="0" w:line="110" w:lineRule="exact"/>
        <w:rPr>
          <w:sz w:val="20"/>
          <w:szCs w:val="20"/>
          <w:color w:val="auto"/>
        </w:rPr>
      </w:pPr>
    </w:p>
    <w:p>
      <w:pPr>
        <w:ind w:right="280" w:firstLine="445"/>
        <w:spacing w:after="0" w:line="277" w:lineRule="auto"/>
        <w:rPr>
          <w:sz w:val="20"/>
          <w:szCs w:val="20"/>
          <w:color w:val="auto"/>
        </w:rPr>
      </w:pPr>
      <w:r>
        <w:rPr>
          <w:rFonts w:ascii="Arial" w:cs="Arial" w:eastAsia="Arial" w:hAnsi="Arial"/>
          <w:sz w:val="18"/>
          <w:szCs w:val="18"/>
          <w:color w:val="auto"/>
        </w:rPr>
        <w:t>In the third quarter of fiscal 2020, the Company incurred $9.1 million of transaction-related costs recorded within Selling, marketing, general and administrative expenses in the Company's Condensed Consolidated Statement of Income.</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16 – Subsequent Events</w:t>
      </w:r>
    </w:p>
    <w:p>
      <w:pPr>
        <w:spacing w:after="0" w:line="175" w:lineRule="exact"/>
        <w:rPr>
          <w:sz w:val="20"/>
          <w:szCs w:val="20"/>
          <w:color w:val="auto"/>
        </w:rPr>
      </w:pPr>
    </w:p>
    <w:p>
      <w:pPr>
        <w:ind w:right="40" w:firstLine="405"/>
        <w:spacing w:after="0" w:line="263" w:lineRule="auto"/>
        <w:rPr>
          <w:sz w:val="20"/>
          <w:szCs w:val="20"/>
          <w:color w:val="auto"/>
        </w:rPr>
      </w:pPr>
      <w:r>
        <w:rPr>
          <w:rFonts w:ascii="Arial" w:cs="Arial" w:eastAsia="Arial" w:hAnsi="Arial"/>
          <w:sz w:val="18"/>
          <w:szCs w:val="18"/>
          <w:color w:val="auto"/>
        </w:rPr>
        <w:t>On August 18, 2020, the Board of Directors of the Company declared a cash dividend of $0.62 per outstanding share of common stock. The dividend will be paid on September 9, 2020 to all shareholders of record at the close of business on August 28, 2020 and is expected to total approximately $228.9 million.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22" w:name="page23"/>
    <w:bookmarkEnd w:id="22"/>
    <w:p>
      <w:pPr>
        <w:ind w:left="20"/>
        <w:spacing w:after="0"/>
        <w:tabs>
          <w:tab w:leader="none" w:pos="124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6"/>
          <w:szCs w:val="16"/>
          <w:b w:val="1"/>
          <w:bCs w:val="1"/>
          <w:color w:val="auto"/>
        </w:rPr>
        <w:t>Management’s Discussion and Analysis of Financial Condition and Results of Operations</w:t>
      </w:r>
    </w:p>
    <w:p>
      <w:pPr>
        <w:spacing w:after="0" w:line="202" w:lineRule="exact"/>
        <w:rPr>
          <w:sz w:val="20"/>
          <w:szCs w:val="20"/>
          <w:color w:val="auto"/>
        </w:rPr>
      </w:pPr>
    </w:p>
    <w:p>
      <w:pPr>
        <w:ind w:right="180" w:firstLine="445"/>
        <w:spacing w:after="0" w:line="311" w:lineRule="auto"/>
        <w:rPr>
          <w:sz w:val="20"/>
          <w:szCs w:val="20"/>
          <w:color w:val="auto"/>
        </w:rPr>
      </w:pPr>
      <w:r>
        <w:rPr>
          <w:rFonts w:ascii="Arial" w:cs="Arial" w:eastAsia="Arial" w:hAnsi="Arial"/>
          <w:sz w:val="16"/>
          <w:szCs w:val="16"/>
          <w:color w:val="auto"/>
        </w:rPr>
        <w:t>This information should be read in conjunction with the unaudited condensed consolidated financial statements and related notes included in Part I, Item 1 of this Quarterly Report on Form 10-Q and the audited consolidated financial statements and related notes and Management’s Discussion and Analysis of Financial Condition and Results of Operations in our Annual Report on Form 10-K for the fiscal year ended November 2, 2019 (fiscal 2019).</w:t>
      </w:r>
    </w:p>
    <w:p>
      <w:pPr>
        <w:spacing w:after="0" w:line="95" w:lineRule="exact"/>
        <w:rPr>
          <w:sz w:val="20"/>
          <w:szCs w:val="20"/>
          <w:color w:val="auto"/>
        </w:rPr>
      </w:pPr>
    </w:p>
    <w:p>
      <w:pPr>
        <w:ind w:right="20" w:firstLine="445"/>
        <w:spacing w:after="0" w:line="285" w:lineRule="auto"/>
        <w:rPr>
          <w:sz w:val="20"/>
          <w:szCs w:val="20"/>
          <w:color w:val="auto"/>
        </w:rPr>
      </w:pPr>
      <w:r>
        <w:rPr>
          <w:rFonts w:ascii="Arial" w:cs="Arial" w:eastAsia="Arial" w:hAnsi="Arial"/>
          <w:sz w:val="16"/>
          <w:szCs w:val="16"/>
          <w:color w:val="auto"/>
        </w:rPr>
        <w:t xml:space="preserve">This Quarterly Report on Form 10-Q, including the following discussion, contains forward-looking statements regarding future events and our future results that are subject to the safe harbor created under the Private Securities Litigation Reform Act of 1995 and other safe harbors under the Securities Act of 1933 and the Securities Exchange Act of 1934. All statements other than statements of historical fact are statements that could be deemed forward-looking statements. These statements are based on current expectations, estimates, forecasts, and projections about the industries in which we operate and the beliefs and assumptions of our management. Words such as “expects,” “anticipates,” “targets,” “goals,” “projects,” “intends,” “plans,” “believes,” “seeks,” “estimates,” “continues,” “may,” “could” and “will,” and variations of such words and similar expressions are intended to identify such forward-looking statements. In addition, any statements that refer to projections regarding our future financial performance; the proposed acquisition of Maxim Integrated Products, Inc.; our anticipated growth and trends in our businesses; our future liquidity, capital needs and capital expenditures; </w:t>
      </w:r>
      <w:r>
        <w:rPr>
          <w:rFonts w:ascii="Arial" w:cs="Arial" w:eastAsia="Arial" w:hAnsi="Arial"/>
          <w:sz w:val="16"/>
          <w:szCs w:val="16"/>
          <w:color w:val="212529"/>
        </w:rPr>
        <w:t>the impact of the</w:t>
      </w:r>
      <w:r>
        <w:rPr>
          <w:rFonts w:ascii="Arial" w:cs="Arial" w:eastAsia="Arial" w:hAnsi="Arial"/>
          <w:sz w:val="16"/>
          <w:szCs w:val="16"/>
          <w:color w:val="auto"/>
        </w:rPr>
        <w:t xml:space="preserve"> </w:t>
      </w:r>
      <w:r>
        <w:rPr>
          <w:rFonts w:ascii="Arial" w:cs="Arial" w:eastAsia="Arial" w:hAnsi="Arial"/>
          <w:sz w:val="16"/>
          <w:szCs w:val="16"/>
          <w:color w:val="212529"/>
        </w:rPr>
        <w:t xml:space="preserve">COVID-19 pandemic on our business, financial condition and results of operations; </w:t>
      </w:r>
      <w:r>
        <w:rPr>
          <w:rFonts w:ascii="Arial" w:cs="Arial" w:eastAsia="Arial" w:hAnsi="Arial"/>
          <w:sz w:val="16"/>
          <w:szCs w:val="16"/>
          <w:color w:val="000000"/>
        </w:rPr>
        <w:t>our future market position and expected competitive changes in the</w:t>
      </w:r>
      <w:r>
        <w:rPr>
          <w:rFonts w:ascii="Arial" w:cs="Arial" w:eastAsia="Arial" w:hAnsi="Arial"/>
          <w:sz w:val="16"/>
          <w:szCs w:val="16"/>
          <w:color w:val="212529"/>
        </w:rPr>
        <w:t xml:space="preserve"> </w:t>
      </w:r>
      <w:r>
        <w:rPr>
          <w:rFonts w:ascii="Arial" w:cs="Arial" w:eastAsia="Arial" w:hAnsi="Arial"/>
          <w:sz w:val="16"/>
          <w:szCs w:val="16"/>
          <w:color w:val="000000"/>
        </w:rPr>
        <w:t>marketplace for our products; our ability to pay dividends or repurchase stock; our ability to service our outstanding debt; our expected tax rate; the effect of changes in or the application of new or revised tax laws; the effect of new accounting pronouncements; our ability to successfully integrate acquired businesses and technologies; and other characterizations of future events or circumstances are forward-looking statements. Readers are cautioned that these forward-looking statements are only predictions and are inherently subject to risks, uncertainties, and assumptions that are difficult to predict, including those identified in Part II, Item 1A. “Risk Factors” and elsewhere herein. Therefore, actual results may differ materially and adversely from those expressed in any forward-looking statements. We undertake no obligation to revise or update any forward-looking statements, including to reflect events or circumstances occurring after the date of the filing of this report, except to the extent required by law.</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Impact of COVID-19 on our Business</w:t>
      </w:r>
    </w:p>
    <w:p>
      <w:pPr>
        <w:spacing w:after="0" w:line="171" w:lineRule="exact"/>
        <w:rPr>
          <w:sz w:val="20"/>
          <w:szCs w:val="20"/>
          <w:color w:val="auto"/>
        </w:rPr>
      </w:pPr>
    </w:p>
    <w:p>
      <w:pPr>
        <w:ind w:right="20" w:firstLine="445"/>
        <w:spacing w:after="0" w:line="272" w:lineRule="auto"/>
        <w:rPr>
          <w:sz w:val="20"/>
          <w:szCs w:val="20"/>
          <w:color w:val="auto"/>
        </w:rPr>
      </w:pPr>
      <w:r>
        <w:rPr>
          <w:rFonts w:ascii="Arial" w:cs="Arial" w:eastAsia="Arial" w:hAnsi="Arial"/>
          <w:sz w:val="17"/>
          <w:szCs w:val="17"/>
          <w:color w:val="auto"/>
        </w:rPr>
        <w:t>The pandemic caused by the novel strain of the coronavirus (COVID-19) has resulted in government authorities implementing numerous measures to try to contain the virus, such as travel bans and restrictions, quarantines, shelter in place orders and shutdowns. These measures have impacted and likely will continue to impact our workforce and operations, the operations of our customers and those of our respective vendors and suppliers. We have significant operations worldwide, including in the United States, the Philippines, Ireland, Singapore, Malaysia, China and India. Each of these countries has been affected by the pandemic and taken measures to try to contain it, resulting in disruptions at some of our manufacturing operations and facilities. Since the beginning of the third quarter of fiscal 2020, our manufacturing operations and supply chain generally stabilized at normal levels, but that could change in the future given that the COVID-19 situation remains dynamic.</w:t>
      </w:r>
    </w:p>
    <w:p>
      <w:pPr>
        <w:spacing w:after="0" w:line="123" w:lineRule="exact"/>
        <w:rPr>
          <w:sz w:val="20"/>
          <w:szCs w:val="20"/>
          <w:color w:val="auto"/>
        </w:rPr>
      </w:pPr>
    </w:p>
    <w:p>
      <w:pPr>
        <w:jc w:val="both"/>
        <w:ind w:firstLine="445"/>
        <w:spacing w:after="0" w:line="286" w:lineRule="auto"/>
        <w:rPr>
          <w:sz w:val="20"/>
          <w:szCs w:val="20"/>
          <w:color w:val="auto"/>
        </w:rPr>
      </w:pPr>
      <w:r>
        <w:rPr>
          <w:rFonts w:ascii="Arial" w:cs="Arial" w:eastAsia="Arial" w:hAnsi="Arial"/>
          <w:sz w:val="17"/>
          <w:szCs w:val="17"/>
          <w:color w:val="auto"/>
        </w:rPr>
        <w:t>The spread of COVID-19 has caused us to modify our business practices (including restricting employee travel, modifying employee work locations and cancelling physical participation in meetings, events and conferences) and we may take further actions as may be required by government authorities or that we determine are in the best interests of our employees, customers, partners, suppliers and shareholders.</w:t>
      </w:r>
    </w:p>
    <w:p>
      <w:pPr>
        <w:spacing w:after="0" w:line="111" w:lineRule="exact"/>
        <w:rPr>
          <w:sz w:val="20"/>
          <w:szCs w:val="20"/>
          <w:color w:val="auto"/>
        </w:rPr>
      </w:pPr>
    </w:p>
    <w:p>
      <w:pPr>
        <w:jc w:val="both"/>
        <w:ind w:right="40" w:firstLine="445"/>
        <w:spacing w:after="0" w:line="257" w:lineRule="auto"/>
        <w:rPr>
          <w:sz w:val="20"/>
          <w:szCs w:val="20"/>
          <w:color w:val="auto"/>
        </w:rPr>
      </w:pPr>
      <w:r>
        <w:rPr>
          <w:rFonts w:ascii="Arial" w:cs="Arial" w:eastAsia="Arial" w:hAnsi="Arial"/>
          <w:sz w:val="18"/>
          <w:szCs w:val="18"/>
          <w:color w:val="auto"/>
        </w:rPr>
        <w:t>While we are confident that our strategy and long-term contingency planning have positioned us well to weather the current uncertainty, we cannot at this time fully quantify or forecast the impact of COVID-19 on our business. The degree to which COVID-19 impacts our business, financial condition and results of operations will depend on future developments, which are highly uncertain, and we cannot provide assurance as to the duration and spread of the pandemic, its severity, the actions to contain the virus or treat its impact, or how quickly and to what extent normal economic and operating conditions can resume.</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Proposed Acquisition of Maxim Integrated Products, Inc.</w:t>
      </w:r>
    </w:p>
    <w:p>
      <w:pPr>
        <w:spacing w:after="0" w:line="171" w:lineRule="exact"/>
        <w:rPr>
          <w:sz w:val="20"/>
          <w:szCs w:val="20"/>
          <w:color w:val="auto"/>
        </w:rPr>
      </w:pPr>
    </w:p>
    <w:p>
      <w:pPr>
        <w:ind w:right="100" w:firstLine="445"/>
        <w:spacing w:after="0" w:line="255" w:lineRule="auto"/>
        <w:rPr>
          <w:sz w:val="20"/>
          <w:szCs w:val="20"/>
          <w:color w:val="auto"/>
        </w:rPr>
      </w:pPr>
      <w:r>
        <w:rPr>
          <w:rFonts w:ascii="Arial" w:cs="Arial" w:eastAsia="Arial" w:hAnsi="Arial"/>
          <w:sz w:val="18"/>
          <w:szCs w:val="18"/>
          <w:color w:val="auto"/>
        </w:rPr>
        <w:t>On July 12, 2020, we entered into a definitive agreement (the Merger Agreement) to acquire Maxim Integrated Products, Inc. (Maxim), an independent manufacturer of innovative analog and mixed-signal products and technologies. Under the terms of the Merger Agreement, Maxim stockholders will receive, for each outstanding share of Maxim common stock, 0.630 of a share of our common stock. The estimated merger consideration is approximately $20.0 billion based on the closing price of our common stock on August 14, 2020. The acquisition is subject to the approval of Maxim stockholders, the satisfaction of customary closing conditions, including applicable regulatory approvals and approval by our shareholders of the issuance of our</w:t>
      </w:r>
    </w:p>
    <w:p>
      <w:pPr>
        <w:spacing w:after="0" w:line="200" w:lineRule="exact"/>
        <w:rPr>
          <w:sz w:val="20"/>
          <w:szCs w:val="20"/>
          <w:color w:val="auto"/>
        </w:rPr>
      </w:pPr>
    </w:p>
    <w:p>
      <w:pPr>
        <w:spacing w:after="0" w:line="3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09" w:right="339" w:bottom="1440" w:gutter="0" w:footer="0" w:header="0"/>
        </w:sectPr>
      </w:pPr>
    </w:p>
    <w:bookmarkStart w:id="23" w:name="page24"/>
    <w:bookmarkEnd w:id="23"/>
    <w:p>
      <w:pPr>
        <w:ind w:right="220"/>
        <w:spacing w:after="0" w:line="277" w:lineRule="auto"/>
        <w:rPr>
          <w:sz w:val="20"/>
          <w:szCs w:val="20"/>
          <w:color w:val="auto"/>
        </w:rPr>
      </w:pPr>
      <w:r>
        <w:rPr>
          <w:rFonts w:ascii="Arial" w:cs="Arial" w:eastAsia="Arial" w:hAnsi="Arial"/>
          <w:sz w:val="18"/>
          <w:szCs w:val="18"/>
          <w:color w:val="auto"/>
        </w:rPr>
        <w:t xml:space="preserve">common stock. See Note 15, </w:t>
      </w:r>
      <w:r>
        <w:rPr>
          <w:rFonts w:ascii="Arial" w:cs="Arial" w:eastAsia="Arial" w:hAnsi="Arial"/>
          <w:sz w:val="18"/>
          <w:szCs w:val="18"/>
          <w:i w:val="1"/>
          <w:iCs w:val="1"/>
          <w:color w:val="auto"/>
        </w:rPr>
        <w:t>Acquisitions</w:t>
      </w:r>
      <w:r>
        <w:rPr>
          <w:rFonts w:ascii="Arial" w:cs="Arial" w:eastAsia="Arial" w:hAnsi="Arial"/>
          <w:sz w:val="18"/>
          <w:szCs w:val="18"/>
          <w:color w:val="auto"/>
        </w:rPr>
        <w:t>, in the Notes to the Condensed Consolidated Financial Statements contained in Part I, Item 1 of this Quarterly Report on Form 10-Q for further information.</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Overview</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color w:val="auto"/>
        </w:rPr>
        <w:t>(all tabular amounts in thousands except per share amounts and percentages)</w:t>
      </w:r>
    </w:p>
    <w:p>
      <w:pPr>
        <w:spacing w:after="0" w:line="5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82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000" w:type="dxa"/>
            <w:vAlign w:val="bottom"/>
            <w:tcBorders>
              <w:bottom w:val="single" w:sz="8" w:color="auto"/>
            </w:tcBorders>
            <w:gridSpan w:val="4"/>
          </w:tcPr>
          <w:p>
            <w:pPr>
              <w:jc w:val="right"/>
              <w:ind w:right="228"/>
              <w:spacing w:after="0"/>
              <w:rPr>
                <w:sz w:val="20"/>
                <w:szCs w:val="20"/>
                <w:color w:val="auto"/>
              </w:rPr>
            </w:pPr>
            <w:r>
              <w:rPr>
                <w:rFonts w:ascii="Arial" w:cs="Arial" w:eastAsia="Arial" w:hAnsi="Arial"/>
                <w:sz w:val="14"/>
                <w:szCs w:val="14"/>
                <w:b w:val="1"/>
                <w:bCs w:val="1"/>
                <w:color w:val="auto"/>
              </w:rPr>
              <w:t>Three Months Ended</w:t>
            </w:r>
          </w:p>
        </w:tc>
        <w:tc>
          <w:tcPr>
            <w:tcW w:w="8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spacing w:after="0"/>
              <w:rPr>
                <w:sz w:val="16"/>
                <w:szCs w:val="16"/>
                <w:color w:val="auto"/>
              </w:rPr>
            </w:pPr>
          </w:p>
        </w:tc>
      </w:tr>
      <w:tr>
        <w:trPr>
          <w:trHeight w:val="196"/>
        </w:trPr>
        <w:tc>
          <w:tcPr>
            <w:tcW w:w="482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ind w:right="133"/>
              <w:spacing w:after="0"/>
              <w:rPr>
                <w:sz w:val="20"/>
                <w:szCs w:val="20"/>
                <w:color w:val="auto"/>
              </w:rPr>
            </w:pPr>
            <w:r>
              <w:rPr>
                <w:rFonts w:ascii="Arial" w:cs="Arial" w:eastAsia="Arial" w:hAnsi="Arial"/>
                <w:sz w:val="14"/>
                <w:szCs w:val="14"/>
                <w:b w:val="1"/>
                <w:bCs w:val="1"/>
                <w:color w:val="auto"/>
              </w:rPr>
              <w:t>August 1, 2020</w:t>
            </w:r>
          </w:p>
        </w:tc>
        <w:tc>
          <w:tcPr>
            <w:tcW w:w="200" w:type="dxa"/>
            <w:vAlign w:val="bottom"/>
            <w:tcBorders>
              <w:bottom w:val="single" w:sz="8" w:color="auto"/>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ind w:right="135"/>
              <w:spacing w:after="0"/>
              <w:rPr>
                <w:sz w:val="20"/>
                <w:szCs w:val="20"/>
                <w:color w:val="auto"/>
              </w:rPr>
            </w:pPr>
            <w:r>
              <w:rPr>
                <w:rFonts w:ascii="Arial" w:cs="Arial" w:eastAsia="Arial" w:hAnsi="Arial"/>
                <w:sz w:val="14"/>
                <w:szCs w:val="14"/>
                <w:b w:val="1"/>
                <w:bCs w:val="1"/>
                <w:color w:val="auto"/>
              </w:rPr>
              <w:t>August 3, 2019</w:t>
            </w:r>
          </w:p>
        </w:tc>
        <w:tc>
          <w:tcPr>
            <w:tcW w:w="200" w:type="dxa"/>
            <w:vAlign w:val="bottom"/>
            <w:tcBorders>
              <w:bottom w:val="single" w:sz="8" w:color="auto"/>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800" w:type="dxa"/>
            <w:vAlign w:val="bottom"/>
            <w:tcBorders>
              <w:bottom w:val="single" w:sz="8" w:color="auto"/>
            </w:tcBorders>
          </w:tcPr>
          <w:p>
            <w:pPr>
              <w:jc w:val="right"/>
              <w:ind w:right="235"/>
              <w:spacing w:after="0"/>
              <w:rPr>
                <w:sz w:val="20"/>
                <w:szCs w:val="20"/>
                <w:color w:val="auto"/>
              </w:rPr>
            </w:pPr>
            <w:r>
              <w:rPr>
                <w:rFonts w:ascii="Arial" w:cs="Arial" w:eastAsia="Arial" w:hAnsi="Arial"/>
                <w:sz w:val="14"/>
                <w:szCs w:val="14"/>
                <w:b w:val="1"/>
                <w:bCs w:val="1"/>
                <w:color w:val="auto"/>
                <w:w w:val="89"/>
              </w:rPr>
              <w:t>Change</w:t>
            </w:r>
          </w:p>
        </w:tc>
        <w:tc>
          <w:tcPr>
            <w:tcW w:w="100" w:type="dxa"/>
            <w:vAlign w:val="bottom"/>
            <w:tcBorders>
              <w:bottom w:val="single" w:sz="8" w:color="CCEEFF"/>
            </w:tcBorders>
          </w:tcPr>
          <w:p>
            <w:pPr>
              <w:spacing w:after="0"/>
              <w:rPr>
                <w:sz w:val="17"/>
                <w:szCs w:val="17"/>
                <w:color w:val="auto"/>
              </w:rPr>
            </w:pPr>
          </w:p>
        </w:tc>
        <w:tc>
          <w:tcPr>
            <w:tcW w:w="1320" w:type="dxa"/>
            <w:vAlign w:val="bottom"/>
            <w:tcBorders>
              <w:bottom w:val="single" w:sz="8" w:color="auto"/>
            </w:tcBorders>
          </w:tcPr>
          <w:p>
            <w:pPr>
              <w:jc w:val="right"/>
              <w:ind w:right="235"/>
              <w:spacing w:after="0"/>
              <w:rPr>
                <w:sz w:val="20"/>
                <w:szCs w:val="20"/>
                <w:color w:val="auto"/>
              </w:rPr>
            </w:pPr>
            <w:r>
              <w:rPr>
                <w:rFonts w:ascii="Arial" w:cs="Arial" w:eastAsia="Arial" w:hAnsi="Arial"/>
                <w:sz w:val="14"/>
                <w:szCs w:val="14"/>
                <w:b w:val="1"/>
                <w:bCs w:val="1"/>
                <w:color w:val="auto"/>
              </w:rPr>
              <w:t>% Change</w:t>
            </w:r>
          </w:p>
        </w:tc>
      </w:tr>
      <w:tr>
        <w:trPr>
          <w:trHeight w:val="250"/>
        </w:trPr>
        <w:tc>
          <w:tcPr>
            <w:tcW w:w="48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Revenue</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1,456,136</w:t>
            </w:r>
          </w:p>
        </w:tc>
        <w:tc>
          <w:tcPr>
            <w:tcW w:w="580" w:type="dxa"/>
            <w:vAlign w:val="bottom"/>
            <w:tcBorders>
              <w:bottom w:val="single" w:sz="8" w:color="CCEEFF"/>
            </w:tcBorders>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1,480,143</w:t>
            </w:r>
          </w:p>
        </w:tc>
        <w:tc>
          <w:tcPr>
            <w:tcW w:w="720" w:type="dxa"/>
            <w:vAlign w:val="bottom"/>
            <w:tcBorders>
              <w:bottom w:val="single" w:sz="8" w:color="CCEEFF"/>
            </w:tcBorders>
            <w:gridSpan w:val="3"/>
            <w:shd w:val="clear" w:color="auto" w:fill="CCEEFF"/>
          </w:tcPr>
          <w:p>
            <w:pPr>
              <w:jc w:val="right"/>
              <w:ind w:right="228"/>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(24,007)</w:t>
            </w:r>
          </w:p>
        </w:tc>
        <w:tc>
          <w:tcPr>
            <w:tcW w:w="1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w:t>
            </w:r>
          </w:p>
        </w:tc>
      </w:tr>
      <w:tr>
        <w:trPr>
          <w:trHeight w:val="243"/>
        </w:trPr>
        <w:tc>
          <w:tcPr>
            <w:tcW w:w="4820" w:type="dxa"/>
            <w:vAlign w:val="bottom"/>
          </w:tcPr>
          <w:p>
            <w:pPr>
              <w:ind w:left="20"/>
              <w:spacing w:after="0"/>
              <w:rPr>
                <w:sz w:val="20"/>
                <w:szCs w:val="20"/>
                <w:color w:val="auto"/>
              </w:rPr>
            </w:pPr>
            <w:r>
              <w:rPr>
                <w:rFonts w:ascii="Arial" w:cs="Arial" w:eastAsia="Arial" w:hAnsi="Arial"/>
                <w:sz w:val="18"/>
                <w:szCs w:val="18"/>
                <w:color w:val="auto"/>
              </w:rPr>
              <w:t>Gross margin %</w:t>
            </w:r>
          </w:p>
        </w:tc>
        <w:tc>
          <w:tcPr>
            <w:tcW w:w="280" w:type="dxa"/>
            <w:vAlign w:val="bottom"/>
          </w:tcPr>
          <w:p>
            <w:pPr>
              <w:spacing w:after="0"/>
              <w:rPr>
                <w:sz w:val="21"/>
                <w:szCs w:val="21"/>
                <w:color w:val="auto"/>
              </w:rPr>
            </w:pPr>
          </w:p>
        </w:tc>
        <w:tc>
          <w:tcPr>
            <w:tcW w:w="1480" w:type="dxa"/>
            <w:vAlign w:val="bottom"/>
            <w:gridSpan w:val="2"/>
          </w:tcPr>
          <w:p>
            <w:pPr>
              <w:jc w:val="right"/>
              <w:spacing w:after="0"/>
              <w:rPr>
                <w:sz w:val="20"/>
                <w:szCs w:val="20"/>
                <w:color w:val="auto"/>
              </w:rPr>
            </w:pPr>
            <w:r>
              <w:rPr>
                <w:rFonts w:ascii="Arial" w:cs="Arial" w:eastAsia="Arial" w:hAnsi="Arial"/>
                <w:sz w:val="18"/>
                <w:szCs w:val="18"/>
                <w:color w:val="auto"/>
              </w:rPr>
              <w:t>66.8 %</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80" w:type="dxa"/>
            <w:vAlign w:val="bottom"/>
            <w:gridSpan w:val="2"/>
          </w:tcPr>
          <w:p>
            <w:pPr>
              <w:jc w:val="right"/>
              <w:spacing w:after="0"/>
              <w:rPr>
                <w:sz w:val="20"/>
                <w:szCs w:val="20"/>
                <w:color w:val="auto"/>
              </w:rPr>
            </w:pPr>
            <w:r>
              <w:rPr>
                <w:rFonts w:ascii="Arial" w:cs="Arial" w:eastAsia="Arial" w:hAnsi="Arial"/>
                <w:sz w:val="18"/>
                <w:szCs w:val="18"/>
                <w:color w:val="auto"/>
              </w:rPr>
              <w:t>67.4 %</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20" w:type="dxa"/>
            <w:vAlign w:val="bottom"/>
          </w:tcPr>
          <w:p>
            <w:pPr>
              <w:spacing w:after="0"/>
              <w:rPr>
                <w:sz w:val="21"/>
                <w:szCs w:val="21"/>
                <w:color w:val="auto"/>
              </w:rPr>
            </w:pPr>
          </w:p>
        </w:tc>
      </w:tr>
      <w:tr>
        <w:trPr>
          <w:trHeight w:val="27"/>
        </w:trPr>
        <w:tc>
          <w:tcPr>
            <w:tcW w:w="48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48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income</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362,665</w:t>
            </w:r>
          </w:p>
        </w:tc>
        <w:tc>
          <w:tcPr>
            <w:tcW w:w="580" w:type="dxa"/>
            <w:vAlign w:val="bottom"/>
            <w:tcBorders>
              <w:bottom w:val="single" w:sz="8" w:color="CCEEFF"/>
            </w:tcBorders>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362,374</w:t>
            </w:r>
          </w:p>
        </w:tc>
        <w:tc>
          <w:tcPr>
            <w:tcW w:w="720" w:type="dxa"/>
            <w:vAlign w:val="bottom"/>
            <w:tcBorders>
              <w:bottom w:val="single" w:sz="8" w:color="CCEEFF"/>
            </w:tcBorders>
            <w:gridSpan w:val="3"/>
            <w:shd w:val="clear" w:color="auto" w:fill="CCEEFF"/>
          </w:tcPr>
          <w:p>
            <w:pPr>
              <w:jc w:val="right"/>
              <w:ind w:right="228"/>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291</w:t>
            </w:r>
          </w:p>
        </w:tc>
        <w:tc>
          <w:tcPr>
            <w:tcW w:w="1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 %</w:t>
            </w:r>
          </w:p>
        </w:tc>
      </w:tr>
      <w:tr>
        <w:trPr>
          <w:trHeight w:val="243"/>
        </w:trPr>
        <w:tc>
          <w:tcPr>
            <w:tcW w:w="4820" w:type="dxa"/>
            <w:vAlign w:val="bottom"/>
          </w:tcPr>
          <w:p>
            <w:pPr>
              <w:ind w:left="20"/>
              <w:spacing w:after="0"/>
              <w:rPr>
                <w:sz w:val="20"/>
                <w:szCs w:val="20"/>
                <w:color w:val="auto"/>
              </w:rPr>
            </w:pPr>
            <w:r>
              <w:rPr>
                <w:rFonts w:ascii="Arial" w:cs="Arial" w:eastAsia="Arial" w:hAnsi="Arial"/>
                <w:sz w:val="18"/>
                <w:szCs w:val="18"/>
                <w:color w:val="auto"/>
              </w:rPr>
              <w:t>Net income as a % of revenue</w:t>
            </w:r>
          </w:p>
        </w:tc>
        <w:tc>
          <w:tcPr>
            <w:tcW w:w="28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24.9</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24.5</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20" w:type="dxa"/>
            <w:vAlign w:val="bottom"/>
          </w:tcPr>
          <w:p>
            <w:pPr>
              <w:spacing w:after="0"/>
              <w:rPr>
                <w:sz w:val="21"/>
                <w:szCs w:val="21"/>
                <w:color w:val="auto"/>
              </w:rPr>
            </w:pPr>
          </w:p>
        </w:tc>
      </w:tr>
      <w:tr>
        <w:trPr>
          <w:trHeight w:val="27"/>
        </w:trPr>
        <w:tc>
          <w:tcPr>
            <w:tcW w:w="48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48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Diluted EPS</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0.97</w:t>
            </w:r>
          </w:p>
        </w:tc>
        <w:tc>
          <w:tcPr>
            <w:tcW w:w="580" w:type="dxa"/>
            <w:vAlign w:val="bottom"/>
            <w:tcBorders>
              <w:bottom w:val="single" w:sz="8" w:color="CCEEFF"/>
            </w:tcBorders>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0.97</w:t>
            </w:r>
          </w:p>
        </w:tc>
        <w:tc>
          <w:tcPr>
            <w:tcW w:w="720" w:type="dxa"/>
            <w:vAlign w:val="bottom"/>
            <w:tcBorders>
              <w:bottom w:val="single" w:sz="8" w:color="CCEEFF"/>
            </w:tcBorders>
            <w:gridSpan w:val="3"/>
            <w:shd w:val="clear" w:color="auto" w:fill="CCEEFF"/>
          </w:tcPr>
          <w:p>
            <w:pPr>
              <w:jc w:val="right"/>
              <w:ind w:right="228"/>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 %</w:t>
            </w:r>
          </w:p>
        </w:tc>
      </w:tr>
      <w:tr>
        <w:trPr>
          <w:trHeight w:val="467"/>
        </w:trPr>
        <w:tc>
          <w:tcPr>
            <w:tcW w:w="482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2000" w:type="dxa"/>
            <w:vAlign w:val="bottom"/>
            <w:tcBorders>
              <w:bottom w:val="single" w:sz="8" w:color="auto"/>
            </w:tcBorders>
            <w:gridSpan w:val="4"/>
          </w:tcPr>
          <w:p>
            <w:pPr>
              <w:jc w:val="right"/>
              <w:ind w:right="268"/>
              <w:spacing w:after="0"/>
              <w:rPr>
                <w:sz w:val="20"/>
                <w:szCs w:val="20"/>
                <w:color w:val="auto"/>
              </w:rPr>
            </w:pPr>
            <w:r>
              <w:rPr>
                <w:rFonts w:ascii="Arial" w:cs="Arial" w:eastAsia="Arial" w:hAnsi="Arial"/>
                <w:sz w:val="14"/>
                <w:szCs w:val="14"/>
                <w:b w:val="1"/>
                <w:bCs w:val="1"/>
                <w:color w:val="auto"/>
              </w:rPr>
              <w:t>Nine Months Ended</w:t>
            </w:r>
          </w:p>
        </w:tc>
        <w:tc>
          <w:tcPr>
            <w:tcW w:w="8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spacing w:after="0"/>
              <w:rPr>
                <w:sz w:val="24"/>
                <w:szCs w:val="24"/>
                <w:color w:val="auto"/>
              </w:rPr>
            </w:pPr>
          </w:p>
        </w:tc>
      </w:tr>
      <w:tr>
        <w:trPr>
          <w:trHeight w:val="196"/>
        </w:trPr>
        <w:tc>
          <w:tcPr>
            <w:tcW w:w="482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ind w:right="133"/>
              <w:spacing w:after="0"/>
              <w:rPr>
                <w:sz w:val="20"/>
                <w:szCs w:val="20"/>
                <w:color w:val="auto"/>
              </w:rPr>
            </w:pPr>
            <w:r>
              <w:rPr>
                <w:rFonts w:ascii="Arial" w:cs="Arial" w:eastAsia="Arial" w:hAnsi="Arial"/>
                <w:sz w:val="14"/>
                <w:szCs w:val="14"/>
                <w:b w:val="1"/>
                <w:bCs w:val="1"/>
                <w:color w:val="auto"/>
              </w:rPr>
              <w:t>August 1, 2020</w:t>
            </w:r>
          </w:p>
        </w:tc>
        <w:tc>
          <w:tcPr>
            <w:tcW w:w="200" w:type="dxa"/>
            <w:vAlign w:val="bottom"/>
            <w:tcBorders>
              <w:bottom w:val="single" w:sz="8" w:color="auto"/>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ind w:right="135"/>
              <w:spacing w:after="0"/>
              <w:rPr>
                <w:sz w:val="20"/>
                <w:szCs w:val="20"/>
                <w:color w:val="auto"/>
              </w:rPr>
            </w:pPr>
            <w:r>
              <w:rPr>
                <w:rFonts w:ascii="Arial" w:cs="Arial" w:eastAsia="Arial" w:hAnsi="Arial"/>
                <w:sz w:val="14"/>
                <w:szCs w:val="14"/>
                <w:b w:val="1"/>
                <w:bCs w:val="1"/>
                <w:color w:val="auto"/>
              </w:rPr>
              <w:t>August 3, 2019</w:t>
            </w:r>
          </w:p>
        </w:tc>
        <w:tc>
          <w:tcPr>
            <w:tcW w:w="200" w:type="dxa"/>
            <w:vAlign w:val="bottom"/>
            <w:tcBorders>
              <w:bottom w:val="single" w:sz="8" w:color="auto"/>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800" w:type="dxa"/>
            <w:vAlign w:val="bottom"/>
            <w:tcBorders>
              <w:bottom w:val="single" w:sz="8" w:color="auto"/>
            </w:tcBorders>
          </w:tcPr>
          <w:p>
            <w:pPr>
              <w:jc w:val="right"/>
              <w:ind w:right="235"/>
              <w:spacing w:after="0"/>
              <w:rPr>
                <w:sz w:val="20"/>
                <w:szCs w:val="20"/>
                <w:color w:val="auto"/>
              </w:rPr>
            </w:pPr>
            <w:r>
              <w:rPr>
                <w:rFonts w:ascii="Arial" w:cs="Arial" w:eastAsia="Arial" w:hAnsi="Arial"/>
                <w:sz w:val="14"/>
                <w:szCs w:val="14"/>
                <w:b w:val="1"/>
                <w:bCs w:val="1"/>
                <w:color w:val="auto"/>
                <w:w w:val="89"/>
              </w:rPr>
              <w:t>Change</w:t>
            </w:r>
          </w:p>
        </w:tc>
        <w:tc>
          <w:tcPr>
            <w:tcW w:w="100" w:type="dxa"/>
            <w:vAlign w:val="bottom"/>
            <w:tcBorders>
              <w:bottom w:val="single" w:sz="8" w:color="CCEEFF"/>
            </w:tcBorders>
          </w:tcPr>
          <w:p>
            <w:pPr>
              <w:spacing w:after="0"/>
              <w:rPr>
                <w:sz w:val="17"/>
                <w:szCs w:val="17"/>
                <w:color w:val="auto"/>
              </w:rPr>
            </w:pPr>
          </w:p>
        </w:tc>
        <w:tc>
          <w:tcPr>
            <w:tcW w:w="1320" w:type="dxa"/>
            <w:vAlign w:val="bottom"/>
            <w:tcBorders>
              <w:bottom w:val="single" w:sz="8" w:color="auto"/>
            </w:tcBorders>
          </w:tcPr>
          <w:p>
            <w:pPr>
              <w:jc w:val="right"/>
              <w:ind w:right="235"/>
              <w:spacing w:after="0"/>
              <w:rPr>
                <w:sz w:val="20"/>
                <w:szCs w:val="20"/>
                <w:color w:val="auto"/>
              </w:rPr>
            </w:pPr>
            <w:r>
              <w:rPr>
                <w:rFonts w:ascii="Arial" w:cs="Arial" w:eastAsia="Arial" w:hAnsi="Arial"/>
                <w:sz w:val="14"/>
                <w:szCs w:val="14"/>
                <w:b w:val="1"/>
                <w:bCs w:val="1"/>
                <w:color w:val="auto"/>
              </w:rPr>
              <w:t>% Change</w:t>
            </w:r>
          </w:p>
        </w:tc>
      </w:tr>
      <w:tr>
        <w:trPr>
          <w:trHeight w:val="250"/>
        </w:trPr>
        <w:tc>
          <w:tcPr>
            <w:tcW w:w="48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Revenue</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4,076,761</w:t>
            </w:r>
          </w:p>
        </w:tc>
        <w:tc>
          <w:tcPr>
            <w:tcW w:w="580" w:type="dxa"/>
            <w:vAlign w:val="bottom"/>
            <w:tcBorders>
              <w:bottom w:val="single" w:sz="8" w:color="CCEEFF"/>
            </w:tcBorders>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4,547,846</w:t>
            </w:r>
          </w:p>
        </w:tc>
        <w:tc>
          <w:tcPr>
            <w:tcW w:w="720" w:type="dxa"/>
            <w:vAlign w:val="bottom"/>
            <w:tcBorders>
              <w:bottom w:val="single" w:sz="8" w:color="CCEEFF"/>
            </w:tcBorders>
            <w:gridSpan w:val="3"/>
            <w:shd w:val="clear" w:color="auto" w:fill="CCEEFF"/>
          </w:tcPr>
          <w:p>
            <w:pPr>
              <w:jc w:val="right"/>
              <w:ind w:right="228"/>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5"/>
              </w:rPr>
              <w:t>(471,085)</w:t>
            </w:r>
          </w:p>
        </w:tc>
        <w:tc>
          <w:tcPr>
            <w:tcW w:w="1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w:t>
            </w:r>
          </w:p>
        </w:tc>
      </w:tr>
      <w:tr>
        <w:trPr>
          <w:trHeight w:val="243"/>
        </w:trPr>
        <w:tc>
          <w:tcPr>
            <w:tcW w:w="4820" w:type="dxa"/>
            <w:vAlign w:val="bottom"/>
          </w:tcPr>
          <w:p>
            <w:pPr>
              <w:ind w:left="20"/>
              <w:spacing w:after="0"/>
              <w:rPr>
                <w:sz w:val="20"/>
                <w:szCs w:val="20"/>
                <w:color w:val="auto"/>
              </w:rPr>
            </w:pPr>
            <w:r>
              <w:rPr>
                <w:rFonts w:ascii="Arial" w:cs="Arial" w:eastAsia="Arial" w:hAnsi="Arial"/>
                <w:sz w:val="18"/>
                <w:szCs w:val="18"/>
                <w:color w:val="auto"/>
              </w:rPr>
              <w:t>Gross margin %</w:t>
            </w:r>
          </w:p>
        </w:tc>
        <w:tc>
          <w:tcPr>
            <w:tcW w:w="280" w:type="dxa"/>
            <w:vAlign w:val="bottom"/>
          </w:tcPr>
          <w:p>
            <w:pPr>
              <w:spacing w:after="0"/>
              <w:rPr>
                <w:sz w:val="21"/>
                <w:szCs w:val="21"/>
                <w:color w:val="auto"/>
              </w:rPr>
            </w:pPr>
          </w:p>
        </w:tc>
        <w:tc>
          <w:tcPr>
            <w:tcW w:w="1480" w:type="dxa"/>
            <w:vAlign w:val="bottom"/>
            <w:gridSpan w:val="2"/>
          </w:tcPr>
          <w:p>
            <w:pPr>
              <w:jc w:val="right"/>
              <w:spacing w:after="0"/>
              <w:rPr>
                <w:sz w:val="20"/>
                <w:szCs w:val="20"/>
                <w:color w:val="auto"/>
              </w:rPr>
            </w:pPr>
            <w:r>
              <w:rPr>
                <w:rFonts w:ascii="Arial" w:cs="Arial" w:eastAsia="Arial" w:hAnsi="Arial"/>
                <w:sz w:val="18"/>
                <w:szCs w:val="18"/>
                <w:color w:val="auto"/>
              </w:rPr>
              <w:t>65.4 %</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80" w:type="dxa"/>
            <w:vAlign w:val="bottom"/>
            <w:gridSpan w:val="2"/>
          </w:tcPr>
          <w:p>
            <w:pPr>
              <w:jc w:val="right"/>
              <w:spacing w:after="0"/>
              <w:rPr>
                <w:sz w:val="20"/>
                <w:szCs w:val="20"/>
                <w:color w:val="auto"/>
              </w:rPr>
            </w:pPr>
            <w:r>
              <w:rPr>
                <w:rFonts w:ascii="Arial" w:cs="Arial" w:eastAsia="Arial" w:hAnsi="Arial"/>
                <w:sz w:val="18"/>
                <w:szCs w:val="18"/>
                <w:color w:val="auto"/>
              </w:rPr>
              <w:t>67.5 %</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20" w:type="dxa"/>
            <w:vAlign w:val="bottom"/>
          </w:tcPr>
          <w:p>
            <w:pPr>
              <w:spacing w:after="0"/>
              <w:rPr>
                <w:sz w:val="21"/>
                <w:szCs w:val="21"/>
                <w:color w:val="auto"/>
              </w:rPr>
            </w:pPr>
          </w:p>
        </w:tc>
      </w:tr>
      <w:tr>
        <w:trPr>
          <w:trHeight w:val="27"/>
        </w:trPr>
        <w:tc>
          <w:tcPr>
            <w:tcW w:w="48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48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income</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834,235</w:t>
            </w:r>
          </w:p>
        </w:tc>
        <w:tc>
          <w:tcPr>
            <w:tcW w:w="580" w:type="dxa"/>
            <w:vAlign w:val="bottom"/>
            <w:tcBorders>
              <w:bottom w:val="single" w:sz="8" w:color="CCEEFF"/>
            </w:tcBorders>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1,085,317</w:t>
            </w:r>
          </w:p>
        </w:tc>
        <w:tc>
          <w:tcPr>
            <w:tcW w:w="720" w:type="dxa"/>
            <w:vAlign w:val="bottom"/>
            <w:tcBorders>
              <w:bottom w:val="single" w:sz="8" w:color="CCEEFF"/>
            </w:tcBorders>
            <w:gridSpan w:val="3"/>
            <w:shd w:val="clear" w:color="auto" w:fill="CCEEFF"/>
          </w:tcPr>
          <w:p>
            <w:pPr>
              <w:jc w:val="right"/>
              <w:ind w:right="228"/>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5"/>
              </w:rPr>
              <w:t>(251,082)</w:t>
            </w:r>
          </w:p>
        </w:tc>
        <w:tc>
          <w:tcPr>
            <w:tcW w:w="1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w:t>
            </w:r>
          </w:p>
        </w:tc>
      </w:tr>
      <w:tr>
        <w:trPr>
          <w:trHeight w:val="243"/>
        </w:trPr>
        <w:tc>
          <w:tcPr>
            <w:tcW w:w="4820" w:type="dxa"/>
            <w:vAlign w:val="bottom"/>
          </w:tcPr>
          <w:p>
            <w:pPr>
              <w:ind w:left="20"/>
              <w:spacing w:after="0"/>
              <w:rPr>
                <w:sz w:val="20"/>
                <w:szCs w:val="20"/>
                <w:color w:val="auto"/>
              </w:rPr>
            </w:pPr>
            <w:r>
              <w:rPr>
                <w:rFonts w:ascii="Arial" w:cs="Arial" w:eastAsia="Arial" w:hAnsi="Arial"/>
                <w:sz w:val="18"/>
                <w:szCs w:val="18"/>
                <w:color w:val="auto"/>
              </w:rPr>
              <w:t>Net income as a % of revenue</w:t>
            </w:r>
          </w:p>
        </w:tc>
        <w:tc>
          <w:tcPr>
            <w:tcW w:w="28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20.5</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23.9</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20" w:type="dxa"/>
            <w:vAlign w:val="bottom"/>
          </w:tcPr>
          <w:p>
            <w:pPr>
              <w:spacing w:after="0"/>
              <w:rPr>
                <w:sz w:val="21"/>
                <w:szCs w:val="21"/>
                <w:color w:val="auto"/>
              </w:rPr>
            </w:pPr>
          </w:p>
        </w:tc>
      </w:tr>
      <w:tr>
        <w:trPr>
          <w:trHeight w:val="27"/>
        </w:trPr>
        <w:tc>
          <w:tcPr>
            <w:tcW w:w="48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43"/>
        </w:trPr>
        <w:tc>
          <w:tcPr>
            <w:tcW w:w="4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Diluted EPS</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2.24</w:t>
            </w:r>
          </w:p>
        </w:tc>
        <w:tc>
          <w:tcPr>
            <w:tcW w:w="58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2.90</w:t>
            </w:r>
          </w:p>
        </w:tc>
        <w:tc>
          <w:tcPr>
            <w:tcW w:w="720" w:type="dxa"/>
            <w:vAlign w:val="bottom"/>
            <w:gridSpan w:val="3"/>
            <w:shd w:val="clear" w:color="auto" w:fill="CCEEFF"/>
          </w:tcPr>
          <w:p>
            <w:pPr>
              <w:jc w:val="right"/>
              <w:ind w:right="228"/>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(0.66)</w:t>
            </w:r>
          </w:p>
        </w:tc>
        <w:tc>
          <w:tcPr>
            <w:tcW w:w="100" w:type="dxa"/>
            <w:vAlign w:val="bottom"/>
            <w:shd w:val="clear" w:color="auto" w:fill="CCEEFF"/>
          </w:tcPr>
          <w:p>
            <w:pPr>
              <w:spacing w:after="0"/>
              <w:rPr>
                <w:sz w:val="21"/>
                <w:szCs w:val="21"/>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w:t>
            </w:r>
          </w:p>
        </w:tc>
      </w:tr>
      <w:tr>
        <w:trPr>
          <w:trHeight w:val="27"/>
        </w:trPr>
        <w:tc>
          <w:tcPr>
            <w:tcW w:w="482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28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28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400" w:type="dxa"/>
            <w:vAlign w:val="bottom"/>
            <w:shd w:val="clear" w:color="auto" w:fill="CCEEFF"/>
          </w:tcPr>
          <w:p>
            <w:pPr>
              <w:spacing w:after="0"/>
              <w:rPr>
                <w:sz w:val="2"/>
                <w:szCs w:val="2"/>
                <w:color w:val="auto"/>
              </w:rPr>
            </w:pPr>
          </w:p>
        </w:tc>
        <w:tc>
          <w:tcPr>
            <w:tcW w:w="8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320" w:type="dxa"/>
            <w:vAlign w:val="bottom"/>
            <w:shd w:val="clear" w:color="auto" w:fill="CCEEFF"/>
          </w:tcPr>
          <w:p>
            <w:pPr>
              <w:spacing w:after="0"/>
              <w:rPr>
                <w:sz w:val="2"/>
                <w:szCs w:val="2"/>
                <w:color w:val="auto"/>
              </w:rPr>
            </w:pPr>
          </w:p>
        </w:tc>
      </w:tr>
    </w:tbl>
    <w:p>
      <w:pPr>
        <w:spacing w:after="0" w:line="14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 Trends by End Market</w:t>
      </w:r>
    </w:p>
    <w:p>
      <w:pPr>
        <w:spacing w:after="0" w:line="90" w:lineRule="exact"/>
        <w:rPr>
          <w:sz w:val="20"/>
          <w:szCs w:val="20"/>
          <w:color w:val="auto"/>
        </w:rPr>
      </w:pPr>
    </w:p>
    <w:p>
      <w:pPr>
        <w:ind w:right="40" w:firstLine="445"/>
        <w:spacing w:after="0" w:line="293" w:lineRule="auto"/>
        <w:rPr>
          <w:sz w:val="20"/>
          <w:szCs w:val="20"/>
          <w:color w:val="auto"/>
        </w:rPr>
      </w:pPr>
      <w:r>
        <w:rPr>
          <w:rFonts w:ascii="Arial" w:cs="Arial" w:eastAsia="Arial" w:hAnsi="Arial"/>
          <w:sz w:val="16"/>
          <w:szCs w:val="16"/>
          <w:color w:val="auto"/>
        </w:rPr>
        <w:t>The following table summarizes revenue by end market. The categorization of revenue by end market is determined using a variety of data points including the technical characteristics of the product, the “sold to” customer information, the “ship to” customer information and the end customer product or application into which our product will be incorporated. As data systems for capturing and tracking this data and our methodology evolve and improve, the categorization of products by end market can vary over time. When this occurs, we reclassify revenue by end market for prior periods. Such reclassifications typically do not materially change the sizing of, or the underlying trends of results within, each end market.</w:t>
      </w:r>
    </w:p>
    <w:p>
      <w:pPr>
        <w:spacing w:after="0" w:line="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18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gridSpan w:val="2"/>
          </w:tcPr>
          <w:p>
            <w:pPr>
              <w:jc w:val="center"/>
              <w:ind w:right="100"/>
              <w:spacing w:after="0"/>
              <w:rPr>
                <w:sz w:val="20"/>
                <w:szCs w:val="20"/>
                <w:color w:val="auto"/>
              </w:rPr>
            </w:pPr>
            <w:r>
              <w:rPr>
                <w:rFonts w:ascii="Arial" w:cs="Arial" w:eastAsia="Arial" w:hAnsi="Arial"/>
                <w:sz w:val="14"/>
                <w:szCs w:val="14"/>
                <w:b w:val="1"/>
                <w:bCs w:val="1"/>
                <w:color w:val="auto"/>
                <w:w w:val="95"/>
              </w:rPr>
              <w:t>Three Months Ended</w:t>
            </w:r>
          </w:p>
        </w:tc>
        <w:tc>
          <w:tcPr>
            <w:tcW w:w="2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418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jc w:val="right"/>
              <w:ind w:right="97"/>
              <w:spacing w:after="0"/>
              <w:rPr>
                <w:sz w:val="20"/>
                <w:szCs w:val="20"/>
                <w:color w:val="auto"/>
              </w:rPr>
            </w:pPr>
            <w:r>
              <w:rPr>
                <w:rFonts w:ascii="Arial" w:cs="Arial" w:eastAsia="Arial" w:hAnsi="Arial"/>
                <w:sz w:val="14"/>
                <w:szCs w:val="14"/>
                <w:b w:val="1"/>
                <w:bCs w:val="1"/>
                <w:color w:val="auto"/>
              </w:rPr>
              <w:t>August 1, 2020</w:t>
            </w:r>
          </w:p>
        </w:tc>
        <w:tc>
          <w:tcPr>
            <w:tcW w:w="12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2500" w:type="dxa"/>
            <w:vAlign w:val="bottom"/>
            <w:tcBorders>
              <w:bottom w:val="single" w:sz="8" w:color="auto"/>
            </w:tcBorders>
            <w:gridSpan w:val="3"/>
          </w:tcPr>
          <w:p>
            <w:pPr>
              <w:jc w:val="right"/>
              <w:ind w:right="835"/>
              <w:spacing w:after="0"/>
              <w:rPr>
                <w:sz w:val="20"/>
                <w:szCs w:val="20"/>
                <w:color w:val="auto"/>
              </w:rPr>
            </w:pPr>
            <w:r>
              <w:rPr>
                <w:rFonts w:ascii="Arial" w:cs="Arial" w:eastAsia="Arial" w:hAnsi="Arial"/>
                <w:sz w:val="14"/>
                <w:szCs w:val="14"/>
                <w:b w:val="1"/>
                <w:bCs w:val="1"/>
                <w:color w:val="auto"/>
              </w:rPr>
              <w:t>August 3, 2019</w:t>
            </w:r>
          </w:p>
        </w:tc>
        <w:tc>
          <w:tcPr>
            <w:tcW w:w="0" w:type="dxa"/>
            <w:vAlign w:val="bottom"/>
          </w:tcPr>
          <w:p>
            <w:pPr>
              <w:spacing w:after="0"/>
              <w:rPr>
                <w:sz w:val="1"/>
                <w:szCs w:val="1"/>
                <w:color w:val="auto"/>
              </w:rPr>
            </w:pPr>
          </w:p>
        </w:tc>
      </w:tr>
      <w:tr>
        <w:trPr>
          <w:trHeight w:val="152"/>
        </w:trPr>
        <w:tc>
          <w:tcPr>
            <w:tcW w:w="41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20" w:type="dxa"/>
            <w:vAlign w:val="bottom"/>
            <w:vMerge w:val="restart"/>
          </w:tcPr>
          <w:p>
            <w:pPr>
              <w:jc w:val="right"/>
              <w:ind w:right="273"/>
              <w:spacing w:after="0"/>
              <w:rPr>
                <w:sz w:val="20"/>
                <w:szCs w:val="20"/>
                <w:color w:val="auto"/>
              </w:rPr>
            </w:pPr>
            <w:r>
              <w:rPr>
                <w:rFonts w:ascii="Arial" w:cs="Arial" w:eastAsia="Arial" w:hAnsi="Arial"/>
                <w:sz w:val="14"/>
                <w:szCs w:val="14"/>
                <w:b w:val="1"/>
                <w:bCs w:val="1"/>
                <w:color w:val="auto"/>
              </w:rPr>
              <w:t>Revenue</w:t>
            </w:r>
          </w:p>
        </w:tc>
        <w:tc>
          <w:tcPr>
            <w:tcW w:w="100" w:type="dxa"/>
            <w:vAlign w:val="bottom"/>
            <w:vMerge w:val="restart"/>
          </w:tcPr>
          <w:p>
            <w:pPr>
              <w:spacing w:after="0"/>
              <w:rPr>
                <w:sz w:val="13"/>
                <w:szCs w:val="13"/>
                <w:color w:val="auto"/>
              </w:rPr>
            </w:pPr>
          </w:p>
        </w:tc>
        <w:tc>
          <w:tcPr>
            <w:tcW w:w="1360" w:type="dxa"/>
            <w:vAlign w:val="bottom"/>
          </w:tcPr>
          <w:p>
            <w:pPr>
              <w:jc w:val="center"/>
              <w:spacing w:after="0" w:line="153" w:lineRule="exact"/>
              <w:rPr>
                <w:sz w:val="20"/>
                <w:szCs w:val="20"/>
                <w:color w:val="auto"/>
              </w:rPr>
            </w:pPr>
            <w:r>
              <w:rPr>
                <w:rFonts w:ascii="Arial" w:cs="Arial" w:eastAsia="Arial" w:hAnsi="Arial"/>
                <w:sz w:val="14"/>
                <w:szCs w:val="14"/>
                <w:b w:val="1"/>
                <w:bCs w:val="1"/>
                <w:color w:val="auto"/>
              </w:rPr>
              <w:t>% of</w:t>
            </w:r>
          </w:p>
        </w:tc>
        <w:tc>
          <w:tcPr>
            <w:tcW w:w="120" w:type="dxa"/>
            <w:vAlign w:val="bottom"/>
          </w:tcPr>
          <w:p>
            <w:pPr>
              <w:spacing w:after="0"/>
              <w:rPr>
                <w:sz w:val="13"/>
                <w:szCs w:val="13"/>
                <w:color w:val="auto"/>
              </w:rPr>
            </w:pPr>
          </w:p>
        </w:tc>
        <w:tc>
          <w:tcPr>
            <w:tcW w:w="132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Y/Y%</w:t>
            </w:r>
          </w:p>
        </w:tc>
        <w:tc>
          <w:tcPr>
            <w:tcW w:w="100" w:type="dxa"/>
            <w:vAlign w:val="bottom"/>
            <w:vMerge w:val="restart"/>
          </w:tcPr>
          <w:p>
            <w:pPr>
              <w:spacing w:after="0"/>
              <w:rPr>
                <w:sz w:val="13"/>
                <w:szCs w:val="13"/>
                <w:color w:val="auto"/>
              </w:rPr>
            </w:pPr>
          </w:p>
        </w:tc>
        <w:tc>
          <w:tcPr>
            <w:tcW w:w="240" w:type="dxa"/>
            <w:vAlign w:val="bottom"/>
          </w:tcPr>
          <w:p>
            <w:pPr>
              <w:spacing w:after="0"/>
              <w:rPr>
                <w:sz w:val="13"/>
                <w:szCs w:val="13"/>
                <w:color w:val="auto"/>
              </w:rPr>
            </w:pPr>
          </w:p>
        </w:tc>
        <w:tc>
          <w:tcPr>
            <w:tcW w:w="1020" w:type="dxa"/>
            <w:vAlign w:val="bottom"/>
            <w:vMerge w:val="restart"/>
          </w:tcPr>
          <w:p>
            <w:pPr>
              <w:jc w:val="right"/>
              <w:ind w:right="275"/>
              <w:spacing w:after="0"/>
              <w:rPr>
                <w:sz w:val="20"/>
                <w:szCs w:val="20"/>
                <w:color w:val="auto"/>
              </w:rPr>
            </w:pPr>
            <w:r>
              <w:rPr>
                <w:rFonts w:ascii="Arial" w:cs="Arial" w:eastAsia="Arial" w:hAnsi="Arial"/>
                <w:sz w:val="14"/>
                <w:szCs w:val="14"/>
                <w:b w:val="1"/>
                <w:bCs w:val="1"/>
                <w:color w:val="auto"/>
              </w:rPr>
              <w:t>Revenue</w:t>
            </w:r>
          </w:p>
        </w:tc>
        <w:tc>
          <w:tcPr>
            <w:tcW w:w="100" w:type="dxa"/>
            <w:vAlign w:val="bottom"/>
            <w:vMerge w:val="restart"/>
          </w:tcPr>
          <w:p>
            <w:pPr>
              <w:spacing w:after="0"/>
              <w:rPr>
                <w:sz w:val="13"/>
                <w:szCs w:val="13"/>
                <w:color w:val="auto"/>
              </w:rPr>
            </w:pPr>
          </w:p>
        </w:tc>
        <w:tc>
          <w:tcPr>
            <w:tcW w:w="1380" w:type="dxa"/>
            <w:vAlign w:val="bottom"/>
          </w:tcPr>
          <w:p>
            <w:pPr>
              <w:jc w:val="center"/>
              <w:spacing w:after="0" w:line="153" w:lineRule="exact"/>
              <w:rPr>
                <w:sz w:val="20"/>
                <w:szCs w:val="20"/>
                <w:color w:val="auto"/>
              </w:rPr>
            </w:pPr>
            <w:r>
              <w:rPr>
                <w:rFonts w:ascii="Arial" w:cs="Arial" w:eastAsia="Arial" w:hAnsi="Arial"/>
                <w:sz w:val="14"/>
                <w:szCs w:val="14"/>
                <w:b w:val="1"/>
                <w:bCs w:val="1"/>
                <w:color w:val="auto"/>
              </w:rPr>
              <w:t>% of</w:t>
            </w:r>
          </w:p>
        </w:tc>
        <w:tc>
          <w:tcPr>
            <w:tcW w:w="0" w:type="dxa"/>
            <w:vAlign w:val="bottom"/>
          </w:tcPr>
          <w:p>
            <w:pPr>
              <w:spacing w:after="0"/>
              <w:rPr>
                <w:sz w:val="1"/>
                <w:szCs w:val="1"/>
                <w:color w:val="auto"/>
              </w:rPr>
            </w:pPr>
          </w:p>
        </w:tc>
      </w:tr>
      <w:tr>
        <w:trPr>
          <w:trHeight w:val="192"/>
        </w:trPr>
        <w:tc>
          <w:tcPr>
            <w:tcW w:w="418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3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Revenue*</w:t>
            </w:r>
          </w:p>
        </w:tc>
        <w:tc>
          <w:tcPr>
            <w:tcW w:w="120" w:type="dxa"/>
            <w:vAlign w:val="bottom"/>
            <w:tcBorders>
              <w:bottom w:val="single" w:sz="8" w:color="CCEEFF"/>
            </w:tcBorders>
          </w:tcPr>
          <w:p>
            <w:pPr>
              <w:spacing w:after="0"/>
              <w:rPr>
                <w:sz w:val="16"/>
                <w:szCs w:val="16"/>
                <w:color w:val="auto"/>
              </w:rPr>
            </w:pPr>
          </w:p>
        </w:tc>
        <w:tc>
          <w:tcPr>
            <w:tcW w:w="132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3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Revenue*</w:t>
            </w:r>
          </w:p>
        </w:tc>
        <w:tc>
          <w:tcPr>
            <w:tcW w:w="0" w:type="dxa"/>
            <w:vAlign w:val="bottom"/>
          </w:tcPr>
          <w:p>
            <w:pPr>
              <w:spacing w:after="0"/>
              <w:rPr>
                <w:sz w:val="1"/>
                <w:szCs w:val="1"/>
                <w:color w:val="auto"/>
              </w:rPr>
            </w:pPr>
          </w:p>
        </w:tc>
      </w:tr>
      <w:tr>
        <w:trPr>
          <w:trHeight w:val="249"/>
        </w:trPr>
        <w:tc>
          <w:tcPr>
            <w:tcW w:w="4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Industrial</w:t>
            </w: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774,353</w:t>
            </w:r>
          </w:p>
        </w:tc>
        <w:tc>
          <w:tcPr>
            <w:tcW w:w="1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53 %</w:t>
            </w:r>
          </w:p>
        </w:tc>
        <w:tc>
          <w:tcPr>
            <w:tcW w:w="14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3 %</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753,118</w:t>
            </w:r>
          </w:p>
        </w:tc>
        <w:tc>
          <w:tcPr>
            <w:tcW w:w="1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51 %</w:t>
            </w:r>
          </w:p>
        </w:tc>
        <w:tc>
          <w:tcPr>
            <w:tcW w:w="0" w:type="dxa"/>
            <w:vAlign w:val="bottom"/>
          </w:tcPr>
          <w:p>
            <w:pPr>
              <w:spacing w:after="0"/>
              <w:rPr>
                <w:sz w:val="1"/>
                <w:szCs w:val="1"/>
                <w:color w:val="auto"/>
              </w:rPr>
            </w:pPr>
          </w:p>
        </w:tc>
      </w:tr>
      <w:tr>
        <w:trPr>
          <w:trHeight w:val="243"/>
        </w:trPr>
        <w:tc>
          <w:tcPr>
            <w:tcW w:w="4180" w:type="dxa"/>
            <w:vAlign w:val="bottom"/>
          </w:tcPr>
          <w:p>
            <w:pPr>
              <w:ind w:left="20"/>
              <w:spacing w:after="0"/>
              <w:rPr>
                <w:sz w:val="20"/>
                <w:szCs w:val="20"/>
                <w:color w:val="auto"/>
              </w:rPr>
            </w:pPr>
            <w:r>
              <w:rPr>
                <w:rFonts w:ascii="Arial" w:cs="Arial" w:eastAsia="Arial" w:hAnsi="Arial"/>
                <w:sz w:val="18"/>
                <w:szCs w:val="18"/>
                <w:color w:val="auto"/>
              </w:rPr>
              <w:t>Communications</w:t>
            </w:r>
          </w:p>
        </w:tc>
        <w:tc>
          <w:tcPr>
            <w:tcW w:w="240" w:type="dxa"/>
            <w:vAlign w:val="bottom"/>
          </w:tcPr>
          <w:p>
            <w:pPr>
              <w:spacing w:after="0"/>
              <w:rPr>
                <w:sz w:val="21"/>
                <w:szCs w:val="21"/>
                <w:color w:val="auto"/>
              </w:rPr>
            </w:pPr>
          </w:p>
        </w:tc>
        <w:tc>
          <w:tcPr>
            <w:tcW w:w="1020" w:type="dxa"/>
            <w:vAlign w:val="bottom"/>
          </w:tcPr>
          <w:p>
            <w:pPr>
              <w:jc w:val="right"/>
              <w:ind w:right="13"/>
              <w:spacing w:after="0"/>
              <w:rPr>
                <w:sz w:val="20"/>
                <w:szCs w:val="20"/>
                <w:color w:val="auto"/>
              </w:rPr>
            </w:pPr>
            <w:r>
              <w:rPr>
                <w:rFonts w:ascii="Arial" w:cs="Arial" w:eastAsia="Arial" w:hAnsi="Arial"/>
                <w:sz w:val="18"/>
                <w:szCs w:val="18"/>
                <w:color w:val="auto"/>
              </w:rPr>
              <w:t>363,613</w:t>
            </w:r>
          </w:p>
        </w:tc>
        <w:tc>
          <w:tcPr>
            <w:tcW w:w="10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25 %</w:t>
            </w:r>
          </w:p>
        </w:tc>
        <w:tc>
          <w:tcPr>
            <w:tcW w:w="1440" w:type="dxa"/>
            <w:vAlign w:val="bottom"/>
            <w:gridSpan w:val="2"/>
          </w:tcPr>
          <w:p>
            <w:pPr>
              <w:jc w:val="right"/>
              <w:spacing w:after="0"/>
              <w:rPr>
                <w:sz w:val="20"/>
                <w:szCs w:val="20"/>
                <w:color w:val="auto"/>
              </w:rPr>
            </w:pPr>
            <w:r>
              <w:rPr>
                <w:rFonts w:ascii="Arial" w:cs="Arial" w:eastAsia="Arial" w:hAnsi="Arial"/>
                <w:sz w:val="18"/>
                <w:szCs w:val="18"/>
                <w:color w:val="auto"/>
              </w:rPr>
              <w:t>14 %</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319,250</w:t>
            </w:r>
          </w:p>
        </w:tc>
        <w:tc>
          <w:tcPr>
            <w:tcW w:w="10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22 %</w:t>
            </w:r>
          </w:p>
        </w:tc>
        <w:tc>
          <w:tcPr>
            <w:tcW w:w="0" w:type="dxa"/>
            <w:vAlign w:val="bottom"/>
          </w:tcPr>
          <w:p>
            <w:pPr>
              <w:spacing w:after="0"/>
              <w:rPr>
                <w:sz w:val="1"/>
                <w:szCs w:val="1"/>
                <w:color w:val="auto"/>
              </w:rPr>
            </w:pPr>
          </w:p>
        </w:tc>
      </w:tr>
      <w:tr>
        <w:trPr>
          <w:trHeight w:val="27"/>
        </w:trPr>
        <w:tc>
          <w:tcPr>
            <w:tcW w:w="41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Automotive</w:t>
            </w: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162,480</w:t>
            </w:r>
          </w:p>
        </w:tc>
        <w:tc>
          <w:tcPr>
            <w:tcW w:w="1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11 %</w:t>
            </w:r>
          </w:p>
        </w:tc>
        <w:tc>
          <w:tcPr>
            <w:tcW w:w="14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228,235</w:t>
            </w:r>
          </w:p>
        </w:tc>
        <w:tc>
          <w:tcPr>
            <w:tcW w:w="1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15 %</w:t>
            </w:r>
          </w:p>
        </w:tc>
        <w:tc>
          <w:tcPr>
            <w:tcW w:w="0" w:type="dxa"/>
            <w:vAlign w:val="bottom"/>
          </w:tcPr>
          <w:p>
            <w:pPr>
              <w:spacing w:after="0"/>
              <w:rPr>
                <w:sz w:val="1"/>
                <w:szCs w:val="1"/>
                <w:color w:val="auto"/>
              </w:rPr>
            </w:pPr>
          </w:p>
        </w:tc>
      </w:tr>
      <w:tr>
        <w:trPr>
          <w:trHeight w:val="243"/>
        </w:trPr>
        <w:tc>
          <w:tcPr>
            <w:tcW w:w="4180" w:type="dxa"/>
            <w:vAlign w:val="bottom"/>
          </w:tcPr>
          <w:p>
            <w:pPr>
              <w:ind w:left="20"/>
              <w:spacing w:after="0"/>
              <w:rPr>
                <w:sz w:val="20"/>
                <w:szCs w:val="20"/>
                <w:color w:val="auto"/>
              </w:rPr>
            </w:pPr>
            <w:r>
              <w:rPr>
                <w:rFonts w:ascii="Arial" w:cs="Arial" w:eastAsia="Arial" w:hAnsi="Arial"/>
                <w:sz w:val="18"/>
                <w:szCs w:val="18"/>
                <w:color w:val="auto"/>
              </w:rPr>
              <w:t>Consumer</w:t>
            </w:r>
          </w:p>
        </w:tc>
        <w:tc>
          <w:tcPr>
            <w:tcW w:w="240" w:type="dxa"/>
            <w:vAlign w:val="bottom"/>
          </w:tcPr>
          <w:p>
            <w:pPr>
              <w:spacing w:after="0"/>
              <w:rPr>
                <w:sz w:val="21"/>
                <w:szCs w:val="21"/>
                <w:color w:val="auto"/>
              </w:rPr>
            </w:pPr>
          </w:p>
        </w:tc>
        <w:tc>
          <w:tcPr>
            <w:tcW w:w="1020" w:type="dxa"/>
            <w:vAlign w:val="bottom"/>
          </w:tcPr>
          <w:p>
            <w:pPr>
              <w:jc w:val="right"/>
              <w:ind w:right="13"/>
              <w:spacing w:after="0"/>
              <w:rPr>
                <w:sz w:val="20"/>
                <w:szCs w:val="20"/>
                <w:color w:val="auto"/>
              </w:rPr>
            </w:pPr>
            <w:r>
              <w:rPr>
                <w:rFonts w:ascii="Arial" w:cs="Arial" w:eastAsia="Arial" w:hAnsi="Arial"/>
                <w:sz w:val="18"/>
                <w:szCs w:val="18"/>
                <w:color w:val="auto"/>
              </w:rPr>
              <w:t>155,690</w:t>
            </w:r>
          </w:p>
        </w:tc>
        <w:tc>
          <w:tcPr>
            <w:tcW w:w="10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11 %</w:t>
            </w:r>
          </w:p>
        </w:tc>
        <w:tc>
          <w:tcPr>
            <w:tcW w:w="1440" w:type="dxa"/>
            <w:vAlign w:val="bottom"/>
            <w:gridSpan w:val="2"/>
          </w:tcPr>
          <w:p>
            <w:pPr>
              <w:jc w:val="right"/>
              <w:spacing w:after="0"/>
              <w:rPr>
                <w:sz w:val="20"/>
                <w:szCs w:val="20"/>
                <w:color w:val="auto"/>
              </w:rPr>
            </w:pPr>
            <w:r>
              <w:rPr>
                <w:rFonts w:ascii="Arial" w:cs="Arial" w:eastAsia="Arial" w:hAnsi="Arial"/>
                <w:sz w:val="18"/>
                <w:szCs w:val="18"/>
                <w:color w:val="auto"/>
              </w:rPr>
              <w:t>(13)%</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179,540</w:t>
            </w:r>
          </w:p>
        </w:tc>
        <w:tc>
          <w:tcPr>
            <w:tcW w:w="10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12 %</w:t>
            </w:r>
          </w:p>
        </w:tc>
        <w:tc>
          <w:tcPr>
            <w:tcW w:w="0" w:type="dxa"/>
            <w:vAlign w:val="bottom"/>
          </w:tcPr>
          <w:p>
            <w:pPr>
              <w:spacing w:after="0"/>
              <w:rPr>
                <w:sz w:val="1"/>
                <w:szCs w:val="1"/>
                <w:color w:val="auto"/>
              </w:rPr>
            </w:pPr>
          </w:p>
        </w:tc>
      </w:tr>
      <w:tr>
        <w:trPr>
          <w:trHeight w:val="27"/>
        </w:trPr>
        <w:tc>
          <w:tcPr>
            <w:tcW w:w="41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8"/>
        </w:trPr>
        <w:tc>
          <w:tcPr>
            <w:tcW w:w="4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revenue</w:t>
            </w: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1,456,136</w:t>
            </w:r>
          </w:p>
        </w:tc>
        <w:tc>
          <w:tcPr>
            <w:tcW w:w="100" w:type="dxa"/>
            <w:vAlign w:val="bottom"/>
            <w:tcBorders>
              <w:bottom w:val="single" w:sz="8" w:color="CCEEFF"/>
            </w:tcBorders>
            <w:shd w:val="clear" w:color="auto" w:fill="CCEEFF"/>
          </w:tcPr>
          <w:p>
            <w:pPr>
              <w:spacing w:after="0"/>
              <w:rPr>
                <w:sz w:val="24"/>
                <w:szCs w:val="24"/>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100 %</w:t>
            </w:r>
          </w:p>
        </w:tc>
        <w:tc>
          <w:tcPr>
            <w:tcW w:w="14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shd w:val="clear" w:color="auto" w:fill="CCEEFF"/>
          </w:tcPr>
          <w:p>
            <w:pPr>
              <w:spacing w:after="0"/>
              <w:rPr>
                <w:sz w:val="24"/>
                <w:szCs w:val="24"/>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1,480,143</w:t>
            </w:r>
          </w:p>
        </w:tc>
        <w:tc>
          <w:tcPr>
            <w:tcW w:w="100" w:type="dxa"/>
            <w:vAlign w:val="bottom"/>
            <w:tcBorders>
              <w:bottom w:val="single" w:sz="8" w:color="CCEEFF"/>
            </w:tcBorders>
            <w:shd w:val="clear" w:color="auto" w:fill="CCEEFF"/>
          </w:tcPr>
          <w:p>
            <w:pPr>
              <w:spacing w:after="0"/>
              <w:rPr>
                <w:sz w:val="24"/>
                <w:szCs w:val="24"/>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100 %</w:t>
            </w:r>
          </w:p>
        </w:tc>
        <w:tc>
          <w:tcPr>
            <w:tcW w:w="0" w:type="dxa"/>
            <w:vAlign w:val="bottom"/>
          </w:tcPr>
          <w:p>
            <w:pPr>
              <w:spacing w:after="0"/>
              <w:rPr>
                <w:sz w:val="1"/>
                <w:szCs w:val="1"/>
                <w:color w:val="auto"/>
              </w:rPr>
            </w:pPr>
          </w:p>
        </w:tc>
      </w:tr>
      <w:tr>
        <w:trPr>
          <w:trHeight w:val="20"/>
        </w:trPr>
        <w:tc>
          <w:tcPr>
            <w:tcW w:w="41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bottom w:val="single" w:sz="8" w:color="CCEEFF"/>
            </w:tcBorders>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4"/>
              </w:rPr>
              <w:t>Nine Months Ended</w:t>
            </w: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2"/>
        </w:trPr>
        <w:tc>
          <w:tcPr>
            <w:tcW w:w="418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420" w:type="dxa"/>
            <w:vAlign w:val="bottom"/>
            <w:tcBorders>
              <w:bottom w:val="single" w:sz="8" w:color="auto"/>
            </w:tcBorders>
            <w:gridSpan w:val="2"/>
            <w:vMerge w:val="continue"/>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418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jc w:val="right"/>
              <w:ind w:right="97"/>
              <w:spacing w:after="0"/>
              <w:rPr>
                <w:sz w:val="20"/>
                <w:szCs w:val="20"/>
                <w:color w:val="auto"/>
              </w:rPr>
            </w:pPr>
            <w:r>
              <w:rPr>
                <w:rFonts w:ascii="Arial" w:cs="Arial" w:eastAsia="Arial" w:hAnsi="Arial"/>
                <w:sz w:val="14"/>
                <w:szCs w:val="14"/>
                <w:b w:val="1"/>
                <w:bCs w:val="1"/>
                <w:color w:val="auto"/>
              </w:rPr>
              <w:t>August 1, 2020</w:t>
            </w:r>
          </w:p>
        </w:tc>
        <w:tc>
          <w:tcPr>
            <w:tcW w:w="12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2500" w:type="dxa"/>
            <w:vAlign w:val="bottom"/>
            <w:tcBorders>
              <w:bottom w:val="single" w:sz="8" w:color="auto"/>
            </w:tcBorders>
            <w:gridSpan w:val="3"/>
          </w:tcPr>
          <w:p>
            <w:pPr>
              <w:jc w:val="right"/>
              <w:ind w:right="835"/>
              <w:spacing w:after="0"/>
              <w:rPr>
                <w:sz w:val="20"/>
                <w:szCs w:val="20"/>
                <w:color w:val="auto"/>
              </w:rPr>
            </w:pPr>
            <w:r>
              <w:rPr>
                <w:rFonts w:ascii="Arial" w:cs="Arial" w:eastAsia="Arial" w:hAnsi="Arial"/>
                <w:sz w:val="14"/>
                <w:szCs w:val="14"/>
                <w:b w:val="1"/>
                <w:bCs w:val="1"/>
                <w:color w:val="auto"/>
              </w:rPr>
              <w:t>August 3, 2019</w:t>
            </w:r>
          </w:p>
        </w:tc>
        <w:tc>
          <w:tcPr>
            <w:tcW w:w="0" w:type="dxa"/>
            <w:vAlign w:val="bottom"/>
          </w:tcPr>
          <w:p>
            <w:pPr>
              <w:spacing w:after="0"/>
              <w:rPr>
                <w:sz w:val="1"/>
                <w:szCs w:val="1"/>
                <w:color w:val="auto"/>
              </w:rPr>
            </w:pPr>
          </w:p>
        </w:tc>
      </w:tr>
      <w:tr>
        <w:trPr>
          <w:trHeight w:val="152"/>
        </w:trPr>
        <w:tc>
          <w:tcPr>
            <w:tcW w:w="41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20" w:type="dxa"/>
            <w:vAlign w:val="bottom"/>
            <w:vMerge w:val="restart"/>
          </w:tcPr>
          <w:p>
            <w:pPr>
              <w:jc w:val="right"/>
              <w:ind w:right="273"/>
              <w:spacing w:after="0"/>
              <w:rPr>
                <w:sz w:val="20"/>
                <w:szCs w:val="20"/>
                <w:color w:val="auto"/>
              </w:rPr>
            </w:pPr>
            <w:r>
              <w:rPr>
                <w:rFonts w:ascii="Arial" w:cs="Arial" w:eastAsia="Arial" w:hAnsi="Arial"/>
                <w:sz w:val="14"/>
                <w:szCs w:val="14"/>
                <w:b w:val="1"/>
                <w:bCs w:val="1"/>
                <w:color w:val="auto"/>
              </w:rPr>
              <w:t>Revenue</w:t>
            </w:r>
          </w:p>
        </w:tc>
        <w:tc>
          <w:tcPr>
            <w:tcW w:w="100" w:type="dxa"/>
            <w:vAlign w:val="bottom"/>
            <w:vMerge w:val="restart"/>
          </w:tcPr>
          <w:p>
            <w:pPr>
              <w:spacing w:after="0"/>
              <w:rPr>
                <w:sz w:val="13"/>
                <w:szCs w:val="13"/>
                <w:color w:val="auto"/>
              </w:rPr>
            </w:pPr>
          </w:p>
        </w:tc>
        <w:tc>
          <w:tcPr>
            <w:tcW w:w="1360" w:type="dxa"/>
            <w:vAlign w:val="bottom"/>
          </w:tcPr>
          <w:p>
            <w:pPr>
              <w:jc w:val="center"/>
              <w:spacing w:after="0" w:line="153" w:lineRule="exact"/>
              <w:rPr>
                <w:sz w:val="20"/>
                <w:szCs w:val="20"/>
                <w:color w:val="auto"/>
              </w:rPr>
            </w:pPr>
            <w:r>
              <w:rPr>
                <w:rFonts w:ascii="Arial" w:cs="Arial" w:eastAsia="Arial" w:hAnsi="Arial"/>
                <w:sz w:val="14"/>
                <w:szCs w:val="14"/>
                <w:b w:val="1"/>
                <w:bCs w:val="1"/>
                <w:color w:val="auto"/>
              </w:rPr>
              <w:t>% of</w:t>
            </w:r>
          </w:p>
        </w:tc>
        <w:tc>
          <w:tcPr>
            <w:tcW w:w="120" w:type="dxa"/>
            <w:vAlign w:val="bottom"/>
          </w:tcPr>
          <w:p>
            <w:pPr>
              <w:spacing w:after="0"/>
              <w:rPr>
                <w:sz w:val="13"/>
                <w:szCs w:val="13"/>
                <w:color w:val="auto"/>
              </w:rPr>
            </w:pPr>
          </w:p>
        </w:tc>
        <w:tc>
          <w:tcPr>
            <w:tcW w:w="132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Y/Y%</w:t>
            </w:r>
          </w:p>
        </w:tc>
        <w:tc>
          <w:tcPr>
            <w:tcW w:w="100" w:type="dxa"/>
            <w:vAlign w:val="bottom"/>
            <w:vMerge w:val="restart"/>
          </w:tcPr>
          <w:p>
            <w:pPr>
              <w:spacing w:after="0"/>
              <w:rPr>
                <w:sz w:val="13"/>
                <w:szCs w:val="13"/>
                <w:color w:val="auto"/>
              </w:rPr>
            </w:pPr>
          </w:p>
        </w:tc>
        <w:tc>
          <w:tcPr>
            <w:tcW w:w="240" w:type="dxa"/>
            <w:vAlign w:val="bottom"/>
          </w:tcPr>
          <w:p>
            <w:pPr>
              <w:spacing w:after="0"/>
              <w:rPr>
                <w:sz w:val="13"/>
                <w:szCs w:val="13"/>
                <w:color w:val="auto"/>
              </w:rPr>
            </w:pPr>
          </w:p>
        </w:tc>
        <w:tc>
          <w:tcPr>
            <w:tcW w:w="1020" w:type="dxa"/>
            <w:vAlign w:val="bottom"/>
            <w:vMerge w:val="restart"/>
          </w:tcPr>
          <w:p>
            <w:pPr>
              <w:jc w:val="right"/>
              <w:ind w:right="275"/>
              <w:spacing w:after="0"/>
              <w:rPr>
                <w:sz w:val="20"/>
                <w:szCs w:val="20"/>
                <w:color w:val="auto"/>
              </w:rPr>
            </w:pPr>
            <w:r>
              <w:rPr>
                <w:rFonts w:ascii="Arial" w:cs="Arial" w:eastAsia="Arial" w:hAnsi="Arial"/>
                <w:sz w:val="14"/>
                <w:szCs w:val="14"/>
                <w:b w:val="1"/>
                <w:bCs w:val="1"/>
                <w:color w:val="auto"/>
              </w:rPr>
              <w:t>Revenue</w:t>
            </w:r>
          </w:p>
        </w:tc>
        <w:tc>
          <w:tcPr>
            <w:tcW w:w="100" w:type="dxa"/>
            <w:vAlign w:val="bottom"/>
            <w:vMerge w:val="restart"/>
          </w:tcPr>
          <w:p>
            <w:pPr>
              <w:spacing w:after="0"/>
              <w:rPr>
                <w:sz w:val="13"/>
                <w:szCs w:val="13"/>
                <w:color w:val="auto"/>
              </w:rPr>
            </w:pPr>
          </w:p>
        </w:tc>
        <w:tc>
          <w:tcPr>
            <w:tcW w:w="1380" w:type="dxa"/>
            <w:vAlign w:val="bottom"/>
          </w:tcPr>
          <w:p>
            <w:pPr>
              <w:jc w:val="center"/>
              <w:spacing w:after="0" w:line="153" w:lineRule="exact"/>
              <w:rPr>
                <w:sz w:val="20"/>
                <w:szCs w:val="20"/>
                <w:color w:val="auto"/>
              </w:rPr>
            </w:pPr>
            <w:r>
              <w:rPr>
                <w:rFonts w:ascii="Arial" w:cs="Arial" w:eastAsia="Arial" w:hAnsi="Arial"/>
                <w:sz w:val="14"/>
                <w:szCs w:val="14"/>
                <w:b w:val="1"/>
                <w:bCs w:val="1"/>
                <w:color w:val="auto"/>
              </w:rPr>
              <w:t>% of</w:t>
            </w:r>
          </w:p>
        </w:tc>
        <w:tc>
          <w:tcPr>
            <w:tcW w:w="0" w:type="dxa"/>
            <w:vAlign w:val="bottom"/>
          </w:tcPr>
          <w:p>
            <w:pPr>
              <w:spacing w:after="0"/>
              <w:rPr>
                <w:sz w:val="1"/>
                <w:szCs w:val="1"/>
                <w:color w:val="auto"/>
              </w:rPr>
            </w:pPr>
          </w:p>
        </w:tc>
      </w:tr>
      <w:tr>
        <w:trPr>
          <w:trHeight w:val="192"/>
        </w:trPr>
        <w:tc>
          <w:tcPr>
            <w:tcW w:w="418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3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Revenue*</w:t>
            </w:r>
          </w:p>
        </w:tc>
        <w:tc>
          <w:tcPr>
            <w:tcW w:w="120" w:type="dxa"/>
            <w:vAlign w:val="bottom"/>
            <w:tcBorders>
              <w:bottom w:val="single" w:sz="8" w:color="CCEEFF"/>
            </w:tcBorders>
          </w:tcPr>
          <w:p>
            <w:pPr>
              <w:spacing w:after="0"/>
              <w:rPr>
                <w:sz w:val="16"/>
                <w:szCs w:val="16"/>
                <w:color w:val="auto"/>
              </w:rPr>
            </w:pPr>
          </w:p>
        </w:tc>
        <w:tc>
          <w:tcPr>
            <w:tcW w:w="132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3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Revenue*</w:t>
            </w:r>
          </w:p>
        </w:tc>
        <w:tc>
          <w:tcPr>
            <w:tcW w:w="0" w:type="dxa"/>
            <w:vAlign w:val="bottom"/>
          </w:tcPr>
          <w:p>
            <w:pPr>
              <w:spacing w:after="0"/>
              <w:rPr>
                <w:sz w:val="1"/>
                <w:szCs w:val="1"/>
                <w:color w:val="auto"/>
              </w:rPr>
            </w:pPr>
          </w:p>
        </w:tc>
      </w:tr>
      <w:tr>
        <w:trPr>
          <w:trHeight w:val="250"/>
        </w:trPr>
        <w:tc>
          <w:tcPr>
            <w:tcW w:w="4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Industrial</w:t>
            </w: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2,174,183</w:t>
            </w:r>
          </w:p>
        </w:tc>
        <w:tc>
          <w:tcPr>
            <w:tcW w:w="1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53 %</w:t>
            </w:r>
          </w:p>
        </w:tc>
        <w:tc>
          <w:tcPr>
            <w:tcW w:w="14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2,262,597</w:t>
            </w:r>
          </w:p>
        </w:tc>
        <w:tc>
          <w:tcPr>
            <w:tcW w:w="1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50 %</w:t>
            </w:r>
          </w:p>
        </w:tc>
        <w:tc>
          <w:tcPr>
            <w:tcW w:w="0" w:type="dxa"/>
            <w:vAlign w:val="bottom"/>
          </w:tcPr>
          <w:p>
            <w:pPr>
              <w:spacing w:after="0"/>
              <w:rPr>
                <w:sz w:val="1"/>
                <w:szCs w:val="1"/>
                <w:color w:val="auto"/>
              </w:rPr>
            </w:pPr>
          </w:p>
        </w:tc>
      </w:tr>
      <w:tr>
        <w:trPr>
          <w:trHeight w:val="243"/>
        </w:trPr>
        <w:tc>
          <w:tcPr>
            <w:tcW w:w="4180" w:type="dxa"/>
            <w:vAlign w:val="bottom"/>
          </w:tcPr>
          <w:p>
            <w:pPr>
              <w:ind w:left="20"/>
              <w:spacing w:after="0"/>
              <w:rPr>
                <w:sz w:val="20"/>
                <w:szCs w:val="20"/>
                <w:color w:val="auto"/>
              </w:rPr>
            </w:pPr>
            <w:r>
              <w:rPr>
                <w:rFonts w:ascii="Arial" w:cs="Arial" w:eastAsia="Arial" w:hAnsi="Arial"/>
                <w:sz w:val="18"/>
                <w:szCs w:val="18"/>
                <w:color w:val="auto"/>
              </w:rPr>
              <w:t>Communications</w:t>
            </w:r>
          </w:p>
        </w:tc>
        <w:tc>
          <w:tcPr>
            <w:tcW w:w="240" w:type="dxa"/>
            <w:vAlign w:val="bottom"/>
          </w:tcPr>
          <w:p>
            <w:pPr>
              <w:spacing w:after="0"/>
              <w:rPr>
                <w:sz w:val="21"/>
                <w:szCs w:val="21"/>
                <w:color w:val="auto"/>
              </w:rPr>
            </w:pPr>
          </w:p>
        </w:tc>
        <w:tc>
          <w:tcPr>
            <w:tcW w:w="1020" w:type="dxa"/>
            <w:vAlign w:val="bottom"/>
          </w:tcPr>
          <w:p>
            <w:pPr>
              <w:jc w:val="right"/>
              <w:ind w:right="13"/>
              <w:spacing w:after="0"/>
              <w:rPr>
                <w:sz w:val="20"/>
                <w:szCs w:val="20"/>
                <w:color w:val="auto"/>
              </w:rPr>
            </w:pPr>
            <w:r>
              <w:rPr>
                <w:rFonts w:ascii="Arial" w:cs="Arial" w:eastAsia="Arial" w:hAnsi="Arial"/>
                <w:sz w:val="18"/>
                <w:szCs w:val="18"/>
                <w:color w:val="auto"/>
              </w:rPr>
              <w:t>880,921</w:t>
            </w:r>
          </w:p>
        </w:tc>
        <w:tc>
          <w:tcPr>
            <w:tcW w:w="10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22 %</w:t>
            </w:r>
          </w:p>
        </w:tc>
        <w:tc>
          <w:tcPr>
            <w:tcW w:w="1440" w:type="dxa"/>
            <w:vAlign w:val="bottom"/>
            <w:gridSpan w:val="2"/>
          </w:tcPr>
          <w:p>
            <w:pPr>
              <w:jc w:val="right"/>
              <w:spacing w:after="0"/>
              <w:rPr>
                <w:sz w:val="20"/>
                <w:szCs w:val="20"/>
                <w:color w:val="auto"/>
              </w:rPr>
            </w:pPr>
            <w:r>
              <w:rPr>
                <w:rFonts w:ascii="Arial" w:cs="Arial" w:eastAsia="Arial" w:hAnsi="Arial"/>
                <w:sz w:val="18"/>
                <w:szCs w:val="18"/>
                <w:color w:val="auto"/>
              </w:rPr>
              <w:t>(14)%</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1,030,283</w:t>
            </w:r>
          </w:p>
        </w:tc>
        <w:tc>
          <w:tcPr>
            <w:tcW w:w="10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23 %</w:t>
            </w:r>
          </w:p>
        </w:tc>
        <w:tc>
          <w:tcPr>
            <w:tcW w:w="0" w:type="dxa"/>
            <w:vAlign w:val="bottom"/>
          </w:tcPr>
          <w:p>
            <w:pPr>
              <w:spacing w:after="0"/>
              <w:rPr>
                <w:sz w:val="1"/>
                <w:szCs w:val="1"/>
                <w:color w:val="auto"/>
              </w:rPr>
            </w:pPr>
          </w:p>
        </w:tc>
      </w:tr>
      <w:tr>
        <w:trPr>
          <w:trHeight w:val="27"/>
        </w:trPr>
        <w:tc>
          <w:tcPr>
            <w:tcW w:w="41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Automotive</w:t>
            </w: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551,395</w:t>
            </w:r>
          </w:p>
        </w:tc>
        <w:tc>
          <w:tcPr>
            <w:tcW w:w="1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14 %</w:t>
            </w:r>
          </w:p>
        </w:tc>
        <w:tc>
          <w:tcPr>
            <w:tcW w:w="14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708,711</w:t>
            </w:r>
          </w:p>
        </w:tc>
        <w:tc>
          <w:tcPr>
            <w:tcW w:w="1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16 %</w:t>
            </w:r>
          </w:p>
        </w:tc>
        <w:tc>
          <w:tcPr>
            <w:tcW w:w="0" w:type="dxa"/>
            <w:vAlign w:val="bottom"/>
          </w:tcPr>
          <w:p>
            <w:pPr>
              <w:spacing w:after="0"/>
              <w:rPr>
                <w:sz w:val="1"/>
                <w:szCs w:val="1"/>
                <w:color w:val="auto"/>
              </w:rPr>
            </w:pPr>
          </w:p>
        </w:tc>
      </w:tr>
      <w:tr>
        <w:trPr>
          <w:trHeight w:val="243"/>
        </w:trPr>
        <w:tc>
          <w:tcPr>
            <w:tcW w:w="4180" w:type="dxa"/>
            <w:vAlign w:val="bottom"/>
          </w:tcPr>
          <w:p>
            <w:pPr>
              <w:ind w:left="20"/>
              <w:spacing w:after="0"/>
              <w:rPr>
                <w:sz w:val="20"/>
                <w:szCs w:val="20"/>
                <w:color w:val="auto"/>
              </w:rPr>
            </w:pPr>
            <w:r>
              <w:rPr>
                <w:rFonts w:ascii="Arial" w:cs="Arial" w:eastAsia="Arial" w:hAnsi="Arial"/>
                <w:sz w:val="18"/>
                <w:szCs w:val="18"/>
                <w:color w:val="auto"/>
              </w:rPr>
              <w:t>Consumer</w:t>
            </w:r>
          </w:p>
        </w:tc>
        <w:tc>
          <w:tcPr>
            <w:tcW w:w="240" w:type="dxa"/>
            <w:vAlign w:val="bottom"/>
          </w:tcPr>
          <w:p>
            <w:pPr>
              <w:spacing w:after="0"/>
              <w:rPr>
                <w:sz w:val="21"/>
                <w:szCs w:val="21"/>
                <w:color w:val="auto"/>
              </w:rPr>
            </w:pPr>
          </w:p>
        </w:tc>
        <w:tc>
          <w:tcPr>
            <w:tcW w:w="1020" w:type="dxa"/>
            <w:vAlign w:val="bottom"/>
          </w:tcPr>
          <w:p>
            <w:pPr>
              <w:jc w:val="right"/>
              <w:ind w:right="13"/>
              <w:spacing w:after="0"/>
              <w:rPr>
                <w:sz w:val="20"/>
                <w:szCs w:val="20"/>
                <w:color w:val="auto"/>
              </w:rPr>
            </w:pPr>
            <w:r>
              <w:rPr>
                <w:rFonts w:ascii="Arial" w:cs="Arial" w:eastAsia="Arial" w:hAnsi="Arial"/>
                <w:sz w:val="18"/>
                <w:szCs w:val="18"/>
                <w:color w:val="auto"/>
              </w:rPr>
              <w:t>470,262</w:t>
            </w:r>
          </w:p>
        </w:tc>
        <w:tc>
          <w:tcPr>
            <w:tcW w:w="10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12 %</w:t>
            </w:r>
          </w:p>
        </w:tc>
        <w:tc>
          <w:tcPr>
            <w:tcW w:w="1440" w:type="dxa"/>
            <w:vAlign w:val="bottom"/>
            <w:gridSpan w:val="2"/>
          </w:tcPr>
          <w:p>
            <w:pPr>
              <w:jc w:val="right"/>
              <w:spacing w:after="0"/>
              <w:rPr>
                <w:sz w:val="20"/>
                <w:szCs w:val="20"/>
                <w:color w:val="auto"/>
              </w:rPr>
            </w:pPr>
            <w:r>
              <w:rPr>
                <w:rFonts w:ascii="Arial" w:cs="Arial" w:eastAsia="Arial" w:hAnsi="Arial"/>
                <w:sz w:val="18"/>
                <w:szCs w:val="18"/>
                <w:color w:val="auto"/>
              </w:rPr>
              <w:t>(14)%</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546,255</w:t>
            </w:r>
          </w:p>
        </w:tc>
        <w:tc>
          <w:tcPr>
            <w:tcW w:w="10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12 %</w:t>
            </w:r>
          </w:p>
        </w:tc>
        <w:tc>
          <w:tcPr>
            <w:tcW w:w="0" w:type="dxa"/>
            <w:vAlign w:val="bottom"/>
          </w:tcPr>
          <w:p>
            <w:pPr>
              <w:spacing w:after="0"/>
              <w:rPr>
                <w:sz w:val="1"/>
                <w:szCs w:val="1"/>
                <w:color w:val="auto"/>
              </w:rPr>
            </w:pPr>
          </w:p>
        </w:tc>
      </w:tr>
      <w:tr>
        <w:trPr>
          <w:trHeight w:val="27"/>
        </w:trPr>
        <w:tc>
          <w:tcPr>
            <w:tcW w:w="41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9"/>
        </w:trPr>
        <w:tc>
          <w:tcPr>
            <w:tcW w:w="4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revenue</w:t>
            </w: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4,076,761</w:t>
            </w:r>
          </w:p>
        </w:tc>
        <w:tc>
          <w:tcPr>
            <w:tcW w:w="100" w:type="dxa"/>
            <w:vAlign w:val="bottom"/>
            <w:tcBorders>
              <w:bottom w:val="single" w:sz="8" w:color="CCEEFF"/>
            </w:tcBorders>
            <w:shd w:val="clear" w:color="auto" w:fill="CCEEFF"/>
          </w:tcPr>
          <w:p>
            <w:pPr>
              <w:spacing w:after="0"/>
              <w:rPr>
                <w:sz w:val="24"/>
                <w:szCs w:val="24"/>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100 %</w:t>
            </w:r>
          </w:p>
        </w:tc>
        <w:tc>
          <w:tcPr>
            <w:tcW w:w="14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00" w:type="dxa"/>
            <w:vAlign w:val="bottom"/>
            <w:tcBorders>
              <w:bottom w:val="single" w:sz="8" w:color="CCEEFF"/>
            </w:tcBorders>
            <w:shd w:val="clear" w:color="auto" w:fill="CCEEFF"/>
          </w:tcPr>
          <w:p>
            <w:pPr>
              <w:spacing w:after="0"/>
              <w:rPr>
                <w:sz w:val="24"/>
                <w:szCs w:val="24"/>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4,547,846</w:t>
            </w:r>
          </w:p>
        </w:tc>
        <w:tc>
          <w:tcPr>
            <w:tcW w:w="100" w:type="dxa"/>
            <w:vAlign w:val="bottom"/>
            <w:tcBorders>
              <w:bottom w:val="single" w:sz="8" w:color="CCEEFF"/>
            </w:tcBorders>
            <w:shd w:val="clear" w:color="auto" w:fill="CCEEFF"/>
          </w:tcPr>
          <w:p>
            <w:pPr>
              <w:spacing w:after="0"/>
              <w:rPr>
                <w:sz w:val="24"/>
                <w:szCs w:val="24"/>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100 %</w:t>
            </w:r>
          </w:p>
        </w:tc>
        <w:tc>
          <w:tcPr>
            <w:tcW w:w="0" w:type="dxa"/>
            <w:vAlign w:val="bottom"/>
          </w:tcPr>
          <w:p>
            <w:pPr>
              <w:spacing w:after="0"/>
              <w:rPr>
                <w:sz w:val="1"/>
                <w:szCs w:val="1"/>
                <w:color w:val="auto"/>
              </w:rPr>
            </w:pPr>
          </w:p>
        </w:tc>
      </w:tr>
      <w:tr>
        <w:trPr>
          <w:trHeight w:val="20"/>
        </w:trPr>
        <w:tc>
          <w:tcPr>
            <w:tcW w:w="41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ind w:left="20"/>
        <w:spacing w:after="0"/>
        <w:rPr>
          <w:sz w:val="20"/>
          <w:szCs w:val="20"/>
          <w:color w:val="auto"/>
        </w:rPr>
      </w:pPr>
      <w:r>
        <w:rPr>
          <w:rFonts w:ascii="Arial" w:cs="Arial" w:eastAsia="Arial" w:hAnsi="Arial"/>
          <w:sz w:val="18"/>
          <w:szCs w:val="18"/>
          <w:color w:val="auto"/>
        </w:rPr>
        <w:t>* The sum of the individual percentages may not equal the total due to rounding.</w:t>
      </w:r>
    </w:p>
    <w:p>
      <w:pPr>
        <w:sectPr>
          <w:pgSz w:w="11900" w:h="16838" w:orient="portrait"/>
          <w:cols w:equalWidth="0" w:num="1">
            <w:col w:w="11180"/>
          </w:cols>
          <w:pgMar w:left="320" w:top="1178" w:right="3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ind w:right="-79"/>
        <w:spacing w:after="0"/>
        <w:rPr>
          <w:sz w:val="20"/>
          <w:szCs w:val="20"/>
          <w:color w:val="auto"/>
        </w:rPr>
      </w:pPr>
      <w:r>
        <w:rPr>
          <w:rFonts w:ascii="Arial" w:cs="Arial" w:eastAsia="Arial" w:hAnsi="Arial"/>
          <w:sz w:val="16"/>
          <w:szCs w:val="16"/>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1178" w:right="399" w:bottom="1440" w:gutter="0" w:footer="0" w:header="0"/>
          <w:type w:val="continuous"/>
        </w:sectPr>
      </w:pPr>
    </w:p>
    <w:bookmarkStart w:id="24" w:name="page25"/>
    <w:bookmarkEnd w:id="24"/>
    <w:p>
      <w:pPr>
        <w:ind w:right="20" w:firstLine="445"/>
        <w:spacing w:after="0" w:line="257" w:lineRule="auto"/>
        <w:rPr>
          <w:sz w:val="20"/>
          <w:szCs w:val="20"/>
          <w:color w:val="auto"/>
        </w:rPr>
      </w:pPr>
      <w:r>
        <w:rPr>
          <w:rFonts w:ascii="Arial" w:cs="Arial" w:eastAsia="Arial" w:hAnsi="Arial"/>
          <w:sz w:val="18"/>
          <w:szCs w:val="18"/>
          <w:color w:val="auto"/>
        </w:rPr>
        <w:t>In aggregate, revenue decreased in the three-month period ended August 1, 2020, as compared to the same period of the prior fiscal year, primarily as a result of a global slowdown in production in the Automotive end market and lower demand for products used in the broad market portion of our Consumer end market related to the COVID-19 pandemic. These decreases were partially offset by increases in the Industrial and Communications end markets which were as a result of higher demand for products sold into the instrumentation test and healthcare sectors of the Industrial end market and both the wireline and wireless sectors of the Communications end market.</w:t>
      </w:r>
    </w:p>
    <w:p>
      <w:pPr>
        <w:spacing w:after="0" w:line="80" w:lineRule="exact"/>
        <w:rPr>
          <w:sz w:val="20"/>
          <w:szCs w:val="20"/>
          <w:color w:val="auto"/>
        </w:rPr>
      </w:pPr>
    </w:p>
    <w:p>
      <w:pPr>
        <w:ind w:right="60" w:firstLine="445"/>
        <w:spacing w:after="0" w:line="289" w:lineRule="auto"/>
        <w:rPr>
          <w:sz w:val="20"/>
          <w:szCs w:val="20"/>
          <w:color w:val="auto"/>
        </w:rPr>
      </w:pPr>
      <w:r>
        <w:rPr>
          <w:rFonts w:ascii="Arial" w:cs="Arial" w:eastAsia="Arial" w:hAnsi="Arial"/>
          <w:sz w:val="16"/>
          <w:szCs w:val="16"/>
          <w:color w:val="auto"/>
        </w:rPr>
        <w:t>Revenue decreased across all end markets in the nine-month period ended August 1, 2020, as compared to the same period of the prior fiscal year, primarily as a result of a broad-based decrease in demand for our products and due to supply constraints attributable to COVID-19 related slowdowns. The revenue decreases in the Automotive end market were more pronounced as this market was impacted by lower vehicle sales and a global slowdown in production as many of our customers were required to suspend their operations in response to shelter in place orders from governments around the world. While COVID-19 related slowdowns also impacted the Communications end market, the declines noted in this market primarily resulted from prior year periods that benefited from a significant ramp up in certain regions as this market moved through infrastructure deployment cycles. The percentage decline in our Industrial end market was less than the overall percentage decline as the broad-based weakness across many applications was offset by growth in the instrumentation test, energy and healthcare sectors of this end market. The revenue decreases in the Consumer end market resulted from a broad-based decrease in demand for our products in this end market, including lower demand for products used in portable consumer applications.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 by Sales Channel</w:t>
      </w:r>
    </w:p>
    <w:p>
      <w:pPr>
        <w:spacing w:after="0" w:line="104" w:lineRule="exact"/>
        <w:rPr>
          <w:sz w:val="20"/>
          <w:szCs w:val="20"/>
          <w:color w:val="auto"/>
        </w:rPr>
      </w:pPr>
    </w:p>
    <w:p>
      <w:pPr>
        <w:ind w:right="200" w:firstLine="405"/>
        <w:spacing w:after="0" w:line="279" w:lineRule="auto"/>
        <w:rPr>
          <w:sz w:val="20"/>
          <w:szCs w:val="20"/>
          <w:color w:val="auto"/>
        </w:rPr>
      </w:pPr>
      <w:r>
        <w:rPr>
          <w:rFonts w:ascii="Arial" w:cs="Arial" w:eastAsia="Arial" w:hAnsi="Arial"/>
          <w:sz w:val="17"/>
          <w:szCs w:val="17"/>
          <w:color w:val="auto"/>
        </w:rPr>
        <w:t>The following table summarizes revenue by sales channel. We sell our products globally through a direct sales force, third party distributors, independent sales representatives and via our website. Distributors are customers that buy products with the intention of reselling them. Direct customers are non-distributor customers and consist primarily of original equipment manufacturers (OEMs). Other customers include the U.S. government, government prime contractors and certain commercial customers for which revenue is recorded over time.</w:t>
      </w:r>
    </w:p>
    <w:p>
      <w:pPr>
        <w:spacing w:after="0" w:line="10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46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440" w:type="dxa"/>
            <w:vAlign w:val="bottom"/>
            <w:tcBorders>
              <w:bottom w:val="single" w:sz="8" w:color="auto"/>
            </w:tcBorders>
            <w:gridSpan w:val="6"/>
          </w:tcPr>
          <w:p>
            <w:pPr>
              <w:jc w:val="center"/>
              <w:spacing w:after="0"/>
              <w:rPr>
                <w:sz w:val="20"/>
                <w:szCs w:val="20"/>
                <w:color w:val="auto"/>
              </w:rPr>
            </w:pPr>
            <w:r>
              <w:rPr>
                <w:rFonts w:ascii="Arial" w:cs="Arial" w:eastAsia="Arial" w:hAnsi="Arial"/>
                <w:sz w:val="14"/>
                <w:szCs w:val="14"/>
                <w:b w:val="1"/>
                <w:bCs w:val="1"/>
                <w:color w:val="auto"/>
                <w:w w:val="93"/>
              </w:rPr>
              <w:t>Three Months Ended</w:t>
            </w:r>
          </w:p>
        </w:tc>
        <w:tc>
          <w:tcPr>
            <w:tcW w:w="148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r>
      <w:tr>
        <w:trPr>
          <w:trHeight w:val="196"/>
        </w:trPr>
        <w:tc>
          <w:tcPr>
            <w:tcW w:w="446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2820" w:type="dxa"/>
            <w:vAlign w:val="bottom"/>
            <w:tcBorders>
              <w:bottom w:val="single" w:sz="8" w:color="auto"/>
            </w:tcBorders>
            <w:gridSpan w:val="3"/>
          </w:tcPr>
          <w:p>
            <w:pPr>
              <w:jc w:val="right"/>
              <w:ind w:right="936"/>
              <w:spacing w:after="0"/>
              <w:rPr>
                <w:sz w:val="20"/>
                <w:szCs w:val="20"/>
                <w:color w:val="auto"/>
              </w:rPr>
            </w:pPr>
            <w:r>
              <w:rPr>
                <w:rFonts w:ascii="Arial" w:cs="Arial" w:eastAsia="Arial" w:hAnsi="Arial"/>
                <w:sz w:val="14"/>
                <w:szCs w:val="14"/>
                <w:b w:val="1"/>
                <w:bCs w:val="1"/>
                <w:color w:val="auto"/>
              </w:rPr>
              <w:t>August 1, 2020</w:t>
            </w:r>
          </w:p>
        </w:tc>
        <w:tc>
          <w:tcPr>
            <w:tcW w:w="20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2820" w:type="dxa"/>
            <w:vAlign w:val="bottom"/>
            <w:tcBorders>
              <w:bottom w:val="single" w:sz="8" w:color="auto"/>
            </w:tcBorders>
            <w:gridSpan w:val="3"/>
          </w:tcPr>
          <w:p>
            <w:pPr>
              <w:jc w:val="right"/>
              <w:ind w:right="934"/>
              <w:spacing w:after="0"/>
              <w:rPr>
                <w:sz w:val="20"/>
                <w:szCs w:val="20"/>
                <w:color w:val="auto"/>
              </w:rPr>
            </w:pPr>
            <w:r>
              <w:rPr>
                <w:rFonts w:ascii="Arial" w:cs="Arial" w:eastAsia="Arial" w:hAnsi="Arial"/>
                <w:sz w:val="14"/>
                <w:szCs w:val="14"/>
                <w:b w:val="1"/>
                <w:bCs w:val="1"/>
                <w:color w:val="auto"/>
              </w:rPr>
              <w:t>August 3, 2019</w:t>
            </w:r>
          </w:p>
        </w:tc>
        <w:tc>
          <w:tcPr>
            <w:tcW w:w="200" w:type="dxa"/>
            <w:vAlign w:val="bottom"/>
            <w:tcBorders>
              <w:bottom w:val="single" w:sz="8" w:color="auto"/>
            </w:tcBorders>
          </w:tcPr>
          <w:p>
            <w:pPr>
              <w:spacing w:after="0"/>
              <w:rPr>
                <w:sz w:val="17"/>
                <w:szCs w:val="17"/>
                <w:color w:val="auto"/>
              </w:rPr>
            </w:pPr>
          </w:p>
        </w:tc>
      </w:tr>
      <w:tr>
        <w:trPr>
          <w:trHeight w:val="196"/>
        </w:trPr>
        <w:tc>
          <w:tcPr>
            <w:tcW w:w="44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340" w:type="dxa"/>
            <w:vAlign w:val="bottom"/>
            <w:gridSpan w:val="2"/>
          </w:tcPr>
          <w:p>
            <w:pPr>
              <w:ind w:left="200"/>
              <w:spacing w:after="0"/>
              <w:rPr>
                <w:sz w:val="20"/>
                <w:szCs w:val="20"/>
                <w:color w:val="auto"/>
              </w:rPr>
            </w:pPr>
            <w:r>
              <w:rPr>
                <w:rFonts w:ascii="Arial" w:cs="Arial" w:eastAsia="Arial" w:hAnsi="Arial"/>
                <w:sz w:val="14"/>
                <w:szCs w:val="14"/>
                <w:b w:val="1"/>
                <w:bCs w:val="1"/>
                <w:color w:val="auto"/>
              </w:rPr>
              <w:t>Revenue</w:t>
            </w:r>
          </w:p>
        </w:tc>
        <w:tc>
          <w:tcPr>
            <w:tcW w:w="1480" w:type="dxa"/>
            <w:vAlign w:val="bottom"/>
          </w:tcPr>
          <w:p>
            <w:pPr>
              <w:jc w:val="right"/>
              <w:ind w:right="96"/>
              <w:spacing w:after="0"/>
              <w:rPr>
                <w:sz w:val="20"/>
                <w:szCs w:val="20"/>
                <w:color w:val="auto"/>
              </w:rPr>
            </w:pPr>
            <w:r>
              <w:rPr>
                <w:rFonts w:ascii="Arial" w:cs="Arial" w:eastAsia="Arial" w:hAnsi="Arial"/>
                <w:sz w:val="14"/>
                <w:szCs w:val="14"/>
                <w:b w:val="1"/>
                <w:bCs w:val="1"/>
                <w:color w:val="auto"/>
              </w:rPr>
              <w:t>% of Revenue*</w:t>
            </w: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340" w:type="dxa"/>
            <w:vAlign w:val="bottom"/>
            <w:gridSpan w:val="2"/>
          </w:tcPr>
          <w:p>
            <w:pPr>
              <w:ind w:left="200"/>
              <w:spacing w:after="0"/>
              <w:rPr>
                <w:sz w:val="20"/>
                <w:szCs w:val="20"/>
                <w:color w:val="auto"/>
              </w:rPr>
            </w:pPr>
            <w:r>
              <w:rPr>
                <w:rFonts w:ascii="Arial" w:cs="Arial" w:eastAsia="Arial" w:hAnsi="Arial"/>
                <w:sz w:val="14"/>
                <w:szCs w:val="14"/>
                <w:b w:val="1"/>
                <w:bCs w:val="1"/>
                <w:color w:val="auto"/>
              </w:rPr>
              <w:t>Revenue</w:t>
            </w:r>
          </w:p>
        </w:tc>
        <w:tc>
          <w:tcPr>
            <w:tcW w:w="1480" w:type="dxa"/>
            <w:vAlign w:val="bottom"/>
          </w:tcPr>
          <w:p>
            <w:pPr>
              <w:jc w:val="right"/>
              <w:ind w:right="74"/>
              <w:spacing w:after="0"/>
              <w:rPr>
                <w:sz w:val="20"/>
                <w:szCs w:val="20"/>
                <w:color w:val="auto"/>
              </w:rPr>
            </w:pPr>
            <w:r>
              <w:rPr>
                <w:rFonts w:ascii="Arial" w:cs="Arial" w:eastAsia="Arial" w:hAnsi="Arial"/>
                <w:sz w:val="14"/>
                <w:szCs w:val="14"/>
                <w:b w:val="1"/>
                <w:bCs w:val="1"/>
                <w:color w:val="auto"/>
              </w:rPr>
              <w:t>% of Revenue*</w:t>
            </w:r>
          </w:p>
        </w:tc>
        <w:tc>
          <w:tcPr>
            <w:tcW w:w="200" w:type="dxa"/>
            <w:vAlign w:val="bottom"/>
          </w:tcPr>
          <w:p>
            <w:pPr>
              <w:spacing w:after="0"/>
              <w:rPr>
                <w:sz w:val="17"/>
                <w:szCs w:val="17"/>
                <w:color w:val="auto"/>
              </w:rPr>
            </w:pPr>
          </w:p>
        </w:tc>
      </w:tr>
      <w:tr>
        <w:trPr>
          <w:trHeight w:val="236"/>
        </w:trPr>
        <w:tc>
          <w:tcPr>
            <w:tcW w:w="44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Channel</w:t>
            </w:r>
          </w:p>
        </w:tc>
        <w:tc>
          <w:tcPr>
            <w:tcW w:w="320" w:type="dxa"/>
            <w:vAlign w:val="bottom"/>
            <w:tcBorders>
              <w:top w:val="single" w:sz="8" w:color="auto"/>
              <w:bottom w:val="single" w:sz="8" w:color="CCEEFF"/>
            </w:tcBorders>
            <w:shd w:val="clear" w:color="auto" w:fill="CCEEFF"/>
          </w:tcPr>
          <w:p>
            <w:pPr>
              <w:spacing w:after="0"/>
              <w:rPr>
                <w:sz w:val="20"/>
                <w:szCs w:val="20"/>
                <w:color w:val="auto"/>
              </w:rPr>
            </w:pPr>
          </w:p>
        </w:tc>
        <w:tc>
          <w:tcPr>
            <w:tcW w:w="1240" w:type="dxa"/>
            <w:vAlign w:val="bottom"/>
            <w:tcBorders>
              <w:top w:val="single" w:sz="8" w:color="auto"/>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480" w:type="dxa"/>
            <w:vAlign w:val="bottom"/>
            <w:tcBorders>
              <w:top w:val="single" w:sz="8" w:color="auto"/>
              <w:bottom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320" w:type="dxa"/>
            <w:vAlign w:val="bottom"/>
            <w:tcBorders>
              <w:top w:val="single" w:sz="8" w:color="auto"/>
              <w:bottom w:val="single" w:sz="8" w:color="CCEEFF"/>
            </w:tcBorders>
            <w:shd w:val="clear" w:color="auto" w:fill="CCEEFF"/>
          </w:tcPr>
          <w:p>
            <w:pPr>
              <w:spacing w:after="0"/>
              <w:rPr>
                <w:sz w:val="20"/>
                <w:szCs w:val="20"/>
                <w:color w:val="auto"/>
              </w:rPr>
            </w:pPr>
          </w:p>
        </w:tc>
        <w:tc>
          <w:tcPr>
            <w:tcW w:w="1240" w:type="dxa"/>
            <w:vAlign w:val="bottom"/>
            <w:tcBorders>
              <w:top w:val="single" w:sz="8" w:color="auto"/>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480" w:type="dxa"/>
            <w:vAlign w:val="bottom"/>
            <w:tcBorders>
              <w:top w:val="single" w:sz="8" w:color="auto"/>
              <w:bottom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CCEEFF"/>
            </w:tcBorders>
            <w:shd w:val="clear" w:color="auto" w:fill="CCEEFF"/>
          </w:tcPr>
          <w:p>
            <w:pPr>
              <w:spacing w:after="0"/>
              <w:rPr>
                <w:sz w:val="20"/>
                <w:szCs w:val="20"/>
                <w:color w:val="auto"/>
              </w:rPr>
            </w:pPr>
          </w:p>
        </w:tc>
      </w:tr>
      <w:tr>
        <w:trPr>
          <w:trHeight w:val="243"/>
        </w:trPr>
        <w:tc>
          <w:tcPr>
            <w:tcW w:w="4460" w:type="dxa"/>
            <w:vAlign w:val="bottom"/>
          </w:tcPr>
          <w:p>
            <w:pPr>
              <w:ind w:left="160"/>
              <w:spacing w:after="0"/>
              <w:rPr>
                <w:sz w:val="20"/>
                <w:szCs w:val="20"/>
                <w:color w:val="auto"/>
              </w:rPr>
            </w:pPr>
            <w:r>
              <w:rPr>
                <w:rFonts w:ascii="Arial" w:cs="Arial" w:eastAsia="Arial" w:hAnsi="Arial"/>
                <w:sz w:val="18"/>
                <w:szCs w:val="18"/>
                <w:color w:val="auto"/>
              </w:rPr>
              <w:t>Distributors</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819,472</w:t>
            </w:r>
          </w:p>
        </w:tc>
        <w:tc>
          <w:tcPr>
            <w:tcW w:w="10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56</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863,055</w:t>
            </w:r>
          </w:p>
        </w:tc>
        <w:tc>
          <w:tcPr>
            <w:tcW w:w="10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58</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r>
      <w:tr>
        <w:trPr>
          <w:trHeight w:val="27"/>
        </w:trPr>
        <w:tc>
          <w:tcPr>
            <w:tcW w:w="44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200" w:type="dxa"/>
            <w:vAlign w:val="bottom"/>
          </w:tcPr>
          <w:p>
            <w:pPr>
              <w:spacing w:after="0"/>
              <w:rPr>
                <w:sz w:val="2"/>
                <w:szCs w:val="2"/>
                <w:color w:val="auto"/>
              </w:rPr>
            </w:pPr>
          </w:p>
        </w:tc>
      </w:tr>
      <w:tr>
        <w:trPr>
          <w:trHeight w:val="250"/>
        </w:trPr>
        <w:tc>
          <w:tcPr>
            <w:tcW w:w="446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Direct customers</w:t>
            </w:r>
          </w:p>
        </w:tc>
        <w:tc>
          <w:tcPr>
            <w:tcW w:w="3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614,770</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600,609</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r>
      <w:tr>
        <w:trPr>
          <w:trHeight w:val="243"/>
        </w:trPr>
        <w:tc>
          <w:tcPr>
            <w:tcW w:w="4460" w:type="dxa"/>
            <w:vAlign w:val="bottom"/>
          </w:tcPr>
          <w:p>
            <w:pPr>
              <w:ind w:left="160"/>
              <w:spacing w:after="0"/>
              <w:rPr>
                <w:sz w:val="20"/>
                <w:szCs w:val="20"/>
                <w:color w:val="auto"/>
              </w:rPr>
            </w:pPr>
            <w:r>
              <w:rPr>
                <w:rFonts w:ascii="Arial" w:cs="Arial" w:eastAsia="Arial" w:hAnsi="Arial"/>
                <w:sz w:val="18"/>
                <w:szCs w:val="18"/>
                <w:color w:val="auto"/>
              </w:rPr>
              <w:t>Other</w:t>
            </w:r>
          </w:p>
        </w:tc>
        <w:tc>
          <w:tcPr>
            <w:tcW w:w="32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21,894</w:t>
            </w:r>
          </w:p>
        </w:tc>
        <w:tc>
          <w:tcPr>
            <w:tcW w:w="100" w:type="dxa"/>
            <w:vAlign w:val="bottom"/>
          </w:tcPr>
          <w:p>
            <w:pPr>
              <w:spacing w:after="0"/>
              <w:rPr>
                <w:sz w:val="21"/>
                <w:szCs w:val="21"/>
                <w:color w:val="auto"/>
              </w:rPr>
            </w:pPr>
          </w:p>
        </w:tc>
        <w:tc>
          <w:tcPr>
            <w:tcW w:w="1680" w:type="dxa"/>
            <w:vAlign w:val="bottom"/>
            <w:gridSpan w:val="2"/>
          </w:tcPr>
          <w:p>
            <w:pPr>
              <w:jc w:val="right"/>
              <w:spacing w:after="0"/>
              <w:rPr>
                <w:sz w:val="20"/>
                <w:szCs w:val="20"/>
                <w:color w:val="auto"/>
              </w:rPr>
            </w:pPr>
            <w:r>
              <w:rPr>
                <w:rFonts w:ascii="Arial" w:cs="Arial" w:eastAsia="Arial" w:hAnsi="Arial"/>
                <w:sz w:val="18"/>
                <w:szCs w:val="18"/>
                <w:color w:val="auto"/>
              </w:rPr>
              <w:t>2 %</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16,479</w:t>
            </w:r>
          </w:p>
        </w:tc>
        <w:tc>
          <w:tcPr>
            <w:tcW w:w="100" w:type="dxa"/>
            <w:vAlign w:val="bottom"/>
          </w:tcPr>
          <w:p>
            <w:pPr>
              <w:spacing w:after="0"/>
              <w:rPr>
                <w:sz w:val="21"/>
                <w:szCs w:val="21"/>
                <w:color w:val="auto"/>
              </w:rPr>
            </w:pPr>
          </w:p>
        </w:tc>
        <w:tc>
          <w:tcPr>
            <w:tcW w:w="1680" w:type="dxa"/>
            <w:vAlign w:val="bottom"/>
            <w:gridSpan w:val="2"/>
          </w:tcPr>
          <w:p>
            <w:pPr>
              <w:jc w:val="right"/>
              <w:spacing w:after="0"/>
              <w:rPr>
                <w:sz w:val="20"/>
                <w:szCs w:val="20"/>
                <w:color w:val="auto"/>
              </w:rPr>
            </w:pPr>
            <w:r>
              <w:rPr>
                <w:rFonts w:ascii="Arial" w:cs="Arial" w:eastAsia="Arial" w:hAnsi="Arial"/>
                <w:sz w:val="18"/>
                <w:szCs w:val="18"/>
                <w:color w:val="auto"/>
              </w:rPr>
              <w:t>1 %</w:t>
            </w:r>
          </w:p>
        </w:tc>
      </w:tr>
      <w:tr>
        <w:trPr>
          <w:trHeight w:val="27"/>
        </w:trPr>
        <w:tc>
          <w:tcPr>
            <w:tcW w:w="446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r>
      <w:tr>
        <w:trPr>
          <w:trHeight w:val="288"/>
        </w:trPr>
        <w:tc>
          <w:tcPr>
            <w:tcW w:w="44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revenue</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1,456,136</w:t>
            </w:r>
          </w:p>
        </w:tc>
        <w:tc>
          <w:tcPr>
            <w:tcW w:w="100" w:type="dxa"/>
            <w:vAlign w:val="bottom"/>
            <w:tcBorders>
              <w:bottom w:val="single" w:sz="8" w:color="CCEEFF"/>
            </w:tcBorders>
            <w:shd w:val="clear" w:color="auto" w:fill="CCEEFF"/>
          </w:tcPr>
          <w:p>
            <w:pPr>
              <w:spacing w:after="0"/>
              <w:rPr>
                <w:sz w:val="24"/>
                <w:szCs w:val="24"/>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 w:type="dxa"/>
            <w:vAlign w:val="bottom"/>
            <w:tcBorders>
              <w:bottom w:val="single" w:sz="8" w:color="CCEEFF"/>
            </w:tcBorders>
            <w:shd w:val="clear" w:color="auto" w:fill="CCEEFF"/>
          </w:tcPr>
          <w:p>
            <w:pPr>
              <w:spacing w:after="0"/>
              <w:rPr>
                <w:sz w:val="24"/>
                <w:szCs w:val="24"/>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1,480,143</w:t>
            </w:r>
          </w:p>
        </w:tc>
        <w:tc>
          <w:tcPr>
            <w:tcW w:w="100" w:type="dxa"/>
            <w:vAlign w:val="bottom"/>
            <w:tcBorders>
              <w:bottom w:val="single" w:sz="8" w:color="CCEEFF"/>
            </w:tcBorders>
            <w:shd w:val="clear" w:color="auto" w:fill="CCEEFF"/>
          </w:tcPr>
          <w:p>
            <w:pPr>
              <w:spacing w:after="0"/>
              <w:rPr>
                <w:sz w:val="24"/>
                <w:szCs w:val="24"/>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r>
      <w:tr>
        <w:trPr>
          <w:trHeight w:val="20"/>
        </w:trPr>
        <w:tc>
          <w:tcPr>
            <w:tcW w:w="446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80" w:type="dxa"/>
            <w:vAlign w:val="bottom"/>
            <w:tcBorders>
              <w:top w:val="single" w:sz="8" w:color="CCEEFF"/>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CCEEFF"/>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r>
      <w:tr>
        <w:trPr>
          <w:trHeight w:val="292"/>
        </w:trPr>
        <w:tc>
          <w:tcPr>
            <w:tcW w:w="446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440" w:type="dxa"/>
            <w:vAlign w:val="bottom"/>
            <w:tcBorders>
              <w:bottom w:val="single" w:sz="8" w:color="auto"/>
            </w:tcBorders>
            <w:gridSpan w:val="6"/>
          </w:tcPr>
          <w:p>
            <w:pPr>
              <w:jc w:val="center"/>
              <w:spacing w:after="0"/>
              <w:rPr>
                <w:sz w:val="20"/>
                <w:szCs w:val="20"/>
                <w:color w:val="auto"/>
              </w:rPr>
            </w:pPr>
            <w:r>
              <w:rPr>
                <w:rFonts w:ascii="Arial" w:cs="Arial" w:eastAsia="Arial" w:hAnsi="Arial"/>
                <w:sz w:val="14"/>
                <w:szCs w:val="14"/>
                <w:b w:val="1"/>
                <w:bCs w:val="1"/>
                <w:color w:val="auto"/>
                <w:w w:val="93"/>
              </w:rPr>
              <w:t>Nine Months Ended</w:t>
            </w:r>
          </w:p>
        </w:tc>
        <w:tc>
          <w:tcPr>
            <w:tcW w:w="14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r>
      <w:tr>
        <w:trPr>
          <w:trHeight w:val="196"/>
        </w:trPr>
        <w:tc>
          <w:tcPr>
            <w:tcW w:w="446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2820" w:type="dxa"/>
            <w:vAlign w:val="bottom"/>
            <w:tcBorders>
              <w:bottom w:val="single" w:sz="8" w:color="auto"/>
            </w:tcBorders>
            <w:gridSpan w:val="3"/>
          </w:tcPr>
          <w:p>
            <w:pPr>
              <w:jc w:val="right"/>
              <w:ind w:right="936"/>
              <w:spacing w:after="0"/>
              <w:rPr>
                <w:sz w:val="20"/>
                <w:szCs w:val="20"/>
                <w:color w:val="auto"/>
              </w:rPr>
            </w:pPr>
            <w:r>
              <w:rPr>
                <w:rFonts w:ascii="Arial" w:cs="Arial" w:eastAsia="Arial" w:hAnsi="Arial"/>
                <w:sz w:val="14"/>
                <w:szCs w:val="14"/>
                <w:b w:val="1"/>
                <w:bCs w:val="1"/>
                <w:color w:val="auto"/>
              </w:rPr>
              <w:t>August 1, 2020</w:t>
            </w:r>
          </w:p>
        </w:tc>
        <w:tc>
          <w:tcPr>
            <w:tcW w:w="20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2820" w:type="dxa"/>
            <w:vAlign w:val="bottom"/>
            <w:tcBorders>
              <w:bottom w:val="single" w:sz="8" w:color="auto"/>
            </w:tcBorders>
            <w:gridSpan w:val="3"/>
          </w:tcPr>
          <w:p>
            <w:pPr>
              <w:jc w:val="right"/>
              <w:ind w:right="934"/>
              <w:spacing w:after="0"/>
              <w:rPr>
                <w:sz w:val="20"/>
                <w:szCs w:val="20"/>
                <w:color w:val="auto"/>
              </w:rPr>
            </w:pPr>
            <w:r>
              <w:rPr>
                <w:rFonts w:ascii="Arial" w:cs="Arial" w:eastAsia="Arial" w:hAnsi="Arial"/>
                <w:sz w:val="14"/>
                <w:szCs w:val="14"/>
                <w:b w:val="1"/>
                <w:bCs w:val="1"/>
                <w:color w:val="auto"/>
              </w:rPr>
              <w:t>August 3, 2019</w:t>
            </w:r>
          </w:p>
        </w:tc>
        <w:tc>
          <w:tcPr>
            <w:tcW w:w="200" w:type="dxa"/>
            <w:vAlign w:val="bottom"/>
            <w:tcBorders>
              <w:bottom w:val="single" w:sz="8" w:color="auto"/>
            </w:tcBorders>
          </w:tcPr>
          <w:p>
            <w:pPr>
              <w:spacing w:after="0"/>
              <w:rPr>
                <w:sz w:val="17"/>
                <w:szCs w:val="17"/>
                <w:color w:val="auto"/>
              </w:rPr>
            </w:pPr>
          </w:p>
        </w:tc>
      </w:tr>
      <w:tr>
        <w:trPr>
          <w:trHeight w:val="196"/>
        </w:trPr>
        <w:tc>
          <w:tcPr>
            <w:tcW w:w="44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340" w:type="dxa"/>
            <w:vAlign w:val="bottom"/>
            <w:gridSpan w:val="2"/>
          </w:tcPr>
          <w:p>
            <w:pPr>
              <w:ind w:left="200"/>
              <w:spacing w:after="0"/>
              <w:rPr>
                <w:sz w:val="20"/>
                <w:szCs w:val="20"/>
                <w:color w:val="auto"/>
              </w:rPr>
            </w:pPr>
            <w:r>
              <w:rPr>
                <w:rFonts w:ascii="Arial" w:cs="Arial" w:eastAsia="Arial" w:hAnsi="Arial"/>
                <w:sz w:val="14"/>
                <w:szCs w:val="14"/>
                <w:b w:val="1"/>
                <w:bCs w:val="1"/>
                <w:color w:val="auto"/>
              </w:rPr>
              <w:t>Revenue</w:t>
            </w:r>
          </w:p>
        </w:tc>
        <w:tc>
          <w:tcPr>
            <w:tcW w:w="1480" w:type="dxa"/>
            <w:vAlign w:val="bottom"/>
          </w:tcPr>
          <w:p>
            <w:pPr>
              <w:jc w:val="right"/>
              <w:ind w:right="96"/>
              <w:spacing w:after="0"/>
              <w:rPr>
                <w:sz w:val="20"/>
                <w:szCs w:val="20"/>
                <w:color w:val="auto"/>
              </w:rPr>
            </w:pPr>
            <w:r>
              <w:rPr>
                <w:rFonts w:ascii="Arial" w:cs="Arial" w:eastAsia="Arial" w:hAnsi="Arial"/>
                <w:sz w:val="14"/>
                <w:szCs w:val="14"/>
                <w:b w:val="1"/>
                <w:bCs w:val="1"/>
                <w:color w:val="auto"/>
              </w:rPr>
              <w:t>% of Revenue*</w:t>
            </w: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340" w:type="dxa"/>
            <w:vAlign w:val="bottom"/>
            <w:gridSpan w:val="2"/>
          </w:tcPr>
          <w:p>
            <w:pPr>
              <w:ind w:left="200"/>
              <w:spacing w:after="0"/>
              <w:rPr>
                <w:sz w:val="20"/>
                <w:szCs w:val="20"/>
                <w:color w:val="auto"/>
              </w:rPr>
            </w:pPr>
            <w:r>
              <w:rPr>
                <w:rFonts w:ascii="Arial" w:cs="Arial" w:eastAsia="Arial" w:hAnsi="Arial"/>
                <w:sz w:val="14"/>
                <w:szCs w:val="14"/>
                <w:b w:val="1"/>
                <w:bCs w:val="1"/>
                <w:color w:val="auto"/>
              </w:rPr>
              <w:t>Revenue</w:t>
            </w:r>
          </w:p>
        </w:tc>
        <w:tc>
          <w:tcPr>
            <w:tcW w:w="1480" w:type="dxa"/>
            <w:vAlign w:val="bottom"/>
          </w:tcPr>
          <w:p>
            <w:pPr>
              <w:jc w:val="right"/>
              <w:ind w:right="74"/>
              <w:spacing w:after="0"/>
              <w:rPr>
                <w:sz w:val="20"/>
                <w:szCs w:val="20"/>
                <w:color w:val="auto"/>
              </w:rPr>
            </w:pPr>
            <w:r>
              <w:rPr>
                <w:rFonts w:ascii="Arial" w:cs="Arial" w:eastAsia="Arial" w:hAnsi="Arial"/>
                <w:sz w:val="14"/>
                <w:szCs w:val="14"/>
                <w:b w:val="1"/>
                <w:bCs w:val="1"/>
                <w:color w:val="auto"/>
              </w:rPr>
              <w:t>% of Revenue*</w:t>
            </w:r>
          </w:p>
        </w:tc>
        <w:tc>
          <w:tcPr>
            <w:tcW w:w="200" w:type="dxa"/>
            <w:vAlign w:val="bottom"/>
          </w:tcPr>
          <w:p>
            <w:pPr>
              <w:spacing w:after="0"/>
              <w:rPr>
                <w:sz w:val="17"/>
                <w:szCs w:val="17"/>
                <w:color w:val="auto"/>
              </w:rPr>
            </w:pPr>
          </w:p>
        </w:tc>
      </w:tr>
      <w:tr>
        <w:trPr>
          <w:trHeight w:val="236"/>
        </w:trPr>
        <w:tc>
          <w:tcPr>
            <w:tcW w:w="44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Channel</w:t>
            </w:r>
          </w:p>
        </w:tc>
        <w:tc>
          <w:tcPr>
            <w:tcW w:w="320" w:type="dxa"/>
            <w:vAlign w:val="bottom"/>
            <w:tcBorders>
              <w:top w:val="single" w:sz="8" w:color="auto"/>
              <w:bottom w:val="single" w:sz="8" w:color="CCEEFF"/>
            </w:tcBorders>
            <w:shd w:val="clear" w:color="auto" w:fill="CCEEFF"/>
          </w:tcPr>
          <w:p>
            <w:pPr>
              <w:spacing w:after="0"/>
              <w:rPr>
                <w:sz w:val="20"/>
                <w:szCs w:val="20"/>
                <w:color w:val="auto"/>
              </w:rPr>
            </w:pPr>
          </w:p>
        </w:tc>
        <w:tc>
          <w:tcPr>
            <w:tcW w:w="1240" w:type="dxa"/>
            <w:vAlign w:val="bottom"/>
            <w:tcBorders>
              <w:top w:val="single" w:sz="8" w:color="auto"/>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480" w:type="dxa"/>
            <w:vAlign w:val="bottom"/>
            <w:tcBorders>
              <w:top w:val="single" w:sz="8" w:color="auto"/>
              <w:bottom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320" w:type="dxa"/>
            <w:vAlign w:val="bottom"/>
            <w:tcBorders>
              <w:top w:val="single" w:sz="8" w:color="auto"/>
              <w:bottom w:val="single" w:sz="8" w:color="CCEEFF"/>
            </w:tcBorders>
            <w:shd w:val="clear" w:color="auto" w:fill="CCEEFF"/>
          </w:tcPr>
          <w:p>
            <w:pPr>
              <w:spacing w:after="0"/>
              <w:rPr>
                <w:sz w:val="20"/>
                <w:szCs w:val="20"/>
                <w:color w:val="auto"/>
              </w:rPr>
            </w:pPr>
          </w:p>
        </w:tc>
        <w:tc>
          <w:tcPr>
            <w:tcW w:w="1240" w:type="dxa"/>
            <w:vAlign w:val="bottom"/>
            <w:tcBorders>
              <w:top w:val="single" w:sz="8" w:color="auto"/>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480" w:type="dxa"/>
            <w:vAlign w:val="bottom"/>
            <w:tcBorders>
              <w:top w:val="single" w:sz="8" w:color="auto"/>
              <w:bottom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CCEEFF"/>
            </w:tcBorders>
            <w:shd w:val="clear" w:color="auto" w:fill="CCEEFF"/>
          </w:tcPr>
          <w:p>
            <w:pPr>
              <w:spacing w:after="0"/>
              <w:rPr>
                <w:sz w:val="20"/>
                <w:szCs w:val="20"/>
                <w:color w:val="auto"/>
              </w:rPr>
            </w:pPr>
          </w:p>
        </w:tc>
      </w:tr>
      <w:tr>
        <w:trPr>
          <w:trHeight w:val="243"/>
        </w:trPr>
        <w:tc>
          <w:tcPr>
            <w:tcW w:w="4460" w:type="dxa"/>
            <w:vAlign w:val="bottom"/>
          </w:tcPr>
          <w:p>
            <w:pPr>
              <w:ind w:left="160"/>
              <w:spacing w:after="0"/>
              <w:rPr>
                <w:sz w:val="20"/>
                <w:szCs w:val="20"/>
                <w:color w:val="auto"/>
              </w:rPr>
            </w:pPr>
            <w:r>
              <w:rPr>
                <w:rFonts w:ascii="Arial" w:cs="Arial" w:eastAsia="Arial" w:hAnsi="Arial"/>
                <w:sz w:val="18"/>
                <w:szCs w:val="18"/>
                <w:color w:val="auto"/>
              </w:rPr>
              <w:t>Distributors</w:t>
            </w:r>
          </w:p>
        </w:tc>
        <w:tc>
          <w:tcPr>
            <w:tcW w:w="32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2,317,421</w:t>
            </w:r>
          </w:p>
        </w:tc>
        <w:tc>
          <w:tcPr>
            <w:tcW w:w="10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57</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2,563,807</w:t>
            </w:r>
          </w:p>
        </w:tc>
        <w:tc>
          <w:tcPr>
            <w:tcW w:w="10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56</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r>
      <w:tr>
        <w:trPr>
          <w:trHeight w:val="27"/>
        </w:trPr>
        <w:tc>
          <w:tcPr>
            <w:tcW w:w="44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200" w:type="dxa"/>
            <w:vAlign w:val="bottom"/>
          </w:tcPr>
          <w:p>
            <w:pPr>
              <w:spacing w:after="0"/>
              <w:rPr>
                <w:sz w:val="2"/>
                <w:szCs w:val="2"/>
                <w:color w:val="auto"/>
              </w:rPr>
            </w:pPr>
          </w:p>
        </w:tc>
      </w:tr>
      <w:tr>
        <w:trPr>
          <w:trHeight w:val="250"/>
        </w:trPr>
        <w:tc>
          <w:tcPr>
            <w:tcW w:w="446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Direct customers</w:t>
            </w:r>
          </w:p>
        </w:tc>
        <w:tc>
          <w:tcPr>
            <w:tcW w:w="3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1,692,152</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1,930,935</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r>
      <w:tr>
        <w:trPr>
          <w:trHeight w:val="243"/>
        </w:trPr>
        <w:tc>
          <w:tcPr>
            <w:tcW w:w="4460" w:type="dxa"/>
            <w:vAlign w:val="bottom"/>
          </w:tcPr>
          <w:p>
            <w:pPr>
              <w:ind w:left="160"/>
              <w:spacing w:after="0"/>
              <w:rPr>
                <w:sz w:val="20"/>
                <w:szCs w:val="20"/>
                <w:color w:val="auto"/>
              </w:rPr>
            </w:pPr>
            <w:r>
              <w:rPr>
                <w:rFonts w:ascii="Arial" w:cs="Arial" w:eastAsia="Arial" w:hAnsi="Arial"/>
                <w:sz w:val="18"/>
                <w:szCs w:val="18"/>
                <w:color w:val="auto"/>
              </w:rPr>
              <w:t>Other</w:t>
            </w:r>
          </w:p>
        </w:tc>
        <w:tc>
          <w:tcPr>
            <w:tcW w:w="32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67,188</w:t>
            </w:r>
          </w:p>
        </w:tc>
        <w:tc>
          <w:tcPr>
            <w:tcW w:w="100" w:type="dxa"/>
            <w:vAlign w:val="bottom"/>
          </w:tcPr>
          <w:p>
            <w:pPr>
              <w:spacing w:after="0"/>
              <w:rPr>
                <w:sz w:val="21"/>
                <w:szCs w:val="21"/>
                <w:color w:val="auto"/>
              </w:rPr>
            </w:pPr>
          </w:p>
        </w:tc>
        <w:tc>
          <w:tcPr>
            <w:tcW w:w="1680" w:type="dxa"/>
            <w:vAlign w:val="bottom"/>
            <w:gridSpan w:val="2"/>
          </w:tcPr>
          <w:p>
            <w:pPr>
              <w:jc w:val="right"/>
              <w:spacing w:after="0"/>
              <w:rPr>
                <w:sz w:val="20"/>
                <w:szCs w:val="20"/>
                <w:color w:val="auto"/>
              </w:rPr>
            </w:pPr>
            <w:r>
              <w:rPr>
                <w:rFonts w:ascii="Arial" w:cs="Arial" w:eastAsia="Arial" w:hAnsi="Arial"/>
                <w:sz w:val="18"/>
                <w:szCs w:val="18"/>
                <w:color w:val="auto"/>
              </w:rPr>
              <w:t>2 %</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53,104</w:t>
            </w:r>
          </w:p>
        </w:tc>
        <w:tc>
          <w:tcPr>
            <w:tcW w:w="100" w:type="dxa"/>
            <w:vAlign w:val="bottom"/>
          </w:tcPr>
          <w:p>
            <w:pPr>
              <w:spacing w:after="0"/>
              <w:rPr>
                <w:sz w:val="21"/>
                <w:szCs w:val="21"/>
                <w:color w:val="auto"/>
              </w:rPr>
            </w:pPr>
          </w:p>
        </w:tc>
        <w:tc>
          <w:tcPr>
            <w:tcW w:w="1680" w:type="dxa"/>
            <w:vAlign w:val="bottom"/>
            <w:gridSpan w:val="2"/>
          </w:tcPr>
          <w:p>
            <w:pPr>
              <w:jc w:val="right"/>
              <w:spacing w:after="0"/>
              <w:rPr>
                <w:sz w:val="20"/>
                <w:szCs w:val="20"/>
                <w:color w:val="auto"/>
              </w:rPr>
            </w:pPr>
            <w:r>
              <w:rPr>
                <w:rFonts w:ascii="Arial" w:cs="Arial" w:eastAsia="Arial" w:hAnsi="Arial"/>
                <w:sz w:val="18"/>
                <w:szCs w:val="18"/>
                <w:color w:val="auto"/>
              </w:rPr>
              <w:t>1 %</w:t>
            </w:r>
          </w:p>
        </w:tc>
      </w:tr>
      <w:tr>
        <w:trPr>
          <w:trHeight w:val="27"/>
        </w:trPr>
        <w:tc>
          <w:tcPr>
            <w:tcW w:w="446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r>
      <w:tr>
        <w:trPr>
          <w:trHeight w:val="288"/>
        </w:trPr>
        <w:tc>
          <w:tcPr>
            <w:tcW w:w="44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revenue</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4,076,761</w:t>
            </w:r>
          </w:p>
        </w:tc>
        <w:tc>
          <w:tcPr>
            <w:tcW w:w="100" w:type="dxa"/>
            <w:vAlign w:val="bottom"/>
            <w:tcBorders>
              <w:bottom w:val="single" w:sz="8" w:color="CCEEFF"/>
            </w:tcBorders>
            <w:shd w:val="clear" w:color="auto" w:fill="CCEEFF"/>
          </w:tcPr>
          <w:p>
            <w:pPr>
              <w:spacing w:after="0"/>
              <w:rPr>
                <w:sz w:val="24"/>
                <w:szCs w:val="24"/>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 w:type="dxa"/>
            <w:vAlign w:val="bottom"/>
            <w:tcBorders>
              <w:bottom w:val="single" w:sz="8" w:color="CCEEFF"/>
            </w:tcBorders>
            <w:shd w:val="clear" w:color="auto" w:fill="CCEEFF"/>
          </w:tcPr>
          <w:p>
            <w:pPr>
              <w:spacing w:after="0"/>
              <w:rPr>
                <w:sz w:val="24"/>
                <w:szCs w:val="24"/>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4,547,846</w:t>
            </w:r>
          </w:p>
        </w:tc>
        <w:tc>
          <w:tcPr>
            <w:tcW w:w="100" w:type="dxa"/>
            <w:vAlign w:val="bottom"/>
            <w:tcBorders>
              <w:bottom w:val="single" w:sz="8" w:color="CCEEFF"/>
            </w:tcBorders>
            <w:shd w:val="clear" w:color="auto" w:fill="CCEEFF"/>
          </w:tcPr>
          <w:p>
            <w:pPr>
              <w:spacing w:after="0"/>
              <w:rPr>
                <w:sz w:val="24"/>
                <w:szCs w:val="24"/>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r>
      <w:tr>
        <w:trPr>
          <w:trHeight w:val="20"/>
        </w:trPr>
        <w:tc>
          <w:tcPr>
            <w:tcW w:w="446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r>
    </w:tbl>
    <w:p>
      <w:pPr>
        <w:spacing w:after="0" w:line="134" w:lineRule="exact"/>
        <w:rPr>
          <w:sz w:val="20"/>
          <w:szCs w:val="20"/>
          <w:color w:val="auto"/>
        </w:rPr>
      </w:pPr>
    </w:p>
    <w:p>
      <w:pPr>
        <w:ind w:left="20"/>
        <w:spacing w:after="0"/>
        <w:rPr>
          <w:sz w:val="20"/>
          <w:szCs w:val="20"/>
          <w:color w:val="auto"/>
        </w:rPr>
      </w:pPr>
      <w:r>
        <w:rPr>
          <w:rFonts w:ascii="Arial" w:cs="Arial" w:eastAsia="Arial" w:hAnsi="Arial"/>
          <w:sz w:val="18"/>
          <w:szCs w:val="18"/>
          <w:color w:val="auto"/>
        </w:rPr>
        <w:t>* The sum of the individual percentages may not equal the total due to rounding.</w:t>
      </w:r>
    </w:p>
    <w:p>
      <w:pPr>
        <w:spacing w:after="0" w:line="198" w:lineRule="exact"/>
        <w:rPr>
          <w:sz w:val="20"/>
          <w:szCs w:val="20"/>
          <w:color w:val="auto"/>
        </w:rPr>
      </w:pPr>
    </w:p>
    <w:p>
      <w:pPr>
        <w:ind w:right="380" w:firstLine="445"/>
        <w:spacing w:after="0" w:line="370" w:lineRule="auto"/>
        <w:rPr>
          <w:sz w:val="20"/>
          <w:szCs w:val="20"/>
          <w:color w:val="auto"/>
        </w:rPr>
      </w:pPr>
      <w:r>
        <w:rPr>
          <w:rFonts w:ascii="Arial" w:cs="Arial" w:eastAsia="Arial" w:hAnsi="Arial"/>
          <w:sz w:val="18"/>
          <w:szCs w:val="18"/>
          <w:color w:val="auto"/>
        </w:rPr>
        <w:t xml:space="preserve">As indicated in the table above, the percentage of total revenue sold via each channel has remained relatively consistent in the periods presented. </w:t>
      </w:r>
      <w:r>
        <w:rPr>
          <w:rFonts w:ascii="Arial" w:cs="Arial" w:eastAsia="Arial" w:hAnsi="Arial"/>
          <w:sz w:val="18"/>
          <w:szCs w:val="18"/>
          <w:i w:val="1"/>
          <w:iCs w:val="1"/>
          <w:color w:val="auto"/>
        </w:rPr>
        <w:t>Gross Margin</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1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320" w:type="dxa"/>
            <w:vAlign w:val="bottom"/>
            <w:tcBorders>
              <w:bottom w:val="single" w:sz="8" w:color="auto"/>
            </w:tcBorders>
            <w:gridSpan w:val="5"/>
          </w:tcPr>
          <w:p>
            <w:pPr>
              <w:ind w:left="340"/>
              <w:spacing w:after="0"/>
              <w:rPr>
                <w:sz w:val="20"/>
                <w:szCs w:val="20"/>
                <w:color w:val="auto"/>
              </w:rPr>
            </w:pPr>
            <w:r>
              <w:rPr>
                <w:rFonts w:ascii="Arial" w:cs="Arial" w:eastAsia="Arial" w:hAnsi="Arial"/>
                <w:sz w:val="14"/>
                <w:szCs w:val="14"/>
                <w:b w:val="1"/>
                <w:bCs w:val="1"/>
                <w:color w:val="auto"/>
              </w:rPr>
              <w:t>Three Months Ended</w:t>
            </w:r>
          </w:p>
        </w:tc>
        <w:tc>
          <w:tcPr>
            <w:tcW w:w="108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2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540" w:type="dxa"/>
            <w:vAlign w:val="bottom"/>
            <w:tcBorders>
              <w:bottom w:val="single" w:sz="8" w:color="auto"/>
            </w:tcBorders>
            <w:gridSpan w:val="4"/>
          </w:tcPr>
          <w:p>
            <w:pPr>
              <w:ind w:left="500"/>
              <w:spacing w:after="0"/>
              <w:rPr>
                <w:sz w:val="20"/>
                <w:szCs w:val="20"/>
                <w:color w:val="auto"/>
              </w:rPr>
            </w:pPr>
            <w:r>
              <w:rPr>
                <w:rFonts w:ascii="Arial" w:cs="Arial" w:eastAsia="Arial" w:hAnsi="Arial"/>
                <w:sz w:val="14"/>
                <w:szCs w:val="14"/>
                <w:b w:val="1"/>
                <w:bCs w:val="1"/>
                <w:color w:val="auto"/>
              </w:rPr>
              <w:t>Nine Months Ended</w:t>
            </w:r>
          </w:p>
        </w:tc>
        <w:tc>
          <w:tcPr>
            <w:tcW w:w="1060" w:type="dxa"/>
            <w:vAlign w:val="bottom"/>
            <w:tcBorders>
              <w:bottom w:val="single" w:sz="8" w:color="auto"/>
            </w:tcBorders>
          </w:tcPr>
          <w:p>
            <w:pPr>
              <w:spacing w:after="0"/>
              <w:rPr>
                <w:sz w:val="16"/>
                <w:szCs w:val="16"/>
                <w:color w:val="auto"/>
              </w:rPr>
            </w:pPr>
          </w:p>
        </w:tc>
        <w:tc>
          <w:tcPr>
            <w:tcW w:w="20" w:type="dxa"/>
            <w:vAlign w:val="bottom"/>
          </w:tcPr>
          <w:p>
            <w:pPr>
              <w:spacing w:after="0"/>
              <w:rPr>
                <w:sz w:val="16"/>
                <w:szCs w:val="16"/>
                <w:color w:val="auto"/>
              </w:rPr>
            </w:pPr>
          </w:p>
        </w:tc>
      </w:tr>
      <w:tr>
        <w:trPr>
          <w:trHeight w:val="196"/>
        </w:trPr>
        <w:tc>
          <w:tcPr>
            <w:tcW w:w="4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280" w:type="dxa"/>
            <w:vAlign w:val="bottom"/>
            <w:gridSpan w:val="2"/>
          </w:tcPr>
          <w:p>
            <w:pPr>
              <w:ind w:left="140"/>
              <w:spacing w:after="0"/>
              <w:rPr>
                <w:sz w:val="20"/>
                <w:szCs w:val="20"/>
                <w:color w:val="auto"/>
              </w:rPr>
            </w:pPr>
            <w:r>
              <w:rPr>
                <w:rFonts w:ascii="Arial" w:cs="Arial" w:eastAsia="Arial" w:hAnsi="Arial"/>
                <w:sz w:val="14"/>
                <w:szCs w:val="14"/>
                <w:b w:val="1"/>
                <w:bCs w:val="1"/>
                <w:color w:val="auto"/>
              </w:rPr>
              <w:t>August 1, 2020</w:t>
            </w:r>
          </w:p>
        </w:tc>
        <w:tc>
          <w:tcPr>
            <w:tcW w:w="140" w:type="dxa"/>
            <w:vAlign w:val="bottom"/>
          </w:tcPr>
          <w:p>
            <w:pPr>
              <w:spacing w:after="0"/>
              <w:rPr>
                <w:sz w:val="17"/>
                <w:szCs w:val="17"/>
                <w:color w:val="auto"/>
              </w:rPr>
            </w:pPr>
          </w:p>
        </w:tc>
        <w:tc>
          <w:tcPr>
            <w:tcW w:w="1160" w:type="dxa"/>
            <w:vAlign w:val="bottom"/>
            <w:gridSpan w:val="2"/>
          </w:tcPr>
          <w:p>
            <w:pPr>
              <w:spacing w:after="0"/>
              <w:rPr>
                <w:sz w:val="20"/>
                <w:szCs w:val="20"/>
                <w:color w:val="auto"/>
              </w:rPr>
            </w:pPr>
            <w:r>
              <w:rPr>
                <w:rFonts w:ascii="Arial" w:cs="Arial" w:eastAsia="Arial" w:hAnsi="Arial"/>
                <w:sz w:val="14"/>
                <w:szCs w:val="14"/>
                <w:b w:val="1"/>
                <w:bCs w:val="1"/>
                <w:color w:val="auto"/>
              </w:rPr>
              <w:t>August 3, 2019</w:t>
            </w:r>
          </w:p>
        </w:tc>
        <w:tc>
          <w:tcPr>
            <w:tcW w:w="180" w:type="dxa"/>
            <w:vAlign w:val="bottom"/>
          </w:tcPr>
          <w:p>
            <w:pPr>
              <w:spacing w:after="0"/>
              <w:rPr>
                <w:sz w:val="17"/>
                <w:szCs w:val="17"/>
                <w:color w:val="auto"/>
              </w:rPr>
            </w:pPr>
          </w:p>
        </w:tc>
        <w:tc>
          <w:tcPr>
            <w:tcW w:w="980" w:type="dxa"/>
            <w:vAlign w:val="bottom"/>
            <w:gridSpan w:val="2"/>
          </w:tcPr>
          <w:p>
            <w:pPr>
              <w:ind w:left="60"/>
              <w:spacing w:after="0"/>
              <w:rPr>
                <w:sz w:val="20"/>
                <w:szCs w:val="20"/>
                <w:color w:val="auto"/>
              </w:rPr>
            </w:pPr>
            <w:r>
              <w:rPr>
                <w:rFonts w:ascii="Arial" w:cs="Arial" w:eastAsia="Arial" w:hAnsi="Arial"/>
                <w:sz w:val="14"/>
                <w:szCs w:val="14"/>
                <w:b w:val="1"/>
                <w:bCs w:val="1"/>
                <w:color w:val="auto"/>
              </w:rPr>
              <w:t>$ Change</w:t>
            </w:r>
          </w:p>
        </w:tc>
        <w:tc>
          <w:tcPr>
            <w:tcW w:w="12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4"/>
              </w:rPr>
              <w:t>% Change</w:t>
            </w:r>
          </w:p>
        </w:tc>
        <w:tc>
          <w:tcPr>
            <w:tcW w:w="1340" w:type="dxa"/>
            <w:vAlign w:val="bottom"/>
            <w:gridSpan w:val="2"/>
          </w:tcPr>
          <w:p>
            <w:pPr>
              <w:ind w:left="160"/>
              <w:spacing w:after="0"/>
              <w:rPr>
                <w:sz w:val="20"/>
                <w:szCs w:val="20"/>
                <w:color w:val="auto"/>
              </w:rPr>
            </w:pPr>
            <w:r>
              <w:rPr>
                <w:rFonts w:ascii="Arial" w:cs="Arial" w:eastAsia="Arial" w:hAnsi="Arial"/>
                <w:sz w:val="14"/>
                <w:szCs w:val="14"/>
                <w:b w:val="1"/>
                <w:bCs w:val="1"/>
                <w:color w:val="auto"/>
              </w:rPr>
              <w:t>August 1, 2020</w:t>
            </w:r>
          </w:p>
        </w:tc>
        <w:tc>
          <w:tcPr>
            <w:tcW w:w="1360" w:type="dxa"/>
            <w:vAlign w:val="bottom"/>
            <w:gridSpan w:val="2"/>
          </w:tcPr>
          <w:p>
            <w:pPr>
              <w:ind w:left="160"/>
              <w:spacing w:after="0"/>
              <w:rPr>
                <w:sz w:val="20"/>
                <w:szCs w:val="20"/>
                <w:color w:val="auto"/>
              </w:rPr>
            </w:pPr>
            <w:r>
              <w:rPr>
                <w:rFonts w:ascii="Arial" w:cs="Arial" w:eastAsia="Arial" w:hAnsi="Arial"/>
                <w:sz w:val="14"/>
                <w:szCs w:val="14"/>
                <w:b w:val="1"/>
                <w:bCs w:val="1"/>
                <w:color w:val="auto"/>
              </w:rPr>
              <w:t>August 3, 2019</w:t>
            </w:r>
          </w:p>
        </w:tc>
        <w:tc>
          <w:tcPr>
            <w:tcW w:w="11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1"/>
              </w:rPr>
              <w:t>$ Change</w:t>
            </w:r>
          </w:p>
        </w:tc>
        <w:tc>
          <w:tcPr>
            <w:tcW w:w="1080" w:type="dxa"/>
            <w:vAlign w:val="bottom"/>
            <w:gridSpan w:val="2"/>
          </w:tcPr>
          <w:p>
            <w:pPr>
              <w:ind w:left="200"/>
              <w:spacing w:after="0"/>
              <w:rPr>
                <w:sz w:val="20"/>
                <w:szCs w:val="20"/>
                <w:color w:val="auto"/>
              </w:rPr>
            </w:pPr>
            <w:r>
              <w:rPr>
                <w:rFonts w:ascii="Arial" w:cs="Arial" w:eastAsia="Arial" w:hAnsi="Arial"/>
                <w:sz w:val="14"/>
                <w:szCs w:val="14"/>
                <w:b w:val="1"/>
                <w:bCs w:val="1"/>
                <w:color w:val="auto"/>
              </w:rPr>
              <w:t>% Change</w:t>
            </w:r>
          </w:p>
        </w:tc>
      </w:tr>
      <w:tr>
        <w:trPr>
          <w:trHeight w:val="249"/>
        </w:trPr>
        <w:tc>
          <w:tcPr>
            <w:tcW w:w="40" w:type="dxa"/>
            <w:vAlign w:val="bottom"/>
          </w:tcPr>
          <w:p>
            <w:pPr>
              <w:spacing w:after="0"/>
              <w:rPr>
                <w:sz w:val="21"/>
                <w:szCs w:val="21"/>
                <w:color w:val="auto"/>
              </w:rPr>
            </w:pPr>
          </w:p>
        </w:tc>
        <w:tc>
          <w:tcPr>
            <w:tcW w:w="13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Gross margin</w:t>
            </w:r>
          </w:p>
        </w:tc>
        <w:tc>
          <w:tcPr>
            <w:tcW w:w="1180" w:type="dxa"/>
            <w:vAlign w:val="bottom"/>
            <w:tcBorders>
              <w:top w:val="single" w:sz="8" w:color="auto"/>
              <w:bottom w:val="single" w:sz="8" w:color="CCEEFF"/>
            </w:tcBorders>
            <w:shd w:val="clear" w:color="auto" w:fill="CCEEFF"/>
          </w:tcPr>
          <w:p>
            <w:pPr>
              <w:jc w:val="right"/>
              <w:ind w:right="156"/>
              <w:spacing w:after="0"/>
              <w:rPr>
                <w:sz w:val="20"/>
                <w:szCs w:val="20"/>
                <w:color w:val="auto"/>
              </w:rPr>
            </w:pPr>
            <w:r>
              <w:rPr>
                <w:rFonts w:ascii="Arial" w:cs="Arial" w:eastAsia="Arial" w:hAnsi="Arial"/>
                <w:sz w:val="18"/>
                <w:szCs w:val="18"/>
                <w:color w:val="auto"/>
              </w:rPr>
              <w:t>$   972,578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CCEEFF"/>
            </w:tcBorders>
            <w:shd w:val="clear" w:color="auto" w:fill="CCEEFF"/>
          </w:tcPr>
          <w:p>
            <w:pPr>
              <w:jc w:val="right"/>
              <w:ind w:right="159"/>
              <w:spacing w:after="0"/>
              <w:rPr>
                <w:sz w:val="20"/>
                <w:szCs w:val="20"/>
                <w:color w:val="auto"/>
              </w:rPr>
            </w:pPr>
            <w:r>
              <w:rPr>
                <w:rFonts w:ascii="Arial" w:cs="Arial" w:eastAsia="Arial" w:hAnsi="Arial"/>
                <w:sz w:val="18"/>
                <w:szCs w:val="18"/>
                <w:color w:val="auto"/>
              </w:rPr>
              <w:t>997,811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(25,233)</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0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240" w:type="dxa"/>
            <w:vAlign w:val="bottom"/>
            <w:tcBorders>
              <w:top w:val="single" w:sz="8" w:color="auto"/>
              <w:bottom w:val="single" w:sz="8" w:color="CCEEFF"/>
            </w:tcBorders>
            <w:shd w:val="clear" w:color="auto" w:fill="CCEEFF"/>
          </w:tcPr>
          <w:p>
            <w:pPr>
              <w:jc w:val="right"/>
              <w:ind w:right="156"/>
              <w:spacing w:after="0"/>
              <w:rPr>
                <w:sz w:val="20"/>
                <w:szCs w:val="20"/>
                <w:color w:val="auto"/>
              </w:rPr>
            </w:pPr>
            <w:r>
              <w:rPr>
                <w:rFonts w:ascii="Arial" w:cs="Arial" w:eastAsia="Arial" w:hAnsi="Arial"/>
                <w:sz w:val="18"/>
                <w:szCs w:val="18"/>
                <w:color w:val="auto"/>
                <w:w w:val="97"/>
              </w:rPr>
              <w:t>$  2,667,394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240" w:type="dxa"/>
            <w:vAlign w:val="bottom"/>
            <w:tcBorders>
              <w:top w:val="single" w:sz="8" w:color="auto"/>
              <w:bottom w:val="single" w:sz="8" w:color="CCEEFF"/>
            </w:tcBorders>
            <w:shd w:val="clear" w:color="auto" w:fill="CCEEFF"/>
          </w:tcPr>
          <w:p>
            <w:pPr>
              <w:jc w:val="right"/>
              <w:ind w:right="139"/>
              <w:spacing w:after="0"/>
              <w:rPr>
                <w:sz w:val="20"/>
                <w:szCs w:val="20"/>
                <w:color w:val="auto"/>
              </w:rPr>
            </w:pPr>
            <w:r>
              <w:rPr>
                <w:rFonts w:ascii="Arial" w:cs="Arial" w:eastAsia="Arial" w:hAnsi="Arial"/>
                <w:sz w:val="18"/>
                <w:szCs w:val="18"/>
                <w:color w:val="auto"/>
                <w:w w:val="99"/>
              </w:rPr>
              <w:t>$  3,071,559</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0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   (404,165)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0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20" w:type="dxa"/>
            <w:vAlign w:val="bottom"/>
          </w:tcPr>
          <w:p>
            <w:pPr>
              <w:spacing w:after="0"/>
              <w:rPr>
                <w:sz w:val="21"/>
                <w:szCs w:val="21"/>
                <w:color w:val="auto"/>
              </w:rPr>
            </w:pPr>
          </w:p>
        </w:tc>
      </w:tr>
      <w:tr>
        <w:trPr>
          <w:trHeight w:val="243"/>
        </w:trPr>
        <w:tc>
          <w:tcPr>
            <w:tcW w:w="40" w:type="dxa"/>
            <w:vAlign w:val="bottom"/>
          </w:tcPr>
          <w:p>
            <w:pPr>
              <w:spacing w:after="0"/>
              <w:rPr>
                <w:sz w:val="21"/>
                <w:szCs w:val="21"/>
                <w:color w:val="auto"/>
              </w:rPr>
            </w:pPr>
          </w:p>
        </w:tc>
        <w:tc>
          <w:tcPr>
            <w:tcW w:w="1300" w:type="dxa"/>
            <w:vAlign w:val="bottom"/>
          </w:tcPr>
          <w:p>
            <w:pPr>
              <w:ind w:left="20"/>
              <w:spacing w:after="0"/>
              <w:rPr>
                <w:sz w:val="20"/>
                <w:szCs w:val="20"/>
                <w:color w:val="auto"/>
              </w:rPr>
            </w:pPr>
            <w:r>
              <w:rPr>
                <w:rFonts w:ascii="Arial" w:cs="Arial" w:eastAsia="Arial" w:hAnsi="Arial"/>
                <w:sz w:val="18"/>
                <w:szCs w:val="18"/>
                <w:color w:val="auto"/>
                <w:w w:val="97"/>
              </w:rPr>
              <w:t>Gross margin %</w:t>
            </w:r>
          </w:p>
        </w:tc>
        <w:tc>
          <w:tcPr>
            <w:tcW w:w="1180" w:type="dxa"/>
            <w:vAlign w:val="bottom"/>
          </w:tcPr>
          <w:p>
            <w:pPr>
              <w:jc w:val="right"/>
              <w:spacing w:after="0"/>
              <w:rPr>
                <w:sz w:val="20"/>
                <w:szCs w:val="20"/>
                <w:color w:val="auto"/>
              </w:rPr>
            </w:pPr>
            <w:r>
              <w:rPr>
                <w:rFonts w:ascii="Arial" w:cs="Arial" w:eastAsia="Arial" w:hAnsi="Arial"/>
                <w:sz w:val="18"/>
                <w:szCs w:val="18"/>
                <w:color w:val="auto"/>
              </w:rPr>
              <w:t>66.8 %</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67.4 %</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65.4 %</w:t>
            </w:r>
          </w:p>
        </w:tc>
        <w:tc>
          <w:tcPr>
            <w:tcW w:w="10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67.5 %</w:t>
            </w:r>
          </w:p>
        </w:tc>
        <w:tc>
          <w:tcPr>
            <w:tcW w:w="12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20" w:type="dxa"/>
            <w:vAlign w:val="bottom"/>
          </w:tcPr>
          <w:p>
            <w:pPr>
              <w:spacing w:after="0"/>
              <w:rPr>
                <w:sz w:val="21"/>
                <w:szCs w:val="21"/>
                <w:color w:val="auto"/>
              </w:rPr>
            </w:pPr>
          </w:p>
        </w:tc>
      </w:tr>
      <w:tr>
        <w:trPr>
          <w:trHeight w:val="904"/>
        </w:trPr>
        <w:tc>
          <w:tcPr>
            <w:tcW w:w="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80" w:type="dxa"/>
            <w:vAlign w:val="bottom"/>
          </w:tcPr>
          <w:p>
            <w:pPr>
              <w:jc w:val="right"/>
              <w:ind w:right="356"/>
              <w:spacing w:after="0"/>
              <w:rPr>
                <w:sz w:val="20"/>
                <w:szCs w:val="20"/>
                <w:color w:val="auto"/>
              </w:rPr>
            </w:pPr>
            <w:r>
              <w:rPr>
                <w:rFonts w:ascii="Arial" w:cs="Arial" w:eastAsia="Arial" w:hAnsi="Arial"/>
                <w:sz w:val="18"/>
                <w:szCs w:val="18"/>
                <w:color w:val="auto"/>
              </w:rPr>
              <w:t>24</w:t>
            </w:r>
          </w:p>
        </w:tc>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15"/>
        </w:trPr>
        <w:tc>
          <w:tcPr>
            <w:tcW w:w="40" w:type="dxa"/>
            <w:vAlign w:val="bottom"/>
            <w:tcBorders>
              <w:bottom w:val="single" w:sz="8" w:color="9A9A9A"/>
            </w:tcBorders>
          </w:tcPr>
          <w:p>
            <w:pPr>
              <w:spacing w:after="0"/>
              <w:rPr>
                <w:sz w:val="10"/>
                <w:szCs w:val="10"/>
                <w:color w:val="auto"/>
              </w:rPr>
            </w:pPr>
          </w:p>
        </w:tc>
        <w:tc>
          <w:tcPr>
            <w:tcW w:w="1300" w:type="dxa"/>
            <w:vAlign w:val="bottom"/>
            <w:tcBorders>
              <w:bottom w:val="single" w:sz="8" w:color="9A9A9A"/>
            </w:tcBorders>
          </w:tcPr>
          <w:p>
            <w:pPr>
              <w:spacing w:after="0"/>
              <w:rPr>
                <w:sz w:val="10"/>
                <w:szCs w:val="10"/>
                <w:color w:val="auto"/>
              </w:rPr>
            </w:pPr>
          </w:p>
        </w:tc>
        <w:tc>
          <w:tcPr>
            <w:tcW w:w="11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0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86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08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2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24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0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06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-8255</wp:posOffset>
            </wp:positionV>
            <wp:extent cx="8255"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1124" w:right="339" w:bottom="1440" w:gutter="0" w:footer="0" w:header="0"/>
        </w:sectPr>
      </w:pPr>
    </w:p>
    <w:bookmarkStart w:id="25" w:name="page26"/>
    <w:bookmarkEnd w:id="25"/>
    <w:p>
      <w:pPr>
        <w:ind w:right="40" w:firstLine="445"/>
        <w:spacing w:after="0" w:line="279" w:lineRule="auto"/>
        <w:rPr>
          <w:sz w:val="20"/>
          <w:szCs w:val="20"/>
          <w:color w:val="auto"/>
        </w:rPr>
      </w:pPr>
      <w:r>
        <w:rPr>
          <w:rFonts w:ascii="Arial" w:cs="Arial" w:eastAsia="Arial" w:hAnsi="Arial"/>
          <w:sz w:val="17"/>
          <w:szCs w:val="17"/>
          <w:color w:val="auto"/>
        </w:rPr>
        <w:t>Gross margin percentage decreased by 60 and 210 basis points in the three- and nine-month periods ended August 1, 2020, respectively, as compared to the same periods of the prior fiscal year, primarily as a result of lower utilization of our factories due to decreased customer demand. The percentage decrease noted in the nine-month period ended August 1, 2020, as compared to the same period of the prior fiscal year, was also partially due to temporary shutdowns at some of our manufacturing locations in response to the COVID-19 pandemic.</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Research and Development (R&amp;D)</w:t>
      </w:r>
    </w:p>
    <w:p>
      <w:pPr>
        <w:spacing w:after="0" w:line="5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138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320" w:type="dxa"/>
            <w:vAlign w:val="bottom"/>
            <w:tcBorders>
              <w:bottom w:val="single" w:sz="8" w:color="auto"/>
            </w:tcBorders>
            <w:gridSpan w:val="4"/>
          </w:tcPr>
          <w:p>
            <w:pPr>
              <w:ind w:left="300"/>
              <w:spacing w:after="0"/>
              <w:rPr>
                <w:sz w:val="20"/>
                <w:szCs w:val="20"/>
                <w:color w:val="auto"/>
              </w:rPr>
            </w:pPr>
            <w:r>
              <w:rPr>
                <w:rFonts w:ascii="Arial" w:cs="Arial" w:eastAsia="Arial" w:hAnsi="Arial"/>
                <w:sz w:val="14"/>
                <w:szCs w:val="14"/>
                <w:b w:val="1"/>
                <w:bCs w:val="1"/>
                <w:color w:val="auto"/>
              </w:rPr>
              <w:t>Three Months Ended</w:t>
            </w:r>
          </w:p>
        </w:tc>
        <w:tc>
          <w:tcPr>
            <w:tcW w:w="106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340" w:type="dxa"/>
            <w:vAlign w:val="bottom"/>
            <w:tcBorders>
              <w:bottom w:val="single" w:sz="8" w:color="auto"/>
            </w:tcBorders>
            <w:gridSpan w:val="4"/>
          </w:tcPr>
          <w:p>
            <w:pPr>
              <w:ind w:left="340"/>
              <w:spacing w:after="0"/>
              <w:rPr>
                <w:sz w:val="20"/>
                <w:szCs w:val="20"/>
                <w:color w:val="auto"/>
              </w:rPr>
            </w:pPr>
            <w:r>
              <w:rPr>
                <w:rFonts w:ascii="Arial" w:cs="Arial" w:eastAsia="Arial" w:hAnsi="Arial"/>
                <w:sz w:val="14"/>
                <w:szCs w:val="14"/>
                <w:b w:val="1"/>
                <w:bCs w:val="1"/>
                <w:color w:val="auto"/>
              </w:rPr>
              <w:t>Nine Months Ended</w:t>
            </w:r>
          </w:p>
        </w:tc>
        <w:tc>
          <w:tcPr>
            <w:tcW w:w="1060" w:type="dxa"/>
            <w:vAlign w:val="bottom"/>
            <w:tcBorders>
              <w:bottom w:val="single" w:sz="8" w:color="auto"/>
            </w:tcBorders>
          </w:tcPr>
          <w:p>
            <w:pPr>
              <w:spacing w:after="0"/>
              <w:rPr>
                <w:sz w:val="16"/>
                <w:szCs w:val="16"/>
                <w:color w:val="auto"/>
              </w:rPr>
            </w:pPr>
          </w:p>
        </w:tc>
      </w:tr>
      <w:tr>
        <w:trPr>
          <w:trHeight w:val="196"/>
        </w:trPr>
        <w:tc>
          <w:tcPr>
            <w:tcW w:w="138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76"/>
              <w:spacing w:after="0"/>
              <w:rPr>
                <w:sz w:val="20"/>
                <w:szCs w:val="20"/>
                <w:color w:val="auto"/>
              </w:rPr>
            </w:pPr>
            <w:r>
              <w:rPr>
                <w:rFonts w:ascii="Arial" w:cs="Arial" w:eastAsia="Arial" w:hAnsi="Arial"/>
                <w:sz w:val="14"/>
                <w:szCs w:val="14"/>
                <w:b w:val="1"/>
                <w:bCs w:val="1"/>
                <w:color w:val="auto"/>
                <w:w w:val="93"/>
              </w:rPr>
              <w:t>August 1, 2020</w:t>
            </w:r>
          </w:p>
        </w:tc>
        <w:tc>
          <w:tcPr>
            <w:tcW w:w="1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79"/>
              <w:spacing w:after="0"/>
              <w:rPr>
                <w:sz w:val="20"/>
                <w:szCs w:val="20"/>
                <w:color w:val="auto"/>
              </w:rPr>
            </w:pPr>
            <w:r>
              <w:rPr>
                <w:rFonts w:ascii="Arial" w:cs="Arial" w:eastAsia="Arial" w:hAnsi="Arial"/>
                <w:sz w:val="14"/>
                <w:szCs w:val="14"/>
                <w:b w:val="1"/>
                <w:bCs w:val="1"/>
                <w:color w:val="auto"/>
                <w:w w:val="93"/>
              </w:rPr>
              <w:t>August 3, 2019</w:t>
            </w:r>
          </w:p>
        </w:tc>
        <w:tc>
          <w:tcPr>
            <w:tcW w:w="120" w:type="dxa"/>
            <w:vAlign w:val="bottom"/>
            <w:tcBorders>
              <w:bottom w:val="single" w:sz="8" w:color="CCEEFF"/>
            </w:tcBorders>
          </w:tcPr>
          <w:p>
            <w:pPr>
              <w:spacing w:after="0"/>
              <w:rPr>
                <w:sz w:val="17"/>
                <w:szCs w:val="17"/>
                <w:color w:val="auto"/>
              </w:rPr>
            </w:pPr>
          </w:p>
        </w:tc>
        <w:tc>
          <w:tcPr>
            <w:tcW w:w="10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 Change</w:t>
            </w:r>
          </w:p>
        </w:tc>
        <w:tc>
          <w:tcPr>
            <w:tcW w:w="100" w:type="dxa"/>
            <w:vAlign w:val="bottom"/>
            <w:tcBorders>
              <w:bottom w:val="single" w:sz="8" w:color="CCEEFF"/>
            </w:tcBorders>
          </w:tcPr>
          <w:p>
            <w:pPr>
              <w:spacing w:after="0"/>
              <w:rPr>
                <w:sz w:val="17"/>
                <w:szCs w:val="17"/>
                <w:color w:val="auto"/>
              </w:rPr>
            </w:pPr>
          </w:p>
        </w:tc>
        <w:tc>
          <w:tcPr>
            <w:tcW w:w="1060" w:type="dxa"/>
            <w:vAlign w:val="bottom"/>
            <w:tcBorders>
              <w:bottom w:val="single" w:sz="8" w:color="auto"/>
            </w:tcBorders>
          </w:tcPr>
          <w:p>
            <w:pPr>
              <w:ind w:left="200"/>
              <w:spacing w:after="0"/>
              <w:rPr>
                <w:sz w:val="20"/>
                <w:szCs w:val="20"/>
                <w:color w:val="auto"/>
              </w:rPr>
            </w:pPr>
            <w:r>
              <w:rPr>
                <w:rFonts w:ascii="Arial" w:cs="Arial" w:eastAsia="Arial" w:hAnsi="Arial"/>
                <w:sz w:val="14"/>
                <w:szCs w:val="14"/>
                <w:b w:val="1"/>
                <w:bCs w:val="1"/>
                <w:color w:val="auto"/>
              </w:rPr>
              <w:t>% Change</w:t>
            </w:r>
          </w:p>
        </w:tc>
        <w:tc>
          <w:tcPr>
            <w:tcW w:w="12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96"/>
              <w:spacing w:after="0"/>
              <w:rPr>
                <w:sz w:val="20"/>
                <w:szCs w:val="20"/>
                <w:color w:val="auto"/>
              </w:rPr>
            </w:pPr>
            <w:r>
              <w:rPr>
                <w:rFonts w:ascii="Arial" w:cs="Arial" w:eastAsia="Arial" w:hAnsi="Arial"/>
                <w:sz w:val="14"/>
                <w:szCs w:val="14"/>
                <w:b w:val="1"/>
                <w:bCs w:val="1"/>
                <w:color w:val="auto"/>
                <w:w w:val="91"/>
              </w:rPr>
              <w:t>August 1, 2020</w:t>
            </w:r>
          </w:p>
        </w:tc>
        <w:tc>
          <w:tcPr>
            <w:tcW w:w="1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99"/>
              <w:spacing w:after="0"/>
              <w:rPr>
                <w:sz w:val="20"/>
                <w:szCs w:val="20"/>
                <w:color w:val="auto"/>
              </w:rPr>
            </w:pPr>
            <w:r>
              <w:rPr>
                <w:rFonts w:ascii="Arial" w:cs="Arial" w:eastAsia="Arial" w:hAnsi="Arial"/>
                <w:sz w:val="14"/>
                <w:szCs w:val="14"/>
                <w:b w:val="1"/>
                <w:bCs w:val="1"/>
                <w:color w:val="auto"/>
                <w:w w:val="93"/>
              </w:rPr>
              <w:t>August 3, 2019</w:t>
            </w:r>
          </w:p>
        </w:tc>
        <w:tc>
          <w:tcPr>
            <w:tcW w:w="100" w:type="dxa"/>
            <w:vAlign w:val="bottom"/>
            <w:tcBorders>
              <w:bottom w:val="single" w:sz="8" w:color="CCEEFF"/>
            </w:tcBorders>
          </w:tcPr>
          <w:p>
            <w:pPr>
              <w:spacing w:after="0"/>
              <w:rPr>
                <w:sz w:val="17"/>
                <w:szCs w:val="17"/>
                <w:color w:val="auto"/>
              </w:rPr>
            </w:pPr>
          </w:p>
        </w:tc>
        <w:tc>
          <w:tcPr>
            <w:tcW w:w="10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 Change</w:t>
            </w:r>
          </w:p>
        </w:tc>
        <w:tc>
          <w:tcPr>
            <w:tcW w:w="120" w:type="dxa"/>
            <w:vAlign w:val="bottom"/>
            <w:tcBorders>
              <w:bottom w:val="single" w:sz="8" w:color="CCEEFF"/>
            </w:tcBorders>
          </w:tcPr>
          <w:p>
            <w:pPr>
              <w:spacing w:after="0"/>
              <w:rPr>
                <w:sz w:val="17"/>
                <w:szCs w:val="17"/>
                <w:color w:val="auto"/>
              </w:rPr>
            </w:pPr>
          </w:p>
        </w:tc>
        <w:tc>
          <w:tcPr>
            <w:tcW w:w="1060" w:type="dxa"/>
            <w:vAlign w:val="bottom"/>
            <w:tcBorders>
              <w:bottom w:val="single" w:sz="8" w:color="auto"/>
            </w:tcBorders>
          </w:tcPr>
          <w:p>
            <w:pPr>
              <w:jc w:val="right"/>
              <w:ind w:right="119"/>
              <w:spacing w:after="0"/>
              <w:rPr>
                <w:sz w:val="20"/>
                <w:szCs w:val="20"/>
                <w:color w:val="auto"/>
              </w:rPr>
            </w:pPr>
            <w:r>
              <w:rPr>
                <w:rFonts w:ascii="Arial" w:cs="Arial" w:eastAsia="Arial" w:hAnsi="Arial"/>
                <w:sz w:val="14"/>
                <w:szCs w:val="14"/>
                <w:b w:val="1"/>
                <w:bCs w:val="1"/>
                <w:color w:val="auto"/>
              </w:rPr>
              <w:t>% Change</w:t>
            </w:r>
          </w:p>
        </w:tc>
      </w:tr>
      <w:tr>
        <w:trPr>
          <w:trHeight w:val="249"/>
        </w:trPr>
        <w:tc>
          <w:tcPr>
            <w:tcW w:w="13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R&amp;D expenses</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56"/>
              <w:spacing w:after="0"/>
              <w:rPr>
                <w:sz w:val="20"/>
                <w:szCs w:val="20"/>
                <w:color w:val="auto"/>
              </w:rPr>
            </w:pPr>
            <w:r>
              <w:rPr>
                <w:rFonts w:ascii="Arial" w:cs="Arial" w:eastAsia="Arial" w:hAnsi="Arial"/>
                <w:sz w:val="18"/>
                <w:szCs w:val="18"/>
                <w:color w:val="auto"/>
              </w:rPr>
              <w:t>260,794</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8"/>
                <w:szCs w:val="18"/>
                <w:color w:val="auto"/>
              </w:rPr>
              <w:t>280,102</w:t>
            </w: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   (19,308)</w:t>
            </w:r>
          </w:p>
        </w:tc>
        <w:tc>
          <w:tcPr>
            <w:tcW w:w="1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(7)%  $</w:t>
            </w:r>
          </w:p>
        </w:tc>
        <w:tc>
          <w:tcPr>
            <w:tcW w:w="1100" w:type="dxa"/>
            <w:vAlign w:val="bottom"/>
            <w:tcBorders>
              <w:bottom w:val="single" w:sz="8" w:color="CCEEFF"/>
            </w:tcBorders>
            <w:shd w:val="clear" w:color="auto" w:fill="CCEEFF"/>
          </w:tcPr>
          <w:p>
            <w:pPr>
              <w:jc w:val="right"/>
              <w:ind w:right="156"/>
              <w:spacing w:after="0"/>
              <w:rPr>
                <w:sz w:val="20"/>
                <w:szCs w:val="20"/>
                <w:color w:val="auto"/>
              </w:rPr>
            </w:pPr>
            <w:r>
              <w:rPr>
                <w:rFonts w:ascii="Arial" w:cs="Arial" w:eastAsia="Arial" w:hAnsi="Arial"/>
                <w:sz w:val="18"/>
                <w:szCs w:val="18"/>
                <w:color w:val="auto"/>
              </w:rPr>
              <w:t>770,280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8"/>
                <w:szCs w:val="18"/>
                <w:color w:val="auto"/>
              </w:rPr>
              <w:t>853,330</w:t>
            </w:r>
          </w:p>
        </w:tc>
        <w:tc>
          <w:tcPr>
            <w:tcW w:w="1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   (83,050)</w:t>
            </w:r>
          </w:p>
        </w:tc>
        <w:tc>
          <w:tcPr>
            <w:tcW w:w="1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w:t>
            </w:r>
          </w:p>
        </w:tc>
      </w:tr>
      <w:tr>
        <w:trPr>
          <w:trHeight w:val="229"/>
        </w:trPr>
        <w:tc>
          <w:tcPr>
            <w:tcW w:w="1380" w:type="dxa"/>
            <w:vAlign w:val="bottom"/>
          </w:tcPr>
          <w:p>
            <w:pPr>
              <w:ind w:left="20"/>
              <w:spacing w:after="0"/>
              <w:rPr>
                <w:sz w:val="20"/>
                <w:szCs w:val="20"/>
                <w:color w:val="auto"/>
              </w:rPr>
            </w:pPr>
            <w:r>
              <w:rPr>
                <w:rFonts w:ascii="Arial" w:cs="Arial" w:eastAsia="Arial" w:hAnsi="Arial"/>
                <w:sz w:val="18"/>
                <w:szCs w:val="18"/>
                <w:color w:val="auto"/>
                <w:w w:val="92"/>
              </w:rPr>
              <w:t>R&amp;D expenses as</w:t>
            </w:r>
          </w:p>
        </w:tc>
        <w:tc>
          <w:tcPr>
            <w:tcW w:w="1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tcPr>
          <w:p>
            <w:pPr>
              <w:spacing w:after="0"/>
              <w:rPr>
                <w:sz w:val="19"/>
                <w:szCs w:val="19"/>
                <w:color w:val="auto"/>
              </w:rPr>
            </w:pPr>
          </w:p>
        </w:tc>
      </w:tr>
      <w:tr>
        <w:trPr>
          <w:trHeight w:val="230"/>
        </w:trPr>
        <w:tc>
          <w:tcPr>
            <w:tcW w:w="1380" w:type="dxa"/>
            <w:vAlign w:val="bottom"/>
          </w:tcPr>
          <w:p>
            <w:pPr>
              <w:ind w:left="20"/>
              <w:spacing w:after="0"/>
              <w:rPr>
                <w:sz w:val="20"/>
                <w:szCs w:val="20"/>
                <w:color w:val="auto"/>
              </w:rPr>
            </w:pPr>
            <w:r>
              <w:rPr>
                <w:rFonts w:ascii="Arial" w:cs="Arial" w:eastAsia="Arial" w:hAnsi="Arial"/>
                <w:sz w:val="18"/>
                <w:szCs w:val="18"/>
                <w:color w:val="auto"/>
              </w:rPr>
              <w:t>a % of revenue</w:t>
            </w:r>
          </w:p>
        </w:tc>
        <w:tc>
          <w:tcPr>
            <w:tcW w:w="1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17.9 %</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18.9 %</w:t>
            </w: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18.9 %</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18.8 %</w:t>
            </w:r>
          </w:p>
        </w:tc>
        <w:tc>
          <w:tcPr>
            <w:tcW w:w="1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60" w:type="dxa"/>
            <w:vAlign w:val="bottom"/>
          </w:tcPr>
          <w:p>
            <w:pPr>
              <w:spacing w:after="0"/>
              <w:rPr>
                <w:sz w:val="20"/>
                <w:szCs w:val="20"/>
                <w:color w:val="auto"/>
              </w:rPr>
            </w:pPr>
          </w:p>
        </w:tc>
      </w:tr>
    </w:tbl>
    <w:p>
      <w:pPr>
        <w:spacing w:after="0" w:line="175" w:lineRule="exact"/>
        <w:rPr>
          <w:sz w:val="20"/>
          <w:szCs w:val="20"/>
          <w:color w:val="auto"/>
        </w:rPr>
      </w:pPr>
    </w:p>
    <w:p>
      <w:pPr>
        <w:ind w:right="40" w:firstLine="445"/>
        <w:spacing w:after="0" w:line="263" w:lineRule="auto"/>
        <w:rPr>
          <w:sz w:val="20"/>
          <w:szCs w:val="20"/>
          <w:color w:val="auto"/>
        </w:rPr>
      </w:pPr>
      <w:r>
        <w:rPr>
          <w:rFonts w:ascii="Arial" w:cs="Arial" w:eastAsia="Arial" w:hAnsi="Arial"/>
          <w:sz w:val="18"/>
          <w:szCs w:val="18"/>
          <w:color w:val="auto"/>
        </w:rPr>
        <w:t>R&amp;D expenses decreased in the three-month period ended August 1, 2020, as compared to the same period of the prior fiscal year, primarily as a result of lower R&amp;D employee-related salary and benefit expenses and lower discretionary spending partially in response to uncertainty associated with the COVID-19 pandemic.</w:t>
      </w:r>
    </w:p>
    <w:p>
      <w:pPr>
        <w:spacing w:after="0" w:line="130" w:lineRule="exact"/>
        <w:rPr>
          <w:sz w:val="20"/>
          <w:szCs w:val="20"/>
          <w:color w:val="auto"/>
        </w:rPr>
      </w:pPr>
    </w:p>
    <w:p>
      <w:pPr>
        <w:jc w:val="both"/>
        <w:ind w:right="380" w:firstLine="445"/>
        <w:spacing w:after="0" w:line="263" w:lineRule="auto"/>
        <w:rPr>
          <w:sz w:val="20"/>
          <w:szCs w:val="20"/>
          <w:color w:val="auto"/>
        </w:rPr>
      </w:pPr>
      <w:r>
        <w:rPr>
          <w:rFonts w:ascii="Arial" w:cs="Arial" w:eastAsia="Arial" w:hAnsi="Arial"/>
          <w:sz w:val="18"/>
          <w:szCs w:val="18"/>
          <w:color w:val="auto"/>
        </w:rPr>
        <w:t>R&amp;D expenses decreased in the nine-month period ended August 1, 2020, as compared to the same period of the prior fiscal year, primarily as a result of lower variable compensation expense, lower R&amp;D employee-related salary and benefit expenses and lower discretionary spending partially in response to uncertainty associated with the COVID-19 pandemic.</w:t>
      </w:r>
    </w:p>
    <w:p>
      <w:pPr>
        <w:spacing w:after="0" w:line="130" w:lineRule="exact"/>
        <w:rPr>
          <w:sz w:val="20"/>
          <w:szCs w:val="20"/>
          <w:color w:val="auto"/>
        </w:rPr>
      </w:pPr>
    </w:p>
    <w:p>
      <w:pPr>
        <w:ind w:right="80" w:firstLine="445"/>
        <w:spacing w:after="0" w:line="279" w:lineRule="auto"/>
        <w:rPr>
          <w:sz w:val="20"/>
          <w:szCs w:val="20"/>
          <w:color w:val="auto"/>
        </w:rPr>
      </w:pPr>
      <w:r>
        <w:rPr>
          <w:rFonts w:ascii="Arial" w:cs="Arial" w:eastAsia="Arial" w:hAnsi="Arial"/>
          <w:sz w:val="17"/>
          <w:szCs w:val="17"/>
          <w:color w:val="auto"/>
        </w:rPr>
        <w:t>R&amp;D expenses as a percentage of revenue will fluctuate from year-to-year depending on the amount of revenue and the success of new product development efforts, which we view as critical to our future growth. We expect to continue the development of innovative technologies and processes for new products. We believe that a continued commitment to R&amp;D is essential to maintain product leadership with our existing products as well as to provide innovative new product offerings. Therefore, we expect to continue to make significant R&amp;D investments in the future.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Selling, Marketing, General and Administrative (SMG&amp;A)</w:t>
      </w:r>
    </w:p>
    <w:p>
      <w:pPr>
        <w:spacing w:after="0" w:line="55" w:lineRule="exact"/>
        <w:rPr>
          <w:sz w:val="20"/>
          <w:szCs w:val="20"/>
          <w:color w:val="auto"/>
        </w:rPr>
      </w:pPr>
    </w:p>
    <w:tbl>
      <w:tblPr>
        <w:tblLayout w:type="fixed"/>
        <w:tblInd w:w="20" w:type="dxa"/>
        <w:tblCellMar>
          <w:top w:w="0" w:type="dxa"/>
          <w:left w:w="0" w:type="dxa"/>
          <w:bottom w:w="0" w:type="dxa"/>
          <w:right w:w="0" w:type="dxa"/>
        </w:tblCellMar>
      </w:tblPr>
      <w:tr>
        <w:trPr>
          <w:trHeight w:val="192"/>
        </w:trPr>
        <w:tc>
          <w:tcPr>
            <w:tcW w:w="2060" w:type="dxa"/>
            <w:vAlign w:val="bottom"/>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380" w:type="dxa"/>
            <w:vAlign w:val="bottom"/>
            <w:tcBorders>
              <w:bottom w:val="single" w:sz="8" w:color="auto"/>
            </w:tcBorders>
            <w:gridSpan w:val="5"/>
          </w:tcPr>
          <w:p>
            <w:pPr>
              <w:ind w:left="380"/>
              <w:spacing w:after="0"/>
              <w:rPr>
                <w:sz w:val="20"/>
                <w:szCs w:val="20"/>
                <w:color w:val="auto"/>
              </w:rPr>
            </w:pPr>
            <w:r>
              <w:rPr>
                <w:rFonts w:ascii="Arial" w:cs="Arial" w:eastAsia="Arial" w:hAnsi="Arial"/>
                <w:sz w:val="14"/>
                <w:szCs w:val="14"/>
                <w:b w:val="1"/>
                <w:bCs w:val="1"/>
                <w:color w:val="auto"/>
              </w:rPr>
              <w:t>Three Months Ended</w:t>
            </w:r>
          </w:p>
        </w:tc>
        <w:tc>
          <w:tcPr>
            <w:tcW w:w="90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380" w:type="dxa"/>
            <w:vAlign w:val="bottom"/>
            <w:tcBorders>
              <w:bottom w:val="single" w:sz="8" w:color="auto"/>
            </w:tcBorders>
            <w:gridSpan w:val="5"/>
          </w:tcPr>
          <w:p>
            <w:pPr>
              <w:ind w:left="420"/>
              <w:spacing w:after="0"/>
              <w:rPr>
                <w:sz w:val="20"/>
                <w:szCs w:val="20"/>
                <w:color w:val="auto"/>
              </w:rPr>
            </w:pPr>
            <w:r>
              <w:rPr>
                <w:rFonts w:ascii="Arial" w:cs="Arial" w:eastAsia="Arial" w:hAnsi="Arial"/>
                <w:sz w:val="14"/>
                <w:szCs w:val="14"/>
                <w:b w:val="1"/>
                <w:bCs w:val="1"/>
                <w:color w:val="auto"/>
              </w:rPr>
              <w:t>Nine Months Ended</w:t>
            </w:r>
          </w:p>
        </w:tc>
        <w:tc>
          <w:tcPr>
            <w:tcW w:w="920" w:type="dxa"/>
            <w:vAlign w:val="bottom"/>
            <w:tcBorders>
              <w:bottom w:val="single" w:sz="8" w:color="auto"/>
            </w:tcBorders>
          </w:tcPr>
          <w:p>
            <w:pPr>
              <w:spacing w:after="0"/>
              <w:rPr>
                <w:sz w:val="16"/>
                <w:szCs w:val="16"/>
                <w:color w:val="auto"/>
              </w:rPr>
            </w:pPr>
          </w:p>
        </w:tc>
      </w:tr>
      <w:tr>
        <w:trPr>
          <w:trHeight w:val="196"/>
        </w:trPr>
        <w:tc>
          <w:tcPr>
            <w:tcW w:w="2060" w:type="dxa"/>
            <w:vAlign w:val="bottom"/>
          </w:tcPr>
          <w:p>
            <w:pPr>
              <w:spacing w:after="0"/>
              <w:rPr>
                <w:sz w:val="17"/>
                <w:szCs w:val="17"/>
                <w:color w:val="auto"/>
              </w:rPr>
            </w:pPr>
          </w:p>
        </w:tc>
        <w:tc>
          <w:tcPr>
            <w:tcW w:w="1220" w:type="dxa"/>
            <w:vAlign w:val="bottom"/>
            <w:gridSpan w:val="2"/>
          </w:tcPr>
          <w:p>
            <w:pPr>
              <w:ind w:left="100"/>
              <w:spacing w:after="0"/>
              <w:rPr>
                <w:sz w:val="20"/>
                <w:szCs w:val="20"/>
                <w:color w:val="auto"/>
              </w:rPr>
            </w:pPr>
            <w:r>
              <w:rPr>
                <w:rFonts w:ascii="Arial" w:cs="Arial" w:eastAsia="Arial" w:hAnsi="Arial"/>
                <w:sz w:val="14"/>
                <w:szCs w:val="14"/>
                <w:b w:val="1"/>
                <w:bCs w:val="1"/>
                <w:color w:val="auto"/>
              </w:rPr>
              <w:t>August 1, 2020</w:t>
            </w:r>
          </w:p>
        </w:tc>
        <w:tc>
          <w:tcPr>
            <w:tcW w:w="1220" w:type="dxa"/>
            <w:vAlign w:val="bottom"/>
            <w:gridSpan w:val="2"/>
          </w:tcPr>
          <w:p>
            <w:pPr>
              <w:ind w:left="100"/>
              <w:spacing w:after="0"/>
              <w:rPr>
                <w:sz w:val="20"/>
                <w:szCs w:val="20"/>
                <w:color w:val="auto"/>
              </w:rPr>
            </w:pPr>
            <w:r>
              <w:rPr>
                <w:rFonts w:ascii="Arial" w:cs="Arial" w:eastAsia="Arial" w:hAnsi="Arial"/>
                <w:sz w:val="14"/>
                <w:szCs w:val="14"/>
                <w:b w:val="1"/>
                <w:bCs w:val="1"/>
                <w:color w:val="auto"/>
              </w:rPr>
              <w:t>August 3, 2019</w:t>
            </w:r>
          </w:p>
        </w:tc>
        <w:tc>
          <w:tcPr>
            <w:tcW w:w="160" w:type="dxa"/>
            <w:vAlign w:val="bottom"/>
          </w:tcPr>
          <w:p>
            <w:pPr>
              <w:spacing w:after="0"/>
              <w:rPr>
                <w:sz w:val="17"/>
                <w:szCs w:val="17"/>
                <w:color w:val="auto"/>
              </w:rPr>
            </w:pPr>
          </w:p>
        </w:tc>
        <w:tc>
          <w:tcPr>
            <w:tcW w:w="1000" w:type="dxa"/>
            <w:vAlign w:val="bottom"/>
            <w:gridSpan w:val="2"/>
          </w:tcPr>
          <w:p>
            <w:pPr>
              <w:ind w:left="80"/>
              <w:spacing w:after="0"/>
              <w:rPr>
                <w:sz w:val="20"/>
                <w:szCs w:val="20"/>
                <w:color w:val="auto"/>
              </w:rPr>
            </w:pPr>
            <w:r>
              <w:rPr>
                <w:rFonts w:ascii="Arial" w:cs="Arial" w:eastAsia="Arial" w:hAnsi="Arial"/>
                <w:sz w:val="14"/>
                <w:szCs w:val="14"/>
                <w:b w:val="1"/>
                <w:bCs w:val="1"/>
                <w:color w:val="auto"/>
              </w:rPr>
              <w:t>$ Change</w:t>
            </w:r>
          </w:p>
        </w:tc>
        <w:tc>
          <w:tcPr>
            <w:tcW w:w="1020" w:type="dxa"/>
            <w:vAlign w:val="bottom"/>
            <w:gridSpan w:val="2"/>
          </w:tcPr>
          <w:p>
            <w:pPr>
              <w:ind w:left="120"/>
              <w:spacing w:after="0"/>
              <w:rPr>
                <w:sz w:val="20"/>
                <w:szCs w:val="20"/>
                <w:color w:val="auto"/>
              </w:rPr>
            </w:pPr>
            <w:r>
              <w:rPr>
                <w:rFonts w:ascii="Arial" w:cs="Arial" w:eastAsia="Arial" w:hAnsi="Arial"/>
                <w:sz w:val="14"/>
                <w:szCs w:val="14"/>
                <w:b w:val="1"/>
                <w:bCs w:val="1"/>
                <w:color w:val="auto"/>
              </w:rPr>
              <w:t>% Change</w:t>
            </w:r>
          </w:p>
        </w:tc>
        <w:tc>
          <w:tcPr>
            <w:tcW w:w="1220" w:type="dxa"/>
            <w:vAlign w:val="bottom"/>
            <w:gridSpan w:val="2"/>
          </w:tcPr>
          <w:p>
            <w:pPr>
              <w:ind w:left="100"/>
              <w:spacing w:after="0"/>
              <w:rPr>
                <w:sz w:val="20"/>
                <w:szCs w:val="20"/>
                <w:color w:val="auto"/>
              </w:rPr>
            </w:pPr>
            <w:r>
              <w:rPr>
                <w:rFonts w:ascii="Arial" w:cs="Arial" w:eastAsia="Arial" w:hAnsi="Arial"/>
                <w:sz w:val="14"/>
                <w:szCs w:val="14"/>
                <w:b w:val="1"/>
                <w:bCs w:val="1"/>
                <w:color w:val="auto"/>
              </w:rPr>
              <w:t>August 1, 2020</w:t>
            </w:r>
          </w:p>
        </w:tc>
        <w:tc>
          <w:tcPr>
            <w:tcW w:w="1220" w:type="dxa"/>
            <w:vAlign w:val="bottom"/>
            <w:gridSpan w:val="2"/>
          </w:tcPr>
          <w:p>
            <w:pPr>
              <w:ind w:left="100"/>
              <w:spacing w:after="0"/>
              <w:rPr>
                <w:sz w:val="20"/>
                <w:szCs w:val="20"/>
                <w:color w:val="auto"/>
              </w:rPr>
            </w:pPr>
            <w:r>
              <w:rPr>
                <w:rFonts w:ascii="Arial" w:cs="Arial" w:eastAsia="Arial" w:hAnsi="Arial"/>
                <w:sz w:val="14"/>
                <w:szCs w:val="14"/>
                <w:b w:val="1"/>
                <w:bCs w:val="1"/>
                <w:color w:val="auto"/>
              </w:rPr>
              <w:t>August 3, 2019</w:t>
            </w:r>
          </w:p>
        </w:tc>
        <w:tc>
          <w:tcPr>
            <w:tcW w:w="180" w:type="dxa"/>
            <w:vAlign w:val="bottom"/>
          </w:tcPr>
          <w:p>
            <w:pPr>
              <w:spacing w:after="0"/>
              <w:rPr>
                <w:sz w:val="17"/>
                <w:szCs w:val="17"/>
                <w:color w:val="auto"/>
              </w:rPr>
            </w:pPr>
          </w:p>
        </w:tc>
        <w:tc>
          <w:tcPr>
            <w:tcW w:w="980" w:type="dxa"/>
            <w:vAlign w:val="bottom"/>
            <w:gridSpan w:val="2"/>
          </w:tcPr>
          <w:p>
            <w:pPr>
              <w:ind w:left="60"/>
              <w:spacing w:after="0"/>
              <w:rPr>
                <w:sz w:val="20"/>
                <w:szCs w:val="20"/>
                <w:color w:val="auto"/>
              </w:rPr>
            </w:pPr>
            <w:r>
              <w:rPr>
                <w:rFonts w:ascii="Arial" w:cs="Arial" w:eastAsia="Arial" w:hAnsi="Arial"/>
                <w:sz w:val="14"/>
                <w:szCs w:val="14"/>
                <w:b w:val="1"/>
                <w:bCs w:val="1"/>
                <w:color w:val="auto"/>
              </w:rPr>
              <w:t>$ Change</w:t>
            </w:r>
          </w:p>
        </w:tc>
        <w:tc>
          <w:tcPr>
            <w:tcW w:w="920" w:type="dxa"/>
            <w:vAlign w:val="bottom"/>
          </w:tcPr>
          <w:p>
            <w:pPr>
              <w:ind w:left="140"/>
              <w:spacing w:after="0"/>
              <w:rPr>
                <w:sz w:val="20"/>
                <w:szCs w:val="20"/>
                <w:color w:val="auto"/>
              </w:rPr>
            </w:pPr>
            <w:r>
              <w:rPr>
                <w:rFonts w:ascii="Arial" w:cs="Arial" w:eastAsia="Arial" w:hAnsi="Arial"/>
                <w:sz w:val="14"/>
                <w:szCs w:val="14"/>
                <w:b w:val="1"/>
                <w:bCs w:val="1"/>
                <w:color w:val="auto"/>
              </w:rPr>
              <w:t>% Change</w:t>
            </w:r>
          </w:p>
        </w:tc>
      </w:tr>
      <w:tr>
        <w:trPr>
          <w:trHeight w:val="250"/>
        </w:trPr>
        <w:tc>
          <w:tcPr>
            <w:tcW w:w="20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SMG&amp;A expenses</w:t>
            </w:r>
          </w:p>
        </w:tc>
        <w:tc>
          <w:tcPr>
            <w:tcW w:w="1120" w:type="dxa"/>
            <w:vAlign w:val="bottom"/>
            <w:tcBorders>
              <w:top w:val="single" w:sz="8" w:color="auto"/>
              <w:bottom w:val="single" w:sz="8" w:color="CCEEFF"/>
            </w:tcBorders>
            <w:shd w:val="clear" w:color="auto" w:fill="CCEEFF"/>
          </w:tcPr>
          <w:p>
            <w:pPr>
              <w:jc w:val="right"/>
              <w:ind w:right="156"/>
              <w:spacing w:after="0"/>
              <w:rPr>
                <w:sz w:val="20"/>
                <w:szCs w:val="20"/>
                <w:color w:val="auto"/>
              </w:rPr>
            </w:pPr>
            <w:r>
              <w:rPr>
                <w:rFonts w:ascii="Arial" w:cs="Arial" w:eastAsia="Arial" w:hAnsi="Arial"/>
                <w:sz w:val="18"/>
                <w:szCs w:val="18"/>
                <w:color w:val="auto"/>
              </w:rPr>
              <w:t>$  153,753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100" w:type="dxa"/>
            <w:vAlign w:val="bottom"/>
            <w:tcBorders>
              <w:top w:val="single" w:sz="8" w:color="auto"/>
              <w:bottom w:val="single" w:sz="8" w:color="CCEEFF"/>
            </w:tcBorders>
            <w:shd w:val="clear" w:color="auto" w:fill="CCEEFF"/>
          </w:tcPr>
          <w:p>
            <w:pPr>
              <w:jc w:val="right"/>
              <w:ind w:right="139"/>
              <w:spacing w:after="0"/>
              <w:rPr>
                <w:sz w:val="20"/>
                <w:szCs w:val="20"/>
                <w:color w:val="auto"/>
              </w:rPr>
            </w:pPr>
            <w:r>
              <w:rPr>
                <w:rFonts w:ascii="Arial" w:cs="Arial" w:eastAsia="Arial" w:hAnsi="Arial"/>
                <w:sz w:val="18"/>
                <w:szCs w:val="18"/>
                <w:color w:val="auto"/>
              </w:rPr>
              <w:t>$  162,825</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(9,072)</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9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120" w:type="dxa"/>
            <w:vAlign w:val="bottom"/>
            <w:tcBorders>
              <w:top w:val="single" w:sz="8" w:color="auto"/>
              <w:bottom w:val="single" w:sz="8" w:color="CCEEFF"/>
            </w:tcBorders>
            <w:shd w:val="clear" w:color="auto" w:fill="CCEEFF"/>
          </w:tcPr>
          <w:p>
            <w:pPr>
              <w:jc w:val="right"/>
              <w:ind w:right="156"/>
              <w:spacing w:after="0"/>
              <w:rPr>
                <w:sz w:val="20"/>
                <w:szCs w:val="20"/>
                <w:color w:val="auto"/>
              </w:rPr>
            </w:pPr>
            <w:r>
              <w:rPr>
                <w:rFonts w:ascii="Arial" w:cs="Arial" w:eastAsia="Arial" w:hAnsi="Arial"/>
                <w:sz w:val="18"/>
                <w:szCs w:val="18"/>
                <w:color w:val="auto"/>
              </w:rPr>
              <w:t>$  494,808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120" w:type="dxa"/>
            <w:vAlign w:val="bottom"/>
            <w:tcBorders>
              <w:top w:val="single" w:sz="8" w:color="auto"/>
              <w:bottom w:val="single" w:sz="8" w:color="CCEEFF"/>
            </w:tcBorders>
            <w:shd w:val="clear" w:color="auto" w:fill="CCEEFF"/>
          </w:tcPr>
          <w:p>
            <w:pPr>
              <w:jc w:val="right"/>
              <w:ind w:right="159"/>
              <w:spacing w:after="0"/>
              <w:rPr>
                <w:sz w:val="20"/>
                <w:szCs w:val="20"/>
                <w:color w:val="auto"/>
              </w:rPr>
            </w:pPr>
            <w:r>
              <w:rPr>
                <w:rFonts w:ascii="Arial" w:cs="Arial" w:eastAsia="Arial" w:hAnsi="Arial"/>
                <w:sz w:val="18"/>
                <w:szCs w:val="18"/>
                <w:color w:val="auto"/>
              </w:rPr>
              <w:t>$  493,295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1,513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920" w:type="dxa"/>
            <w:vAlign w:val="bottom"/>
            <w:tcBorders>
              <w:top w:val="single" w:sz="8" w:color="auto"/>
              <w:bottom w:val="single" w:sz="8" w:color="CCEEFF"/>
            </w:tcBorders>
            <w:shd w:val="clear" w:color="auto" w:fill="CCEEFF"/>
          </w:tcPr>
          <w:p>
            <w:pPr>
              <w:ind w:left="520"/>
              <w:spacing w:after="0"/>
              <w:rPr>
                <w:sz w:val="20"/>
                <w:szCs w:val="20"/>
                <w:color w:val="auto"/>
              </w:rPr>
            </w:pPr>
            <w:r>
              <w:rPr>
                <w:rFonts w:ascii="Arial" w:cs="Arial" w:eastAsia="Arial" w:hAnsi="Arial"/>
                <w:sz w:val="18"/>
                <w:szCs w:val="18"/>
                <w:color w:val="auto"/>
                <w:w w:val="97"/>
              </w:rPr>
              <w:t>— %</w:t>
            </w:r>
          </w:p>
        </w:tc>
      </w:tr>
      <w:tr>
        <w:trPr>
          <w:trHeight w:val="229"/>
        </w:trPr>
        <w:tc>
          <w:tcPr>
            <w:tcW w:w="2060" w:type="dxa"/>
            <w:vAlign w:val="bottom"/>
          </w:tcPr>
          <w:p>
            <w:pPr>
              <w:ind w:left="20"/>
              <w:spacing w:after="0"/>
              <w:rPr>
                <w:sz w:val="20"/>
                <w:szCs w:val="20"/>
                <w:color w:val="auto"/>
              </w:rPr>
            </w:pPr>
            <w:r>
              <w:rPr>
                <w:rFonts w:ascii="Arial" w:cs="Arial" w:eastAsia="Arial" w:hAnsi="Arial"/>
                <w:sz w:val="18"/>
                <w:szCs w:val="18"/>
                <w:color w:val="auto"/>
                <w:w w:val="97"/>
              </w:rPr>
              <w:t>SMG&amp;A expenses as a %</w:t>
            </w: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Pr>
          <w:p>
            <w:pPr>
              <w:spacing w:after="0"/>
              <w:rPr>
                <w:sz w:val="19"/>
                <w:szCs w:val="19"/>
                <w:color w:val="auto"/>
              </w:rPr>
            </w:pPr>
          </w:p>
        </w:tc>
      </w:tr>
      <w:tr>
        <w:trPr>
          <w:trHeight w:val="230"/>
        </w:trPr>
        <w:tc>
          <w:tcPr>
            <w:tcW w:w="2060" w:type="dxa"/>
            <w:vAlign w:val="bottom"/>
          </w:tcPr>
          <w:p>
            <w:pPr>
              <w:ind w:left="20"/>
              <w:spacing w:after="0"/>
              <w:rPr>
                <w:sz w:val="20"/>
                <w:szCs w:val="20"/>
                <w:color w:val="auto"/>
              </w:rPr>
            </w:pPr>
            <w:r>
              <w:rPr>
                <w:rFonts w:ascii="Arial" w:cs="Arial" w:eastAsia="Arial" w:hAnsi="Arial"/>
                <w:sz w:val="18"/>
                <w:szCs w:val="18"/>
                <w:color w:val="auto"/>
              </w:rPr>
              <w:t>of revenue</w:t>
            </w:r>
          </w:p>
        </w:tc>
        <w:tc>
          <w:tcPr>
            <w:tcW w:w="1120" w:type="dxa"/>
            <w:vAlign w:val="bottom"/>
          </w:tcPr>
          <w:p>
            <w:pPr>
              <w:jc w:val="right"/>
              <w:spacing w:after="0"/>
              <w:rPr>
                <w:sz w:val="20"/>
                <w:szCs w:val="20"/>
                <w:color w:val="auto"/>
              </w:rPr>
            </w:pPr>
            <w:r>
              <w:rPr>
                <w:rFonts w:ascii="Arial" w:cs="Arial" w:eastAsia="Arial" w:hAnsi="Arial"/>
                <w:sz w:val="18"/>
                <w:szCs w:val="18"/>
                <w:color w:val="auto"/>
              </w:rPr>
              <w:t>10.6 %</w:t>
            </w:r>
          </w:p>
        </w:tc>
        <w:tc>
          <w:tcPr>
            <w:tcW w:w="10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11.0 %</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12.1 %</w:t>
            </w:r>
          </w:p>
        </w:tc>
        <w:tc>
          <w:tcPr>
            <w:tcW w:w="10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10.8 %</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tcPr>
          <w:p>
            <w:pPr>
              <w:spacing w:after="0"/>
              <w:rPr>
                <w:sz w:val="20"/>
                <w:szCs w:val="20"/>
                <w:color w:val="auto"/>
              </w:rPr>
            </w:pPr>
          </w:p>
        </w:tc>
      </w:tr>
    </w:tbl>
    <w:p>
      <w:pPr>
        <w:spacing w:after="0" w:line="175" w:lineRule="exact"/>
        <w:rPr>
          <w:sz w:val="20"/>
          <w:szCs w:val="20"/>
          <w:color w:val="auto"/>
        </w:rPr>
      </w:pPr>
    </w:p>
    <w:p>
      <w:pPr>
        <w:ind w:right="100" w:firstLine="445"/>
        <w:spacing w:after="0" w:line="311" w:lineRule="auto"/>
        <w:rPr>
          <w:sz w:val="20"/>
          <w:szCs w:val="20"/>
          <w:color w:val="auto"/>
        </w:rPr>
      </w:pPr>
      <w:r>
        <w:rPr>
          <w:rFonts w:ascii="Arial" w:cs="Arial" w:eastAsia="Arial" w:hAnsi="Arial"/>
          <w:sz w:val="16"/>
          <w:szCs w:val="16"/>
          <w:color w:val="auto"/>
        </w:rPr>
        <w:t>SMG&amp;A expenses decreased in the three-month period ended August 1, 2020, as compared to the same period of the prior fiscal year, primarily as a result of lower discretionary spending in response to uncertainty associated with the COVID-19 pandemic, partially offset by $9.1 million in the three-month period ended August 1, 2020 of acquisition-related transaction costs in connection with the proposed acquisition of Maxim.</w:t>
      </w:r>
    </w:p>
    <w:p>
      <w:pPr>
        <w:spacing w:after="0" w:line="95" w:lineRule="exact"/>
        <w:rPr>
          <w:sz w:val="20"/>
          <w:szCs w:val="20"/>
          <w:color w:val="auto"/>
        </w:rPr>
      </w:pPr>
    </w:p>
    <w:p>
      <w:pPr>
        <w:ind w:right="40" w:firstLine="445"/>
        <w:spacing w:after="0" w:line="257" w:lineRule="auto"/>
        <w:rPr>
          <w:sz w:val="20"/>
          <w:szCs w:val="20"/>
          <w:color w:val="auto"/>
        </w:rPr>
      </w:pPr>
      <w:r>
        <w:rPr>
          <w:rFonts w:ascii="Arial" w:cs="Arial" w:eastAsia="Arial" w:hAnsi="Arial"/>
          <w:sz w:val="18"/>
          <w:szCs w:val="18"/>
          <w:color w:val="auto"/>
        </w:rPr>
        <w:t>SMG&amp;A expenses increased slightly in the nine-month period ended August 1, 2020, as compared to the same period of the prior fiscal year, primarily as a result of a $40.0 million charitable contribution to the Analog Devices Foundation made in the first quarter of fiscal 2020 and $9.1 million in acquisition-related transaction costs in connection with the proposed acquisition of Maxim, partially offset by lower variable compensation expense, lower discretionary spending in response to uncertainty associated with the COVID-19 pandemic and lower SMG&amp;A employee-related salary and benefit expenses.</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Special Charges</w:t>
      </w:r>
    </w:p>
    <w:p>
      <w:pPr>
        <w:spacing w:after="0" w:line="171" w:lineRule="exact"/>
        <w:rPr>
          <w:sz w:val="20"/>
          <w:szCs w:val="20"/>
          <w:color w:val="auto"/>
        </w:rPr>
      </w:pPr>
    </w:p>
    <w:p>
      <w:pPr>
        <w:ind w:right="80" w:firstLine="445"/>
        <w:spacing w:after="0" w:line="263" w:lineRule="auto"/>
        <w:rPr>
          <w:sz w:val="20"/>
          <w:szCs w:val="20"/>
          <w:color w:val="auto"/>
        </w:rPr>
      </w:pPr>
      <w:r>
        <w:rPr>
          <w:rFonts w:ascii="Arial" w:cs="Arial" w:eastAsia="Arial" w:hAnsi="Arial"/>
          <w:sz w:val="18"/>
          <w:szCs w:val="18"/>
          <w:color w:val="auto"/>
        </w:rPr>
        <w:t>We monitor global macroeconomic conditions on an ongoing basis and continue to assess opportunities for improved operational effectiveness and efficiency, as well as a better alignment of expenses with revenues. As a result of these assessments, we have undertaken various restructuring actions over the past several years.</w:t>
      </w:r>
    </w:p>
    <w:p>
      <w:pPr>
        <w:spacing w:after="0" w:line="130" w:lineRule="exact"/>
        <w:rPr>
          <w:sz w:val="20"/>
          <w:szCs w:val="20"/>
          <w:color w:val="auto"/>
        </w:rPr>
      </w:pPr>
    </w:p>
    <w:p>
      <w:pPr>
        <w:ind w:right="40" w:firstLine="445"/>
        <w:spacing w:after="0" w:line="255" w:lineRule="auto"/>
        <w:rPr>
          <w:sz w:val="20"/>
          <w:szCs w:val="20"/>
          <w:color w:val="auto"/>
        </w:rPr>
      </w:pPr>
      <w:r>
        <w:rPr>
          <w:rFonts w:ascii="Arial" w:cs="Arial" w:eastAsia="Arial" w:hAnsi="Arial"/>
          <w:sz w:val="18"/>
          <w:szCs w:val="18"/>
          <w:i w:val="1"/>
          <w:iCs w:val="1"/>
          <w:color w:val="auto"/>
        </w:rPr>
        <w:t xml:space="preserve">Repositioning Action: </w:t>
      </w:r>
      <w:r>
        <w:rPr>
          <w:rFonts w:ascii="Arial" w:cs="Arial" w:eastAsia="Arial" w:hAnsi="Arial"/>
          <w:sz w:val="18"/>
          <w:szCs w:val="18"/>
          <w:color w:val="auto"/>
        </w:rPr>
        <w:t>As a result of organizational initiatives to better align the global workforce with our long-term strategic plan, we recorded</w:t>
      </w:r>
      <w:r>
        <w:rPr>
          <w:rFonts w:ascii="Arial" w:cs="Arial" w:eastAsia="Arial" w:hAnsi="Arial"/>
          <w:sz w:val="18"/>
          <w:szCs w:val="18"/>
          <w:i w:val="1"/>
          <w:iCs w:val="1"/>
          <w:color w:val="auto"/>
        </w:rPr>
        <w:t xml:space="preserve"> </w:t>
      </w:r>
      <w:r>
        <w:rPr>
          <w:rFonts w:ascii="Arial" w:cs="Arial" w:eastAsia="Arial" w:hAnsi="Arial"/>
          <w:sz w:val="18"/>
          <w:szCs w:val="18"/>
          <w:color w:val="auto"/>
        </w:rPr>
        <w:t>special charges of approximately $130.5 million on a cumulative basis through August 1, 2020, including $33.2 million and $42.4 million, in the three- and nine-month periods ended August 1, 2020, respectively. Once fully implemented, the repositioning actions prior to the third quarter of fiscal 2020 are expected to result in net annualized cash savings of approximately $48.0 million. The repositioning action related to the third quarter of fiscal 2020, once fully implemented, is not expected to result in any net annualized savings as the reduction in salary and benefits from workforce reductions will be redeployed to other areas of the business as part of the reorganizational initiative.</w:t>
      </w:r>
    </w:p>
    <w:p>
      <w:pPr>
        <w:spacing w:after="0" w:line="200" w:lineRule="exact"/>
        <w:rPr>
          <w:sz w:val="20"/>
          <w:szCs w:val="20"/>
          <w:color w:val="auto"/>
        </w:rPr>
      </w:pPr>
    </w:p>
    <w:p>
      <w:pPr>
        <w:spacing w:after="0" w:line="3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8" w:right="339" w:bottom="1440" w:gutter="0" w:footer="0" w:header="0"/>
        </w:sectPr>
      </w:pPr>
    </w:p>
    <w:bookmarkStart w:id="26" w:name="page27"/>
    <w:bookmarkEnd w:id="26"/>
    <w:p>
      <w:pPr>
        <w:ind w:right="200" w:firstLine="445"/>
        <w:spacing w:after="0" w:line="257" w:lineRule="auto"/>
        <w:rPr>
          <w:sz w:val="20"/>
          <w:szCs w:val="20"/>
          <w:color w:val="auto"/>
        </w:rPr>
      </w:pPr>
      <w:r>
        <w:rPr>
          <w:rFonts w:ascii="Arial" w:cs="Arial" w:eastAsia="Arial" w:hAnsi="Arial"/>
          <w:sz w:val="18"/>
          <w:szCs w:val="18"/>
          <w:i w:val="1"/>
          <w:iCs w:val="1"/>
          <w:color w:val="auto"/>
        </w:rPr>
        <w:t xml:space="preserve">Closure of Manufacturing Facilities: </w:t>
      </w:r>
      <w:r>
        <w:rPr>
          <w:rFonts w:ascii="Arial" w:cs="Arial" w:eastAsia="Arial" w:hAnsi="Arial"/>
          <w:sz w:val="18"/>
          <w:szCs w:val="18"/>
          <w:color w:val="auto"/>
        </w:rPr>
        <w:t>As a result of our decision to consolidate certain wafer and test facility operations acquired as part of the</w:t>
      </w:r>
      <w:r>
        <w:rPr>
          <w:rFonts w:ascii="Arial" w:cs="Arial" w:eastAsia="Arial" w:hAnsi="Arial"/>
          <w:sz w:val="18"/>
          <w:szCs w:val="18"/>
          <w:i w:val="1"/>
          <w:iCs w:val="1"/>
          <w:color w:val="auto"/>
        </w:rPr>
        <w:t xml:space="preserve"> </w:t>
      </w:r>
      <w:r>
        <w:rPr>
          <w:rFonts w:ascii="Arial" w:cs="Arial" w:eastAsia="Arial" w:hAnsi="Arial"/>
          <w:sz w:val="18"/>
          <w:szCs w:val="18"/>
          <w:color w:val="auto"/>
        </w:rPr>
        <w:t>acquisition of Linear Technology Corporation (Linear), we recorded special charges of $53.9 million on a cumulative basis through August 1, 2020, including a reversal of $1.4 million in the three-month period ended August 1, 2020 and a net charge of $1.9 million in the nine-month period ended August 1, 2020. Once fully implemented, we expect that these actions will result in estimated annual salary, variable compensation and employee benefit savings of approximately $60.0 million.</w:t>
      </w:r>
    </w:p>
    <w:p>
      <w:pPr>
        <w:spacing w:after="0" w:line="134" w:lineRule="exact"/>
        <w:rPr>
          <w:sz w:val="20"/>
          <w:szCs w:val="20"/>
          <w:color w:val="auto"/>
        </w:rPr>
      </w:pPr>
    </w:p>
    <w:p>
      <w:pPr>
        <w:ind w:right="220" w:firstLine="405"/>
        <w:spacing w:after="0" w:line="277" w:lineRule="auto"/>
        <w:rPr>
          <w:sz w:val="20"/>
          <w:szCs w:val="20"/>
          <w:color w:val="auto"/>
        </w:rPr>
      </w:pPr>
      <w:r>
        <w:rPr>
          <w:rFonts w:ascii="Arial" w:cs="Arial" w:eastAsia="Arial" w:hAnsi="Arial"/>
          <w:sz w:val="18"/>
          <w:szCs w:val="18"/>
          <w:color w:val="auto"/>
        </w:rPr>
        <w:t xml:space="preserve">See Note 6, </w:t>
      </w:r>
      <w:r>
        <w:rPr>
          <w:rFonts w:ascii="Arial" w:cs="Arial" w:eastAsia="Arial" w:hAnsi="Arial"/>
          <w:sz w:val="18"/>
          <w:szCs w:val="18"/>
          <w:i w:val="1"/>
          <w:iCs w:val="1"/>
          <w:color w:val="auto"/>
        </w:rPr>
        <w:t>Special Charges</w:t>
      </w:r>
      <w:r>
        <w:rPr>
          <w:rFonts w:ascii="Arial" w:cs="Arial" w:eastAsia="Arial" w:hAnsi="Arial"/>
          <w:sz w:val="18"/>
          <w:szCs w:val="18"/>
          <w:color w:val="auto"/>
        </w:rPr>
        <w:t>, of the Notes to Condensed Consolidated Financial Statements in Part I, Item 1 in this Quarterly Report on Form 10-Q for further information.</w:t>
      </w:r>
    </w:p>
    <w:p>
      <w:pPr>
        <w:spacing w:after="0" w:line="4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Operating Income</w:t>
      </w:r>
    </w:p>
    <w:p>
      <w:pPr>
        <w:spacing w:after="0" w:line="5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15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440" w:type="dxa"/>
            <w:vAlign w:val="bottom"/>
            <w:tcBorders>
              <w:bottom w:val="single" w:sz="8" w:color="auto"/>
            </w:tcBorders>
            <w:gridSpan w:val="5"/>
          </w:tcPr>
          <w:p>
            <w:pPr>
              <w:ind w:left="420"/>
              <w:spacing w:after="0"/>
              <w:rPr>
                <w:sz w:val="20"/>
                <w:szCs w:val="20"/>
                <w:color w:val="auto"/>
              </w:rPr>
            </w:pPr>
            <w:r>
              <w:rPr>
                <w:rFonts w:ascii="Arial" w:cs="Arial" w:eastAsia="Arial" w:hAnsi="Arial"/>
                <w:sz w:val="14"/>
                <w:szCs w:val="14"/>
                <w:b w:val="1"/>
                <w:bCs w:val="1"/>
                <w:color w:val="auto"/>
              </w:rPr>
              <w:t>Three Months Ended</w:t>
            </w:r>
          </w:p>
        </w:tc>
        <w:tc>
          <w:tcPr>
            <w:tcW w:w="100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2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540" w:type="dxa"/>
            <w:vAlign w:val="bottom"/>
            <w:tcBorders>
              <w:bottom w:val="single" w:sz="8" w:color="auto"/>
            </w:tcBorders>
            <w:gridSpan w:val="4"/>
          </w:tcPr>
          <w:p>
            <w:pPr>
              <w:ind w:left="480"/>
              <w:spacing w:after="0"/>
              <w:rPr>
                <w:sz w:val="20"/>
                <w:szCs w:val="20"/>
                <w:color w:val="auto"/>
              </w:rPr>
            </w:pPr>
            <w:r>
              <w:rPr>
                <w:rFonts w:ascii="Arial" w:cs="Arial" w:eastAsia="Arial" w:hAnsi="Arial"/>
                <w:sz w:val="14"/>
                <w:szCs w:val="14"/>
                <w:b w:val="1"/>
                <w:bCs w:val="1"/>
                <w:color w:val="auto"/>
              </w:rPr>
              <w:t>Nine Months Ended</w:t>
            </w:r>
          </w:p>
        </w:tc>
        <w:tc>
          <w:tcPr>
            <w:tcW w:w="1000" w:type="dxa"/>
            <w:vAlign w:val="bottom"/>
            <w:tcBorders>
              <w:bottom w:val="single" w:sz="8" w:color="auto"/>
            </w:tcBorders>
          </w:tcPr>
          <w:p>
            <w:pPr>
              <w:spacing w:after="0"/>
              <w:rPr>
                <w:sz w:val="16"/>
                <w:szCs w:val="16"/>
                <w:color w:val="auto"/>
              </w:rPr>
            </w:pPr>
          </w:p>
        </w:tc>
      </w:tr>
      <w:tr>
        <w:trPr>
          <w:trHeight w:val="196"/>
        </w:trPr>
        <w:tc>
          <w:tcPr>
            <w:tcW w:w="15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56"/>
              <w:spacing w:after="0"/>
              <w:rPr>
                <w:sz w:val="20"/>
                <w:szCs w:val="20"/>
                <w:color w:val="auto"/>
              </w:rPr>
            </w:pPr>
            <w:r>
              <w:rPr>
                <w:rFonts w:ascii="Arial" w:cs="Arial" w:eastAsia="Arial" w:hAnsi="Arial"/>
                <w:sz w:val="14"/>
                <w:szCs w:val="14"/>
                <w:b w:val="1"/>
                <w:bCs w:val="1"/>
                <w:color w:val="auto"/>
                <w:w w:val="91"/>
              </w:rPr>
              <w:t>August 1, 2020</w:t>
            </w:r>
          </w:p>
        </w:tc>
        <w:tc>
          <w:tcPr>
            <w:tcW w:w="100" w:type="dxa"/>
            <w:vAlign w:val="bottom"/>
            <w:tcBorders>
              <w:bottom w:val="single" w:sz="8" w:color="CCEEFF"/>
            </w:tcBorders>
          </w:tcPr>
          <w:p>
            <w:pPr>
              <w:spacing w:after="0"/>
              <w:rPr>
                <w:sz w:val="17"/>
                <w:szCs w:val="17"/>
                <w:color w:val="auto"/>
              </w:rPr>
            </w:pPr>
          </w:p>
        </w:tc>
        <w:tc>
          <w:tcPr>
            <w:tcW w:w="1200" w:type="dxa"/>
            <w:vAlign w:val="bottom"/>
            <w:tcBorders>
              <w:bottom w:val="single" w:sz="8" w:color="auto"/>
            </w:tcBorders>
          </w:tcPr>
          <w:p>
            <w:pPr>
              <w:jc w:val="right"/>
              <w:ind w:right="59"/>
              <w:spacing w:after="0"/>
              <w:rPr>
                <w:sz w:val="20"/>
                <w:szCs w:val="20"/>
                <w:color w:val="auto"/>
              </w:rPr>
            </w:pPr>
            <w:r>
              <w:rPr>
                <w:rFonts w:ascii="Arial" w:cs="Arial" w:eastAsia="Arial" w:hAnsi="Arial"/>
                <w:sz w:val="14"/>
                <w:szCs w:val="14"/>
                <w:b w:val="1"/>
                <w:bCs w:val="1"/>
                <w:color w:val="auto"/>
              </w:rPr>
              <w:t>August 3, 2019</w:t>
            </w:r>
          </w:p>
        </w:tc>
        <w:tc>
          <w:tcPr>
            <w:tcW w:w="10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159"/>
              <w:spacing w:after="0"/>
              <w:rPr>
                <w:sz w:val="20"/>
                <w:szCs w:val="20"/>
                <w:color w:val="auto"/>
              </w:rPr>
            </w:pPr>
            <w:r>
              <w:rPr>
                <w:rFonts w:ascii="Arial" w:cs="Arial" w:eastAsia="Arial" w:hAnsi="Arial"/>
                <w:sz w:val="14"/>
                <w:szCs w:val="14"/>
                <w:b w:val="1"/>
                <w:bCs w:val="1"/>
                <w:color w:val="auto"/>
                <w:w w:val="98"/>
              </w:rPr>
              <w:t>$ Change</w:t>
            </w:r>
          </w:p>
        </w:tc>
        <w:tc>
          <w:tcPr>
            <w:tcW w:w="100" w:type="dxa"/>
            <w:vAlign w:val="bottom"/>
            <w:tcBorders>
              <w:bottom w:val="single" w:sz="8" w:color="CCEEFF"/>
            </w:tcBorders>
          </w:tcPr>
          <w:p>
            <w:pPr>
              <w:spacing w:after="0"/>
              <w:rPr>
                <w:sz w:val="17"/>
                <w:szCs w:val="17"/>
                <w:color w:val="auto"/>
              </w:rPr>
            </w:pPr>
          </w:p>
        </w:tc>
        <w:tc>
          <w:tcPr>
            <w:tcW w:w="1000" w:type="dxa"/>
            <w:vAlign w:val="bottom"/>
            <w:tcBorders>
              <w:bottom w:val="single" w:sz="8" w:color="auto"/>
            </w:tcBorders>
          </w:tcPr>
          <w:p>
            <w:pPr>
              <w:jc w:val="right"/>
              <w:ind w:right="79"/>
              <w:spacing w:after="0"/>
              <w:rPr>
                <w:sz w:val="20"/>
                <w:szCs w:val="20"/>
                <w:color w:val="auto"/>
              </w:rPr>
            </w:pPr>
            <w:r>
              <w:rPr>
                <w:rFonts w:ascii="Arial" w:cs="Arial" w:eastAsia="Arial" w:hAnsi="Arial"/>
                <w:sz w:val="14"/>
                <w:szCs w:val="14"/>
                <w:b w:val="1"/>
                <w:bCs w:val="1"/>
                <w:color w:val="auto"/>
              </w:rPr>
              <w:t>% Change</w:t>
            </w:r>
          </w:p>
        </w:tc>
        <w:tc>
          <w:tcPr>
            <w:tcW w:w="120" w:type="dxa"/>
            <w:vAlign w:val="bottom"/>
            <w:tcBorders>
              <w:bottom w:val="single" w:sz="8" w:color="CCEEFF"/>
            </w:tcBorders>
          </w:tcPr>
          <w:p>
            <w:pPr>
              <w:spacing w:after="0"/>
              <w:rPr>
                <w:sz w:val="17"/>
                <w:szCs w:val="17"/>
                <w:color w:val="auto"/>
              </w:rPr>
            </w:pPr>
          </w:p>
        </w:tc>
        <w:tc>
          <w:tcPr>
            <w:tcW w:w="1240" w:type="dxa"/>
            <w:vAlign w:val="bottom"/>
            <w:tcBorders>
              <w:bottom w:val="single" w:sz="8" w:color="auto"/>
            </w:tcBorders>
          </w:tcPr>
          <w:p>
            <w:pPr>
              <w:jc w:val="right"/>
              <w:ind w:right="96"/>
              <w:spacing w:after="0"/>
              <w:rPr>
                <w:sz w:val="20"/>
                <w:szCs w:val="20"/>
                <w:color w:val="auto"/>
              </w:rPr>
            </w:pPr>
            <w:r>
              <w:rPr>
                <w:rFonts w:ascii="Arial" w:cs="Arial" w:eastAsia="Arial" w:hAnsi="Arial"/>
                <w:sz w:val="14"/>
                <w:szCs w:val="14"/>
                <w:b w:val="1"/>
                <w:bCs w:val="1"/>
                <w:color w:val="auto"/>
              </w:rPr>
              <w:t>August 1, 2020</w:t>
            </w:r>
          </w:p>
        </w:tc>
        <w:tc>
          <w:tcPr>
            <w:tcW w:w="100" w:type="dxa"/>
            <w:vAlign w:val="bottom"/>
            <w:tcBorders>
              <w:bottom w:val="single" w:sz="8" w:color="CCEEFF"/>
            </w:tcBorders>
          </w:tcPr>
          <w:p>
            <w:pPr>
              <w:spacing w:after="0"/>
              <w:rPr>
                <w:sz w:val="17"/>
                <w:szCs w:val="17"/>
                <w:color w:val="auto"/>
              </w:rPr>
            </w:pPr>
          </w:p>
        </w:tc>
        <w:tc>
          <w:tcPr>
            <w:tcW w:w="1240" w:type="dxa"/>
            <w:vAlign w:val="bottom"/>
            <w:tcBorders>
              <w:bottom w:val="single" w:sz="8" w:color="auto"/>
            </w:tcBorders>
          </w:tcPr>
          <w:p>
            <w:pPr>
              <w:jc w:val="right"/>
              <w:ind w:right="79"/>
              <w:spacing w:after="0"/>
              <w:rPr>
                <w:sz w:val="20"/>
                <w:szCs w:val="20"/>
                <w:color w:val="auto"/>
              </w:rPr>
            </w:pPr>
            <w:r>
              <w:rPr>
                <w:rFonts w:ascii="Arial" w:cs="Arial" w:eastAsia="Arial" w:hAnsi="Arial"/>
                <w:sz w:val="14"/>
                <w:szCs w:val="14"/>
                <w:b w:val="1"/>
                <w:bCs w:val="1"/>
                <w:color w:val="auto"/>
              </w:rPr>
              <w:t>August 3, 2019</w:t>
            </w:r>
          </w:p>
        </w:tc>
        <w:tc>
          <w:tcPr>
            <w:tcW w:w="120" w:type="dxa"/>
            <w:vAlign w:val="bottom"/>
            <w:tcBorders>
              <w:bottom w:val="single" w:sz="8" w:color="CCEEFF"/>
            </w:tcBorders>
          </w:tcPr>
          <w:p>
            <w:pPr>
              <w:spacing w:after="0"/>
              <w:rPr>
                <w:sz w:val="17"/>
                <w:szCs w:val="17"/>
                <w:color w:val="auto"/>
              </w:rPr>
            </w:pPr>
          </w:p>
        </w:tc>
        <w:tc>
          <w:tcPr>
            <w:tcW w:w="10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 Change</w:t>
            </w:r>
          </w:p>
        </w:tc>
        <w:tc>
          <w:tcPr>
            <w:tcW w:w="100" w:type="dxa"/>
            <w:vAlign w:val="bottom"/>
            <w:tcBorders>
              <w:bottom w:val="single" w:sz="8" w:color="CCEEFF"/>
            </w:tcBorders>
          </w:tcPr>
          <w:p>
            <w:pPr>
              <w:spacing w:after="0"/>
              <w:rPr>
                <w:sz w:val="17"/>
                <w:szCs w:val="17"/>
                <w:color w:val="auto"/>
              </w:rPr>
            </w:pPr>
          </w:p>
        </w:tc>
        <w:tc>
          <w:tcPr>
            <w:tcW w:w="1000" w:type="dxa"/>
            <w:vAlign w:val="bottom"/>
            <w:tcBorders>
              <w:bottom w:val="single" w:sz="8" w:color="auto"/>
            </w:tcBorders>
          </w:tcPr>
          <w:p>
            <w:pPr>
              <w:jc w:val="right"/>
              <w:ind w:right="99"/>
              <w:spacing w:after="0"/>
              <w:rPr>
                <w:sz w:val="20"/>
                <w:szCs w:val="20"/>
                <w:color w:val="auto"/>
              </w:rPr>
            </w:pPr>
            <w:r>
              <w:rPr>
                <w:rFonts w:ascii="Arial" w:cs="Arial" w:eastAsia="Arial" w:hAnsi="Arial"/>
                <w:sz w:val="14"/>
                <w:szCs w:val="14"/>
                <w:b w:val="1"/>
                <w:bCs w:val="1"/>
                <w:color w:val="auto"/>
              </w:rPr>
              <w:t>% Change</w:t>
            </w:r>
          </w:p>
        </w:tc>
      </w:tr>
      <w:tr>
        <w:trPr>
          <w:trHeight w:val="250"/>
        </w:trPr>
        <w:tc>
          <w:tcPr>
            <w:tcW w:w="16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w w:val="95"/>
              </w:rPr>
              <w:t>Operating income   $</w:t>
            </w:r>
          </w:p>
        </w:tc>
        <w:tc>
          <w:tcPr>
            <w:tcW w:w="1060" w:type="dxa"/>
            <w:vAlign w:val="bottom"/>
            <w:tcBorders>
              <w:bottom w:val="single" w:sz="8" w:color="CCEEFF"/>
            </w:tcBorders>
            <w:shd w:val="clear" w:color="auto" w:fill="CCEEFF"/>
          </w:tcPr>
          <w:p>
            <w:pPr>
              <w:jc w:val="right"/>
              <w:ind w:right="156"/>
              <w:spacing w:after="0"/>
              <w:rPr>
                <w:sz w:val="20"/>
                <w:szCs w:val="20"/>
                <w:color w:val="auto"/>
              </w:rPr>
            </w:pPr>
            <w:r>
              <w:rPr>
                <w:rFonts w:ascii="Arial" w:cs="Arial" w:eastAsia="Arial" w:hAnsi="Arial"/>
                <w:sz w:val="18"/>
                <w:szCs w:val="18"/>
                <w:color w:val="auto"/>
              </w:rPr>
              <w:t>419,124</w:t>
            </w:r>
          </w:p>
        </w:tc>
        <w:tc>
          <w:tcPr>
            <w:tcW w:w="1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8"/>
                <w:szCs w:val="18"/>
                <w:color w:val="auto"/>
              </w:rPr>
              <w:t>$   446,726</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(27,602)</w:t>
            </w:r>
          </w:p>
        </w:tc>
        <w:tc>
          <w:tcPr>
            <w:tcW w:w="1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56"/>
              <w:spacing w:after="0"/>
              <w:rPr>
                <w:sz w:val="20"/>
                <w:szCs w:val="20"/>
                <w:color w:val="auto"/>
              </w:rPr>
            </w:pPr>
            <w:r>
              <w:rPr>
                <w:rFonts w:ascii="Arial" w:cs="Arial" w:eastAsia="Arial" w:hAnsi="Arial"/>
                <w:sz w:val="18"/>
                <w:szCs w:val="18"/>
                <w:color w:val="auto"/>
                <w:w w:val="97"/>
              </w:rPr>
              <w:t>$  1,036,572</w:t>
            </w:r>
          </w:p>
        </w:tc>
        <w:tc>
          <w:tcPr>
            <w:tcW w:w="1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8"/>
                <w:szCs w:val="18"/>
                <w:color w:val="auto"/>
                <w:w w:val="99"/>
              </w:rPr>
              <w:t>$  1,372,247</w:t>
            </w:r>
          </w:p>
        </w:tc>
        <w:tc>
          <w:tcPr>
            <w:tcW w:w="1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   (335,675)</w:t>
            </w:r>
          </w:p>
        </w:tc>
        <w:tc>
          <w:tcPr>
            <w:tcW w:w="1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w:t>
            </w:r>
          </w:p>
        </w:tc>
      </w:tr>
      <w:tr>
        <w:trPr>
          <w:trHeight w:val="229"/>
        </w:trPr>
        <w:tc>
          <w:tcPr>
            <w:tcW w:w="1640" w:type="dxa"/>
            <w:vAlign w:val="bottom"/>
            <w:gridSpan w:val="2"/>
          </w:tcPr>
          <w:p>
            <w:pPr>
              <w:ind w:left="20"/>
              <w:spacing w:after="0"/>
              <w:rPr>
                <w:sz w:val="20"/>
                <w:szCs w:val="20"/>
                <w:color w:val="auto"/>
              </w:rPr>
            </w:pPr>
            <w:r>
              <w:rPr>
                <w:rFonts w:ascii="Arial" w:cs="Arial" w:eastAsia="Arial" w:hAnsi="Arial"/>
                <w:sz w:val="18"/>
                <w:szCs w:val="18"/>
                <w:color w:val="auto"/>
              </w:rPr>
              <w:t>Operating income</w:t>
            </w: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tcPr>
          <w:p>
            <w:pPr>
              <w:spacing w:after="0"/>
              <w:rPr>
                <w:sz w:val="19"/>
                <w:szCs w:val="19"/>
                <w:color w:val="auto"/>
              </w:rPr>
            </w:pPr>
          </w:p>
        </w:tc>
      </w:tr>
      <w:tr>
        <w:trPr>
          <w:trHeight w:val="230"/>
        </w:trPr>
        <w:tc>
          <w:tcPr>
            <w:tcW w:w="1640" w:type="dxa"/>
            <w:vAlign w:val="bottom"/>
            <w:gridSpan w:val="2"/>
          </w:tcPr>
          <w:p>
            <w:pPr>
              <w:ind w:left="20"/>
              <w:spacing w:after="0"/>
              <w:rPr>
                <w:sz w:val="20"/>
                <w:szCs w:val="20"/>
                <w:color w:val="auto"/>
              </w:rPr>
            </w:pPr>
            <w:r>
              <w:rPr>
                <w:rFonts w:ascii="Arial" w:cs="Arial" w:eastAsia="Arial" w:hAnsi="Arial"/>
                <w:sz w:val="18"/>
                <w:szCs w:val="18"/>
                <w:color w:val="auto"/>
              </w:rPr>
              <w:t>as a % of revenue</w:t>
            </w:r>
          </w:p>
        </w:tc>
        <w:tc>
          <w:tcPr>
            <w:tcW w:w="1060" w:type="dxa"/>
            <w:vAlign w:val="bottom"/>
          </w:tcPr>
          <w:p>
            <w:pPr>
              <w:jc w:val="right"/>
              <w:spacing w:after="0"/>
              <w:rPr>
                <w:sz w:val="20"/>
                <w:szCs w:val="20"/>
                <w:color w:val="auto"/>
              </w:rPr>
            </w:pPr>
            <w:r>
              <w:rPr>
                <w:rFonts w:ascii="Arial" w:cs="Arial" w:eastAsia="Arial" w:hAnsi="Arial"/>
                <w:sz w:val="18"/>
                <w:szCs w:val="18"/>
                <w:color w:val="auto"/>
              </w:rPr>
              <w:t>28.8 %</w:t>
            </w:r>
          </w:p>
        </w:tc>
        <w:tc>
          <w:tcPr>
            <w:tcW w:w="10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30.2 %</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25.4 %</w:t>
            </w:r>
          </w:p>
        </w:tc>
        <w:tc>
          <w:tcPr>
            <w:tcW w:w="10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30.2 %</w:t>
            </w:r>
          </w:p>
        </w:tc>
        <w:tc>
          <w:tcPr>
            <w:tcW w:w="1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tcPr>
          <w:p>
            <w:pPr>
              <w:spacing w:after="0"/>
              <w:rPr>
                <w:sz w:val="20"/>
                <w:szCs w:val="20"/>
                <w:color w:val="auto"/>
              </w:rPr>
            </w:pPr>
          </w:p>
        </w:tc>
      </w:tr>
    </w:tbl>
    <w:p>
      <w:pPr>
        <w:spacing w:after="0" w:line="175" w:lineRule="exact"/>
        <w:rPr>
          <w:sz w:val="20"/>
          <w:szCs w:val="20"/>
          <w:color w:val="auto"/>
        </w:rPr>
      </w:pPr>
    </w:p>
    <w:p>
      <w:pPr>
        <w:ind w:right="40" w:firstLine="445"/>
        <w:spacing w:after="0" w:line="259" w:lineRule="auto"/>
        <w:rPr>
          <w:sz w:val="20"/>
          <w:szCs w:val="20"/>
          <w:color w:val="auto"/>
        </w:rPr>
      </w:pPr>
      <w:r>
        <w:rPr>
          <w:rFonts w:ascii="Arial" w:cs="Arial" w:eastAsia="Arial" w:hAnsi="Arial"/>
          <w:sz w:val="18"/>
          <w:szCs w:val="18"/>
          <w:color w:val="auto"/>
        </w:rPr>
        <w:t xml:space="preserve">The year-over-year decrease in operating income in the three-month period ended August 1, 2020 was primarily the result of a $30.9 million increase in special charges and a $25.2 million decrease in gross margin, partially offset by a $19.3 million decrease in R&amp;D expenses and a $9.1 million decrease in SMG&amp;A expenses, as described above under the headings </w:t>
      </w:r>
      <w:r>
        <w:rPr>
          <w:rFonts w:ascii="Arial" w:cs="Arial" w:eastAsia="Arial" w:hAnsi="Arial"/>
          <w:sz w:val="18"/>
          <w:szCs w:val="18"/>
          <w:i w:val="1"/>
          <w:iCs w:val="1"/>
          <w:color w:val="auto"/>
        </w:rPr>
        <w:t>Special Charges, Gross Margin, Research and Development (R&amp;D)</w:t>
      </w:r>
      <w:r>
        <w:rPr>
          <w:rFonts w:ascii="Arial" w:cs="Arial" w:eastAsia="Arial" w:hAnsi="Arial"/>
          <w:sz w:val="18"/>
          <w:szCs w:val="18"/>
          <w:color w:val="auto"/>
        </w:rPr>
        <w:t xml:space="preserve"> and </w:t>
      </w:r>
      <w:r>
        <w:rPr>
          <w:rFonts w:ascii="Arial" w:cs="Arial" w:eastAsia="Arial" w:hAnsi="Arial"/>
          <w:sz w:val="18"/>
          <w:szCs w:val="18"/>
          <w:i w:val="1"/>
          <w:iCs w:val="1"/>
          <w:color w:val="auto"/>
        </w:rPr>
        <w:t>Selling, Marketing,</w:t>
      </w:r>
      <w:r>
        <w:rPr>
          <w:rFonts w:ascii="Arial" w:cs="Arial" w:eastAsia="Arial" w:hAnsi="Arial"/>
          <w:sz w:val="18"/>
          <w:szCs w:val="18"/>
          <w:color w:val="auto"/>
        </w:rPr>
        <w:t xml:space="preserve"> </w:t>
      </w:r>
      <w:r>
        <w:rPr>
          <w:rFonts w:ascii="Arial" w:cs="Arial" w:eastAsia="Arial" w:hAnsi="Arial"/>
          <w:sz w:val="18"/>
          <w:szCs w:val="18"/>
          <w:i w:val="1"/>
          <w:iCs w:val="1"/>
          <w:color w:val="auto"/>
        </w:rPr>
        <w:t>General and Administrative (SMG&amp;A).</w:t>
      </w:r>
    </w:p>
    <w:p>
      <w:pPr>
        <w:spacing w:after="0" w:line="79" w:lineRule="exact"/>
        <w:rPr>
          <w:sz w:val="20"/>
          <w:szCs w:val="20"/>
          <w:color w:val="auto"/>
        </w:rPr>
      </w:pPr>
    </w:p>
    <w:p>
      <w:pPr>
        <w:ind w:right="120" w:firstLine="445"/>
        <w:spacing w:after="0" w:line="263" w:lineRule="auto"/>
        <w:rPr>
          <w:sz w:val="20"/>
          <w:szCs w:val="20"/>
          <w:color w:val="auto"/>
        </w:rPr>
      </w:pPr>
      <w:r>
        <w:rPr>
          <w:rFonts w:ascii="Arial" w:cs="Arial" w:eastAsia="Arial" w:hAnsi="Arial"/>
          <w:sz w:val="18"/>
          <w:szCs w:val="18"/>
          <w:color w:val="auto"/>
        </w:rPr>
        <w:t xml:space="preserve">The year-over-year decrease in operating income in the nine-month period ended August 1, 2020 was primarily the result of a $404.2 million decrease in gross margin and a $13.4 million increase in special charges, partially offset by a $83.1 million decrease in R&amp;D expenses, as described above under the headings </w:t>
      </w:r>
      <w:r>
        <w:rPr>
          <w:rFonts w:ascii="Arial" w:cs="Arial" w:eastAsia="Arial" w:hAnsi="Arial"/>
          <w:sz w:val="18"/>
          <w:szCs w:val="18"/>
          <w:i w:val="1"/>
          <w:iCs w:val="1"/>
          <w:color w:val="auto"/>
        </w:rPr>
        <w:t>Gross Margin, Special Charges</w:t>
      </w:r>
      <w:r>
        <w:rPr>
          <w:rFonts w:ascii="Arial" w:cs="Arial" w:eastAsia="Arial" w:hAnsi="Arial"/>
          <w:sz w:val="18"/>
          <w:szCs w:val="18"/>
          <w:color w:val="auto"/>
        </w:rPr>
        <w:t xml:space="preserve"> and </w:t>
      </w:r>
      <w:r>
        <w:rPr>
          <w:rFonts w:ascii="Arial" w:cs="Arial" w:eastAsia="Arial" w:hAnsi="Arial"/>
          <w:sz w:val="18"/>
          <w:szCs w:val="18"/>
          <w:i w:val="1"/>
          <w:iCs w:val="1"/>
          <w:color w:val="auto"/>
        </w:rPr>
        <w:t>Research and Development (R&amp;D).</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Nonoperating Expense (Income)</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28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gridSpan w:val="5"/>
          </w:tcPr>
          <w:p>
            <w:pPr>
              <w:ind w:left="40"/>
              <w:spacing w:after="0"/>
              <w:rPr>
                <w:sz w:val="20"/>
                <w:szCs w:val="20"/>
                <w:color w:val="auto"/>
              </w:rPr>
            </w:pPr>
            <w:r>
              <w:rPr>
                <w:rFonts w:ascii="Arial" w:cs="Arial" w:eastAsia="Arial" w:hAnsi="Arial"/>
                <w:sz w:val="14"/>
                <w:szCs w:val="14"/>
                <w:b w:val="1"/>
                <w:bCs w:val="1"/>
                <w:color w:val="auto"/>
              </w:rPr>
              <w:t>Three Months Ended</w:t>
            </w:r>
          </w:p>
        </w:tc>
        <w:tc>
          <w:tcPr>
            <w:tcW w:w="1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gridSpan w:val="4"/>
          </w:tcPr>
          <w:p>
            <w:pPr>
              <w:ind w:left="20"/>
              <w:spacing w:after="0"/>
              <w:rPr>
                <w:sz w:val="20"/>
                <w:szCs w:val="20"/>
                <w:color w:val="auto"/>
              </w:rPr>
            </w:pPr>
            <w:r>
              <w:rPr>
                <w:rFonts w:ascii="Arial" w:cs="Arial" w:eastAsia="Arial" w:hAnsi="Arial"/>
                <w:sz w:val="14"/>
                <w:szCs w:val="14"/>
                <w:b w:val="1"/>
                <w:bCs w:val="1"/>
                <w:color w:val="auto"/>
              </w:rPr>
              <w:t>Nine Months Ended</w:t>
            </w:r>
          </w:p>
        </w:tc>
        <w:tc>
          <w:tcPr>
            <w:tcW w:w="18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r>
      <w:tr>
        <w:trPr>
          <w:trHeight w:val="196"/>
        </w:trPr>
        <w:tc>
          <w:tcPr>
            <w:tcW w:w="328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59"/>
              <w:spacing w:after="0"/>
              <w:rPr>
                <w:sz w:val="20"/>
                <w:szCs w:val="20"/>
                <w:color w:val="auto"/>
              </w:rPr>
            </w:pPr>
            <w:r>
              <w:rPr>
                <w:rFonts w:ascii="Arial" w:cs="Arial" w:eastAsia="Arial" w:hAnsi="Arial"/>
                <w:sz w:val="14"/>
                <w:szCs w:val="14"/>
                <w:b w:val="1"/>
                <w:bCs w:val="1"/>
                <w:color w:val="auto"/>
                <w:w w:val="95"/>
              </w:rPr>
              <w:t>August 1, 2020</w:t>
            </w:r>
          </w:p>
        </w:tc>
        <w:tc>
          <w:tcPr>
            <w:tcW w:w="6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119"/>
              <w:spacing w:after="0"/>
              <w:rPr>
                <w:sz w:val="20"/>
                <w:szCs w:val="20"/>
                <w:color w:val="auto"/>
              </w:rPr>
            </w:pPr>
            <w:r>
              <w:rPr>
                <w:rFonts w:ascii="Arial" w:cs="Arial" w:eastAsia="Arial" w:hAnsi="Arial"/>
                <w:sz w:val="14"/>
                <w:szCs w:val="14"/>
                <w:b w:val="1"/>
                <w:bCs w:val="1"/>
                <w:color w:val="auto"/>
                <w:w w:val="95"/>
              </w:rPr>
              <w:t>August 3, 2019</w:t>
            </w:r>
          </w:p>
        </w:tc>
        <w:tc>
          <w:tcPr>
            <w:tcW w:w="12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139"/>
              <w:spacing w:after="0"/>
              <w:rPr>
                <w:sz w:val="20"/>
                <w:szCs w:val="20"/>
                <w:color w:val="auto"/>
              </w:rPr>
            </w:pPr>
            <w:r>
              <w:rPr>
                <w:rFonts w:ascii="Arial" w:cs="Arial" w:eastAsia="Arial" w:hAnsi="Arial"/>
                <w:sz w:val="14"/>
                <w:szCs w:val="14"/>
                <w:b w:val="1"/>
                <w:bCs w:val="1"/>
                <w:color w:val="auto"/>
              </w:rPr>
              <w:t>$ Change</w:t>
            </w:r>
          </w:p>
        </w:tc>
        <w:tc>
          <w:tcPr>
            <w:tcW w:w="12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139"/>
              <w:spacing w:after="0"/>
              <w:rPr>
                <w:sz w:val="20"/>
                <w:szCs w:val="20"/>
                <w:color w:val="auto"/>
              </w:rPr>
            </w:pPr>
            <w:r>
              <w:rPr>
                <w:rFonts w:ascii="Arial" w:cs="Arial" w:eastAsia="Arial" w:hAnsi="Arial"/>
                <w:sz w:val="14"/>
                <w:szCs w:val="14"/>
                <w:b w:val="1"/>
                <w:bCs w:val="1"/>
                <w:color w:val="auto"/>
                <w:w w:val="95"/>
              </w:rPr>
              <w:t>August 1, 2020</w:t>
            </w:r>
          </w:p>
        </w:tc>
        <w:tc>
          <w:tcPr>
            <w:tcW w:w="10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139"/>
              <w:spacing w:after="0"/>
              <w:rPr>
                <w:sz w:val="20"/>
                <w:szCs w:val="20"/>
                <w:color w:val="auto"/>
              </w:rPr>
            </w:pPr>
            <w:r>
              <w:rPr>
                <w:rFonts w:ascii="Arial" w:cs="Arial" w:eastAsia="Arial" w:hAnsi="Arial"/>
                <w:sz w:val="14"/>
                <w:szCs w:val="14"/>
                <w:b w:val="1"/>
                <w:bCs w:val="1"/>
                <w:color w:val="auto"/>
                <w:w w:val="95"/>
              </w:rPr>
              <w:t>August 3, 2019</w:t>
            </w:r>
          </w:p>
        </w:tc>
        <w:tc>
          <w:tcPr>
            <w:tcW w:w="10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159"/>
              <w:spacing w:after="0"/>
              <w:rPr>
                <w:sz w:val="20"/>
                <w:szCs w:val="20"/>
                <w:color w:val="auto"/>
              </w:rPr>
            </w:pPr>
            <w:r>
              <w:rPr>
                <w:rFonts w:ascii="Arial" w:cs="Arial" w:eastAsia="Arial" w:hAnsi="Arial"/>
                <w:sz w:val="14"/>
                <w:szCs w:val="14"/>
                <w:b w:val="1"/>
                <w:bCs w:val="1"/>
                <w:color w:val="auto"/>
                <w:w w:val="98"/>
              </w:rPr>
              <w:t>$ Change</w:t>
            </w:r>
          </w:p>
        </w:tc>
      </w:tr>
      <w:tr>
        <w:trPr>
          <w:trHeight w:val="243"/>
        </w:trPr>
        <w:tc>
          <w:tcPr>
            <w:tcW w:w="3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nonoperating expense (income)</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46,095</w:t>
            </w:r>
          </w:p>
        </w:tc>
        <w:tc>
          <w:tcPr>
            <w:tcW w:w="3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57,168</w:t>
            </w: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(11,073)</w:t>
            </w: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right"/>
              <w:ind w:right="19"/>
              <w:spacing w:after="0"/>
              <w:rPr>
                <w:sz w:val="20"/>
                <w:szCs w:val="20"/>
                <w:color w:val="auto"/>
              </w:rPr>
            </w:pPr>
            <w:r>
              <w:rPr>
                <w:rFonts w:ascii="Arial" w:cs="Arial" w:eastAsia="Arial" w:hAnsi="Arial"/>
                <w:sz w:val="18"/>
                <w:szCs w:val="18"/>
                <w:color w:val="auto"/>
              </w:rPr>
              <w:t>142,265</w:t>
            </w:r>
          </w:p>
        </w:tc>
        <w:tc>
          <w:tcPr>
            <w:tcW w:w="2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174,346</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(32,081)</w:t>
            </w:r>
          </w:p>
        </w:tc>
      </w:tr>
      <w:tr>
        <w:trPr>
          <w:trHeight w:val="27"/>
        </w:trPr>
        <w:tc>
          <w:tcPr>
            <w:tcW w:w="328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100" w:type="dxa"/>
            <w:vAlign w:val="bottom"/>
            <w:shd w:val="clear" w:color="auto" w:fill="CCEEFF"/>
          </w:tcPr>
          <w:p>
            <w:pPr>
              <w:spacing w:after="0"/>
              <w:rPr>
                <w:sz w:val="2"/>
                <w:szCs w:val="2"/>
                <w:color w:val="auto"/>
              </w:rPr>
            </w:pPr>
          </w:p>
        </w:tc>
        <w:tc>
          <w:tcPr>
            <w:tcW w:w="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1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8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1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1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880" w:type="dxa"/>
            <w:vAlign w:val="bottom"/>
            <w:shd w:val="clear" w:color="auto" w:fill="CCEEFF"/>
          </w:tcPr>
          <w:p>
            <w:pPr>
              <w:spacing w:after="0"/>
              <w:rPr>
                <w:sz w:val="2"/>
                <w:szCs w:val="2"/>
                <w:color w:val="auto"/>
              </w:rPr>
            </w:pPr>
          </w:p>
        </w:tc>
      </w:tr>
    </w:tbl>
    <w:p>
      <w:pPr>
        <w:spacing w:after="0" w:line="94" w:lineRule="exact"/>
        <w:rPr>
          <w:sz w:val="20"/>
          <w:szCs w:val="20"/>
          <w:color w:val="auto"/>
        </w:rPr>
      </w:pPr>
    </w:p>
    <w:p>
      <w:pPr>
        <w:ind w:right="620" w:firstLine="405"/>
        <w:spacing w:after="0" w:line="277" w:lineRule="auto"/>
        <w:rPr>
          <w:sz w:val="20"/>
          <w:szCs w:val="20"/>
          <w:color w:val="auto"/>
        </w:rPr>
      </w:pPr>
      <w:r>
        <w:rPr>
          <w:rFonts w:ascii="Arial" w:cs="Arial" w:eastAsia="Arial" w:hAnsi="Arial"/>
          <w:sz w:val="18"/>
          <w:szCs w:val="18"/>
          <w:color w:val="auto"/>
        </w:rPr>
        <w:t>The year-over-year decrease in nonoperating expense in the three- and nine-month periods ended August 1, 2020 was primarily the result of a decrease in interest expense.</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Provision for Income Taxes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0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760" w:type="dxa"/>
            <w:vAlign w:val="bottom"/>
            <w:tcBorders>
              <w:bottom w:val="single" w:sz="8" w:color="auto"/>
            </w:tcBorders>
            <w:gridSpan w:val="6"/>
          </w:tcPr>
          <w:p>
            <w:pPr>
              <w:jc w:val="right"/>
              <w:ind w:right="420"/>
              <w:spacing w:after="0"/>
              <w:rPr>
                <w:sz w:val="20"/>
                <w:szCs w:val="20"/>
                <w:color w:val="auto"/>
              </w:rPr>
            </w:pPr>
            <w:r>
              <w:rPr>
                <w:rFonts w:ascii="Arial" w:cs="Arial" w:eastAsia="Arial" w:hAnsi="Arial"/>
                <w:sz w:val="14"/>
                <w:szCs w:val="14"/>
                <w:b w:val="1"/>
                <w:bCs w:val="1"/>
                <w:color w:val="auto"/>
                <w:w w:val="95"/>
              </w:rPr>
              <w:t>Three Months Ended</w:t>
            </w:r>
          </w:p>
        </w:tc>
        <w:tc>
          <w:tcPr>
            <w:tcW w:w="9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740" w:type="dxa"/>
            <w:vAlign w:val="bottom"/>
            <w:tcBorders>
              <w:bottom w:val="single" w:sz="8" w:color="auto"/>
            </w:tcBorders>
            <w:gridSpan w:val="6"/>
          </w:tcPr>
          <w:p>
            <w:pPr>
              <w:jc w:val="right"/>
              <w:ind w:right="440"/>
              <w:spacing w:after="0"/>
              <w:rPr>
                <w:sz w:val="20"/>
                <w:szCs w:val="20"/>
                <w:color w:val="auto"/>
              </w:rPr>
            </w:pPr>
            <w:r>
              <w:rPr>
                <w:rFonts w:ascii="Arial" w:cs="Arial" w:eastAsia="Arial" w:hAnsi="Arial"/>
                <w:sz w:val="14"/>
                <w:szCs w:val="14"/>
                <w:b w:val="1"/>
                <w:bCs w:val="1"/>
                <w:color w:val="auto"/>
                <w:w w:val="97"/>
              </w:rPr>
              <w:t>Nine Months Ended</w:t>
            </w:r>
          </w:p>
        </w:tc>
        <w:tc>
          <w:tcPr>
            <w:tcW w:w="960" w:type="dxa"/>
            <w:vAlign w:val="bottom"/>
            <w:tcBorders>
              <w:bottom w:val="single" w:sz="8" w:color="auto"/>
            </w:tcBorders>
          </w:tcPr>
          <w:p>
            <w:pPr>
              <w:spacing w:after="0"/>
              <w:rPr>
                <w:sz w:val="16"/>
                <w:szCs w:val="16"/>
                <w:color w:val="auto"/>
              </w:rPr>
            </w:pPr>
          </w:p>
        </w:tc>
      </w:tr>
      <w:tr>
        <w:trPr>
          <w:trHeight w:val="196"/>
        </w:trPr>
        <w:tc>
          <w:tcPr>
            <w:tcW w:w="302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5"/>
              </w:rPr>
              <w:t>August 1, 2020</w:t>
            </w:r>
          </w:p>
        </w:tc>
        <w:tc>
          <w:tcPr>
            <w:tcW w:w="20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7"/>
              </w:rPr>
              <w:t>August 3, 2019</w:t>
            </w:r>
          </w:p>
        </w:tc>
        <w:tc>
          <w:tcPr>
            <w:tcW w:w="20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199"/>
              <w:spacing w:after="0"/>
              <w:rPr>
                <w:sz w:val="20"/>
                <w:szCs w:val="20"/>
                <w:color w:val="auto"/>
              </w:rPr>
            </w:pPr>
            <w:r>
              <w:rPr>
                <w:rFonts w:ascii="Arial" w:cs="Arial" w:eastAsia="Arial" w:hAnsi="Arial"/>
                <w:sz w:val="14"/>
                <w:szCs w:val="14"/>
                <w:b w:val="1"/>
                <w:bCs w:val="1"/>
                <w:color w:val="auto"/>
              </w:rPr>
              <w:t>$ Change</w:t>
            </w:r>
          </w:p>
        </w:tc>
        <w:tc>
          <w:tcPr>
            <w:tcW w:w="10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5"/>
              </w:rPr>
              <w:t>August 1, 2020</w:t>
            </w:r>
          </w:p>
        </w:tc>
        <w:tc>
          <w:tcPr>
            <w:tcW w:w="20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5"/>
              </w:rPr>
              <w:t>August 3, 2019</w:t>
            </w:r>
          </w:p>
        </w:tc>
        <w:tc>
          <w:tcPr>
            <w:tcW w:w="20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219"/>
              <w:spacing w:after="0"/>
              <w:rPr>
                <w:sz w:val="20"/>
                <w:szCs w:val="20"/>
                <w:color w:val="auto"/>
              </w:rPr>
            </w:pPr>
            <w:r>
              <w:rPr>
                <w:rFonts w:ascii="Arial" w:cs="Arial" w:eastAsia="Arial" w:hAnsi="Arial"/>
                <w:sz w:val="14"/>
                <w:szCs w:val="14"/>
                <w:b w:val="1"/>
                <w:bCs w:val="1"/>
                <w:color w:val="auto"/>
              </w:rPr>
              <w:t>$ Change</w:t>
            </w:r>
          </w:p>
        </w:tc>
      </w:tr>
      <w:tr>
        <w:trPr>
          <w:trHeight w:val="250"/>
        </w:trPr>
        <w:tc>
          <w:tcPr>
            <w:tcW w:w="3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Provision for income taxes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10,364</w:t>
            </w:r>
          </w:p>
        </w:tc>
        <w:tc>
          <w:tcPr>
            <w:tcW w:w="2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27,184</w:t>
            </w:r>
          </w:p>
        </w:tc>
        <w:tc>
          <w:tcPr>
            <w:tcW w:w="50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(16,820)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60,072</w:t>
            </w:r>
          </w:p>
        </w:tc>
        <w:tc>
          <w:tcPr>
            <w:tcW w:w="2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112,584</w:t>
            </w:r>
          </w:p>
        </w:tc>
        <w:tc>
          <w:tcPr>
            <w:tcW w:w="50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(52,512)</w:t>
            </w:r>
          </w:p>
        </w:tc>
      </w:tr>
      <w:tr>
        <w:trPr>
          <w:trHeight w:val="243"/>
        </w:trPr>
        <w:tc>
          <w:tcPr>
            <w:tcW w:w="3020" w:type="dxa"/>
            <w:vAlign w:val="bottom"/>
          </w:tcPr>
          <w:p>
            <w:pPr>
              <w:ind w:left="20"/>
              <w:spacing w:after="0"/>
              <w:rPr>
                <w:sz w:val="20"/>
                <w:szCs w:val="20"/>
                <w:color w:val="auto"/>
              </w:rPr>
            </w:pPr>
            <w:r>
              <w:rPr>
                <w:rFonts w:ascii="Arial" w:cs="Arial" w:eastAsia="Arial" w:hAnsi="Arial"/>
                <w:sz w:val="18"/>
                <w:szCs w:val="18"/>
                <w:color w:val="auto"/>
              </w:rPr>
              <w:t>Effective income tax rate</w:t>
            </w:r>
          </w:p>
        </w:tc>
        <w:tc>
          <w:tcPr>
            <w:tcW w:w="1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2.8</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7.0</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6.7</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9.4</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60" w:type="dxa"/>
            <w:vAlign w:val="bottom"/>
          </w:tcPr>
          <w:p>
            <w:pPr>
              <w:spacing w:after="0"/>
              <w:rPr>
                <w:sz w:val="21"/>
                <w:szCs w:val="21"/>
                <w:color w:val="auto"/>
              </w:rPr>
            </w:pPr>
          </w:p>
        </w:tc>
      </w:tr>
    </w:tbl>
    <w:p>
      <w:pPr>
        <w:spacing w:after="0" w:line="121" w:lineRule="exact"/>
        <w:rPr>
          <w:sz w:val="20"/>
          <w:szCs w:val="20"/>
          <w:color w:val="auto"/>
        </w:rPr>
      </w:pPr>
    </w:p>
    <w:p>
      <w:pPr>
        <w:ind w:left="460"/>
        <w:spacing w:after="0"/>
        <w:rPr>
          <w:sz w:val="20"/>
          <w:szCs w:val="20"/>
          <w:color w:val="auto"/>
        </w:rPr>
      </w:pPr>
      <w:r>
        <w:rPr>
          <w:rFonts w:ascii="Arial" w:cs="Arial" w:eastAsia="Arial" w:hAnsi="Arial"/>
          <w:sz w:val="17"/>
          <w:szCs w:val="17"/>
          <w:color w:val="auto"/>
        </w:rPr>
        <w:t>Our effective tax rate reflects the applicable tax rate in effect in the various tax jurisdictions around the world where our income is earned.</w:t>
      </w:r>
    </w:p>
    <w:p>
      <w:pPr>
        <w:spacing w:after="0" w:line="129" w:lineRule="exact"/>
        <w:rPr>
          <w:sz w:val="20"/>
          <w:szCs w:val="20"/>
          <w:color w:val="auto"/>
        </w:rPr>
      </w:pPr>
    </w:p>
    <w:p>
      <w:pPr>
        <w:jc w:val="both"/>
        <w:ind w:right="40" w:firstLine="445"/>
        <w:spacing w:after="0" w:line="277" w:lineRule="auto"/>
        <w:rPr>
          <w:sz w:val="20"/>
          <w:szCs w:val="20"/>
          <w:color w:val="auto"/>
        </w:rPr>
      </w:pPr>
      <w:r>
        <w:rPr>
          <w:rFonts w:ascii="Arial" w:cs="Arial" w:eastAsia="Arial" w:hAnsi="Arial"/>
          <w:sz w:val="18"/>
          <w:szCs w:val="18"/>
          <w:color w:val="auto"/>
        </w:rPr>
        <w:t>The effective tax rates for the three- and nine-month periods ended August 1, 2020 and August 3, 2019 were below the U.S. statutory tax rate of 21% due to lower statutory tax rates applicable to our operations in the foreign jurisdictions in which we earn income.</w:t>
      </w:r>
    </w:p>
    <w:p>
      <w:pPr>
        <w:spacing w:after="0" w:line="62" w:lineRule="exact"/>
        <w:rPr>
          <w:sz w:val="20"/>
          <w:szCs w:val="20"/>
          <w:color w:val="auto"/>
        </w:rPr>
      </w:pPr>
    </w:p>
    <w:p>
      <w:pPr>
        <w:ind w:firstLine="445"/>
        <w:spacing w:after="0" w:line="272" w:lineRule="auto"/>
        <w:rPr>
          <w:sz w:val="20"/>
          <w:szCs w:val="20"/>
          <w:color w:val="auto"/>
        </w:rPr>
      </w:pPr>
      <w:r>
        <w:rPr>
          <w:rFonts w:ascii="Arial" w:cs="Arial" w:eastAsia="Arial" w:hAnsi="Arial"/>
          <w:sz w:val="17"/>
          <w:szCs w:val="17"/>
          <w:color w:val="auto"/>
        </w:rPr>
        <w:t>The tax rates for the three and nine-month periods ended August 1, 2020 were also impacted by discrete income tax benefits of $33.7 million recorded in the third quarter of fiscal 2020, comprised primarily of $25.9 million of income tax benefits resulting from the resolution of the Internal Revenue Service (IRS) audit of Linear’s pre-acquisition federal income tax returns for fiscal 2015 through fiscal 2017 and other income tax benefits recorded upon filing of our federal income tax return for fiscal 2019. Additionally, the tax rate for the nine-month period ended August 3, 2019 included the effects of recording deferred tax benefits relating to a one-time set up of our global intangible low tax income (GILTI) deferred method election of $5.1 million along with the completion of our accounting for the income tax effects of the Tax Cuts and Jobs Act of 2017, in accordance with the U.S. Securities and Exchange Commission Staff Accounting Bulletin No. 118 for the transition tax which yielded a $7.5 million tax benefit.</w:t>
      </w:r>
    </w:p>
    <w:p>
      <w:pPr>
        <w:spacing w:after="0" w:line="200" w:lineRule="exact"/>
        <w:rPr>
          <w:sz w:val="20"/>
          <w:szCs w:val="20"/>
          <w:color w:val="auto"/>
        </w:rPr>
      </w:pPr>
    </w:p>
    <w:p>
      <w:pPr>
        <w:spacing w:after="0" w:line="3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8" w:right="339" w:bottom="1440" w:gutter="0" w:footer="0" w:header="0"/>
        </w:sectPr>
      </w:pPr>
    </w:p>
    <w:bookmarkStart w:id="27" w:name="page28"/>
    <w:bookmarkEnd w:id="27"/>
    <w:p>
      <w:pPr>
        <w:ind w:right="100" w:firstLine="445"/>
        <w:spacing w:after="0" w:line="259" w:lineRule="auto"/>
        <w:rPr>
          <w:sz w:val="20"/>
          <w:szCs w:val="20"/>
          <w:color w:val="auto"/>
        </w:rPr>
      </w:pPr>
      <w:r>
        <w:rPr>
          <w:rFonts w:ascii="Arial" w:cs="Arial" w:eastAsia="Arial" w:hAnsi="Arial"/>
          <w:sz w:val="18"/>
          <w:szCs w:val="18"/>
          <w:color w:val="auto"/>
        </w:rPr>
        <w:t>Non-U.S. jurisdictions accounted for a significant portion of our total revenue and pre-tax income for the three- and nine-month periods ended August 1, 2020 and August 3, 2019. For the three- and nine-month periods ended August 1, 2020, this pretax income was primarily generated in Ireland at a tax rate of 12.5%. For the three- and nine-month periods ended August 3, 2019, this pretax income was primarily generated in Ireland and Singapore, at tax rates ranging from 12.5% to 17% in these jurisdictions.</w:t>
      </w:r>
    </w:p>
    <w:p>
      <w:pPr>
        <w:spacing w:after="0" w:line="79" w:lineRule="exact"/>
        <w:rPr>
          <w:sz w:val="20"/>
          <w:szCs w:val="20"/>
          <w:color w:val="auto"/>
        </w:rPr>
      </w:pPr>
    </w:p>
    <w:p>
      <w:pPr>
        <w:ind w:right="20" w:firstLine="445"/>
        <w:spacing w:after="0" w:line="277" w:lineRule="auto"/>
        <w:rPr>
          <w:sz w:val="20"/>
          <w:szCs w:val="20"/>
          <w:color w:val="auto"/>
        </w:rPr>
      </w:pPr>
      <w:r>
        <w:rPr>
          <w:rFonts w:ascii="Arial" w:cs="Arial" w:eastAsia="Arial" w:hAnsi="Arial"/>
          <w:sz w:val="18"/>
          <w:szCs w:val="18"/>
          <w:color w:val="auto"/>
        </w:rPr>
        <w:t xml:space="preserve">See Note 13, </w:t>
      </w:r>
      <w:r>
        <w:rPr>
          <w:rFonts w:ascii="Arial" w:cs="Arial" w:eastAsia="Arial" w:hAnsi="Arial"/>
          <w:sz w:val="18"/>
          <w:szCs w:val="18"/>
          <w:i w:val="1"/>
          <w:iCs w:val="1"/>
          <w:color w:val="auto"/>
        </w:rPr>
        <w:t>Income Taxes</w:t>
      </w:r>
      <w:r>
        <w:rPr>
          <w:rFonts w:ascii="Arial" w:cs="Arial" w:eastAsia="Arial" w:hAnsi="Arial"/>
          <w:sz w:val="18"/>
          <w:szCs w:val="18"/>
          <w:color w:val="auto"/>
        </w:rPr>
        <w:t>, in the Notes to Condensed Consolidated Financial Statements in Part I, Item 1 of this Quarterly Report on Form 10-Q for further discussion.</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Income</w:t>
      </w:r>
    </w:p>
    <w:p>
      <w:pPr>
        <w:spacing w:after="0" w:line="5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16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380" w:type="dxa"/>
            <w:vAlign w:val="bottom"/>
            <w:tcBorders>
              <w:bottom w:val="single" w:sz="8" w:color="auto"/>
            </w:tcBorders>
            <w:gridSpan w:val="5"/>
          </w:tcPr>
          <w:p>
            <w:pPr>
              <w:ind w:left="280"/>
              <w:spacing w:after="0"/>
              <w:rPr>
                <w:sz w:val="20"/>
                <w:szCs w:val="20"/>
                <w:color w:val="auto"/>
              </w:rPr>
            </w:pPr>
            <w:r>
              <w:rPr>
                <w:rFonts w:ascii="Arial" w:cs="Arial" w:eastAsia="Arial" w:hAnsi="Arial"/>
                <w:sz w:val="14"/>
                <w:szCs w:val="14"/>
                <w:b w:val="1"/>
                <w:bCs w:val="1"/>
                <w:color w:val="auto"/>
              </w:rPr>
              <w:t>Three Months Ended</w:t>
            </w:r>
          </w:p>
        </w:tc>
        <w:tc>
          <w:tcPr>
            <w:tcW w:w="90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1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660" w:type="dxa"/>
            <w:vAlign w:val="bottom"/>
            <w:tcBorders>
              <w:bottom w:val="single" w:sz="8" w:color="auto"/>
            </w:tcBorders>
            <w:gridSpan w:val="5"/>
          </w:tcPr>
          <w:p>
            <w:pPr>
              <w:ind w:left="520"/>
              <w:spacing w:after="0"/>
              <w:rPr>
                <w:sz w:val="20"/>
                <w:szCs w:val="20"/>
                <w:color w:val="auto"/>
              </w:rPr>
            </w:pPr>
            <w:r>
              <w:rPr>
                <w:rFonts w:ascii="Arial" w:cs="Arial" w:eastAsia="Arial" w:hAnsi="Arial"/>
                <w:sz w:val="14"/>
                <w:szCs w:val="14"/>
                <w:b w:val="1"/>
                <w:bCs w:val="1"/>
                <w:color w:val="auto"/>
              </w:rPr>
              <w:t>Nine Months Ended</w:t>
            </w:r>
          </w:p>
        </w:tc>
        <w:tc>
          <w:tcPr>
            <w:tcW w:w="900" w:type="dxa"/>
            <w:vAlign w:val="bottom"/>
            <w:tcBorders>
              <w:bottom w:val="single" w:sz="8" w:color="auto"/>
            </w:tcBorders>
          </w:tcPr>
          <w:p>
            <w:pPr>
              <w:spacing w:after="0"/>
              <w:rPr>
                <w:sz w:val="16"/>
                <w:szCs w:val="16"/>
                <w:color w:val="auto"/>
              </w:rPr>
            </w:pPr>
          </w:p>
        </w:tc>
      </w:tr>
      <w:tr>
        <w:trPr>
          <w:trHeight w:val="196"/>
        </w:trPr>
        <w:tc>
          <w:tcPr>
            <w:tcW w:w="160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55"/>
              <w:spacing w:after="0"/>
              <w:rPr>
                <w:sz w:val="20"/>
                <w:szCs w:val="20"/>
                <w:color w:val="auto"/>
              </w:rPr>
            </w:pPr>
            <w:r>
              <w:rPr>
                <w:rFonts w:ascii="Arial" w:cs="Arial" w:eastAsia="Arial" w:hAnsi="Arial"/>
                <w:sz w:val="14"/>
                <w:szCs w:val="14"/>
                <w:b w:val="1"/>
                <w:bCs w:val="1"/>
                <w:color w:val="auto"/>
                <w:w w:val="91"/>
              </w:rPr>
              <w:t>August 1, 2020</w:t>
            </w:r>
          </w:p>
        </w:tc>
        <w:tc>
          <w:tcPr>
            <w:tcW w:w="10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57"/>
              <w:spacing w:after="0"/>
              <w:rPr>
                <w:sz w:val="20"/>
                <w:szCs w:val="20"/>
                <w:color w:val="auto"/>
              </w:rPr>
            </w:pPr>
            <w:r>
              <w:rPr>
                <w:rFonts w:ascii="Arial" w:cs="Arial" w:eastAsia="Arial" w:hAnsi="Arial"/>
                <w:sz w:val="14"/>
                <w:szCs w:val="14"/>
                <w:b w:val="1"/>
                <w:bCs w:val="1"/>
                <w:color w:val="auto"/>
                <w:w w:val="91"/>
              </w:rPr>
              <w:t>August 3, 2019</w:t>
            </w:r>
          </w:p>
        </w:tc>
        <w:tc>
          <w:tcPr>
            <w:tcW w:w="10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199"/>
              <w:spacing w:after="0"/>
              <w:rPr>
                <w:sz w:val="20"/>
                <w:szCs w:val="20"/>
                <w:color w:val="auto"/>
              </w:rPr>
            </w:pPr>
            <w:r>
              <w:rPr>
                <w:rFonts w:ascii="Arial" w:cs="Arial" w:eastAsia="Arial" w:hAnsi="Arial"/>
                <w:sz w:val="14"/>
                <w:szCs w:val="14"/>
                <w:b w:val="1"/>
                <w:bCs w:val="1"/>
                <w:color w:val="auto"/>
                <w:w w:val="98"/>
              </w:rPr>
              <w:t>$ Change</w:t>
            </w:r>
          </w:p>
        </w:tc>
        <w:tc>
          <w:tcPr>
            <w:tcW w:w="100" w:type="dxa"/>
            <w:vAlign w:val="bottom"/>
            <w:tcBorders>
              <w:bottom w:val="single" w:sz="8" w:color="CCEEFF"/>
            </w:tcBorders>
          </w:tcPr>
          <w:p>
            <w:pPr>
              <w:spacing w:after="0"/>
              <w:rPr>
                <w:sz w:val="17"/>
                <w:szCs w:val="17"/>
                <w:color w:val="auto"/>
              </w:rPr>
            </w:pPr>
          </w:p>
        </w:tc>
        <w:tc>
          <w:tcPr>
            <w:tcW w:w="900" w:type="dxa"/>
            <w:vAlign w:val="bottom"/>
            <w:tcBorders>
              <w:bottom w:val="single" w:sz="8" w:color="auto"/>
            </w:tcBorders>
          </w:tcPr>
          <w:p>
            <w:pPr>
              <w:ind w:left="120"/>
              <w:spacing w:after="0"/>
              <w:rPr>
                <w:sz w:val="20"/>
                <w:szCs w:val="20"/>
                <w:color w:val="auto"/>
              </w:rPr>
            </w:pPr>
            <w:r>
              <w:rPr>
                <w:rFonts w:ascii="Arial" w:cs="Arial" w:eastAsia="Arial" w:hAnsi="Arial"/>
                <w:sz w:val="14"/>
                <w:szCs w:val="14"/>
                <w:b w:val="1"/>
                <w:bCs w:val="1"/>
                <w:color w:val="auto"/>
              </w:rPr>
              <w:t>% Change</w:t>
            </w:r>
          </w:p>
        </w:tc>
        <w:tc>
          <w:tcPr>
            <w:tcW w:w="120" w:type="dxa"/>
            <w:vAlign w:val="bottom"/>
            <w:tcBorders>
              <w:bottom w:val="single" w:sz="8" w:color="CCEEFF"/>
            </w:tcBorders>
          </w:tcPr>
          <w:p>
            <w:pPr>
              <w:spacing w:after="0"/>
              <w:rPr>
                <w:sz w:val="17"/>
                <w:szCs w:val="17"/>
                <w:color w:val="auto"/>
              </w:rPr>
            </w:pPr>
          </w:p>
        </w:tc>
        <w:tc>
          <w:tcPr>
            <w:tcW w:w="1180" w:type="dxa"/>
            <w:vAlign w:val="bottom"/>
            <w:tcBorders>
              <w:bottom w:val="single" w:sz="8" w:color="auto"/>
            </w:tcBorders>
          </w:tcPr>
          <w:p>
            <w:pPr>
              <w:jc w:val="right"/>
              <w:ind w:right="55"/>
              <w:spacing w:after="0"/>
              <w:rPr>
                <w:sz w:val="20"/>
                <w:szCs w:val="20"/>
                <w:color w:val="auto"/>
              </w:rPr>
            </w:pPr>
            <w:r>
              <w:rPr>
                <w:rFonts w:ascii="Arial" w:cs="Arial" w:eastAsia="Arial" w:hAnsi="Arial"/>
                <w:sz w:val="14"/>
                <w:szCs w:val="14"/>
                <w:b w:val="1"/>
                <w:bCs w:val="1"/>
                <w:color w:val="auto"/>
              </w:rPr>
              <w:t>August 1, 2020</w:t>
            </w:r>
          </w:p>
        </w:tc>
        <w:tc>
          <w:tcPr>
            <w:tcW w:w="100" w:type="dxa"/>
            <w:vAlign w:val="bottom"/>
            <w:tcBorders>
              <w:bottom w:val="single" w:sz="8" w:color="CCEEFF"/>
            </w:tcBorders>
          </w:tcPr>
          <w:p>
            <w:pPr>
              <w:spacing w:after="0"/>
              <w:rPr>
                <w:sz w:val="17"/>
                <w:szCs w:val="17"/>
                <w:color w:val="auto"/>
              </w:rPr>
            </w:pPr>
          </w:p>
        </w:tc>
        <w:tc>
          <w:tcPr>
            <w:tcW w:w="1240" w:type="dxa"/>
            <w:vAlign w:val="bottom"/>
            <w:tcBorders>
              <w:bottom w:val="single" w:sz="8" w:color="auto"/>
            </w:tcBorders>
          </w:tcPr>
          <w:p>
            <w:pPr>
              <w:jc w:val="right"/>
              <w:ind w:right="77"/>
              <w:spacing w:after="0"/>
              <w:rPr>
                <w:sz w:val="20"/>
                <w:szCs w:val="20"/>
                <w:color w:val="auto"/>
              </w:rPr>
            </w:pPr>
            <w:r>
              <w:rPr>
                <w:rFonts w:ascii="Arial" w:cs="Arial" w:eastAsia="Arial" w:hAnsi="Arial"/>
                <w:sz w:val="14"/>
                <w:szCs w:val="14"/>
                <w:b w:val="1"/>
                <w:bCs w:val="1"/>
                <w:color w:val="auto"/>
              </w:rPr>
              <w:t>August 3, 2019</w:t>
            </w:r>
          </w:p>
        </w:tc>
        <w:tc>
          <w:tcPr>
            <w:tcW w:w="10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219"/>
              <w:spacing w:after="0"/>
              <w:rPr>
                <w:sz w:val="20"/>
                <w:szCs w:val="20"/>
                <w:color w:val="auto"/>
              </w:rPr>
            </w:pPr>
            <w:r>
              <w:rPr>
                <w:rFonts w:ascii="Arial" w:cs="Arial" w:eastAsia="Arial" w:hAnsi="Arial"/>
                <w:sz w:val="14"/>
                <w:szCs w:val="14"/>
                <w:b w:val="1"/>
                <w:bCs w:val="1"/>
                <w:color w:val="auto"/>
              </w:rPr>
              <w:t>$ Change</w:t>
            </w:r>
          </w:p>
        </w:tc>
        <w:tc>
          <w:tcPr>
            <w:tcW w:w="140" w:type="dxa"/>
            <w:vAlign w:val="bottom"/>
            <w:tcBorders>
              <w:bottom w:val="single" w:sz="8" w:color="CCEEFF"/>
            </w:tcBorders>
          </w:tcPr>
          <w:p>
            <w:pPr>
              <w:spacing w:after="0"/>
              <w:rPr>
                <w:sz w:val="17"/>
                <w:szCs w:val="17"/>
                <w:color w:val="auto"/>
              </w:rPr>
            </w:pPr>
          </w:p>
        </w:tc>
        <w:tc>
          <w:tcPr>
            <w:tcW w:w="900" w:type="dxa"/>
            <w:vAlign w:val="bottom"/>
            <w:tcBorders>
              <w:bottom w:val="single" w:sz="8" w:color="auto"/>
            </w:tcBorders>
          </w:tcPr>
          <w:p>
            <w:pPr>
              <w:jc w:val="right"/>
              <w:ind w:right="39"/>
              <w:spacing w:after="0"/>
              <w:rPr>
                <w:sz w:val="20"/>
                <w:szCs w:val="20"/>
                <w:color w:val="auto"/>
              </w:rPr>
            </w:pPr>
            <w:r>
              <w:rPr>
                <w:rFonts w:ascii="Arial" w:cs="Arial" w:eastAsia="Arial" w:hAnsi="Arial"/>
                <w:sz w:val="14"/>
                <w:szCs w:val="14"/>
                <w:b w:val="1"/>
                <w:bCs w:val="1"/>
                <w:color w:val="auto"/>
              </w:rPr>
              <w:t>% Change</w:t>
            </w:r>
          </w:p>
        </w:tc>
      </w:tr>
      <w:tr>
        <w:trPr>
          <w:trHeight w:val="250"/>
        </w:trPr>
        <w:tc>
          <w:tcPr>
            <w:tcW w:w="1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Income</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CCEEFF"/>
            </w:tcBorders>
            <w:shd w:val="clear" w:color="auto" w:fill="CCEEFF"/>
          </w:tcPr>
          <w:p>
            <w:pPr>
              <w:jc w:val="right"/>
              <w:ind w:right="155"/>
              <w:spacing w:after="0"/>
              <w:rPr>
                <w:sz w:val="20"/>
                <w:szCs w:val="20"/>
                <w:color w:val="auto"/>
              </w:rPr>
            </w:pPr>
            <w:r>
              <w:rPr>
                <w:rFonts w:ascii="Arial" w:cs="Arial" w:eastAsia="Arial" w:hAnsi="Arial"/>
                <w:sz w:val="18"/>
                <w:szCs w:val="18"/>
                <w:color w:val="auto"/>
              </w:rPr>
              <w:t>362,665</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57"/>
              <w:spacing w:after="0"/>
              <w:rPr>
                <w:sz w:val="20"/>
                <w:szCs w:val="20"/>
                <w:color w:val="auto"/>
              </w:rPr>
            </w:pPr>
            <w:r>
              <w:rPr>
                <w:rFonts w:ascii="Arial" w:cs="Arial" w:eastAsia="Arial" w:hAnsi="Arial"/>
                <w:sz w:val="18"/>
                <w:szCs w:val="18"/>
                <w:color w:val="auto"/>
              </w:rPr>
              <w:t>362,374</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291</w:t>
            </w: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ind w:left="500"/>
              <w:spacing w:after="0"/>
              <w:rPr>
                <w:sz w:val="20"/>
                <w:szCs w:val="20"/>
                <w:color w:val="auto"/>
              </w:rPr>
            </w:pPr>
            <w:r>
              <w:rPr>
                <w:rFonts w:ascii="Arial" w:cs="Arial" w:eastAsia="Arial" w:hAnsi="Arial"/>
                <w:sz w:val="18"/>
                <w:szCs w:val="18"/>
                <w:color w:val="auto"/>
              </w:rPr>
              <w:t>— %</w:t>
            </w:r>
          </w:p>
        </w:tc>
        <w:tc>
          <w:tcPr>
            <w:tcW w:w="1180" w:type="dxa"/>
            <w:vAlign w:val="bottom"/>
            <w:tcBorders>
              <w:bottom w:val="single" w:sz="8" w:color="CCEEFF"/>
            </w:tcBorders>
            <w:shd w:val="clear" w:color="auto" w:fill="CCEEFF"/>
          </w:tcPr>
          <w:p>
            <w:pPr>
              <w:jc w:val="right"/>
              <w:ind w:right="155"/>
              <w:spacing w:after="0"/>
              <w:rPr>
                <w:sz w:val="20"/>
                <w:szCs w:val="20"/>
                <w:color w:val="auto"/>
              </w:rPr>
            </w:pPr>
            <w:r>
              <w:rPr>
                <w:rFonts w:ascii="Arial" w:cs="Arial" w:eastAsia="Arial" w:hAnsi="Arial"/>
                <w:sz w:val="18"/>
                <w:szCs w:val="18"/>
                <w:color w:val="auto"/>
              </w:rPr>
              <w:t>$   834,235</w:t>
            </w:r>
          </w:p>
        </w:tc>
        <w:tc>
          <w:tcPr>
            <w:tcW w:w="1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57"/>
              <w:spacing w:after="0"/>
              <w:rPr>
                <w:sz w:val="20"/>
                <w:szCs w:val="20"/>
                <w:color w:val="auto"/>
              </w:rPr>
            </w:pPr>
            <w:r>
              <w:rPr>
                <w:rFonts w:ascii="Arial" w:cs="Arial" w:eastAsia="Arial" w:hAnsi="Arial"/>
                <w:sz w:val="18"/>
                <w:szCs w:val="18"/>
                <w:color w:val="auto"/>
                <w:w w:val="97"/>
              </w:rPr>
              <w:t>$  1,085,317</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(251,082)</w:t>
            </w:r>
          </w:p>
        </w:tc>
        <w:tc>
          <w:tcPr>
            <w:tcW w:w="1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(23 %)</w:t>
            </w:r>
          </w:p>
        </w:tc>
      </w:tr>
      <w:tr>
        <w:trPr>
          <w:trHeight w:val="229"/>
        </w:trPr>
        <w:tc>
          <w:tcPr>
            <w:tcW w:w="1600" w:type="dxa"/>
            <w:vAlign w:val="bottom"/>
          </w:tcPr>
          <w:p>
            <w:pPr>
              <w:ind w:left="20"/>
              <w:spacing w:after="0"/>
              <w:rPr>
                <w:sz w:val="20"/>
                <w:szCs w:val="20"/>
                <w:color w:val="auto"/>
              </w:rPr>
            </w:pPr>
            <w:r>
              <w:rPr>
                <w:rFonts w:ascii="Arial" w:cs="Arial" w:eastAsia="Arial" w:hAnsi="Arial"/>
                <w:sz w:val="18"/>
                <w:szCs w:val="18"/>
                <w:color w:val="auto"/>
                <w:w w:val="90"/>
              </w:rPr>
              <w:t>Net Income as a % of</w:t>
            </w:r>
          </w:p>
        </w:tc>
        <w:tc>
          <w:tcPr>
            <w:tcW w:w="1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spacing w:after="0"/>
              <w:rPr>
                <w:sz w:val="19"/>
                <w:szCs w:val="19"/>
                <w:color w:val="auto"/>
              </w:rPr>
            </w:pPr>
          </w:p>
        </w:tc>
      </w:tr>
      <w:tr>
        <w:trPr>
          <w:trHeight w:val="230"/>
        </w:trPr>
        <w:tc>
          <w:tcPr>
            <w:tcW w:w="1600" w:type="dxa"/>
            <w:vAlign w:val="bottom"/>
          </w:tcPr>
          <w:p>
            <w:pPr>
              <w:ind w:left="20"/>
              <w:spacing w:after="0"/>
              <w:rPr>
                <w:sz w:val="20"/>
                <w:szCs w:val="20"/>
                <w:color w:val="auto"/>
              </w:rPr>
            </w:pPr>
            <w:r>
              <w:rPr>
                <w:rFonts w:ascii="Arial" w:cs="Arial" w:eastAsia="Arial" w:hAnsi="Arial"/>
                <w:sz w:val="18"/>
                <w:szCs w:val="18"/>
                <w:color w:val="auto"/>
              </w:rPr>
              <w:t>revenue</w:t>
            </w:r>
          </w:p>
        </w:tc>
        <w:tc>
          <w:tcPr>
            <w:tcW w:w="12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24.9 %</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24.5 %</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20.5 %</w:t>
            </w:r>
          </w:p>
        </w:tc>
        <w:tc>
          <w:tcPr>
            <w:tcW w:w="10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23.9 %</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00" w:type="dxa"/>
            <w:vAlign w:val="bottom"/>
          </w:tcPr>
          <w:p>
            <w:pPr>
              <w:spacing w:after="0"/>
              <w:rPr>
                <w:sz w:val="20"/>
                <w:szCs w:val="20"/>
                <w:color w:val="auto"/>
              </w:rPr>
            </w:pPr>
          </w:p>
        </w:tc>
      </w:tr>
      <w:tr>
        <w:trPr>
          <w:trHeight w:val="27"/>
        </w:trPr>
        <w:tc>
          <w:tcPr>
            <w:tcW w:w="1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43"/>
        </w:trPr>
        <w:tc>
          <w:tcPr>
            <w:tcW w:w="1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Diluted EPS</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ind w:right="155"/>
              <w:spacing w:after="0"/>
              <w:rPr>
                <w:sz w:val="20"/>
                <w:szCs w:val="20"/>
                <w:color w:val="auto"/>
              </w:rPr>
            </w:pPr>
            <w:r>
              <w:rPr>
                <w:rFonts w:ascii="Arial" w:cs="Arial" w:eastAsia="Arial" w:hAnsi="Arial"/>
                <w:sz w:val="18"/>
                <w:szCs w:val="18"/>
                <w:color w:val="auto"/>
              </w:rPr>
              <w:t>0.97</w:t>
            </w: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ind w:right="157"/>
              <w:spacing w:after="0"/>
              <w:rPr>
                <w:sz w:val="20"/>
                <w:szCs w:val="20"/>
                <w:color w:val="auto"/>
              </w:rPr>
            </w:pPr>
            <w:r>
              <w:rPr>
                <w:rFonts w:ascii="Arial" w:cs="Arial" w:eastAsia="Arial" w:hAnsi="Arial"/>
                <w:sz w:val="18"/>
                <w:szCs w:val="18"/>
                <w:color w:val="auto"/>
              </w:rPr>
              <w:t>0.97</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9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9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180" w:type="dxa"/>
            <w:vAlign w:val="bottom"/>
            <w:shd w:val="clear" w:color="auto" w:fill="CCEEFF"/>
          </w:tcPr>
          <w:p>
            <w:pPr>
              <w:jc w:val="right"/>
              <w:ind w:right="155"/>
              <w:spacing w:after="0"/>
              <w:rPr>
                <w:sz w:val="20"/>
                <w:szCs w:val="20"/>
                <w:color w:val="auto"/>
              </w:rPr>
            </w:pPr>
            <w:r>
              <w:rPr>
                <w:rFonts w:ascii="Arial" w:cs="Arial" w:eastAsia="Arial" w:hAnsi="Arial"/>
                <w:sz w:val="18"/>
                <w:szCs w:val="18"/>
                <w:color w:val="auto"/>
              </w:rPr>
              <w:t>$2.24</w:t>
            </w:r>
          </w:p>
        </w:tc>
        <w:tc>
          <w:tcPr>
            <w:tcW w:w="100" w:type="dxa"/>
            <w:vAlign w:val="bottom"/>
            <w:shd w:val="clear" w:color="auto" w:fill="CCEEFF"/>
          </w:tcPr>
          <w:p>
            <w:pPr>
              <w:spacing w:after="0"/>
              <w:rPr>
                <w:sz w:val="21"/>
                <w:szCs w:val="21"/>
                <w:color w:val="auto"/>
              </w:rPr>
            </w:pPr>
          </w:p>
        </w:tc>
        <w:tc>
          <w:tcPr>
            <w:tcW w:w="1240" w:type="dxa"/>
            <w:vAlign w:val="bottom"/>
            <w:shd w:val="clear" w:color="auto" w:fill="CCEEFF"/>
          </w:tcPr>
          <w:p>
            <w:pPr>
              <w:jc w:val="right"/>
              <w:ind w:right="157"/>
              <w:spacing w:after="0"/>
              <w:rPr>
                <w:sz w:val="20"/>
                <w:szCs w:val="20"/>
                <w:color w:val="auto"/>
              </w:rPr>
            </w:pPr>
            <w:r>
              <w:rPr>
                <w:rFonts w:ascii="Arial" w:cs="Arial" w:eastAsia="Arial" w:hAnsi="Arial"/>
                <w:sz w:val="18"/>
                <w:szCs w:val="18"/>
                <w:color w:val="auto"/>
              </w:rPr>
              <w:t>$2.90</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9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900" w:type="dxa"/>
            <w:vAlign w:val="bottom"/>
            <w:shd w:val="clear" w:color="auto" w:fill="CCEEFF"/>
          </w:tcPr>
          <w:p>
            <w:pPr>
              <w:spacing w:after="0"/>
              <w:rPr>
                <w:sz w:val="21"/>
                <w:szCs w:val="21"/>
                <w:color w:val="auto"/>
              </w:rPr>
            </w:pPr>
          </w:p>
        </w:tc>
      </w:tr>
      <w:tr>
        <w:trPr>
          <w:trHeight w:val="27"/>
        </w:trPr>
        <w:tc>
          <w:tcPr>
            <w:tcW w:w="16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0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0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9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9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1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98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900" w:type="dxa"/>
            <w:vAlign w:val="bottom"/>
            <w:shd w:val="clear" w:color="auto" w:fill="CCEEFF"/>
          </w:tcPr>
          <w:p>
            <w:pPr>
              <w:spacing w:after="0"/>
              <w:rPr>
                <w:sz w:val="2"/>
                <w:szCs w:val="2"/>
                <w:color w:val="auto"/>
              </w:rPr>
            </w:pPr>
          </w:p>
        </w:tc>
      </w:tr>
    </w:tbl>
    <w:p>
      <w:pPr>
        <w:spacing w:after="0" w:line="148" w:lineRule="exact"/>
        <w:rPr>
          <w:sz w:val="20"/>
          <w:szCs w:val="20"/>
          <w:color w:val="auto"/>
        </w:rPr>
      </w:pPr>
    </w:p>
    <w:p>
      <w:pPr>
        <w:ind w:right="120" w:firstLine="445"/>
        <w:spacing w:after="0" w:line="263" w:lineRule="auto"/>
        <w:rPr>
          <w:sz w:val="20"/>
          <w:szCs w:val="20"/>
          <w:color w:val="auto"/>
        </w:rPr>
      </w:pPr>
      <w:r>
        <w:rPr>
          <w:rFonts w:ascii="Arial" w:cs="Arial" w:eastAsia="Arial" w:hAnsi="Arial"/>
          <w:sz w:val="18"/>
          <w:szCs w:val="18"/>
          <w:color w:val="auto"/>
        </w:rPr>
        <w:t>Net income was relatively flat in the three-month period ended August 1, 2020, as compared to the same period of the prior fiscal year, as a result of a $27.6 million decrease in operating income, partially offset by a $16.8 million decrease in provision for income taxes and an $11.1 million decrease in nonoperating expense.</w:t>
      </w:r>
    </w:p>
    <w:p>
      <w:pPr>
        <w:spacing w:after="0" w:line="130" w:lineRule="exact"/>
        <w:rPr>
          <w:sz w:val="20"/>
          <w:szCs w:val="20"/>
          <w:color w:val="auto"/>
        </w:rPr>
      </w:pPr>
    </w:p>
    <w:p>
      <w:pPr>
        <w:ind w:right="80" w:firstLine="445"/>
        <w:spacing w:after="0" w:line="263" w:lineRule="auto"/>
        <w:rPr>
          <w:sz w:val="20"/>
          <w:szCs w:val="20"/>
          <w:color w:val="auto"/>
        </w:rPr>
      </w:pPr>
      <w:r>
        <w:rPr>
          <w:rFonts w:ascii="Arial" w:cs="Arial" w:eastAsia="Arial" w:hAnsi="Arial"/>
          <w:sz w:val="18"/>
          <w:szCs w:val="18"/>
          <w:color w:val="auto"/>
        </w:rPr>
        <w:t>Net income decreased in the nine-month period ended August 1, 2020, as compared to the same period of the prior fiscal year, as a result of a $335.7 million decrease in operating income, partially offset by a $52.5 million decrease in provision for income taxes and a $32.1 million decrease in nonoperating expense.</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21" w:lineRule="exact"/>
        <w:rPr>
          <w:sz w:val="20"/>
          <w:szCs w:val="20"/>
          <w:color w:val="auto"/>
        </w:rPr>
      </w:pPr>
    </w:p>
    <w:p>
      <w:pPr>
        <w:jc w:val="both"/>
        <w:ind w:right="120" w:firstLine="445"/>
        <w:spacing w:after="0" w:line="299" w:lineRule="auto"/>
        <w:rPr>
          <w:sz w:val="20"/>
          <w:szCs w:val="20"/>
          <w:color w:val="auto"/>
        </w:rPr>
      </w:pPr>
      <w:r>
        <w:rPr>
          <w:rFonts w:ascii="Arial" w:cs="Arial" w:eastAsia="Arial" w:hAnsi="Arial"/>
          <w:sz w:val="16"/>
          <w:szCs w:val="16"/>
          <w:color w:val="auto"/>
        </w:rPr>
        <w:t>At August 1, 2020, our principal source of liquidity was $1,090.3 million of cash and cash equivalents, of which approximately $423.5 million was held in the United States. The balance of our cash and cash equivalents was held outside the United States in various foreign subsidiaries. We manage our worldwide cash requirements by, among other things, reviewing available funds held by our foreign subsidiaries and the cost effectiveness by which those</w:t>
      </w:r>
    </w:p>
    <w:p>
      <w:pPr>
        <w:spacing w:after="0" w:line="1" w:lineRule="exact"/>
        <w:rPr>
          <w:sz w:val="20"/>
          <w:szCs w:val="20"/>
          <w:color w:val="auto"/>
        </w:rPr>
      </w:pPr>
    </w:p>
    <w:p>
      <w:pPr>
        <w:jc w:val="both"/>
        <w:ind w:right="20"/>
        <w:spacing w:after="0" w:line="279" w:lineRule="auto"/>
        <w:rPr>
          <w:sz w:val="20"/>
          <w:szCs w:val="20"/>
          <w:color w:val="auto"/>
        </w:rPr>
      </w:pPr>
      <w:r>
        <w:rPr>
          <w:rFonts w:ascii="Arial" w:cs="Arial" w:eastAsia="Arial" w:hAnsi="Arial"/>
          <w:sz w:val="17"/>
          <w:szCs w:val="17"/>
          <w:color w:val="auto"/>
        </w:rPr>
        <w:t>funds can be accessed in the United States. We do not expect current regulatory restrictions or taxes on repatriation to have a material adverse effect on our overall liquidity, financial condition or the results of operations. Our cash and cash equivalents consist of highly liquid investments with maturities of three months or less, including money market funds. We maintain these balances with high credit quality counterparties, continually monitor the amount of credit exposure to any one issuer and diversify our investments in order to minimize our credit risk.</w:t>
      </w:r>
    </w:p>
    <w:p>
      <w:pPr>
        <w:spacing w:after="0" w:line="63" w:lineRule="exact"/>
        <w:rPr>
          <w:sz w:val="20"/>
          <w:szCs w:val="20"/>
          <w:color w:val="auto"/>
        </w:rPr>
      </w:pPr>
    </w:p>
    <w:p>
      <w:pPr>
        <w:jc w:val="both"/>
        <w:ind w:right="360" w:firstLine="445"/>
        <w:spacing w:after="0" w:line="311" w:lineRule="auto"/>
        <w:rPr>
          <w:sz w:val="20"/>
          <w:szCs w:val="20"/>
          <w:color w:val="auto"/>
        </w:rPr>
      </w:pPr>
      <w:r>
        <w:rPr>
          <w:rFonts w:ascii="Arial" w:cs="Arial" w:eastAsia="Arial" w:hAnsi="Arial"/>
          <w:sz w:val="16"/>
          <w:szCs w:val="16"/>
          <w:color w:val="auto"/>
        </w:rPr>
        <w:t>We believe that our existing sources of liquidity and cash expected to be generated from future operations, together with existing and anticipated available long-term financing, will be sufficient to fund operations, capital expenditures, research and development efforts, transaction costs associated with our proposed merger with Maxim and dividend payments (if any) in the immediate future and for at least the next twelve months.</w:t>
      </w:r>
    </w:p>
    <w:p>
      <w:pPr>
        <w:spacing w:after="0" w:line="8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44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3300" w:type="dxa"/>
            <w:vAlign w:val="bottom"/>
            <w:tcBorders>
              <w:bottom w:val="single" w:sz="8" w:color="auto"/>
            </w:tcBorders>
            <w:gridSpan w:val="4"/>
          </w:tcPr>
          <w:p>
            <w:pPr>
              <w:jc w:val="right"/>
              <w:ind w:right="974"/>
              <w:spacing w:after="0"/>
              <w:rPr>
                <w:sz w:val="20"/>
                <w:szCs w:val="20"/>
                <w:color w:val="auto"/>
              </w:rPr>
            </w:pPr>
            <w:r>
              <w:rPr>
                <w:rFonts w:ascii="Arial" w:cs="Arial" w:eastAsia="Arial" w:hAnsi="Arial"/>
                <w:sz w:val="14"/>
                <w:szCs w:val="14"/>
                <w:b w:val="1"/>
                <w:bCs w:val="1"/>
                <w:color w:val="auto"/>
              </w:rPr>
              <w:t>Nine Months Ended</w:t>
            </w:r>
          </w:p>
        </w:tc>
        <w:tc>
          <w:tcPr>
            <w:tcW w:w="200" w:type="dxa"/>
            <w:vAlign w:val="bottom"/>
            <w:tcBorders>
              <w:bottom w:val="single" w:sz="8" w:color="auto"/>
            </w:tcBorders>
          </w:tcPr>
          <w:p>
            <w:pPr>
              <w:spacing w:after="0"/>
              <w:rPr>
                <w:sz w:val="16"/>
                <w:szCs w:val="16"/>
                <w:color w:val="auto"/>
              </w:rPr>
            </w:pPr>
          </w:p>
        </w:tc>
      </w:tr>
      <w:tr>
        <w:trPr>
          <w:trHeight w:val="196"/>
        </w:trPr>
        <w:tc>
          <w:tcPr>
            <w:tcW w:w="74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20" w:type="dxa"/>
            <w:vAlign w:val="bottom"/>
            <w:gridSpan w:val="2"/>
          </w:tcPr>
          <w:p>
            <w:pPr>
              <w:ind w:left="180"/>
              <w:spacing w:after="0"/>
              <w:rPr>
                <w:sz w:val="20"/>
                <w:szCs w:val="20"/>
                <w:color w:val="auto"/>
              </w:rPr>
            </w:pPr>
            <w:r>
              <w:rPr>
                <w:rFonts w:ascii="Arial" w:cs="Arial" w:eastAsia="Arial" w:hAnsi="Arial"/>
                <w:sz w:val="14"/>
                <w:szCs w:val="14"/>
                <w:b w:val="1"/>
                <w:bCs w:val="1"/>
                <w:color w:val="auto"/>
              </w:rPr>
              <w:t>August 1, 2020</w:t>
            </w:r>
          </w:p>
        </w:tc>
        <w:tc>
          <w:tcPr>
            <w:tcW w:w="300" w:type="dxa"/>
            <w:vAlign w:val="bottom"/>
          </w:tcPr>
          <w:p>
            <w:pPr>
              <w:spacing w:after="0"/>
              <w:rPr>
                <w:sz w:val="17"/>
                <w:szCs w:val="17"/>
                <w:color w:val="auto"/>
              </w:rPr>
            </w:pPr>
          </w:p>
        </w:tc>
        <w:tc>
          <w:tcPr>
            <w:tcW w:w="1380" w:type="dxa"/>
            <w:vAlign w:val="bottom"/>
          </w:tcPr>
          <w:p>
            <w:pPr>
              <w:jc w:val="right"/>
              <w:ind w:right="194"/>
              <w:spacing w:after="0"/>
              <w:rPr>
                <w:sz w:val="20"/>
                <w:szCs w:val="20"/>
                <w:color w:val="auto"/>
              </w:rPr>
            </w:pPr>
            <w:r>
              <w:rPr>
                <w:rFonts w:ascii="Arial" w:cs="Arial" w:eastAsia="Arial" w:hAnsi="Arial"/>
                <w:sz w:val="14"/>
                <w:szCs w:val="14"/>
                <w:b w:val="1"/>
                <w:bCs w:val="1"/>
                <w:color w:val="auto"/>
              </w:rPr>
              <w:t>August 3, 2019</w:t>
            </w:r>
          </w:p>
        </w:tc>
        <w:tc>
          <w:tcPr>
            <w:tcW w:w="200" w:type="dxa"/>
            <w:vAlign w:val="bottom"/>
          </w:tcPr>
          <w:p>
            <w:pPr>
              <w:spacing w:after="0"/>
              <w:rPr>
                <w:sz w:val="17"/>
                <w:szCs w:val="17"/>
                <w:color w:val="auto"/>
              </w:rPr>
            </w:pPr>
          </w:p>
        </w:tc>
      </w:tr>
      <w:tr>
        <w:trPr>
          <w:trHeight w:val="249"/>
        </w:trPr>
        <w:tc>
          <w:tcPr>
            <w:tcW w:w="74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cash provided by operating activities</w:t>
            </w:r>
          </w:p>
        </w:tc>
        <w:tc>
          <w:tcPr>
            <w:tcW w:w="260" w:type="dxa"/>
            <w:vAlign w:val="bottom"/>
            <w:tcBorders>
              <w:top w:val="single" w:sz="8" w:color="auto"/>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520" w:type="dxa"/>
            <w:vAlign w:val="bottom"/>
            <w:tcBorders>
              <w:top w:val="single" w:sz="8" w:color="auto"/>
              <w:bottom w:val="single" w:sz="8" w:color="CCEEFF"/>
            </w:tcBorders>
            <w:shd w:val="clear" w:color="auto" w:fill="CCEEFF"/>
          </w:tcPr>
          <w:p>
            <w:pPr>
              <w:jc w:val="right"/>
              <w:ind w:right="156"/>
              <w:spacing w:after="0"/>
              <w:rPr>
                <w:sz w:val="20"/>
                <w:szCs w:val="20"/>
                <w:color w:val="auto"/>
              </w:rPr>
            </w:pPr>
            <w:r>
              <w:rPr>
                <w:rFonts w:ascii="Arial" w:cs="Arial" w:eastAsia="Arial" w:hAnsi="Arial"/>
                <w:sz w:val="18"/>
                <w:szCs w:val="18"/>
                <w:color w:val="auto"/>
              </w:rPr>
              <w:t>1,335,889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3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1,595,196</w:t>
            </w:r>
          </w:p>
        </w:tc>
        <w:tc>
          <w:tcPr>
            <w:tcW w:w="200" w:type="dxa"/>
            <w:vAlign w:val="bottom"/>
            <w:tcBorders>
              <w:top w:val="single" w:sz="8" w:color="auto"/>
              <w:bottom w:val="single" w:sz="8" w:color="CCEEFF"/>
            </w:tcBorders>
            <w:shd w:val="clear" w:color="auto" w:fill="CCEEFF"/>
          </w:tcPr>
          <w:p>
            <w:pPr>
              <w:spacing w:after="0"/>
              <w:rPr>
                <w:sz w:val="21"/>
                <w:szCs w:val="21"/>
                <w:color w:val="auto"/>
              </w:rPr>
            </w:pPr>
          </w:p>
        </w:tc>
      </w:tr>
      <w:tr>
        <w:trPr>
          <w:trHeight w:val="243"/>
        </w:trPr>
        <w:tc>
          <w:tcPr>
            <w:tcW w:w="7440" w:type="dxa"/>
            <w:vAlign w:val="bottom"/>
          </w:tcPr>
          <w:p>
            <w:pPr>
              <w:ind w:left="20"/>
              <w:spacing w:after="0"/>
              <w:rPr>
                <w:sz w:val="20"/>
                <w:szCs w:val="20"/>
                <w:color w:val="auto"/>
              </w:rPr>
            </w:pPr>
            <w:r>
              <w:rPr>
                <w:rFonts w:ascii="Arial" w:cs="Arial" w:eastAsia="Arial" w:hAnsi="Arial"/>
                <w:sz w:val="18"/>
                <w:szCs w:val="18"/>
                <w:color w:val="auto"/>
              </w:rPr>
              <w:t>Net cash provided by operations as a % of revenue</w:t>
            </w:r>
          </w:p>
        </w:tc>
        <w:tc>
          <w:tcPr>
            <w:tcW w:w="260" w:type="dxa"/>
            <w:vAlign w:val="bottom"/>
          </w:tcPr>
          <w:p>
            <w:pPr>
              <w:spacing w:after="0"/>
              <w:rPr>
                <w:sz w:val="21"/>
                <w:szCs w:val="21"/>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32.8 %</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35.1</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r>
      <w:tr>
        <w:trPr>
          <w:trHeight w:val="27"/>
        </w:trPr>
        <w:tc>
          <w:tcPr>
            <w:tcW w:w="74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580" w:type="dxa"/>
            <w:vAlign w:val="bottom"/>
            <w:gridSpan w:val="2"/>
          </w:tcPr>
          <w:p>
            <w:pPr>
              <w:spacing w:after="0"/>
              <w:rPr>
                <w:sz w:val="2"/>
                <w:szCs w:val="2"/>
                <w:color w:val="auto"/>
              </w:rPr>
            </w:pPr>
          </w:p>
        </w:tc>
      </w:tr>
      <w:tr>
        <w:trPr>
          <w:trHeight w:val="250"/>
        </w:trPr>
        <w:tc>
          <w:tcPr>
            <w:tcW w:w="74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cash used for investing activities</w:t>
            </w: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520" w:type="dxa"/>
            <w:vAlign w:val="bottom"/>
            <w:tcBorders>
              <w:bottom w:val="single" w:sz="8" w:color="CCEEFF"/>
            </w:tcBorders>
            <w:shd w:val="clear" w:color="auto" w:fill="CCEEFF"/>
          </w:tcPr>
          <w:p>
            <w:pPr>
              <w:jc w:val="right"/>
              <w:ind w:right="116"/>
              <w:spacing w:after="0"/>
              <w:rPr>
                <w:sz w:val="20"/>
                <w:szCs w:val="20"/>
                <w:color w:val="auto"/>
              </w:rPr>
            </w:pPr>
            <w:r>
              <w:rPr>
                <w:rFonts w:ascii="Arial" w:cs="Arial" w:eastAsia="Arial" w:hAnsi="Arial"/>
                <w:sz w:val="18"/>
                <w:szCs w:val="18"/>
                <w:color w:val="auto"/>
              </w:rPr>
              <w:t>(149,781)</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580" w:type="dxa"/>
            <w:vAlign w:val="bottom"/>
            <w:tcBorders>
              <w:bottom w:val="single" w:sz="8" w:color="CCEEFF"/>
            </w:tcBorders>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(229,429)</w:t>
            </w:r>
          </w:p>
        </w:tc>
      </w:tr>
      <w:tr>
        <w:trPr>
          <w:trHeight w:val="243"/>
        </w:trPr>
        <w:tc>
          <w:tcPr>
            <w:tcW w:w="7440" w:type="dxa"/>
            <w:vAlign w:val="bottom"/>
          </w:tcPr>
          <w:p>
            <w:pPr>
              <w:ind w:left="20"/>
              <w:spacing w:after="0"/>
              <w:rPr>
                <w:sz w:val="20"/>
                <w:szCs w:val="20"/>
                <w:color w:val="auto"/>
              </w:rPr>
            </w:pPr>
            <w:r>
              <w:rPr>
                <w:rFonts w:ascii="Arial" w:cs="Arial" w:eastAsia="Arial" w:hAnsi="Arial"/>
                <w:sz w:val="18"/>
                <w:szCs w:val="18"/>
                <w:color w:val="auto"/>
              </w:rPr>
              <w:t>Net cash used for financing activities</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520" w:type="dxa"/>
            <w:vAlign w:val="bottom"/>
          </w:tcPr>
          <w:p>
            <w:pPr>
              <w:jc w:val="right"/>
              <w:ind w:right="116"/>
              <w:spacing w:after="0"/>
              <w:rPr>
                <w:sz w:val="20"/>
                <w:szCs w:val="20"/>
                <w:color w:val="auto"/>
              </w:rPr>
            </w:pPr>
            <w:r>
              <w:rPr>
                <w:rFonts w:ascii="Arial" w:cs="Arial" w:eastAsia="Arial" w:hAnsi="Arial"/>
                <w:sz w:val="18"/>
                <w:szCs w:val="18"/>
                <w:color w:val="auto"/>
              </w:rPr>
              <w:t>(744,442)</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580" w:type="dxa"/>
            <w:vAlign w:val="bottom"/>
            <w:gridSpan w:val="2"/>
          </w:tcPr>
          <w:p>
            <w:pPr>
              <w:jc w:val="right"/>
              <w:ind w:right="90"/>
              <w:spacing w:after="0"/>
              <w:rPr>
                <w:sz w:val="20"/>
                <w:szCs w:val="20"/>
                <w:color w:val="auto"/>
              </w:rPr>
            </w:pPr>
            <w:r>
              <w:rPr>
                <w:rFonts w:ascii="Arial" w:cs="Arial" w:eastAsia="Arial" w:hAnsi="Arial"/>
                <w:sz w:val="18"/>
                <w:szCs w:val="18"/>
                <w:color w:val="auto"/>
              </w:rPr>
              <w:t>(1,569,684)</w:t>
            </w:r>
          </w:p>
        </w:tc>
      </w:tr>
    </w:tbl>
    <w:p>
      <w:pPr>
        <w:spacing w:after="0" w:line="121" w:lineRule="exact"/>
        <w:rPr>
          <w:sz w:val="20"/>
          <w:szCs w:val="20"/>
          <w:color w:val="auto"/>
        </w:rPr>
      </w:pPr>
    </w:p>
    <w:p>
      <w:pPr>
        <w:jc w:val="both"/>
        <w:ind w:right="60" w:firstLine="445"/>
        <w:spacing w:after="0" w:line="277" w:lineRule="auto"/>
        <w:rPr>
          <w:sz w:val="20"/>
          <w:szCs w:val="20"/>
          <w:color w:val="auto"/>
        </w:rPr>
      </w:pPr>
      <w:r>
        <w:rPr>
          <w:rFonts w:ascii="Arial" w:cs="Arial" w:eastAsia="Arial" w:hAnsi="Arial"/>
          <w:sz w:val="18"/>
          <w:szCs w:val="18"/>
          <w:color w:val="auto"/>
        </w:rPr>
        <w:t>The following changes contributed to the net change in cash and cash equivalents in the nine-month period ended August 1, 2020 as compared to the same period in fiscal 2019.</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Operating Activities</w:t>
      </w:r>
    </w:p>
    <w:p>
      <w:pPr>
        <w:spacing w:after="0" w:line="117" w:lineRule="exact"/>
        <w:rPr>
          <w:sz w:val="20"/>
          <w:szCs w:val="20"/>
          <w:color w:val="auto"/>
        </w:rPr>
      </w:pPr>
    </w:p>
    <w:p>
      <w:pPr>
        <w:ind w:right="20" w:firstLine="405"/>
        <w:spacing w:after="0" w:line="259" w:lineRule="auto"/>
        <w:rPr>
          <w:sz w:val="20"/>
          <w:szCs w:val="20"/>
          <w:color w:val="auto"/>
        </w:rPr>
      </w:pPr>
      <w:r>
        <w:rPr>
          <w:rFonts w:ascii="Arial" w:cs="Arial" w:eastAsia="Arial" w:hAnsi="Arial"/>
          <w:sz w:val="18"/>
          <w:szCs w:val="18"/>
          <w:color w:val="auto"/>
        </w:rPr>
        <w:t>Cash provided by operating activities is net income adjusted for certain non-cash items and changes in operating assets and liabilities. The decrease in cash provided by operating activities during the nine-month period ended August 1, 2020, as compared to the same period of the prior fiscal year, was primarily the result of lower net income adjusted for non-cash items, including a $40.0 million non-cash charitable contribution to the Analog Devices Foundation made in the first quarter of fiscal 2020, and a decrease from changes in working capital.</w:t>
      </w: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24" w:right="339" w:bottom="1440" w:gutter="0" w:footer="0" w:header="0"/>
        </w:sectPr>
      </w:pPr>
    </w:p>
    <w:bookmarkStart w:id="28" w:name="page29"/>
    <w:bookmarkEnd w:id="28"/>
    <w:p>
      <w:pPr>
        <w:spacing w:after="0"/>
        <w:rPr>
          <w:sz w:val="20"/>
          <w:szCs w:val="20"/>
          <w:color w:val="auto"/>
        </w:rPr>
      </w:pPr>
      <w:r>
        <w:rPr>
          <w:rFonts w:ascii="Arial" w:cs="Arial" w:eastAsia="Arial" w:hAnsi="Arial"/>
          <w:sz w:val="18"/>
          <w:szCs w:val="18"/>
          <w:i w:val="1"/>
          <w:iCs w:val="1"/>
          <w:color w:val="auto"/>
        </w:rPr>
        <w:t>Investing Activities</w:t>
      </w:r>
    </w:p>
    <w:p>
      <w:pPr>
        <w:spacing w:after="0" w:line="117" w:lineRule="exact"/>
        <w:rPr>
          <w:sz w:val="20"/>
          <w:szCs w:val="20"/>
          <w:color w:val="auto"/>
        </w:rPr>
      </w:pPr>
    </w:p>
    <w:p>
      <w:pPr>
        <w:jc w:val="both"/>
        <w:ind w:right="60" w:firstLine="405"/>
        <w:spacing w:after="0" w:line="263" w:lineRule="auto"/>
        <w:rPr>
          <w:sz w:val="20"/>
          <w:szCs w:val="20"/>
          <w:color w:val="auto"/>
        </w:rPr>
      </w:pPr>
      <w:r>
        <w:rPr>
          <w:rFonts w:ascii="Arial" w:cs="Arial" w:eastAsia="Arial" w:hAnsi="Arial"/>
          <w:sz w:val="18"/>
          <w:szCs w:val="18"/>
          <w:color w:val="auto"/>
        </w:rPr>
        <w:t>Investing cash flows generally consist of capital expenditures and cash used for acquisitions. The decrease in cash used for investing activities during the nine-month period ended August 1, 2020, as compared to the same period of the prior fiscal year, was primarily the result of a decrease in cash used for capital expenditures, partially offset by payments for acquisitions.</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Financing Activities</w:t>
      </w:r>
    </w:p>
    <w:p>
      <w:pPr>
        <w:spacing w:after="0" w:line="117" w:lineRule="exact"/>
        <w:rPr>
          <w:sz w:val="20"/>
          <w:szCs w:val="20"/>
          <w:color w:val="auto"/>
        </w:rPr>
      </w:pPr>
    </w:p>
    <w:p>
      <w:pPr>
        <w:ind w:right="40" w:firstLine="405"/>
        <w:spacing w:after="0" w:line="273" w:lineRule="auto"/>
        <w:rPr>
          <w:sz w:val="20"/>
          <w:szCs w:val="20"/>
          <w:color w:val="auto"/>
        </w:rPr>
      </w:pPr>
      <w:r>
        <w:rPr>
          <w:rFonts w:ascii="Arial" w:cs="Arial" w:eastAsia="Arial" w:hAnsi="Arial"/>
          <w:sz w:val="17"/>
          <w:szCs w:val="17"/>
          <w:color w:val="auto"/>
        </w:rPr>
        <w:t>Financing cash flows consist primarily of payments of dividends to stockholders, repurchases of common stock, issuance and repayment of debt and proceeds from the sale of shares of common stock pursuant to employee equity incentive plans. The decrease in cash used related to financing activities during the nine-month period ended August 1, 2020, as compared to the same period of the prior fiscal year, was primarily the result of our bond issuance of $395.6 million, a $350.0 million decrease in debt repayments and a $203.4 million decrease in common stock repurchases, partially offset by an increase of $79.3 million in dividend payments and a decrease of $48.4 million in proceeds from employee stock plans, in the nine-month period ended August 1, 2020 as compared to the same period of the prior fiscal year.</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Working Capital</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0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520" w:type="dxa"/>
            <w:vAlign w:val="bottom"/>
            <w:gridSpan w:val="2"/>
          </w:tcPr>
          <w:p>
            <w:pPr>
              <w:ind w:left="140"/>
              <w:spacing w:after="0"/>
              <w:rPr>
                <w:sz w:val="20"/>
                <w:szCs w:val="20"/>
                <w:color w:val="auto"/>
              </w:rPr>
            </w:pPr>
            <w:r>
              <w:rPr>
                <w:rFonts w:ascii="Arial" w:cs="Arial" w:eastAsia="Arial" w:hAnsi="Arial"/>
                <w:sz w:val="14"/>
                <w:szCs w:val="14"/>
                <w:b w:val="1"/>
                <w:bCs w:val="1"/>
                <w:color w:val="auto"/>
              </w:rPr>
              <w:t>August 1, 2020</w:t>
            </w:r>
          </w:p>
        </w:tc>
        <w:tc>
          <w:tcPr>
            <w:tcW w:w="180" w:type="dxa"/>
            <w:vAlign w:val="bottom"/>
          </w:tcPr>
          <w:p>
            <w:pPr>
              <w:spacing w:after="0"/>
              <w:rPr>
                <w:sz w:val="16"/>
                <w:szCs w:val="16"/>
                <w:color w:val="auto"/>
              </w:rPr>
            </w:pPr>
          </w:p>
        </w:tc>
        <w:tc>
          <w:tcPr>
            <w:tcW w:w="1560" w:type="dxa"/>
            <w:vAlign w:val="bottom"/>
            <w:gridSpan w:val="2"/>
          </w:tcPr>
          <w:p>
            <w:pPr>
              <w:ind w:left="80"/>
              <w:spacing w:after="0"/>
              <w:rPr>
                <w:sz w:val="20"/>
                <w:szCs w:val="20"/>
                <w:color w:val="auto"/>
              </w:rPr>
            </w:pPr>
            <w:r>
              <w:rPr>
                <w:rFonts w:ascii="Arial" w:cs="Arial" w:eastAsia="Arial" w:hAnsi="Arial"/>
                <w:sz w:val="14"/>
                <w:szCs w:val="14"/>
                <w:b w:val="1"/>
                <w:bCs w:val="1"/>
                <w:color w:val="auto"/>
              </w:rPr>
              <w:t>November 2, 2019</w:t>
            </w:r>
          </w:p>
        </w:tc>
        <w:tc>
          <w:tcPr>
            <w:tcW w:w="200" w:type="dxa"/>
            <w:vAlign w:val="bottom"/>
          </w:tcPr>
          <w:p>
            <w:pPr>
              <w:spacing w:after="0"/>
              <w:rPr>
                <w:sz w:val="16"/>
                <w:szCs w:val="16"/>
                <w:color w:val="auto"/>
              </w:rPr>
            </w:pPr>
          </w:p>
        </w:tc>
        <w:tc>
          <w:tcPr>
            <w:tcW w:w="1120" w:type="dxa"/>
            <w:vAlign w:val="bottom"/>
            <w:gridSpan w:val="2"/>
          </w:tcPr>
          <w:p>
            <w:pPr>
              <w:ind w:left="120"/>
              <w:spacing w:after="0"/>
              <w:rPr>
                <w:sz w:val="20"/>
                <w:szCs w:val="20"/>
                <w:color w:val="auto"/>
              </w:rPr>
            </w:pPr>
            <w:r>
              <w:rPr>
                <w:rFonts w:ascii="Arial" w:cs="Arial" w:eastAsia="Arial" w:hAnsi="Arial"/>
                <w:sz w:val="14"/>
                <w:szCs w:val="14"/>
                <w:b w:val="1"/>
                <w:bCs w:val="1"/>
                <w:color w:val="auto"/>
              </w:rPr>
              <w:t>$ Change</w:t>
            </w:r>
          </w:p>
        </w:tc>
        <w:tc>
          <w:tcPr>
            <w:tcW w:w="1340" w:type="dxa"/>
            <w:vAlign w:val="bottom"/>
          </w:tcPr>
          <w:p>
            <w:pPr>
              <w:jc w:val="right"/>
              <w:ind w:right="256"/>
              <w:spacing w:after="0"/>
              <w:rPr>
                <w:sz w:val="20"/>
                <w:szCs w:val="20"/>
                <w:color w:val="auto"/>
              </w:rPr>
            </w:pPr>
            <w:r>
              <w:rPr>
                <w:rFonts w:ascii="Arial" w:cs="Arial" w:eastAsia="Arial" w:hAnsi="Arial"/>
                <w:sz w:val="14"/>
                <w:szCs w:val="14"/>
                <w:b w:val="1"/>
                <w:bCs w:val="1"/>
                <w:color w:val="auto"/>
              </w:rPr>
              <w:t>% Change</w:t>
            </w:r>
          </w:p>
        </w:tc>
      </w:tr>
      <w:tr>
        <w:trPr>
          <w:trHeight w:val="250"/>
        </w:trPr>
        <w:tc>
          <w:tcPr>
            <w:tcW w:w="50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Accounts receivable</w:t>
            </w:r>
          </w:p>
        </w:tc>
        <w:tc>
          <w:tcPr>
            <w:tcW w:w="24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4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681,728</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635,136</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46,592</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3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7 %</w:t>
            </w:r>
          </w:p>
        </w:tc>
      </w:tr>
      <w:tr>
        <w:trPr>
          <w:trHeight w:val="243"/>
        </w:trPr>
        <w:tc>
          <w:tcPr>
            <w:tcW w:w="5020" w:type="dxa"/>
            <w:vAlign w:val="bottom"/>
          </w:tcPr>
          <w:p>
            <w:pPr>
              <w:ind w:left="20"/>
              <w:spacing w:after="0"/>
              <w:rPr>
                <w:sz w:val="20"/>
                <w:szCs w:val="20"/>
                <w:color w:val="auto"/>
              </w:rPr>
            </w:pPr>
            <w:r>
              <w:rPr>
                <w:rFonts w:ascii="Arial" w:cs="Arial" w:eastAsia="Arial" w:hAnsi="Arial"/>
                <w:sz w:val="18"/>
                <w:szCs w:val="18"/>
                <w:color w:val="auto"/>
              </w:rPr>
              <w:t>Days sales outstanding*</w:t>
            </w:r>
          </w:p>
        </w:tc>
        <w:tc>
          <w:tcPr>
            <w:tcW w:w="24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40</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39</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40" w:type="dxa"/>
            <w:vAlign w:val="bottom"/>
          </w:tcPr>
          <w:p>
            <w:pPr>
              <w:spacing w:after="0"/>
              <w:rPr>
                <w:sz w:val="21"/>
                <w:szCs w:val="21"/>
                <w:color w:val="auto"/>
              </w:rPr>
            </w:pPr>
          </w:p>
        </w:tc>
      </w:tr>
      <w:tr>
        <w:trPr>
          <w:trHeight w:val="27"/>
        </w:trPr>
        <w:tc>
          <w:tcPr>
            <w:tcW w:w="50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5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Inventory</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612,646</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609,886</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2,760</w:t>
            </w:r>
          </w:p>
        </w:tc>
        <w:tc>
          <w:tcPr>
            <w:tcW w:w="1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 %</w:t>
            </w:r>
          </w:p>
        </w:tc>
      </w:tr>
      <w:tr>
        <w:trPr>
          <w:trHeight w:val="243"/>
        </w:trPr>
        <w:tc>
          <w:tcPr>
            <w:tcW w:w="5020" w:type="dxa"/>
            <w:vAlign w:val="bottom"/>
          </w:tcPr>
          <w:p>
            <w:pPr>
              <w:ind w:left="20"/>
              <w:spacing w:after="0"/>
              <w:rPr>
                <w:sz w:val="20"/>
                <w:szCs w:val="20"/>
                <w:color w:val="auto"/>
              </w:rPr>
            </w:pPr>
            <w:r>
              <w:rPr>
                <w:rFonts w:ascii="Arial" w:cs="Arial" w:eastAsia="Arial" w:hAnsi="Arial"/>
                <w:sz w:val="18"/>
                <w:szCs w:val="18"/>
                <w:color w:val="auto"/>
              </w:rPr>
              <w:t>Days cost of sales in inventory*</w:t>
            </w:r>
          </w:p>
        </w:tc>
        <w:tc>
          <w:tcPr>
            <w:tcW w:w="24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113</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110</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40" w:type="dxa"/>
            <w:vAlign w:val="bottom"/>
          </w:tcPr>
          <w:p>
            <w:pPr>
              <w:spacing w:after="0"/>
              <w:rPr>
                <w:sz w:val="21"/>
                <w:szCs w:val="21"/>
                <w:color w:val="auto"/>
              </w:rPr>
            </w:pPr>
          </w:p>
        </w:tc>
      </w:tr>
    </w:tbl>
    <w:p>
      <w:pPr>
        <w:spacing w:after="0" w:line="121" w:lineRule="exact"/>
        <w:rPr>
          <w:sz w:val="20"/>
          <w:szCs w:val="20"/>
          <w:color w:val="auto"/>
        </w:rPr>
      </w:pPr>
    </w:p>
    <w:p>
      <w:pPr>
        <w:ind w:right="380" w:firstLine="8"/>
        <w:spacing w:after="0" w:line="277" w:lineRule="auto"/>
        <w:tabs>
          <w:tab w:leader="none" w:pos="135" w:val="left"/>
        </w:tabs>
        <w:numPr>
          <w:ilvl w:val="0"/>
          <w:numId w:val="8"/>
        </w:numPr>
        <w:rPr>
          <w:rFonts w:ascii="Arial" w:cs="Arial" w:eastAsia="Arial" w:hAnsi="Arial"/>
          <w:sz w:val="18"/>
          <w:szCs w:val="18"/>
          <w:color w:val="auto"/>
        </w:rPr>
      </w:pPr>
      <w:r>
        <w:rPr>
          <w:rFonts w:ascii="Arial" w:cs="Arial" w:eastAsia="Arial" w:hAnsi="Arial"/>
          <w:sz w:val="18"/>
          <w:szCs w:val="18"/>
          <w:color w:val="auto"/>
        </w:rPr>
        <w:t>We use the average of the current quarter and prior quarter ending accounts receivable and ending inventory balances in our calculation of days sales outstanding and days cost of sales in inventory, respectively.</w:t>
      </w:r>
    </w:p>
    <w:p>
      <w:pPr>
        <w:spacing w:after="0" w:line="6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increase in accounts receivable in dollars was primarily the result of normal variations in the timing of collections and billings.</w:t>
      </w:r>
    </w:p>
    <w:p>
      <w:pPr>
        <w:spacing w:after="0" w:line="117" w:lineRule="exact"/>
        <w:rPr>
          <w:sz w:val="20"/>
          <w:szCs w:val="20"/>
          <w:color w:val="auto"/>
        </w:rPr>
      </w:pPr>
    </w:p>
    <w:p>
      <w:pPr>
        <w:ind w:right="160" w:firstLine="445"/>
        <w:spacing w:after="0" w:line="308" w:lineRule="auto"/>
        <w:rPr>
          <w:sz w:val="20"/>
          <w:szCs w:val="20"/>
          <w:color w:val="auto"/>
        </w:rPr>
      </w:pPr>
      <w:r>
        <w:rPr>
          <w:rFonts w:ascii="Arial" w:cs="Arial" w:eastAsia="Arial" w:hAnsi="Arial"/>
          <w:sz w:val="17"/>
          <w:szCs w:val="17"/>
          <w:color w:val="auto"/>
        </w:rPr>
        <w:t>Inventory in dollars increased, primarily as a result of our efforts to balance manufacturing production, demand and inventory levels. Our inventory levels are impacted by our need to support forecasted sales demand and variations between those forecasts and actual demand.</w:t>
      </w:r>
    </w:p>
    <w:p>
      <w:pPr>
        <w:spacing w:after="0" w:line="38" w:lineRule="exact"/>
        <w:rPr>
          <w:sz w:val="20"/>
          <w:szCs w:val="20"/>
          <w:color w:val="auto"/>
        </w:rPr>
      </w:pPr>
    </w:p>
    <w:p>
      <w:pPr>
        <w:jc w:val="both"/>
        <w:ind w:right="60" w:firstLine="445"/>
        <w:spacing w:after="0" w:line="263" w:lineRule="auto"/>
        <w:rPr>
          <w:sz w:val="20"/>
          <w:szCs w:val="20"/>
          <w:color w:val="auto"/>
        </w:rPr>
      </w:pPr>
      <w:r>
        <w:rPr>
          <w:rFonts w:ascii="Arial" w:cs="Arial" w:eastAsia="Arial" w:hAnsi="Arial"/>
          <w:sz w:val="18"/>
          <w:szCs w:val="18"/>
          <w:color w:val="auto"/>
        </w:rPr>
        <w:t>Current liabilities increased to approximately $1,687.8 million at August 1, 2020 from approximately $1,508.6 million at the end of fiscal 2019. The increase was primarily due to an increase in the current portion of our debt and accrued liabilities, partially offset by decreases in income taxes payable and accounts payable.</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Debt</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As of August 1, 2020, our debt obligations consisted of the following:</w:t>
      </w:r>
    </w:p>
    <w:p>
      <w:pPr>
        <w:spacing w:after="0" w:line="5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20" w:type="dxa"/>
            <w:vAlign w:val="bottom"/>
          </w:tcPr>
          <w:p>
            <w:pPr>
              <w:spacing w:after="0"/>
              <w:rPr>
                <w:sz w:val="18"/>
                <w:szCs w:val="18"/>
                <w:color w:val="auto"/>
              </w:rPr>
            </w:pPr>
          </w:p>
        </w:tc>
        <w:tc>
          <w:tcPr>
            <w:tcW w:w="85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740" w:type="dxa"/>
            <w:vAlign w:val="bottom"/>
          </w:tcPr>
          <w:p>
            <w:pPr>
              <w:jc w:val="right"/>
              <w:spacing w:after="0"/>
              <w:rPr>
                <w:sz w:val="20"/>
                <w:szCs w:val="20"/>
                <w:color w:val="auto"/>
              </w:rPr>
            </w:pPr>
            <w:r>
              <w:rPr>
                <w:rFonts w:ascii="Arial" w:cs="Arial" w:eastAsia="Arial" w:hAnsi="Arial"/>
                <w:sz w:val="18"/>
                <w:szCs w:val="18"/>
                <w:b w:val="1"/>
                <w:bCs w:val="1"/>
                <w:color w:val="auto"/>
              </w:rPr>
              <w:t>Principal Amount</w:t>
            </w:r>
          </w:p>
        </w:tc>
      </w:tr>
      <w:tr>
        <w:trPr>
          <w:trHeight w:val="234"/>
        </w:trPr>
        <w:tc>
          <w:tcPr>
            <w:tcW w:w="520" w:type="dxa"/>
            <w:vAlign w:val="bottom"/>
          </w:tcPr>
          <w:p>
            <w:pPr>
              <w:spacing w:after="0"/>
              <w:rPr>
                <w:sz w:val="20"/>
                <w:szCs w:val="20"/>
                <w:color w:val="auto"/>
              </w:rPr>
            </w:pPr>
          </w:p>
        </w:tc>
        <w:tc>
          <w:tcPr>
            <w:tcW w:w="85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740" w:type="dxa"/>
            <w:vAlign w:val="bottom"/>
          </w:tcPr>
          <w:p>
            <w:pPr>
              <w:jc w:val="right"/>
              <w:spacing w:after="0"/>
              <w:rPr>
                <w:sz w:val="20"/>
                <w:szCs w:val="20"/>
                <w:color w:val="auto"/>
              </w:rPr>
            </w:pPr>
            <w:r>
              <w:rPr>
                <w:rFonts w:ascii="Arial" w:cs="Arial" w:eastAsia="Arial" w:hAnsi="Arial"/>
                <w:sz w:val="18"/>
                <w:szCs w:val="18"/>
                <w:b w:val="1"/>
                <w:bCs w:val="1"/>
                <w:color w:val="auto"/>
              </w:rPr>
              <w:t>Outstanding</w:t>
            </w:r>
          </w:p>
        </w:tc>
      </w:tr>
      <w:tr>
        <w:trPr>
          <w:trHeight w:val="27"/>
        </w:trPr>
        <w:tc>
          <w:tcPr>
            <w:tcW w:w="9040" w:type="dxa"/>
            <w:vAlign w:val="bottom"/>
            <w:tcBorders>
              <w:bottom w:val="single" w:sz="8" w:color="auto"/>
            </w:tcBorders>
            <w:gridSpan w:val="2"/>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r>
      <w:tr>
        <w:trPr>
          <w:trHeight w:val="244"/>
        </w:trPr>
        <w:tc>
          <w:tcPr>
            <w:tcW w:w="90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3-Year term loan, due March 2022</w:t>
            </w:r>
          </w:p>
        </w:tc>
        <w:tc>
          <w:tcPr>
            <w:tcW w:w="46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w w:val="79"/>
              </w:rPr>
              <w:t>$</w:t>
            </w:r>
          </w:p>
        </w:tc>
        <w:tc>
          <w:tcPr>
            <w:tcW w:w="1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925,000</w:t>
            </w:r>
          </w:p>
        </w:tc>
      </w:tr>
      <w:tr>
        <w:trPr>
          <w:trHeight w:val="243"/>
        </w:trPr>
        <w:tc>
          <w:tcPr>
            <w:tcW w:w="520" w:type="dxa"/>
            <w:vAlign w:val="bottom"/>
          </w:tcPr>
          <w:p>
            <w:pPr>
              <w:ind w:left="20"/>
              <w:spacing w:after="0"/>
              <w:rPr>
                <w:sz w:val="20"/>
                <w:szCs w:val="20"/>
                <w:color w:val="auto"/>
              </w:rPr>
            </w:pPr>
            <w:r>
              <w:rPr>
                <w:rFonts w:ascii="Arial" w:cs="Arial" w:eastAsia="Arial" w:hAnsi="Arial"/>
                <w:sz w:val="18"/>
                <w:szCs w:val="18"/>
                <w:color w:val="auto"/>
                <w:w w:val="93"/>
              </w:rPr>
              <w:t>2.95%</w:t>
            </w:r>
          </w:p>
        </w:tc>
        <w:tc>
          <w:tcPr>
            <w:tcW w:w="8520" w:type="dxa"/>
            <w:vAlign w:val="bottom"/>
          </w:tcPr>
          <w:p>
            <w:pPr>
              <w:ind w:left="20"/>
              <w:spacing w:after="0"/>
              <w:rPr>
                <w:sz w:val="20"/>
                <w:szCs w:val="20"/>
                <w:color w:val="auto"/>
              </w:rPr>
            </w:pPr>
            <w:r>
              <w:rPr>
                <w:rFonts w:ascii="Arial" w:cs="Arial" w:eastAsia="Arial" w:hAnsi="Arial"/>
                <w:sz w:val="18"/>
                <w:szCs w:val="18"/>
                <w:color w:val="auto"/>
              </w:rPr>
              <w:t>Senior unsecured notes, due January 2021</w:t>
            </w:r>
          </w:p>
        </w:tc>
        <w:tc>
          <w:tcPr>
            <w:tcW w:w="460" w:type="dxa"/>
            <w:vAlign w:val="bottom"/>
          </w:tcPr>
          <w:p>
            <w:pPr>
              <w:spacing w:after="0"/>
              <w:rPr>
                <w:sz w:val="21"/>
                <w:szCs w:val="21"/>
                <w:color w:val="auto"/>
              </w:rPr>
            </w:pPr>
          </w:p>
        </w:tc>
        <w:tc>
          <w:tcPr>
            <w:tcW w:w="1740" w:type="dxa"/>
            <w:vAlign w:val="bottom"/>
          </w:tcPr>
          <w:p>
            <w:pPr>
              <w:jc w:val="right"/>
              <w:spacing w:after="0"/>
              <w:rPr>
                <w:sz w:val="20"/>
                <w:szCs w:val="20"/>
                <w:color w:val="auto"/>
              </w:rPr>
            </w:pPr>
            <w:r>
              <w:rPr>
                <w:rFonts w:ascii="Arial" w:cs="Arial" w:eastAsia="Arial" w:hAnsi="Arial"/>
                <w:sz w:val="18"/>
                <w:szCs w:val="18"/>
                <w:color w:val="auto"/>
              </w:rPr>
              <w:t>450,000</w:t>
            </w:r>
          </w:p>
        </w:tc>
      </w:tr>
      <w:tr>
        <w:trPr>
          <w:trHeight w:val="27"/>
        </w:trPr>
        <w:tc>
          <w:tcPr>
            <w:tcW w:w="520" w:type="dxa"/>
            <w:vAlign w:val="bottom"/>
          </w:tcPr>
          <w:p>
            <w:pPr>
              <w:spacing w:after="0"/>
              <w:rPr>
                <w:sz w:val="2"/>
                <w:szCs w:val="2"/>
                <w:color w:val="auto"/>
              </w:rPr>
            </w:pPr>
          </w:p>
        </w:tc>
        <w:tc>
          <w:tcPr>
            <w:tcW w:w="85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740" w:type="dxa"/>
            <w:vAlign w:val="bottom"/>
          </w:tcPr>
          <w:p>
            <w:pPr>
              <w:spacing w:after="0"/>
              <w:rPr>
                <w:sz w:val="2"/>
                <w:szCs w:val="2"/>
                <w:color w:val="auto"/>
              </w:rPr>
            </w:pPr>
          </w:p>
        </w:tc>
      </w:tr>
      <w:tr>
        <w:trPr>
          <w:trHeight w:val="250"/>
        </w:trPr>
        <w:tc>
          <w:tcPr>
            <w:tcW w:w="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w w:val="93"/>
              </w:rPr>
              <w:t>2.50%</w:t>
            </w:r>
          </w:p>
        </w:tc>
        <w:tc>
          <w:tcPr>
            <w:tcW w:w="8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Senior unsecured notes, due December 2021</w:t>
            </w:r>
          </w:p>
        </w:tc>
        <w:tc>
          <w:tcPr>
            <w:tcW w:w="46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400,000</w:t>
            </w:r>
          </w:p>
        </w:tc>
      </w:tr>
      <w:tr>
        <w:trPr>
          <w:trHeight w:val="243"/>
        </w:trPr>
        <w:tc>
          <w:tcPr>
            <w:tcW w:w="9040" w:type="dxa"/>
            <w:vAlign w:val="bottom"/>
            <w:gridSpan w:val="2"/>
          </w:tcPr>
          <w:p>
            <w:pPr>
              <w:ind w:left="20"/>
              <w:spacing w:after="0"/>
              <w:rPr>
                <w:sz w:val="20"/>
                <w:szCs w:val="20"/>
                <w:color w:val="auto"/>
              </w:rPr>
            </w:pPr>
            <w:r>
              <w:rPr>
                <w:rFonts w:ascii="Arial" w:cs="Arial" w:eastAsia="Arial" w:hAnsi="Arial"/>
                <w:sz w:val="18"/>
                <w:szCs w:val="18"/>
                <w:color w:val="auto"/>
              </w:rPr>
              <w:t>2.875% Senior unsecured notes, due June 2023</w:t>
            </w:r>
          </w:p>
        </w:tc>
        <w:tc>
          <w:tcPr>
            <w:tcW w:w="460" w:type="dxa"/>
            <w:vAlign w:val="bottom"/>
          </w:tcPr>
          <w:p>
            <w:pPr>
              <w:spacing w:after="0"/>
              <w:rPr>
                <w:sz w:val="21"/>
                <w:szCs w:val="21"/>
                <w:color w:val="auto"/>
              </w:rPr>
            </w:pPr>
          </w:p>
        </w:tc>
        <w:tc>
          <w:tcPr>
            <w:tcW w:w="1740" w:type="dxa"/>
            <w:vAlign w:val="bottom"/>
          </w:tcPr>
          <w:p>
            <w:pPr>
              <w:jc w:val="right"/>
              <w:spacing w:after="0"/>
              <w:rPr>
                <w:sz w:val="20"/>
                <w:szCs w:val="20"/>
                <w:color w:val="auto"/>
              </w:rPr>
            </w:pPr>
            <w:r>
              <w:rPr>
                <w:rFonts w:ascii="Arial" w:cs="Arial" w:eastAsia="Arial" w:hAnsi="Arial"/>
                <w:sz w:val="18"/>
                <w:szCs w:val="18"/>
                <w:color w:val="auto"/>
              </w:rPr>
              <w:t>500,000</w:t>
            </w:r>
          </w:p>
        </w:tc>
      </w:tr>
      <w:tr>
        <w:trPr>
          <w:trHeight w:val="27"/>
        </w:trPr>
        <w:tc>
          <w:tcPr>
            <w:tcW w:w="9040" w:type="dxa"/>
            <w:vAlign w:val="bottom"/>
            <w:gridSpan w:val="2"/>
          </w:tcPr>
          <w:p>
            <w:pPr>
              <w:spacing w:after="0"/>
              <w:rPr>
                <w:sz w:val="2"/>
                <w:szCs w:val="2"/>
                <w:color w:val="auto"/>
              </w:rPr>
            </w:pPr>
          </w:p>
        </w:tc>
        <w:tc>
          <w:tcPr>
            <w:tcW w:w="460" w:type="dxa"/>
            <w:vAlign w:val="bottom"/>
          </w:tcPr>
          <w:p>
            <w:pPr>
              <w:spacing w:after="0"/>
              <w:rPr>
                <w:sz w:val="2"/>
                <w:szCs w:val="2"/>
                <w:color w:val="auto"/>
              </w:rPr>
            </w:pPr>
          </w:p>
        </w:tc>
        <w:tc>
          <w:tcPr>
            <w:tcW w:w="1740" w:type="dxa"/>
            <w:vAlign w:val="bottom"/>
          </w:tcPr>
          <w:p>
            <w:pPr>
              <w:spacing w:after="0"/>
              <w:rPr>
                <w:sz w:val="2"/>
                <w:szCs w:val="2"/>
                <w:color w:val="auto"/>
              </w:rPr>
            </w:pPr>
          </w:p>
        </w:tc>
      </w:tr>
      <w:tr>
        <w:trPr>
          <w:trHeight w:val="250"/>
        </w:trPr>
        <w:tc>
          <w:tcPr>
            <w:tcW w:w="90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3.125% Senior unsecured notes, due December 2023</w:t>
            </w:r>
          </w:p>
        </w:tc>
        <w:tc>
          <w:tcPr>
            <w:tcW w:w="46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550,000</w:t>
            </w:r>
          </w:p>
        </w:tc>
      </w:tr>
      <w:tr>
        <w:trPr>
          <w:trHeight w:val="243"/>
        </w:trPr>
        <w:tc>
          <w:tcPr>
            <w:tcW w:w="520" w:type="dxa"/>
            <w:vAlign w:val="bottom"/>
          </w:tcPr>
          <w:p>
            <w:pPr>
              <w:ind w:left="20"/>
              <w:spacing w:after="0"/>
              <w:rPr>
                <w:sz w:val="20"/>
                <w:szCs w:val="20"/>
                <w:color w:val="auto"/>
              </w:rPr>
            </w:pPr>
            <w:r>
              <w:rPr>
                <w:rFonts w:ascii="Arial" w:cs="Arial" w:eastAsia="Arial" w:hAnsi="Arial"/>
                <w:sz w:val="18"/>
                <w:szCs w:val="18"/>
                <w:color w:val="auto"/>
                <w:w w:val="93"/>
              </w:rPr>
              <w:t>2.95%</w:t>
            </w:r>
          </w:p>
        </w:tc>
        <w:tc>
          <w:tcPr>
            <w:tcW w:w="8520" w:type="dxa"/>
            <w:vAlign w:val="bottom"/>
          </w:tcPr>
          <w:p>
            <w:pPr>
              <w:ind w:left="20"/>
              <w:spacing w:after="0"/>
              <w:rPr>
                <w:sz w:val="20"/>
                <w:szCs w:val="20"/>
                <w:color w:val="auto"/>
              </w:rPr>
            </w:pPr>
            <w:r>
              <w:rPr>
                <w:rFonts w:ascii="Arial" w:cs="Arial" w:eastAsia="Arial" w:hAnsi="Arial"/>
                <w:sz w:val="18"/>
                <w:szCs w:val="18"/>
                <w:color w:val="auto"/>
              </w:rPr>
              <w:t>Senior unsecured notes, due April 2025</w:t>
            </w:r>
          </w:p>
        </w:tc>
        <w:tc>
          <w:tcPr>
            <w:tcW w:w="460" w:type="dxa"/>
            <w:vAlign w:val="bottom"/>
          </w:tcPr>
          <w:p>
            <w:pPr>
              <w:spacing w:after="0"/>
              <w:rPr>
                <w:sz w:val="21"/>
                <w:szCs w:val="21"/>
                <w:color w:val="auto"/>
              </w:rPr>
            </w:pPr>
          </w:p>
        </w:tc>
        <w:tc>
          <w:tcPr>
            <w:tcW w:w="1740" w:type="dxa"/>
            <w:vAlign w:val="bottom"/>
          </w:tcPr>
          <w:p>
            <w:pPr>
              <w:jc w:val="right"/>
              <w:spacing w:after="0"/>
              <w:rPr>
                <w:sz w:val="20"/>
                <w:szCs w:val="20"/>
                <w:color w:val="auto"/>
              </w:rPr>
            </w:pPr>
            <w:r>
              <w:rPr>
                <w:rFonts w:ascii="Arial" w:cs="Arial" w:eastAsia="Arial" w:hAnsi="Arial"/>
                <w:sz w:val="18"/>
                <w:szCs w:val="18"/>
                <w:color w:val="auto"/>
              </w:rPr>
              <w:t>400,000</w:t>
            </w:r>
          </w:p>
        </w:tc>
      </w:tr>
      <w:tr>
        <w:trPr>
          <w:trHeight w:val="27"/>
        </w:trPr>
        <w:tc>
          <w:tcPr>
            <w:tcW w:w="520" w:type="dxa"/>
            <w:vAlign w:val="bottom"/>
          </w:tcPr>
          <w:p>
            <w:pPr>
              <w:spacing w:after="0"/>
              <w:rPr>
                <w:sz w:val="2"/>
                <w:szCs w:val="2"/>
                <w:color w:val="auto"/>
              </w:rPr>
            </w:pPr>
          </w:p>
        </w:tc>
        <w:tc>
          <w:tcPr>
            <w:tcW w:w="85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740" w:type="dxa"/>
            <w:vAlign w:val="bottom"/>
          </w:tcPr>
          <w:p>
            <w:pPr>
              <w:spacing w:after="0"/>
              <w:rPr>
                <w:sz w:val="2"/>
                <w:szCs w:val="2"/>
                <w:color w:val="auto"/>
              </w:rPr>
            </w:pPr>
          </w:p>
        </w:tc>
      </w:tr>
      <w:tr>
        <w:trPr>
          <w:trHeight w:val="250"/>
        </w:trPr>
        <w:tc>
          <w:tcPr>
            <w:tcW w:w="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w w:val="93"/>
              </w:rPr>
              <w:t>3.90%</w:t>
            </w:r>
          </w:p>
        </w:tc>
        <w:tc>
          <w:tcPr>
            <w:tcW w:w="8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Senior unsecured notes, due December 2025</w:t>
            </w:r>
          </w:p>
        </w:tc>
        <w:tc>
          <w:tcPr>
            <w:tcW w:w="46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850,000</w:t>
            </w:r>
          </w:p>
        </w:tc>
      </w:tr>
      <w:tr>
        <w:trPr>
          <w:trHeight w:val="243"/>
        </w:trPr>
        <w:tc>
          <w:tcPr>
            <w:tcW w:w="520" w:type="dxa"/>
            <w:vAlign w:val="bottom"/>
          </w:tcPr>
          <w:p>
            <w:pPr>
              <w:ind w:left="20"/>
              <w:spacing w:after="0"/>
              <w:rPr>
                <w:sz w:val="20"/>
                <w:szCs w:val="20"/>
                <w:color w:val="auto"/>
              </w:rPr>
            </w:pPr>
            <w:r>
              <w:rPr>
                <w:rFonts w:ascii="Arial" w:cs="Arial" w:eastAsia="Arial" w:hAnsi="Arial"/>
                <w:sz w:val="18"/>
                <w:szCs w:val="18"/>
                <w:color w:val="auto"/>
                <w:w w:val="93"/>
              </w:rPr>
              <w:t>3.50%</w:t>
            </w:r>
          </w:p>
        </w:tc>
        <w:tc>
          <w:tcPr>
            <w:tcW w:w="8520" w:type="dxa"/>
            <w:vAlign w:val="bottom"/>
          </w:tcPr>
          <w:p>
            <w:pPr>
              <w:ind w:left="20"/>
              <w:spacing w:after="0"/>
              <w:rPr>
                <w:sz w:val="20"/>
                <w:szCs w:val="20"/>
                <w:color w:val="auto"/>
              </w:rPr>
            </w:pPr>
            <w:r>
              <w:rPr>
                <w:rFonts w:ascii="Arial" w:cs="Arial" w:eastAsia="Arial" w:hAnsi="Arial"/>
                <w:sz w:val="18"/>
                <w:szCs w:val="18"/>
                <w:color w:val="auto"/>
              </w:rPr>
              <w:t>Senior unsecured notes, due December 2026</w:t>
            </w:r>
          </w:p>
        </w:tc>
        <w:tc>
          <w:tcPr>
            <w:tcW w:w="460" w:type="dxa"/>
            <w:vAlign w:val="bottom"/>
          </w:tcPr>
          <w:p>
            <w:pPr>
              <w:spacing w:after="0"/>
              <w:rPr>
                <w:sz w:val="21"/>
                <w:szCs w:val="21"/>
                <w:color w:val="auto"/>
              </w:rPr>
            </w:pPr>
          </w:p>
        </w:tc>
        <w:tc>
          <w:tcPr>
            <w:tcW w:w="1740" w:type="dxa"/>
            <w:vAlign w:val="bottom"/>
          </w:tcPr>
          <w:p>
            <w:pPr>
              <w:jc w:val="right"/>
              <w:spacing w:after="0"/>
              <w:rPr>
                <w:sz w:val="20"/>
                <w:szCs w:val="20"/>
                <w:color w:val="auto"/>
              </w:rPr>
            </w:pPr>
            <w:r>
              <w:rPr>
                <w:rFonts w:ascii="Arial" w:cs="Arial" w:eastAsia="Arial" w:hAnsi="Arial"/>
                <w:sz w:val="18"/>
                <w:szCs w:val="18"/>
                <w:color w:val="auto"/>
              </w:rPr>
              <w:t>900,000</w:t>
            </w:r>
          </w:p>
        </w:tc>
      </w:tr>
      <w:tr>
        <w:trPr>
          <w:trHeight w:val="27"/>
        </w:trPr>
        <w:tc>
          <w:tcPr>
            <w:tcW w:w="520" w:type="dxa"/>
            <w:vAlign w:val="bottom"/>
          </w:tcPr>
          <w:p>
            <w:pPr>
              <w:spacing w:after="0"/>
              <w:rPr>
                <w:sz w:val="2"/>
                <w:szCs w:val="2"/>
                <w:color w:val="auto"/>
              </w:rPr>
            </w:pPr>
          </w:p>
        </w:tc>
        <w:tc>
          <w:tcPr>
            <w:tcW w:w="85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740" w:type="dxa"/>
            <w:vAlign w:val="bottom"/>
          </w:tcPr>
          <w:p>
            <w:pPr>
              <w:spacing w:after="0"/>
              <w:rPr>
                <w:sz w:val="2"/>
                <w:szCs w:val="2"/>
                <w:color w:val="auto"/>
              </w:rPr>
            </w:pPr>
          </w:p>
        </w:tc>
      </w:tr>
      <w:tr>
        <w:trPr>
          <w:trHeight w:val="250"/>
        </w:trPr>
        <w:tc>
          <w:tcPr>
            <w:tcW w:w="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w w:val="93"/>
              </w:rPr>
              <w:t>4.50%</w:t>
            </w:r>
          </w:p>
        </w:tc>
        <w:tc>
          <w:tcPr>
            <w:tcW w:w="8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Senior unsecured notes, due December 2036</w:t>
            </w:r>
          </w:p>
        </w:tc>
        <w:tc>
          <w:tcPr>
            <w:tcW w:w="46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250,000</w:t>
            </w:r>
          </w:p>
        </w:tc>
      </w:tr>
      <w:tr>
        <w:trPr>
          <w:trHeight w:val="243"/>
        </w:trPr>
        <w:tc>
          <w:tcPr>
            <w:tcW w:w="520" w:type="dxa"/>
            <w:vAlign w:val="bottom"/>
          </w:tcPr>
          <w:p>
            <w:pPr>
              <w:ind w:left="20"/>
              <w:spacing w:after="0"/>
              <w:rPr>
                <w:sz w:val="20"/>
                <w:szCs w:val="20"/>
                <w:color w:val="auto"/>
              </w:rPr>
            </w:pPr>
            <w:r>
              <w:rPr>
                <w:rFonts w:ascii="Arial" w:cs="Arial" w:eastAsia="Arial" w:hAnsi="Arial"/>
                <w:sz w:val="18"/>
                <w:szCs w:val="18"/>
                <w:color w:val="auto"/>
                <w:w w:val="93"/>
              </w:rPr>
              <w:t>5.30%</w:t>
            </w:r>
          </w:p>
        </w:tc>
        <w:tc>
          <w:tcPr>
            <w:tcW w:w="8520" w:type="dxa"/>
            <w:vAlign w:val="bottom"/>
          </w:tcPr>
          <w:p>
            <w:pPr>
              <w:ind w:left="20"/>
              <w:spacing w:after="0"/>
              <w:rPr>
                <w:sz w:val="20"/>
                <w:szCs w:val="20"/>
                <w:color w:val="auto"/>
              </w:rPr>
            </w:pPr>
            <w:r>
              <w:rPr>
                <w:rFonts w:ascii="Arial" w:cs="Arial" w:eastAsia="Arial" w:hAnsi="Arial"/>
                <w:sz w:val="18"/>
                <w:szCs w:val="18"/>
                <w:color w:val="auto"/>
              </w:rPr>
              <w:t>Senior unsecured notes, due December 2045</w:t>
            </w:r>
          </w:p>
        </w:tc>
        <w:tc>
          <w:tcPr>
            <w:tcW w:w="460" w:type="dxa"/>
            <w:vAlign w:val="bottom"/>
          </w:tcPr>
          <w:p>
            <w:pPr>
              <w:spacing w:after="0"/>
              <w:rPr>
                <w:sz w:val="21"/>
                <w:szCs w:val="21"/>
                <w:color w:val="auto"/>
              </w:rPr>
            </w:pPr>
          </w:p>
        </w:tc>
        <w:tc>
          <w:tcPr>
            <w:tcW w:w="1740" w:type="dxa"/>
            <w:vAlign w:val="bottom"/>
          </w:tcPr>
          <w:p>
            <w:pPr>
              <w:jc w:val="right"/>
              <w:spacing w:after="0"/>
              <w:rPr>
                <w:sz w:val="20"/>
                <w:szCs w:val="20"/>
                <w:color w:val="auto"/>
              </w:rPr>
            </w:pPr>
            <w:r>
              <w:rPr>
                <w:rFonts w:ascii="Arial" w:cs="Arial" w:eastAsia="Arial" w:hAnsi="Arial"/>
                <w:sz w:val="18"/>
                <w:szCs w:val="18"/>
                <w:color w:val="auto"/>
              </w:rPr>
              <w:t>400,000</w:t>
            </w:r>
          </w:p>
        </w:tc>
      </w:tr>
      <w:tr>
        <w:trPr>
          <w:trHeight w:val="27"/>
        </w:trPr>
        <w:tc>
          <w:tcPr>
            <w:tcW w:w="9040" w:type="dxa"/>
            <w:vAlign w:val="bottom"/>
            <w:tcBorders>
              <w:bottom w:val="single" w:sz="8" w:color="CCEEFF"/>
            </w:tcBorders>
            <w:gridSpan w:val="2"/>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r>
      <w:tr>
        <w:trPr>
          <w:trHeight w:val="236"/>
        </w:trPr>
        <w:tc>
          <w:tcPr>
            <w:tcW w:w="90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Total debt</w:t>
            </w:r>
          </w:p>
        </w:tc>
        <w:tc>
          <w:tcPr>
            <w:tcW w:w="46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w w:val="79"/>
              </w:rPr>
              <w:t>$</w:t>
            </w:r>
          </w:p>
        </w:tc>
        <w:tc>
          <w:tcPr>
            <w:tcW w:w="1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5,625,000</w:t>
            </w:r>
          </w:p>
        </w:tc>
      </w:tr>
      <w:tr>
        <w:trPr>
          <w:trHeight w:val="27"/>
        </w:trPr>
        <w:tc>
          <w:tcPr>
            <w:tcW w:w="520" w:type="dxa"/>
            <w:vAlign w:val="bottom"/>
            <w:shd w:val="clear" w:color="auto" w:fill="CCEEFF"/>
          </w:tcPr>
          <w:p>
            <w:pPr>
              <w:spacing w:after="0"/>
              <w:rPr>
                <w:sz w:val="2"/>
                <w:szCs w:val="2"/>
                <w:color w:val="auto"/>
              </w:rPr>
            </w:pPr>
          </w:p>
        </w:tc>
        <w:tc>
          <w:tcPr>
            <w:tcW w:w="8520" w:type="dxa"/>
            <w:vAlign w:val="bottom"/>
            <w:shd w:val="clear" w:color="auto" w:fill="CCEEFF"/>
          </w:tcPr>
          <w:p>
            <w:pPr>
              <w:spacing w:after="0"/>
              <w:rPr>
                <w:sz w:val="2"/>
                <w:szCs w:val="2"/>
                <w:color w:val="auto"/>
              </w:rPr>
            </w:pPr>
          </w:p>
        </w:tc>
        <w:tc>
          <w:tcPr>
            <w:tcW w:w="460" w:type="dxa"/>
            <w:vAlign w:val="bottom"/>
            <w:shd w:val="clear" w:color="auto" w:fill="CCEEFF"/>
          </w:tcPr>
          <w:p>
            <w:pPr>
              <w:spacing w:after="0"/>
              <w:rPr>
                <w:sz w:val="2"/>
                <w:szCs w:val="2"/>
                <w:color w:val="auto"/>
              </w:rPr>
            </w:pPr>
          </w:p>
        </w:tc>
        <w:tc>
          <w:tcPr>
            <w:tcW w:w="1740" w:type="dxa"/>
            <w:vAlign w:val="bottom"/>
            <w:shd w:val="clear" w:color="auto" w:fill="CCEEFF"/>
          </w:tcPr>
          <w:p>
            <w:pPr>
              <w:spacing w:after="0"/>
              <w:rPr>
                <w:sz w:val="2"/>
                <w:szCs w:val="2"/>
                <w:color w:val="auto"/>
              </w:rPr>
            </w:pPr>
          </w:p>
        </w:tc>
      </w:tr>
    </w:tbl>
    <w:p>
      <w:pPr>
        <w:spacing w:after="0" w:line="94" w:lineRule="exact"/>
        <w:rPr>
          <w:sz w:val="20"/>
          <w:szCs w:val="20"/>
          <w:color w:val="auto"/>
        </w:rPr>
      </w:pPr>
    </w:p>
    <w:p>
      <w:pPr>
        <w:ind w:right="240" w:firstLine="445"/>
        <w:spacing w:after="0" w:line="259" w:lineRule="auto"/>
        <w:rPr>
          <w:sz w:val="20"/>
          <w:szCs w:val="20"/>
          <w:color w:val="auto"/>
        </w:rPr>
      </w:pPr>
      <w:r>
        <w:rPr>
          <w:rFonts w:ascii="Arial" w:cs="Arial" w:eastAsia="Arial" w:hAnsi="Arial"/>
          <w:sz w:val="18"/>
          <w:szCs w:val="18"/>
          <w:color w:val="auto"/>
        </w:rPr>
        <w:t>In March 2020, we repaid the 2.85% senior unsecured notes that were due March 2020 and in April 2020, we issued the 2.95% senior unsecured notes due April 2025. The indentures governing our outstanding notes contain covenants that may limit our ability to: incur, create, assume or guarantee any debt for borrowed money secured by a lien upon a principal property; enter into sale and lease-back transactions with respect to a principal property; and consolidate with or merge into, or transfer or</w:t>
      </w:r>
    </w:p>
    <w:p>
      <w:pPr>
        <w:sectPr>
          <w:pgSz w:w="11900" w:h="16838" w:orient="portrait"/>
          <w:cols w:equalWidth="0" w:num="1">
            <w:col w:w="11240"/>
          </w:cols>
          <w:pgMar w:left="320" w:top="1124"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24" w:right="339" w:bottom="1440" w:gutter="0" w:footer="0" w:header="0"/>
          <w:type w:val="continuous"/>
        </w:sectPr>
      </w:pPr>
    </w:p>
    <w:bookmarkStart w:id="29" w:name="page30"/>
    <w:bookmarkEnd w:id="29"/>
    <w:p>
      <w:pPr>
        <w:ind w:right="1980"/>
        <w:spacing w:after="0" w:line="375" w:lineRule="auto"/>
        <w:rPr>
          <w:sz w:val="20"/>
          <w:szCs w:val="20"/>
          <w:color w:val="auto"/>
        </w:rPr>
      </w:pPr>
      <w:r>
        <w:rPr>
          <w:rFonts w:ascii="Arial" w:cs="Arial" w:eastAsia="Arial" w:hAnsi="Arial"/>
          <w:sz w:val="18"/>
          <w:szCs w:val="18"/>
          <w:color w:val="auto"/>
        </w:rPr>
        <w:t xml:space="preserve">lease all or substantially all of our assets to, any other party. As of August 1, 2020, we were in compliance with these covenants. </w:t>
      </w:r>
      <w:r>
        <w:rPr>
          <w:rFonts w:ascii="Arial" w:cs="Arial" w:eastAsia="Arial" w:hAnsi="Arial"/>
          <w:sz w:val="18"/>
          <w:szCs w:val="18"/>
          <w:i w:val="1"/>
          <w:iCs w:val="1"/>
          <w:color w:val="auto"/>
        </w:rPr>
        <w:t>Revolving Credit Facility</w:t>
      </w:r>
    </w:p>
    <w:p>
      <w:pPr>
        <w:spacing w:after="0" w:line="1" w:lineRule="exact"/>
        <w:rPr>
          <w:sz w:val="20"/>
          <w:szCs w:val="20"/>
          <w:color w:val="auto"/>
        </w:rPr>
      </w:pPr>
    </w:p>
    <w:p>
      <w:pPr>
        <w:ind w:firstLine="445"/>
        <w:spacing w:after="0" w:line="289" w:lineRule="auto"/>
        <w:rPr>
          <w:sz w:val="20"/>
          <w:szCs w:val="20"/>
          <w:color w:val="auto"/>
        </w:rPr>
      </w:pPr>
      <w:r>
        <w:rPr>
          <w:rFonts w:ascii="Arial" w:cs="Arial" w:eastAsia="Arial" w:hAnsi="Arial"/>
          <w:sz w:val="16"/>
          <w:szCs w:val="16"/>
          <w:color w:val="auto"/>
        </w:rPr>
        <w:t>Our Second Amended and Restated Revolving Credit Agreement, dated as of June 28, 2019, with Bank of America N.A. as administrative agent and other banks identified therein as lenders (Revolving Credit Agreement) provides for a five-year unsecured revolving credit facility in an aggregate principal amount of up to $1.25 billion, expiring on June 28, 2024. In March 2020, we borrowed $350.0 million under this revolving credit facility and utilized the proceeds for the repayment of existing indebtedness and working capital requirements. We repaid the $350.0 million plus interest of $0.6 million in April 2020. We may borrow under this revolving credit facility in the future and use the proceeds for repayment of existing indebtedness, stock repurchases, acquisitions, capital expenditures, working capital and other lawful corporate purposes. The terms of the Revolving Credit Agreement impose restrictions on our ability to undertake certain transactions, to create certain liens on assets and to incur certain subsidiary indebtedness. In addition, the Revolving Credit Agreement contains a consolidated leverage ratio covenant of total consolidated funded debt to consolidated earnings before interest, taxes, depreciation, and amortization (EBITDA) of not greater than 3.5 to 1.0. As of August 1, 2020, we were in compliance with these covenants.</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Stock Repurchase Program</w:t>
      </w:r>
    </w:p>
    <w:p>
      <w:pPr>
        <w:spacing w:after="0" w:line="117" w:lineRule="exact"/>
        <w:rPr>
          <w:sz w:val="20"/>
          <w:szCs w:val="20"/>
          <w:color w:val="auto"/>
        </w:rPr>
      </w:pPr>
    </w:p>
    <w:p>
      <w:pPr>
        <w:ind w:right="60" w:firstLine="405"/>
        <w:spacing w:after="0" w:line="254" w:lineRule="auto"/>
        <w:rPr>
          <w:sz w:val="20"/>
          <w:szCs w:val="20"/>
          <w:color w:val="auto"/>
        </w:rPr>
      </w:pPr>
      <w:r>
        <w:rPr>
          <w:rFonts w:ascii="Arial" w:cs="Arial" w:eastAsia="Arial" w:hAnsi="Arial"/>
          <w:sz w:val="18"/>
          <w:szCs w:val="18"/>
          <w:color w:val="auto"/>
        </w:rPr>
        <w:t>In the aggregate, our Board of Directors has authorized us to repurchase $8.2 billion of our common stock under our common stock repurchase program. Unless terminated earlier by resolution of our Board of Directors, the repurchase program will expire when we have repurchased all shares authorized under the program. As of August 1, 2020, an additional $1.9 billion remains available for repurchase under the current authorized program. The repurchased shares are held as authorized but unissued shares of common stock. We also repurchase shares in settlement of employee tax withholding obligations due upon the vesting of restricted stock units/awards or the exercise of stock options. Given the planned acquisition of Maxim, we have continued the temporary suspension our share repurchase program, which was previously suspended in March 2020 as a result of the global macroeconomic environment. Future repurchases of common stock will be dependent upon our financial position, results of operations, outlook, liquidity, and other factors we deem relevant.</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Capital Expenditures</w:t>
      </w:r>
    </w:p>
    <w:p>
      <w:pPr>
        <w:spacing w:after="0" w:line="104" w:lineRule="exact"/>
        <w:rPr>
          <w:sz w:val="20"/>
          <w:szCs w:val="20"/>
          <w:color w:val="auto"/>
        </w:rPr>
      </w:pPr>
    </w:p>
    <w:p>
      <w:pPr>
        <w:ind w:right="180" w:firstLine="445"/>
        <w:spacing w:after="0" w:line="286" w:lineRule="auto"/>
        <w:rPr>
          <w:sz w:val="20"/>
          <w:szCs w:val="20"/>
          <w:color w:val="auto"/>
        </w:rPr>
      </w:pPr>
      <w:r>
        <w:rPr>
          <w:rFonts w:ascii="Arial" w:cs="Arial" w:eastAsia="Arial" w:hAnsi="Arial"/>
          <w:sz w:val="17"/>
          <w:szCs w:val="17"/>
          <w:color w:val="auto"/>
        </w:rPr>
        <w:t>Net additions to property, plant and equipment were $135.8 million in the first nine months of fiscal 2020 and were funded with a combination of cash on hand and cash generated from operations. We expect capital expenditures for fiscal 2020 to be below 4% of fiscal 2020 revenue. We expect these capital expenditures will be funded with a combination of cash on hand and cash generated from operations.</w:t>
      </w:r>
    </w:p>
    <w:p>
      <w:pPr>
        <w:spacing w:after="0" w:line="3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Analog Devices Foundation</w:t>
      </w:r>
    </w:p>
    <w:p>
      <w:pPr>
        <w:spacing w:after="0" w:line="104" w:lineRule="exact"/>
        <w:rPr>
          <w:sz w:val="20"/>
          <w:szCs w:val="20"/>
          <w:color w:val="auto"/>
        </w:rPr>
      </w:pPr>
    </w:p>
    <w:p>
      <w:pPr>
        <w:jc w:val="both"/>
        <w:ind w:right="100" w:firstLine="445"/>
        <w:spacing w:after="0" w:line="263" w:lineRule="auto"/>
        <w:rPr>
          <w:sz w:val="20"/>
          <w:szCs w:val="20"/>
          <w:color w:val="auto"/>
        </w:rPr>
      </w:pPr>
      <w:r>
        <w:rPr>
          <w:rFonts w:ascii="Arial" w:cs="Arial" w:eastAsia="Arial" w:hAnsi="Arial"/>
          <w:sz w:val="18"/>
          <w:szCs w:val="18"/>
          <w:color w:val="auto"/>
        </w:rPr>
        <w:t>During the first quarter of fiscal 2020, we contributed 335,654 shares of our common stock to the Analog Devices Foundation. As of the date of the contribution, the shares had a fair value of approximately $40.0 million. This expense was recorded in SMG&amp;A in the Condensed Consolidated Statement of Income.</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Dividends</w:t>
      </w:r>
    </w:p>
    <w:p>
      <w:pPr>
        <w:spacing w:after="0" w:line="117" w:lineRule="exact"/>
        <w:rPr>
          <w:sz w:val="20"/>
          <w:szCs w:val="20"/>
          <w:color w:val="auto"/>
        </w:rPr>
      </w:pPr>
    </w:p>
    <w:p>
      <w:pPr>
        <w:ind w:right="20" w:firstLine="445"/>
        <w:spacing w:after="0" w:line="257" w:lineRule="auto"/>
        <w:rPr>
          <w:sz w:val="20"/>
          <w:szCs w:val="20"/>
          <w:color w:val="auto"/>
        </w:rPr>
      </w:pPr>
      <w:r>
        <w:rPr>
          <w:rFonts w:ascii="Arial" w:cs="Arial" w:eastAsia="Arial" w:hAnsi="Arial"/>
          <w:sz w:val="18"/>
          <w:szCs w:val="18"/>
          <w:color w:val="auto"/>
        </w:rPr>
        <w:t>On August 18, 2020, our Board of Directors declared a cash dividend of $0.62 per outstanding share of common stock. The dividend will be paid on September 9, 2020 to all shareholders of record at the close of business on August 28, 2020 and is expected to total approximately $228.9 million. We currently expect quarterly dividends to continue in future periods. The payment of any future quarterly dividends, or a future increase in the quarterly dividend amount, will be at the discretion of the Board and will be dependent upon our financial position, results of operations, outlook, liquidity, and other factors deemed relevant by the Board.</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w:t>
      </w:r>
    </w:p>
    <w:p>
      <w:pPr>
        <w:spacing w:after="0" w:line="121" w:lineRule="exact"/>
        <w:rPr>
          <w:sz w:val="20"/>
          <w:szCs w:val="20"/>
          <w:color w:val="auto"/>
        </w:rPr>
      </w:pPr>
    </w:p>
    <w:p>
      <w:pPr>
        <w:ind w:right="80" w:firstLine="445"/>
        <w:spacing w:after="0" w:line="257" w:lineRule="auto"/>
        <w:rPr>
          <w:sz w:val="20"/>
          <w:szCs w:val="20"/>
          <w:color w:val="auto"/>
        </w:rPr>
      </w:pPr>
      <w:r>
        <w:rPr>
          <w:rFonts w:ascii="Arial" w:cs="Arial" w:eastAsia="Arial" w:hAnsi="Arial"/>
          <w:sz w:val="18"/>
          <w:szCs w:val="18"/>
          <w:color w:val="auto"/>
        </w:rPr>
        <w:t xml:space="preserve">In the second quarter of fiscal 2020, we issued a green bond consisting of $400.0 million aggregate principal amount of 2.95% senior unsecured notes due April 1, 2025 with semi-annual fixed interest payments due on April 1 and October 1 of each year, commencing October 1, 2020. In addition, during the same period, we repaid $300.0 million of principal on our 3-year 2.85% senior unsecured notes that were contractually due in March 2020. For additional information, see Note 11, </w:t>
      </w:r>
      <w:r>
        <w:rPr>
          <w:rFonts w:ascii="Arial" w:cs="Arial" w:eastAsia="Arial" w:hAnsi="Arial"/>
          <w:sz w:val="18"/>
          <w:szCs w:val="18"/>
          <w:i w:val="1"/>
          <w:iCs w:val="1"/>
          <w:color w:val="auto"/>
        </w:rPr>
        <w:t>Debt,</w:t>
      </w:r>
      <w:r>
        <w:rPr>
          <w:rFonts w:ascii="Arial" w:cs="Arial" w:eastAsia="Arial" w:hAnsi="Arial"/>
          <w:sz w:val="18"/>
          <w:szCs w:val="18"/>
          <w:color w:val="auto"/>
        </w:rPr>
        <w:t xml:space="preserve"> in the Notes to Condensed Consolidated Financial Statements in Part I, Item 1 of this Quarterly Report on Form 10-Q.</w:t>
      </w:r>
    </w:p>
    <w:p>
      <w:pPr>
        <w:spacing w:after="0" w:line="80" w:lineRule="exact"/>
        <w:rPr>
          <w:sz w:val="20"/>
          <w:szCs w:val="20"/>
          <w:color w:val="auto"/>
        </w:rPr>
      </w:pPr>
    </w:p>
    <w:p>
      <w:pPr>
        <w:ind w:right="900" w:firstLine="405"/>
        <w:spacing w:after="0" w:line="342" w:lineRule="auto"/>
        <w:rPr>
          <w:sz w:val="20"/>
          <w:szCs w:val="20"/>
          <w:color w:val="auto"/>
        </w:rPr>
      </w:pPr>
      <w:r>
        <w:rPr>
          <w:rFonts w:ascii="Arial" w:cs="Arial" w:eastAsia="Arial" w:hAnsi="Arial"/>
          <w:sz w:val="16"/>
          <w:szCs w:val="16"/>
          <w:color w:val="auto"/>
        </w:rPr>
        <w:t>There have not been any other material changes during the nine-month period ended August 1, 2020 to the amounts presented in the table summarizing our contractual obligations included in our Annual Report on Form 10-K for the fiscal year ended November 2, 2019.</w:t>
      </w:r>
    </w:p>
    <w:p>
      <w:pPr>
        <w:spacing w:after="0" w:line="200" w:lineRule="exact"/>
        <w:rPr>
          <w:sz w:val="20"/>
          <w:szCs w:val="20"/>
          <w:color w:val="auto"/>
        </w:rPr>
      </w:pPr>
    </w:p>
    <w:p>
      <w:pPr>
        <w:spacing w:after="0" w:line="26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124" w:right="359" w:bottom="1440" w:gutter="0" w:footer="0" w:header="0"/>
        </w:sectPr>
      </w:pPr>
    </w:p>
    <w:bookmarkStart w:id="30" w:name="page31"/>
    <w:bookmarkEnd w:id="30"/>
    <w:p>
      <w:pPr>
        <w:spacing w:after="0"/>
        <w:rPr>
          <w:sz w:val="20"/>
          <w:szCs w:val="20"/>
          <w:color w:val="auto"/>
        </w:rPr>
      </w:pPr>
      <w:r>
        <w:rPr>
          <w:rFonts w:ascii="Arial" w:cs="Arial" w:eastAsia="Arial" w:hAnsi="Arial"/>
          <w:sz w:val="18"/>
          <w:szCs w:val="18"/>
          <w:b w:val="1"/>
          <w:bCs w:val="1"/>
          <w:color w:val="auto"/>
        </w:rPr>
        <w:t>New Accounting Pronouncements</w:t>
      </w:r>
    </w:p>
    <w:p>
      <w:pPr>
        <w:spacing w:after="0" w:line="121" w:lineRule="exact"/>
        <w:rPr>
          <w:sz w:val="20"/>
          <w:szCs w:val="20"/>
          <w:color w:val="auto"/>
        </w:rPr>
      </w:pPr>
    </w:p>
    <w:p>
      <w:pPr>
        <w:ind w:right="60" w:firstLine="445"/>
        <w:spacing w:after="0" w:line="275" w:lineRule="auto"/>
        <w:rPr>
          <w:sz w:val="20"/>
          <w:szCs w:val="20"/>
          <w:color w:val="auto"/>
        </w:rPr>
      </w:pPr>
      <w:r>
        <w:rPr>
          <w:rFonts w:ascii="Arial" w:cs="Arial" w:eastAsia="Arial" w:hAnsi="Arial"/>
          <w:sz w:val="17"/>
          <w:szCs w:val="17"/>
          <w:color w:val="auto"/>
        </w:rPr>
        <w:t xml:space="preserve">From time to time, new accounting pronouncements are issued by the Financial Accounting Standards Board (FASB) that are adopted by us as of the specified effective date. Unless otherwise discussed, management believes that the impact of recently issued standards will not have a material impact on our future financial condition and results of operations. See Note 14, </w:t>
      </w:r>
      <w:r>
        <w:rPr>
          <w:rFonts w:ascii="Arial" w:cs="Arial" w:eastAsia="Arial" w:hAnsi="Arial"/>
          <w:sz w:val="17"/>
          <w:szCs w:val="17"/>
          <w:i w:val="1"/>
          <w:iCs w:val="1"/>
          <w:color w:val="auto"/>
        </w:rPr>
        <w:t>New Accounting Pronouncements,</w:t>
      </w:r>
      <w:r>
        <w:rPr>
          <w:rFonts w:ascii="Arial" w:cs="Arial" w:eastAsia="Arial" w:hAnsi="Arial"/>
          <w:sz w:val="17"/>
          <w:szCs w:val="17"/>
          <w:color w:val="auto"/>
        </w:rPr>
        <w:t xml:space="preserve"> in the Notes to Condensed Consolidated Financial Statements in Part I, Item 1 of this Quarterly Report on Form 10-Q for a description of recently issued and adopted accounting pronouncements, including the dates of adoption and impact on our historical financial condition and results of operations.</w:t>
      </w:r>
    </w:p>
    <w:p>
      <w:pPr>
        <w:spacing w:after="0" w:line="68"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Leases</w:t>
      </w:r>
    </w:p>
    <w:p>
      <w:pPr>
        <w:spacing w:after="0" w:line="117" w:lineRule="exact"/>
        <w:rPr>
          <w:sz w:val="20"/>
          <w:szCs w:val="20"/>
          <w:color w:val="auto"/>
        </w:rPr>
      </w:pPr>
    </w:p>
    <w:p>
      <w:pPr>
        <w:ind w:firstLine="445"/>
        <w:spacing w:after="0" w:line="290" w:lineRule="auto"/>
        <w:rPr>
          <w:sz w:val="20"/>
          <w:szCs w:val="20"/>
          <w:color w:val="auto"/>
        </w:rPr>
      </w:pPr>
      <w:r>
        <w:rPr>
          <w:rFonts w:ascii="Arial" w:cs="Arial" w:eastAsia="Arial" w:hAnsi="Arial"/>
          <w:sz w:val="16"/>
          <w:szCs w:val="16"/>
          <w:color w:val="auto"/>
        </w:rPr>
        <w:t xml:space="preserve">In February 2016, the FASB issued ASU 2016-02, </w:t>
      </w:r>
      <w:r>
        <w:rPr>
          <w:rFonts w:ascii="Arial" w:cs="Arial" w:eastAsia="Arial" w:hAnsi="Arial"/>
          <w:sz w:val="16"/>
          <w:szCs w:val="16"/>
          <w:i w:val="1"/>
          <w:iCs w:val="1"/>
          <w:color w:val="auto"/>
        </w:rPr>
        <w:t>Leases (Topic 842)</w:t>
      </w:r>
      <w:r>
        <w:rPr>
          <w:rFonts w:ascii="Arial" w:cs="Arial" w:eastAsia="Arial" w:hAnsi="Arial"/>
          <w:sz w:val="16"/>
          <w:szCs w:val="16"/>
          <w:color w:val="auto"/>
        </w:rPr>
        <w:t xml:space="preserve"> (ASU 2016-02). ASU 2016-02 requires a lessee to recognize most leases on the balance sheet but recognize expenses on the income statement in a manner similar to current practice. The update states that a lessee will recognize a lease liability for the obligation to make lease payments and a right-to-use asset for the right to use the underlying assets for the lease term. Leases will continue to be classified as either financing or operating, with classification affecting the recognition, measurement and presentation of expenses and cash flows arising from a lease. The FASB has issued amendments and updates to the new standard, including practical expedients to be used during adoption. The Company adopted the standard in the first quarter of fiscal 2020 under the modified retrospective approach. As a result of the adoption of ASU 2016-02, we changed our accounting policy for leases. See Note 2, </w:t>
      </w:r>
      <w:r>
        <w:rPr>
          <w:rFonts w:ascii="Arial" w:cs="Arial" w:eastAsia="Arial" w:hAnsi="Arial"/>
          <w:sz w:val="16"/>
          <w:szCs w:val="16"/>
          <w:i w:val="1"/>
          <w:iCs w:val="1"/>
          <w:color w:val="auto"/>
        </w:rPr>
        <w:t>Leases</w:t>
      </w:r>
      <w:r>
        <w:rPr>
          <w:rFonts w:ascii="Arial" w:cs="Arial" w:eastAsia="Arial" w:hAnsi="Arial"/>
          <w:sz w:val="16"/>
          <w:szCs w:val="16"/>
          <w:color w:val="auto"/>
        </w:rPr>
        <w:t xml:space="preserve"> and Note 14, </w:t>
      </w:r>
      <w:r>
        <w:rPr>
          <w:rFonts w:ascii="Arial" w:cs="Arial" w:eastAsia="Arial" w:hAnsi="Arial"/>
          <w:sz w:val="16"/>
          <w:szCs w:val="16"/>
          <w:i w:val="1"/>
          <w:iCs w:val="1"/>
          <w:color w:val="auto"/>
        </w:rPr>
        <w:t>New Accounting Pronouncements</w:t>
      </w:r>
      <w:r>
        <w:rPr>
          <w:rFonts w:ascii="Arial" w:cs="Arial" w:eastAsia="Arial" w:hAnsi="Arial"/>
          <w:sz w:val="16"/>
          <w:szCs w:val="16"/>
          <w:color w:val="auto"/>
        </w:rPr>
        <w:t>, in the Notes to Condensed Consolidated Financial Statements in Part I, Item 1 of this Quarterly Report on Form 10-Q for details of the impact of this ASU on our financial statements.</w:t>
      </w:r>
    </w:p>
    <w:p>
      <w:pPr>
        <w:spacing w:after="0" w:line="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121" w:lineRule="exact"/>
        <w:rPr>
          <w:sz w:val="20"/>
          <w:szCs w:val="20"/>
          <w:color w:val="auto"/>
        </w:rPr>
      </w:pPr>
    </w:p>
    <w:p>
      <w:pPr>
        <w:ind w:right="160" w:firstLine="405"/>
        <w:spacing w:after="0" w:line="275" w:lineRule="auto"/>
        <w:rPr>
          <w:sz w:val="20"/>
          <w:szCs w:val="20"/>
          <w:color w:val="auto"/>
        </w:rPr>
      </w:pPr>
      <w:r>
        <w:rPr>
          <w:rFonts w:ascii="Arial" w:cs="Arial" w:eastAsia="Arial" w:hAnsi="Arial"/>
          <w:sz w:val="17"/>
          <w:szCs w:val="17"/>
          <w:color w:val="auto"/>
        </w:rPr>
        <w:t>Except for the accounting policies for leases and income taxes that were updated as a result of adopting ASU 2016-02 and ASU 2018-02, respectively, there were no other material changes in the nine-month period ended August 1, 2020 to the information provided under the heading “Critical Accounting Policies and Estimates” in the section entitled "Management's Discussion and Analysis of Financial Condition and Results of Operations" of our Annual Report on Form 10-K for the fiscal year ended November 2, 2019. See Note 2</w:t>
      </w:r>
      <w:r>
        <w:rPr>
          <w:rFonts w:ascii="Arial" w:cs="Arial" w:eastAsia="Arial" w:hAnsi="Arial"/>
          <w:sz w:val="17"/>
          <w:szCs w:val="17"/>
          <w:i w:val="1"/>
          <w:iCs w:val="1"/>
          <w:color w:val="auto"/>
        </w:rPr>
        <w:t>, Leases</w:t>
      </w:r>
      <w:r>
        <w:rPr>
          <w:rFonts w:ascii="Arial" w:cs="Arial" w:eastAsia="Arial" w:hAnsi="Arial"/>
          <w:sz w:val="17"/>
          <w:szCs w:val="17"/>
          <w:color w:val="auto"/>
        </w:rPr>
        <w:t xml:space="preserve"> and Note 13, </w:t>
      </w:r>
      <w:r>
        <w:rPr>
          <w:rFonts w:ascii="Arial" w:cs="Arial" w:eastAsia="Arial" w:hAnsi="Arial"/>
          <w:sz w:val="17"/>
          <w:szCs w:val="17"/>
          <w:i w:val="1"/>
          <w:iCs w:val="1"/>
          <w:color w:val="auto"/>
        </w:rPr>
        <w:t>Income Taxes</w:t>
      </w:r>
      <w:r>
        <w:rPr>
          <w:rFonts w:ascii="Arial" w:cs="Arial" w:eastAsia="Arial" w:hAnsi="Arial"/>
          <w:sz w:val="17"/>
          <w:szCs w:val="17"/>
          <w:color w:val="auto"/>
        </w:rPr>
        <w:t xml:space="preserve"> of the Notes to Condensed Consolidated Financial Statements in Part I, Item 1 in this Quarterly Report on Form 10-Q for further information.</w:t>
      </w: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20" w:right="339" w:bottom="1440" w:gutter="0" w:footer="0" w:header="0"/>
        </w:sectPr>
      </w:pPr>
    </w:p>
    <w:bookmarkStart w:id="31" w:name="page32"/>
    <w:bookmarkEnd w:id="31"/>
    <w:p>
      <w:pPr>
        <w:ind w:left="20"/>
        <w:spacing w:after="0"/>
        <w:tabs>
          <w:tab w:leader="none" w:pos="124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Quantitative and Qualitative Disclosures About Market Risk</w:t>
      </w:r>
    </w:p>
    <w:p>
      <w:pPr>
        <w:spacing w:after="0" w:line="148" w:lineRule="exact"/>
        <w:rPr>
          <w:sz w:val="20"/>
          <w:szCs w:val="20"/>
          <w:color w:val="auto"/>
        </w:rPr>
      </w:pPr>
    </w:p>
    <w:p>
      <w:pPr>
        <w:ind w:right="520" w:firstLine="445"/>
        <w:spacing w:after="0" w:line="342" w:lineRule="auto"/>
        <w:rPr>
          <w:sz w:val="20"/>
          <w:szCs w:val="20"/>
          <w:color w:val="auto"/>
        </w:rPr>
      </w:pPr>
      <w:r>
        <w:rPr>
          <w:rFonts w:ascii="Arial" w:cs="Arial" w:eastAsia="Arial" w:hAnsi="Arial"/>
          <w:sz w:val="16"/>
          <w:szCs w:val="16"/>
          <w:color w:val="auto"/>
        </w:rPr>
        <w:t>There were no material changes in the nine-month period ended August 1, 2020 to the information provided under Item 7A. “Quantitative and Qualitative Disclosures about Market Risk,” set forth in our Annual Report on Form 10-K for the fiscal year ended November 2, 2019.</w:t>
      </w:r>
    </w:p>
    <w:p>
      <w:pPr>
        <w:spacing w:after="0" w:line="201" w:lineRule="exact"/>
        <w:rPr>
          <w:sz w:val="20"/>
          <w:szCs w:val="20"/>
          <w:color w:val="auto"/>
        </w:rPr>
      </w:pPr>
    </w:p>
    <w:p>
      <w:pPr>
        <w:ind w:left="20"/>
        <w:spacing w:after="0"/>
        <w:tabs>
          <w:tab w:leader="none" w:pos="124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color w:val="auto"/>
        </w:rPr>
        <w:t>Controls and Procedures</w:t>
      </w:r>
    </w:p>
    <w:p>
      <w:pPr>
        <w:spacing w:after="0" w:line="148" w:lineRule="exact"/>
        <w:rPr>
          <w:sz w:val="20"/>
          <w:szCs w:val="20"/>
          <w:color w:val="auto"/>
        </w:rPr>
      </w:pPr>
    </w:p>
    <w:p>
      <w:pPr>
        <w:ind w:firstLine="8"/>
        <w:spacing w:after="0" w:line="287" w:lineRule="auto"/>
        <w:tabs>
          <w:tab w:leader="none" w:pos="244" w:val="left"/>
        </w:tabs>
        <w:numPr>
          <w:ilvl w:val="0"/>
          <w:numId w:val="9"/>
        </w:numPr>
        <w:rPr>
          <w:rFonts w:ascii="Arial" w:cs="Arial" w:eastAsia="Arial" w:hAnsi="Arial"/>
          <w:sz w:val="16"/>
          <w:szCs w:val="16"/>
          <w:color w:val="auto"/>
        </w:rPr>
      </w:pPr>
      <w:r>
        <w:rPr>
          <w:rFonts w:ascii="Arial" w:cs="Arial" w:eastAsia="Arial" w:hAnsi="Arial"/>
          <w:sz w:val="16"/>
          <w:szCs w:val="16"/>
          <w:i w:val="1"/>
          <w:iCs w:val="1"/>
          <w:color w:val="auto"/>
        </w:rPr>
        <w:t>Evaluation of Disclosure Controls and Procedures</w:t>
      </w:r>
      <w:r>
        <w:rPr>
          <w:rFonts w:ascii="Arial" w:cs="Arial" w:eastAsia="Arial" w:hAnsi="Arial"/>
          <w:sz w:val="16"/>
          <w:szCs w:val="16"/>
          <w:color w:val="auto"/>
        </w:rPr>
        <w:t>. Our management, with the participation of our Chief Executive Officer and Chief Financial Officer,</w:t>
      </w:r>
      <w:r>
        <w:rPr>
          <w:rFonts w:ascii="Arial" w:cs="Arial" w:eastAsia="Arial" w:hAnsi="Arial"/>
          <w:sz w:val="16"/>
          <w:szCs w:val="16"/>
          <w:i w:val="1"/>
          <w:iCs w:val="1"/>
          <w:color w:val="auto"/>
        </w:rPr>
        <w:t xml:space="preserve"> </w:t>
      </w:r>
      <w:r>
        <w:rPr>
          <w:rFonts w:ascii="Arial" w:cs="Arial" w:eastAsia="Arial" w:hAnsi="Arial"/>
          <w:sz w:val="16"/>
          <w:szCs w:val="16"/>
          <w:color w:val="auto"/>
        </w:rPr>
        <w:t>evaluated the effectiveness of our disclosure controls and procedures as of August 1, 2020. The term “disclosure controls and procedures,” as defined in Rules 13a-15(e) and 15d-15(e) under the Securities Exchange Act of 1934, as amended (Exchange Act), means controls and other procedures of a company that are designed to ensure that information required to be disclosed by a company in the reports that it files or submits under the Exchange Act is recorded, processed, summarized and reported, within the time periods specified in the Securities and Exchange Commission's rules and forms. Disclosure controls and procedures include, without limitation, controls and procedures designed to ensure that information required to be disclosed by a company in the reports that it files or submits under the Exchange Act is accumulated and communicated to the company’s management, including its principal executive and principal financial officers, as appropriate to allow timely decisions regarding required disclosure. Management recognizes that any controls and procedures, no matter how well designed and operated, can provide only reasonable assurance of achieving their objectives and management necessarily applies its judgment in evaluating the cost-benefit relationship of possible controls and procedures. Based on the evaluation of our disclosure controls and procedures as of August 1, 2020, our Chief Executive Officer and Chief Financial Officer concluded that, as of such date, our disclosure controls and procedures were effective at the reasonable assurance level.</w:t>
      </w:r>
    </w:p>
    <w:p>
      <w:pPr>
        <w:spacing w:after="0" w:line="46" w:lineRule="exact"/>
        <w:rPr>
          <w:rFonts w:ascii="Arial" w:cs="Arial" w:eastAsia="Arial" w:hAnsi="Arial"/>
          <w:sz w:val="16"/>
          <w:szCs w:val="16"/>
          <w:color w:val="auto"/>
        </w:rPr>
      </w:pPr>
    </w:p>
    <w:p>
      <w:pPr>
        <w:ind w:left="260" w:hanging="252"/>
        <w:spacing w:after="0"/>
        <w:tabs>
          <w:tab w:leader="none" w:pos="260" w:val="left"/>
        </w:tabs>
        <w:numPr>
          <w:ilvl w:val="0"/>
          <w:numId w:val="9"/>
        </w:numPr>
        <w:rPr>
          <w:rFonts w:ascii="Arial" w:cs="Arial" w:eastAsia="Arial" w:hAnsi="Arial"/>
          <w:sz w:val="17"/>
          <w:szCs w:val="17"/>
          <w:color w:val="auto"/>
        </w:rPr>
      </w:pPr>
      <w:r>
        <w:rPr>
          <w:rFonts w:ascii="Arial" w:cs="Arial" w:eastAsia="Arial" w:hAnsi="Arial"/>
          <w:sz w:val="17"/>
          <w:szCs w:val="17"/>
          <w:i w:val="1"/>
          <w:iCs w:val="1"/>
          <w:color w:val="auto"/>
        </w:rPr>
        <w:t xml:space="preserve">Changes in Internal Control over Financial Reporting. </w:t>
      </w:r>
      <w:r>
        <w:rPr>
          <w:rFonts w:ascii="Arial" w:cs="Arial" w:eastAsia="Arial" w:hAnsi="Arial"/>
          <w:sz w:val="17"/>
          <w:szCs w:val="17"/>
          <w:color w:val="auto"/>
        </w:rPr>
        <w:t>No change in our internal control over financial reporting (as defined in Rules 13a-15(f) and</w:t>
      </w:r>
    </w:p>
    <w:p>
      <w:pPr>
        <w:spacing w:after="0" w:line="34" w:lineRule="exact"/>
        <w:rPr>
          <w:rFonts w:ascii="Arial" w:cs="Arial" w:eastAsia="Arial" w:hAnsi="Arial"/>
          <w:sz w:val="17"/>
          <w:szCs w:val="17"/>
          <w:color w:val="auto"/>
        </w:rPr>
      </w:pPr>
    </w:p>
    <w:p>
      <w:pPr>
        <w:ind w:right="420"/>
        <w:spacing w:after="0" w:line="260" w:lineRule="auto"/>
        <w:rPr>
          <w:rFonts w:ascii="Arial" w:cs="Arial" w:eastAsia="Arial" w:hAnsi="Arial"/>
          <w:sz w:val="17"/>
          <w:szCs w:val="17"/>
          <w:color w:val="auto"/>
        </w:rPr>
      </w:pPr>
      <w:r>
        <w:rPr>
          <w:rFonts w:ascii="Arial" w:cs="Arial" w:eastAsia="Arial" w:hAnsi="Arial"/>
          <w:sz w:val="18"/>
          <w:szCs w:val="18"/>
          <w:color w:val="auto"/>
        </w:rPr>
        <w:t>15d-15(f) under the Exchange Act) occurred during the quarter ended August 1, 2020 that has materially affected, or is reasonably likely to materially affect, our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417" w:right="359" w:bottom="1440" w:gutter="0" w:footer="0" w:header="0"/>
        </w:sectPr>
      </w:pPr>
    </w:p>
    <w:bookmarkStart w:id="32" w:name="page33"/>
    <w:bookmarkEnd w:id="32"/>
    <w:p>
      <w:pPr>
        <w:spacing w:after="0"/>
        <w:rPr>
          <w:sz w:val="20"/>
          <w:szCs w:val="20"/>
          <w:color w:val="auto"/>
        </w:rPr>
      </w:pPr>
      <w:r>
        <w:rPr>
          <w:rFonts w:ascii="Arial" w:cs="Arial" w:eastAsia="Arial" w:hAnsi="Arial"/>
          <w:sz w:val="18"/>
          <w:szCs w:val="18"/>
          <w:b w:val="1"/>
          <w:bCs w:val="1"/>
          <w:color w:val="auto"/>
        </w:rPr>
        <w:t>PART II — OTHER INFORMATION</w:t>
      </w:r>
    </w:p>
    <w:p>
      <w:pPr>
        <w:spacing w:after="0" w:line="306" w:lineRule="exact"/>
        <w:rPr>
          <w:sz w:val="20"/>
          <w:szCs w:val="20"/>
          <w:color w:val="auto"/>
        </w:rPr>
      </w:pPr>
    </w:p>
    <w:p>
      <w:pPr>
        <w:ind w:left="20"/>
        <w:spacing w:after="0"/>
        <w:tabs>
          <w:tab w:leader="none" w:pos="124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5"/>
          <w:szCs w:val="15"/>
          <w:b w:val="1"/>
          <w:bCs w:val="1"/>
          <w:color w:val="auto"/>
        </w:rPr>
        <w:t>Risk Factors</w:t>
      </w:r>
    </w:p>
    <w:p>
      <w:pPr>
        <w:spacing w:after="0" w:line="162" w:lineRule="exact"/>
        <w:rPr>
          <w:sz w:val="20"/>
          <w:szCs w:val="20"/>
          <w:color w:val="auto"/>
        </w:rPr>
      </w:pPr>
    </w:p>
    <w:p>
      <w:pPr>
        <w:ind w:right="20" w:firstLine="445"/>
        <w:spacing w:after="0" w:line="275" w:lineRule="auto"/>
        <w:rPr>
          <w:sz w:val="20"/>
          <w:szCs w:val="20"/>
          <w:color w:val="auto"/>
        </w:rPr>
      </w:pPr>
      <w:r>
        <w:rPr>
          <w:rFonts w:ascii="Arial" w:cs="Arial" w:eastAsia="Arial" w:hAnsi="Arial"/>
          <w:sz w:val="17"/>
          <w:szCs w:val="17"/>
          <w:color w:val="auto"/>
        </w:rPr>
        <w:t>Set forth below and elsewhere in this report and in other documents we file with the Securities and Exchange Commission (SEC) are descriptions of certain risks and uncertainties that could cause our actual results to differ materially from the results contemplated by the forward-looking statements in this report. Additional risks and uncertainties not presently known to us or that we presently deem less significant may also adversely affect our business. The description below includes any material changes to and supersedes the description of the risk factors affecting our business previously discussed in "Risk Factors” set forth in Item 1A of our Annual Report on Form 10-K for the fiscal year ended November 2, 2019.</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Risks Related to the Proposed Acquisition of Maxim Integrated Products, Inc.</w:t>
      </w:r>
    </w:p>
    <w:p>
      <w:pPr>
        <w:spacing w:after="0" w:line="14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i w:val="1"/>
          <w:iCs w:val="1"/>
          <w:color w:val="auto"/>
        </w:rPr>
        <w:t>Our ability to complete the acquisition of Maxim Integrated Products, Inc. (Maxim) is subject to various closing conditions, including approval by our and Maxim’s shareholders and the receipt of consents and approvals from governmental authorities, which may impose conditions that could adversely affect us or cause the acquisition not to be completed.</w:t>
      </w:r>
    </w:p>
    <w:p>
      <w:pPr>
        <w:spacing w:after="0" w:line="89" w:lineRule="exact"/>
        <w:rPr>
          <w:sz w:val="20"/>
          <w:szCs w:val="20"/>
          <w:color w:val="auto"/>
        </w:rPr>
      </w:pPr>
    </w:p>
    <w:p>
      <w:pPr>
        <w:ind w:right="380" w:firstLine="445"/>
        <w:spacing w:after="0" w:line="277" w:lineRule="auto"/>
        <w:rPr>
          <w:sz w:val="20"/>
          <w:szCs w:val="20"/>
          <w:color w:val="auto"/>
        </w:rPr>
      </w:pPr>
      <w:r>
        <w:rPr>
          <w:rFonts w:ascii="Arial" w:cs="Arial" w:eastAsia="Arial" w:hAnsi="Arial"/>
          <w:sz w:val="18"/>
          <w:szCs w:val="18"/>
          <w:color w:val="auto"/>
        </w:rPr>
        <w:t>On July 12, 2020, we entered into a definitive agreement (the Merger Agreement) to acquire Maxim, an independent manufacturer of innovative analog and mixed-signal products and technologies.</w:t>
      </w:r>
    </w:p>
    <w:p>
      <w:pPr>
        <w:spacing w:after="0" w:line="116" w:lineRule="exact"/>
        <w:rPr>
          <w:sz w:val="20"/>
          <w:szCs w:val="20"/>
          <w:color w:val="auto"/>
        </w:rPr>
      </w:pPr>
    </w:p>
    <w:p>
      <w:pPr>
        <w:ind w:firstLine="445"/>
        <w:spacing w:after="0" w:line="299" w:lineRule="auto"/>
        <w:rPr>
          <w:sz w:val="20"/>
          <w:szCs w:val="20"/>
          <w:color w:val="auto"/>
        </w:rPr>
      </w:pPr>
      <w:r>
        <w:rPr>
          <w:rFonts w:ascii="Arial" w:cs="Arial" w:eastAsia="Arial" w:hAnsi="Arial"/>
          <w:sz w:val="16"/>
          <w:szCs w:val="16"/>
          <w:color w:val="auto"/>
        </w:rPr>
        <w:t>The merger is subject to a number of conditions to closing as specified in the Merger Agreement. These closing conditions include, among others, the approval by our shareholders of the issuance of our common stock pursuant to the Merger Agreement, the adoption by Maxim stockholders of the Merger Agreement, the expiration or earlier termination of any applicable waiting period (or any extension thereof), the receipt of required approvals under U.S.</w:t>
      </w:r>
    </w:p>
    <w:p>
      <w:pPr>
        <w:spacing w:after="0" w:line="1" w:lineRule="exact"/>
        <w:rPr>
          <w:sz w:val="20"/>
          <w:szCs w:val="20"/>
          <w:color w:val="auto"/>
        </w:rPr>
      </w:pPr>
    </w:p>
    <w:p>
      <w:pPr>
        <w:ind w:right="20"/>
        <w:spacing w:after="0" w:line="299" w:lineRule="auto"/>
        <w:rPr>
          <w:sz w:val="20"/>
          <w:szCs w:val="20"/>
          <w:color w:val="auto"/>
        </w:rPr>
      </w:pPr>
      <w:r>
        <w:rPr>
          <w:rFonts w:ascii="Arial" w:cs="Arial" w:eastAsia="Arial" w:hAnsi="Arial"/>
          <w:sz w:val="16"/>
          <w:szCs w:val="16"/>
          <w:color w:val="auto"/>
        </w:rPr>
        <w:t>and certain foreign competition laws, and the absence of governmental restraints or prohibitions preventing the consummation of the merger. No assurance can be given that the required shareholder, governmental and regulatory consents and approvals will be obtained or that the required conditions to closing will be satisfied, and, if all required consents and approvals are obtained and the required conditions are satisfied, no assurance can be given as to the terms,</w:t>
      </w:r>
    </w:p>
    <w:p>
      <w:pPr>
        <w:spacing w:after="0" w:line="1" w:lineRule="exact"/>
        <w:rPr>
          <w:sz w:val="20"/>
          <w:szCs w:val="20"/>
          <w:color w:val="auto"/>
        </w:rPr>
      </w:pPr>
    </w:p>
    <w:p>
      <w:pPr>
        <w:jc w:val="both"/>
        <w:ind w:right="440"/>
        <w:spacing w:after="0" w:line="263" w:lineRule="auto"/>
        <w:rPr>
          <w:sz w:val="20"/>
          <w:szCs w:val="20"/>
          <w:color w:val="auto"/>
        </w:rPr>
      </w:pPr>
      <w:r>
        <w:rPr>
          <w:rFonts w:ascii="Arial" w:cs="Arial" w:eastAsia="Arial" w:hAnsi="Arial"/>
          <w:sz w:val="18"/>
          <w:szCs w:val="18"/>
          <w:color w:val="auto"/>
        </w:rPr>
        <w:t>conditions and timing of such consents and approvals. Any delay in completing the merger could cause the combined company not to realize, or to be delayed in realizing, some or all of the benefits that we and Maxim expect to achieve if the merger is successfully completed within its expected time frame.</w:t>
      </w:r>
    </w:p>
    <w:p>
      <w:pPr>
        <w:spacing w:after="0" w:line="103" w:lineRule="exact"/>
        <w:rPr>
          <w:sz w:val="20"/>
          <w:szCs w:val="20"/>
          <w:color w:val="auto"/>
        </w:rPr>
      </w:pPr>
    </w:p>
    <w:p>
      <w:pPr>
        <w:ind w:right="40" w:firstLine="445"/>
        <w:spacing w:after="0" w:line="273" w:lineRule="auto"/>
        <w:rPr>
          <w:sz w:val="20"/>
          <w:szCs w:val="20"/>
          <w:color w:val="auto"/>
        </w:rPr>
      </w:pPr>
      <w:r>
        <w:rPr>
          <w:rFonts w:ascii="Arial" w:cs="Arial" w:eastAsia="Arial" w:hAnsi="Arial"/>
          <w:sz w:val="17"/>
          <w:szCs w:val="17"/>
          <w:color w:val="auto"/>
        </w:rPr>
        <w:t>Additionally, either we or Maxim may terminate the Merger Agreement under certain circumstances, including, among other reasons, if the merger is not completed by July 12, 2021 (which date may be extended under certain circumstances). Under certain circumstances, including if the proposed merger is terminated due to a failure to obtain the required regulatory clearances, we may be required to pay Maxim a termination fee of $830.0 million. In addition, either we or Maxim may be required to pay a termination fee to the other party equal to $725.0 million if the Merger Agreement is terminated in certain other circumstances, including if the Merger Agreement is terminated because either our or Maxim’s board of directors has changed its recommendation in respect of the shareholder proposals relating to the merger.</w:t>
      </w:r>
    </w:p>
    <w:p>
      <w:pPr>
        <w:spacing w:after="0" w:line="83" w:lineRule="exact"/>
        <w:rPr>
          <w:sz w:val="20"/>
          <w:szCs w:val="20"/>
          <w:color w:val="auto"/>
        </w:rPr>
      </w:pPr>
    </w:p>
    <w:p>
      <w:pPr>
        <w:ind w:right="140" w:firstLine="445"/>
        <w:spacing w:after="0" w:line="259" w:lineRule="auto"/>
        <w:rPr>
          <w:sz w:val="20"/>
          <w:szCs w:val="20"/>
          <w:color w:val="auto"/>
        </w:rPr>
      </w:pPr>
      <w:r>
        <w:rPr>
          <w:rFonts w:ascii="Arial" w:cs="Arial" w:eastAsia="Arial" w:hAnsi="Arial"/>
          <w:sz w:val="18"/>
          <w:szCs w:val="18"/>
          <w:color w:val="auto"/>
        </w:rPr>
        <w:t>We can provide no assurance that the various closing conditions will be satisfied and that the necessary approvals will be obtained, or that any required conditions will not materially adversely affect the combined company following the acquisition. In addition, we can provide no assurance that these conditions will not result in the abandonment or delay of the acquisition. The occurrence of any of these events individually or in combination could have a material adverse effect on our results of operations and the trading price of our common stock.</w:t>
      </w:r>
    </w:p>
    <w:p>
      <w:pPr>
        <w:spacing w:after="0" w:line="9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The termination of the Merger Agreement could negatively impact our business.</w:t>
      </w:r>
    </w:p>
    <w:p>
      <w:pPr>
        <w:spacing w:after="0" w:line="144" w:lineRule="exact"/>
        <w:rPr>
          <w:sz w:val="20"/>
          <w:szCs w:val="20"/>
          <w:color w:val="auto"/>
        </w:rPr>
      </w:pPr>
    </w:p>
    <w:p>
      <w:pPr>
        <w:ind w:right="320" w:firstLine="445"/>
        <w:spacing w:after="0" w:line="263" w:lineRule="auto"/>
        <w:rPr>
          <w:sz w:val="20"/>
          <w:szCs w:val="20"/>
          <w:color w:val="auto"/>
        </w:rPr>
      </w:pPr>
      <w:r>
        <w:rPr>
          <w:rFonts w:ascii="Arial" w:cs="Arial" w:eastAsia="Arial" w:hAnsi="Arial"/>
          <w:sz w:val="18"/>
          <w:szCs w:val="18"/>
          <w:color w:val="auto"/>
        </w:rPr>
        <w:t>If the merger is not completed for any reason, including as a result of a failure to obtain the required approvals from our shareholders or Maxim’s stockholders, our ongoing business may be adversely affected and, without realizing any of the expected benefits of having completed the merger, we would be subject to a number of risks, including the following:</w:t>
      </w:r>
    </w:p>
    <w:p>
      <w:pPr>
        <w:spacing w:after="0" w:line="89" w:lineRule="exact"/>
        <w:rPr>
          <w:sz w:val="20"/>
          <w:szCs w:val="20"/>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we may experience negative reactions from the financial markets, including negative impacts on our stock price;</w:t>
      </w:r>
    </w:p>
    <w:p>
      <w:pPr>
        <w:spacing w:after="0" w:line="130"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we may experience negative reactions from our customers, suppliers, distributors and employees;</w:t>
      </w:r>
    </w:p>
    <w:p>
      <w:pPr>
        <w:spacing w:after="0" w:line="144" w:lineRule="exact"/>
        <w:rPr>
          <w:rFonts w:ascii="Arial" w:cs="Arial" w:eastAsia="Arial" w:hAnsi="Arial"/>
          <w:sz w:val="18"/>
          <w:szCs w:val="18"/>
          <w:color w:val="auto"/>
        </w:rPr>
      </w:pPr>
    </w:p>
    <w:p>
      <w:pPr>
        <w:ind w:left="660" w:right="300" w:hanging="328"/>
        <w:spacing w:after="0" w:line="277" w:lineRule="auto"/>
        <w:tabs>
          <w:tab w:leader="none" w:pos="655" w:val="left"/>
        </w:tabs>
        <w:numPr>
          <w:ilvl w:val="0"/>
          <w:numId w:val="10"/>
        </w:numPr>
        <w:rPr>
          <w:rFonts w:ascii="Arial" w:cs="Arial" w:eastAsia="Arial" w:hAnsi="Arial"/>
          <w:sz w:val="18"/>
          <w:szCs w:val="18"/>
          <w:color w:val="auto"/>
        </w:rPr>
      </w:pPr>
      <w:r>
        <w:rPr>
          <w:rFonts w:ascii="Arial" w:cs="Arial" w:eastAsia="Arial" w:hAnsi="Arial"/>
          <w:sz w:val="18"/>
          <w:szCs w:val="18"/>
          <w:color w:val="auto"/>
        </w:rPr>
        <w:t>we will be required to pay our costs relating to the merger, such as financial advisory, legal, financing and accounting costs and associated fees and expenses, whether or not the merger is completed;</w:t>
      </w:r>
    </w:p>
    <w:p>
      <w:pPr>
        <w:spacing w:after="0" w:line="75" w:lineRule="exact"/>
        <w:rPr>
          <w:rFonts w:ascii="Arial" w:cs="Arial" w:eastAsia="Arial" w:hAnsi="Arial"/>
          <w:sz w:val="18"/>
          <w:szCs w:val="18"/>
          <w:color w:val="auto"/>
        </w:rPr>
      </w:pPr>
    </w:p>
    <w:p>
      <w:pPr>
        <w:ind w:left="660" w:right="20" w:hanging="328"/>
        <w:spacing w:after="0" w:line="263" w:lineRule="auto"/>
        <w:tabs>
          <w:tab w:leader="none" w:pos="655"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Merger Agreement places certain restrictions on the conduct of our business prior to completion of the merger and such restrictions, the waiver of which is subject to Maxim’s consent (not to be unreasonably withheld, conditioned or delayed), may prevent us from taking certain actions during the pendency of the merger; and</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12" w:right="339" w:bottom="1440" w:gutter="0" w:footer="0" w:header="0"/>
        </w:sectPr>
      </w:pPr>
    </w:p>
    <w:bookmarkStart w:id="33" w:name="page34"/>
    <w:bookmarkEnd w:id="33"/>
    <w:p>
      <w:pPr>
        <w:jc w:val="both"/>
        <w:ind w:left="660" w:right="280" w:hanging="328"/>
        <w:spacing w:after="0" w:line="263" w:lineRule="auto"/>
        <w:tabs>
          <w:tab w:leader="none" w:pos="655" w:val="left"/>
        </w:tabs>
        <w:numPr>
          <w:ilvl w:val="0"/>
          <w:numId w:val="11"/>
        </w:numPr>
        <w:rPr>
          <w:rFonts w:ascii="Arial" w:cs="Arial" w:eastAsia="Arial" w:hAnsi="Arial"/>
          <w:sz w:val="18"/>
          <w:szCs w:val="18"/>
          <w:color w:val="auto"/>
        </w:rPr>
      </w:pPr>
      <w:r>
        <w:rPr>
          <w:rFonts w:ascii="Arial" w:cs="Arial" w:eastAsia="Arial" w:hAnsi="Arial"/>
          <w:sz w:val="18"/>
          <w:szCs w:val="18"/>
          <w:color w:val="auto"/>
        </w:rPr>
        <w:t>matters relating to the merger (including integration planning) will require substantial commitments of time and resources by our and Maxim’s management, which could otherwise have been devoted to day-to-day operations or to other opportunities that may have been beneficial to our business.</w:t>
      </w:r>
    </w:p>
    <w:p>
      <w:pPr>
        <w:spacing w:after="0" w:line="103" w:lineRule="exact"/>
        <w:rPr>
          <w:sz w:val="20"/>
          <w:szCs w:val="20"/>
          <w:color w:val="auto"/>
        </w:rPr>
      </w:pPr>
    </w:p>
    <w:p>
      <w:pPr>
        <w:ind w:right="300" w:firstLine="445"/>
        <w:spacing w:after="0" w:line="277" w:lineRule="auto"/>
        <w:rPr>
          <w:sz w:val="20"/>
          <w:szCs w:val="20"/>
          <w:color w:val="auto"/>
        </w:rPr>
      </w:pPr>
      <w:r>
        <w:rPr>
          <w:rFonts w:ascii="Arial" w:cs="Arial" w:eastAsia="Arial" w:hAnsi="Arial"/>
          <w:sz w:val="18"/>
          <w:szCs w:val="18"/>
          <w:color w:val="auto"/>
        </w:rPr>
        <w:t>Until the completion of the merger or the termination of the Merger Agreement in accordance with its terms, we are prohibited from entering into certain transactions and taking certain actions that might otherwise be beneficial to us and our shareholders.</w:t>
      </w:r>
    </w:p>
    <w:p>
      <w:pPr>
        <w:spacing w:after="0" w:line="7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From and after the date of the Merger Agreement and prior to completion of the merger, the Merger Agreement restricts us from taking specified</w:t>
      </w:r>
    </w:p>
    <w:p>
      <w:pPr>
        <w:spacing w:after="0" w:line="73" w:lineRule="exact"/>
        <w:rPr>
          <w:sz w:val="20"/>
          <w:szCs w:val="20"/>
          <w:color w:val="auto"/>
        </w:rPr>
      </w:pPr>
    </w:p>
    <w:p>
      <w:pPr>
        <w:spacing w:after="0" w:line="308" w:lineRule="auto"/>
        <w:rPr>
          <w:sz w:val="20"/>
          <w:szCs w:val="20"/>
          <w:color w:val="auto"/>
        </w:rPr>
      </w:pPr>
      <w:r>
        <w:rPr>
          <w:rFonts w:ascii="Arial" w:cs="Arial" w:eastAsia="Arial" w:hAnsi="Arial"/>
          <w:sz w:val="16"/>
          <w:szCs w:val="16"/>
          <w:color w:val="auto"/>
        </w:rPr>
        <w:t>actions without Maxim’s consent and requires that our business be conducted in the ordinary course in all material respects. These restrictions may prevent us from making appropriate changes to our business or organizational structure or from pursuing attractive business opportunities that may arise prior to the</w:t>
      </w:r>
    </w:p>
    <w:p>
      <w:pPr>
        <w:ind w:right="260"/>
        <w:spacing w:after="0" w:line="342" w:lineRule="auto"/>
        <w:rPr>
          <w:sz w:val="20"/>
          <w:szCs w:val="20"/>
          <w:color w:val="auto"/>
        </w:rPr>
      </w:pPr>
      <w:r>
        <w:rPr>
          <w:rFonts w:ascii="Arial" w:cs="Arial" w:eastAsia="Arial" w:hAnsi="Arial"/>
          <w:sz w:val="16"/>
          <w:szCs w:val="16"/>
          <w:color w:val="auto"/>
        </w:rPr>
        <w:t>completion of the merger, and could have the effect of delaying or preventing other strategic transactions. Adverse effects arising from these restrictions during the pendency of the merger could be exacerbated by any delays in consummation of the merger or termination of the Merger Agreement.</w:t>
      </w:r>
    </w:p>
    <w:p>
      <w:pPr>
        <w:spacing w:after="0" w:line="29"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i w:val="1"/>
          <w:iCs w:val="1"/>
          <w:color w:val="auto"/>
        </w:rPr>
        <w:t>Whether or not the merger is completed, the announcement and pendency of the merger could cause disruptions in our business, which could have an adverse effect on our business and financial results.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7"/>
          <w:szCs w:val="17"/>
          <w:color w:val="auto"/>
        </w:rPr>
        <w:t>Whether or not the merger is completed, the announcement and pendency of the merger could cause disruptions in our business. Specifically</w:t>
      </w:r>
      <w:r>
        <w:rPr>
          <w:rFonts w:ascii="Arial" w:cs="Arial" w:eastAsia="Arial" w:hAnsi="Arial"/>
          <w:sz w:val="20"/>
          <w:szCs w:val="20"/>
          <w:i w:val="1"/>
          <w:iCs w:val="1"/>
          <w:color w:val="auto"/>
        </w:rPr>
        <w:t>:</w:t>
      </w:r>
    </w:p>
    <w:p>
      <w:pPr>
        <w:spacing w:after="0" w:line="88" w:lineRule="exact"/>
        <w:rPr>
          <w:sz w:val="20"/>
          <w:szCs w:val="20"/>
          <w:color w:val="auto"/>
        </w:rPr>
      </w:pPr>
    </w:p>
    <w:p>
      <w:pPr>
        <w:ind w:left="660" w:right="20" w:hanging="328"/>
        <w:spacing w:after="0" w:line="277" w:lineRule="auto"/>
        <w:tabs>
          <w:tab w:leader="none" w:pos="655" w:val="left"/>
        </w:tabs>
        <w:numPr>
          <w:ilvl w:val="0"/>
          <w:numId w:val="12"/>
        </w:numPr>
        <w:rPr>
          <w:rFonts w:ascii="Arial" w:cs="Arial" w:eastAsia="Arial" w:hAnsi="Arial"/>
          <w:sz w:val="18"/>
          <w:szCs w:val="18"/>
          <w:color w:val="auto"/>
        </w:rPr>
      </w:pPr>
      <w:r>
        <w:rPr>
          <w:rFonts w:ascii="Arial" w:cs="Arial" w:eastAsia="Arial" w:hAnsi="Arial"/>
          <w:sz w:val="18"/>
          <w:szCs w:val="18"/>
          <w:color w:val="auto"/>
        </w:rPr>
        <w:t>our and Maxim’s current and prospective employees will experience uncertainty about their future roles with the combined company, which might adversely affect the two companies’ abilities to retain key managers and other employees;</w:t>
      </w:r>
    </w:p>
    <w:p>
      <w:pPr>
        <w:spacing w:after="0" w:line="21" w:lineRule="exact"/>
        <w:rPr>
          <w:rFonts w:ascii="Arial" w:cs="Arial" w:eastAsia="Arial" w:hAnsi="Arial"/>
          <w:sz w:val="18"/>
          <w:szCs w:val="18"/>
          <w:color w:val="auto"/>
        </w:rPr>
      </w:pPr>
    </w:p>
    <w:p>
      <w:pPr>
        <w:jc w:val="both"/>
        <w:ind w:left="660" w:right="220" w:hanging="328"/>
        <w:spacing w:after="0" w:line="311" w:lineRule="auto"/>
        <w:tabs>
          <w:tab w:leader="none" w:pos="655" w:val="left"/>
        </w:tabs>
        <w:numPr>
          <w:ilvl w:val="0"/>
          <w:numId w:val="12"/>
        </w:numPr>
        <w:rPr>
          <w:rFonts w:ascii="Arial" w:cs="Arial" w:eastAsia="Arial" w:hAnsi="Arial"/>
          <w:sz w:val="16"/>
          <w:szCs w:val="16"/>
          <w:color w:val="auto"/>
        </w:rPr>
      </w:pPr>
      <w:r>
        <w:rPr>
          <w:rFonts w:ascii="Arial" w:cs="Arial" w:eastAsia="Arial" w:hAnsi="Arial"/>
          <w:sz w:val="16"/>
          <w:szCs w:val="16"/>
          <w:color w:val="auto"/>
        </w:rPr>
        <w:t>uncertainty regarding the completion of the merger may cause our and Maxim’s customers, suppliers, distributors, vendors, strategic partners or others that deal with us or Maxim to delay or defer entering into contracts with us or Maxim, make other decisions concerning us or Maxim, or seek to change or cancel existing business relationships with us or Maxim, which could negatively affect our respective businesses;</w:t>
      </w:r>
    </w:p>
    <w:p>
      <w:pPr>
        <w:spacing w:after="0" w:line="13" w:lineRule="exact"/>
        <w:rPr>
          <w:rFonts w:ascii="Arial" w:cs="Arial" w:eastAsia="Arial" w:hAnsi="Arial"/>
          <w:sz w:val="16"/>
          <w:szCs w:val="16"/>
          <w:color w:val="auto"/>
        </w:rPr>
      </w:pPr>
    </w:p>
    <w:p>
      <w:pPr>
        <w:ind w:left="660" w:right="40" w:hanging="328"/>
        <w:spacing w:after="0" w:line="263" w:lineRule="auto"/>
        <w:tabs>
          <w:tab w:leader="none" w:pos="655"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Merger Agreement restricts us and our subsidiaries from taking specified actions during the pendency of the merger without Maxim’s consent, which may prevent us from pursuing attractive business opportunities or strategic transactions that may arise prior to the completion of the merger; and</w:t>
      </w:r>
    </w:p>
    <w:p>
      <w:pPr>
        <w:spacing w:after="0" w:line="35"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attention of our and Maxim’s management may be directed toward the completion of the merger.</w:t>
      </w:r>
    </w:p>
    <w:p>
      <w:pPr>
        <w:spacing w:after="0" w:line="131" w:lineRule="exact"/>
        <w:rPr>
          <w:sz w:val="20"/>
          <w:szCs w:val="20"/>
          <w:color w:val="auto"/>
        </w:rPr>
      </w:pPr>
    </w:p>
    <w:p>
      <w:pPr>
        <w:jc w:val="center"/>
        <w:ind w:right="100"/>
        <w:spacing w:after="0"/>
        <w:rPr>
          <w:sz w:val="20"/>
          <w:szCs w:val="20"/>
          <w:color w:val="auto"/>
        </w:rPr>
      </w:pPr>
      <w:r>
        <w:rPr>
          <w:rFonts w:ascii="Arial" w:cs="Arial" w:eastAsia="Arial" w:hAnsi="Arial"/>
          <w:sz w:val="17"/>
          <w:szCs w:val="17"/>
          <w:color w:val="auto"/>
        </w:rPr>
        <w:t>We have diverted significant management resources in an effort to complete the merger and are subject to restrictions contained in the Merger</w:t>
      </w:r>
    </w:p>
    <w:p>
      <w:pPr>
        <w:spacing w:after="0" w:line="61"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Agreement on the conduct of our business. If the merger is not completed, we will have incurred significant costs, including the diversion of management resources, for which we will have received little or no benefit.</w:t>
      </w:r>
    </w:p>
    <w:p>
      <w:pPr>
        <w:spacing w:after="0" w:line="89" w:lineRule="exact"/>
        <w:rPr>
          <w:sz w:val="20"/>
          <w:szCs w:val="20"/>
          <w:color w:val="auto"/>
        </w:rPr>
      </w:pPr>
    </w:p>
    <w:p>
      <w:pPr>
        <w:ind w:right="400" w:firstLine="445"/>
        <w:spacing w:after="0" w:line="277" w:lineRule="auto"/>
        <w:rPr>
          <w:sz w:val="20"/>
          <w:szCs w:val="20"/>
          <w:color w:val="auto"/>
        </w:rPr>
      </w:pPr>
      <w:r>
        <w:rPr>
          <w:rFonts w:ascii="Arial" w:cs="Arial" w:eastAsia="Arial" w:hAnsi="Arial"/>
          <w:sz w:val="18"/>
          <w:szCs w:val="18"/>
          <w:color w:val="auto"/>
        </w:rPr>
        <w:t>We will incur significant acquisition-related costs in connection with the Maxim acquisition, and the combined company could incur substantial expenses related to the integration of Maxim.</w:t>
      </w:r>
    </w:p>
    <w:p>
      <w:pPr>
        <w:spacing w:after="0" w:line="7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We have incurred and expect to incur a number of non-recurring costs associated with combining the operations of the two companies, as well as</w:t>
      </w:r>
    </w:p>
    <w:p>
      <w:pPr>
        <w:spacing w:after="0" w:line="73" w:lineRule="exact"/>
        <w:rPr>
          <w:sz w:val="20"/>
          <w:szCs w:val="20"/>
          <w:color w:val="auto"/>
        </w:rPr>
      </w:pPr>
    </w:p>
    <w:p>
      <w:pPr>
        <w:ind w:right="140"/>
        <w:spacing w:after="0" w:line="308" w:lineRule="auto"/>
        <w:rPr>
          <w:sz w:val="20"/>
          <w:szCs w:val="20"/>
          <w:color w:val="auto"/>
        </w:rPr>
      </w:pPr>
      <w:r>
        <w:rPr>
          <w:rFonts w:ascii="Arial" w:cs="Arial" w:eastAsia="Arial" w:hAnsi="Arial"/>
          <w:sz w:val="16"/>
          <w:szCs w:val="16"/>
          <w:color w:val="auto"/>
        </w:rPr>
        <w:t>transaction fees and other costs related to the merger. These costs and expenses include fees paid to financial, legal and accounting advisors, facilities and systems consolidation costs, severance and other potential employment-related costs, including severance payments that may be made to certain Maxim</w:t>
      </w:r>
    </w:p>
    <w:p>
      <w:pPr>
        <w:spacing w:after="0"/>
        <w:rPr>
          <w:sz w:val="20"/>
          <w:szCs w:val="20"/>
          <w:color w:val="auto"/>
        </w:rPr>
      </w:pPr>
      <w:r>
        <w:rPr>
          <w:rFonts w:ascii="Arial" w:cs="Arial" w:eastAsia="Arial" w:hAnsi="Arial"/>
          <w:sz w:val="16"/>
          <w:szCs w:val="16"/>
          <w:color w:val="auto"/>
        </w:rPr>
        <w:t>employees, filing fees, printing expenses and other related charges. We will need to pay some of these costs regardless of whether the merger is completed.</w:t>
      </w:r>
    </w:p>
    <w:p>
      <w:pPr>
        <w:spacing w:after="0" w:line="194" w:lineRule="exact"/>
        <w:rPr>
          <w:sz w:val="20"/>
          <w:szCs w:val="20"/>
          <w:color w:val="auto"/>
        </w:rPr>
      </w:pPr>
    </w:p>
    <w:p>
      <w:pPr>
        <w:ind w:right="120" w:firstLine="445"/>
        <w:spacing w:after="0" w:line="334" w:lineRule="auto"/>
        <w:rPr>
          <w:sz w:val="20"/>
          <w:szCs w:val="20"/>
          <w:color w:val="auto"/>
        </w:rPr>
      </w:pPr>
      <w:r>
        <w:rPr>
          <w:rFonts w:ascii="Arial" w:cs="Arial" w:eastAsia="Arial" w:hAnsi="Arial"/>
          <w:sz w:val="16"/>
          <w:szCs w:val="16"/>
          <w:color w:val="auto"/>
        </w:rPr>
        <w:t>The combined company will also incur restructuring and integration costs in connection with the merger. The costs related to restructuring will be expensed as a cost of the ongoing results of operations of either us or the combined company. There are a large number of processes, policies, procedures,</w:t>
      </w:r>
    </w:p>
    <w:p>
      <w:pPr>
        <w:spacing w:after="0" w:line="1" w:lineRule="exact"/>
        <w:rPr>
          <w:sz w:val="20"/>
          <w:szCs w:val="20"/>
          <w:color w:val="auto"/>
        </w:rPr>
      </w:pPr>
    </w:p>
    <w:p>
      <w:pPr>
        <w:spacing w:after="0" w:line="299" w:lineRule="auto"/>
        <w:rPr>
          <w:sz w:val="20"/>
          <w:szCs w:val="20"/>
          <w:color w:val="auto"/>
        </w:rPr>
      </w:pPr>
      <w:r>
        <w:rPr>
          <w:rFonts w:ascii="Arial" w:cs="Arial" w:eastAsia="Arial" w:hAnsi="Arial"/>
          <w:sz w:val="16"/>
          <w:szCs w:val="16"/>
          <w:color w:val="auto"/>
        </w:rPr>
        <w:t>operations, technologies and systems that must be integrated in connection with the merger and the integration of Maxim’s business. Although we expect that the elimination of duplicative costs, strategic benefits, and additional income, as well as the realization of other efficiencies related to the integration of the businesses, may offset incremental transaction, merger-related and restructuring costs over time, any net benefit may not be achieved in the near term or</w:t>
      </w:r>
    </w:p>
    <w:p>
      <w:pPr>
        <w:spacing w:after="0" w:line="1" w:lineRule="exact"/>
        <w:rPr>
          <w:sz w:val="20"/>
          <w:szCs w:val="20"/>
          <w:color w:val="auto"/>
        </w:rPr>
      </w:pPr>
    </w:p>
    <w:p>
      <w:pPr>
        <w:ind w:right="40"/>
        <w:spacing w:after="0" w:line="263" w:lineRule="auto"/>
        <w:rPr>
          <w:sz w:val="20"/>
          <w:szCs w:val="20"/>
          <w:color w:val="auto"/>
        </w:rPr>
      </w:pPr>
      <w:r>
        <w:rPr>
          <w:rFonts w:ascii="Arial" w:cs="Arial" w:eastAsia="Arial" w:hAnsi="Arial"/>
          <w:sz w:val="18"/>
          <w:szCs w:val="18"/>
          <w:color w:val="auto"/>
        </w:rPr>
        <w:t>at all. We will bear many of these costs even if the merger is not completed. While we have assumed that certain expenses would be incurred in connection with the merger and the other transactions contemplated by the Merger Agreement, there are many factors beyond our control that could affect the total amount or the timing of the integration and implementation expenses.</w:t>
      </w:r>
    </w:p>
    <w:p>
      <w:pPr>
        <w:spacing w:after="0" w:line="200" w:lineRule="exact"/>
        <w:rPr>
          <w:sz w:val="20"/>
          <w:szCs w:val="20"/>
          <w:color w:val="auto"/>
        </w:rPr>
      </w:pPr>
    </w:p>
    <w:p>
      <w:pPr>
        <w:spacing w:after="0" w:line="3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138" w:right="359" w:bottom="1440" w:gutter="0" w:footer="0" w:header="0"/>
        </w:sectPr>
      </w:pPr>
    </w:p>
    <w:bookmarkStart w:id="34" w:name="page35"/>
    <w:bookmarkEnd w:id="34"/>
    <w:p>
      <w:pPr>
        <w:jc w:val="both"/>
        <w:ind w:right="320"/>
        <w:spacing w:after="0" w:line="263" w:lineRule="auto"/>
        <w:rPr>
          <w:sz w:val="20"/>
          <w:szCs w:val="20"/>
          <w:color w:val="auto"/>
        </w:rPr>
      </w:pPr>
      <w:r>
        <w:rPr>
          <w:rFonts w:ascii="Arial" w:cs="Arial" w:eastAsia="Arial" w:hAnsi="Arial"/>
          <w:sz w:val="18"/>
          <w:szCs w:val="18"/>
          <w:i w:val="1"/>
          <w:iCs w:val="1"/>
          <w:color w:val="auto"/>
        </w:rPr>
        <w:t>Combining our business with Maxim’s may be more difficult, costly or time-consuming than expected and the combined company may fail to realize the anticipated benefits of the merger, which may adversely affect the combined company’s business results and negatively affect the value of the combined company’s common stock.</w:t>
      </w:r>
    </w:p>
    <w:p>
      <w:pPr>
        <w:spacing w:after="0" w:line="103" w:lineRule="exact"/>
        <w:rPr>
          <w:sz w:val="20"/>
          <w:szCs w:val="20"/>
          <w:color w:val="auto"/>
        </w:rPr>
      </w:pPr>
    </w:p>
    <w:p>
      <w:pPr>
        <w:ind w:left="460"/>
        <w:spacing w:after="0"/>
        <w:rPr>
          <w:sz w:val="20"/>
          <w:szCs w:val="20"/>
          <w:color w:val="auto"/>
        </w:rPr>
      </w:pPr>
      <w:r>
        <w:rPr>
          <w:rFonts w:ascii="Arial" w:cs="Arial" w:eastAsia="Arial" w:hAnsi="Arial"/>
          <w:sz w:val="17"/>
          <w:szCs w:val="17"/>
          <w:color w:val="auto"/>
        </w:rPr>
        <w:t>The success of the merger will depend on, among other things, the ability of the two companies to combine their businesses in a manner that</w:t>
      </w:r>
    </w:p>
    <w:p>
      <w:pPr>
        <w:spacing w:after="0" w:line="61" w:lineRule="exact"/>
        <w:rPr>
          <w:sz w:val="20"/>
          <w:szCs w:val="20"/>
          <w:color w:val="auto"/>
        </w:rPr>
      </w:pPr>
    </w:p>
    <w:p>
      <w:pPr>
        <w:ind w:right="420"/>
        <w:spacing w:after="0" w:line="308" w:lineRule="auto"/>
        <w:rPr>
          <w:sz w:val="20"/>
          <w:szCs w:val="20"/>
          <w:color w:val="auto"/>
        </w:rPr>
      </w:pPr>
      <w:r>
        <w:rPr>
          <w:rFonts w:ascii="Arial" w:cs="Arial" w:eastAsia="Arial" w:hAnsi="Arial"/>
          <w:sz w:val="16"/>
          <w:szCs w:val="16"/>
          <w:color w:val="auto"/>
        </w:rPr>
        <w:t>facilitates growth opportunities and realizes expected cost savings. The combined company may encounter difficulties in integrating our and Maxim’s businesses and realizing the anticipated benefits of the merger. The combined company must achieve the anticipated growth and cost savings without</w:t>
      </w:r>
    </w:p>
    <w:p>
      <w:pPr>
        <w:ind w:right="260"/>
        <w:spacing w:after="0" w:line="277" w:lineRule="auto"/>
        <w:rPr>
          <w:sz w:val="20"/>
          <w:szCs w:val="20"/>
          <w:color w:val="auto"/>
        </w:rPr>
      </w:pPr>
      <w:r>
        <w:rPr>
          <w:rFonts w:ascii="Arial" w:cs="Arial" w:eastAsia="Arial" w:hAnsi="Arial"/>
          <w:sz w:val="18"/>
          <w:szCs w:val="18"/>
          <w:color w:val="auto"/>
        </w:rPr>
        <w:t>adversely affecting current revenues and investments in future growth. If the combined company is not able to successfully achieve these objectives, the anticipated benefits of the merger may not be realized fully, or at all, or may take longer to realize than expected.</w:t>
      </w:r>
    </w:p>
    <w:p>
      <w:pPr>
        <w:spacing w:after="0" w:line="7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merger involves the combination of two companies which currently operate, and until the completion of the merger will continue to operate, as</w:t>
      </w:r>
    </w:p>
    <w:p>
      <w:pPr>
        <w:spacing w:after="0" w:line="73" w:lineRule="exact"/>
        <w:rPr>
          <w:sz w:val="20"/>
          <w:szCs w:val="20"/>
          <w:color w:val="auto"/>
        </w:rPr>
      </w:pPr>
    </w:p>
    <w:p>
      <w:pPr>
        <w:ind w:right="100"/>
        <w:spacing w:after="0" w:line="293" w:lineRule="auto"/>
        <w:rPr>
          <w:sz w:val="20"/>
          <w:szCs w:val="20"/>
          <w:color w:val="auto"/>
        </w:rPr>
      </w:pPr>
      <w:r>
        <w:rPr>
          <w:rFonts w:ascii="Arial" w:cs="Arial" w:eastAsia="Arial" w:hAnsi="Arial"/>
          <w:sz w:val="16"/>
          <w:szCs w:val="16"/>
          <w:color w:val="auto"/>
        </w:rPr>
        <w:t>independent public companies. There can be no assurances that our respective businesses can be integrated successfully. It is possible that the integration process could result in the loss of key employees from both companies, the loss of customers, the disruption of our, Maxim’s or both companies’ ongoing businesses, inconsistencies in standards, controls, procedures and policies, unexpected integration issues, higher than expected integration costs and an overall post-completion integration process that takes longer than originally anticipated. The combined company will be required to devote management attention and resources to integrating its business practices and operations, and prior to the merger, management attention and resources will be required to plan for such integration. Potential difficulties the combined company may encounter in the integration process include the following:</w:t>
      </w:r>
    </w:p>
    <w:p>
      <w:pPr>
        <w:spacing w:after="0" w:line="43" w:lineRule="exact"/>
        <w:rPr>
          <w:sz w:val="20"/>
          <w:szCs w:val="20"/>
          <w:color w:val="auto"/>
        </w:rPr>
      </w:pPr>
    </w:p>
    <w:p>
      <w:pPr>
        <w:ind w:left="660" w:right="400" w:hanging="328"/>
        <w:spacing w:after="0" w:line="308" w:lineRule="auto"/>
        <w:tabs>
          <w:tab w:leader="none" w:pos="655" w:val="left"/>
        </w:tabs>
        <w:numPr>
          <w:ilvl w:val="0"/>
          <w:numId w:val="13"/>
        </w:numPr>
        <w:rPr>
          <w:rFonts w:ascii="Arial" w:cs="Arial" w:eastAsia="Arial" w:hAnsi="Arial"/>
          <w:sz w:val="17"/>
          <w:szCs w:val="17"/>
          <w:color w:val="auto"/>
        </w:rPr>
      </w:pPr>
      <w:r>
        <w:rPr>
          <w:rFonts w:ascii="Arial" w:cs="Arial" w:eastAsia="Arial" w:hAnsi="Arial"/>
          <w:sz w:val="17"/>
          <w:szCs w:val="17"/>
          <w:color w:val="auto"/>
        </w:rPr>
        <w:t>lost sales and customers as a result of certain customers of either or both of the two companies deciding not to do business with the combined company, or deciding to decrease their amount of business in order to reduce their reliance on a single company;</w:t>
      </w:r>
    </w:p>
    <w:p>
      <w:pPr>
        <w:spacing w:after="0" w:line="11" w:lineRule="exact"/>
        <w:rPr>
          <w:rFonts w:ascii="Arial" w:cs="Arial" w:eastAsia="Arial" w:hAnsi="Arial"/>
          <w:sz w:val="17"/>
          <w:szCs w:val="17"/>
          <w:color w:val="auto"/>
        </w:rPr>
      </w:pPr>
    </w:p>
    <w:p>
      <w:pPr>
        <w:ind w:left="660" w:right="200" w:hanging="328"/>
        <w:spacing w:after="0" w:line="277" w:lineRule="auto"/>
        <w:tabs>
          <w:tab w:leader="none" w:pos="655" w:val="left"/>
        </w:tabs>
        <w:numPr>
          <w:ilvl w:val="0"/>
          <w:numId w:val="13"/>
        </w:numPr>
        <w:rPr>
          <w:rFonts w:ascii="Arial" w:cs="Arial" w:eastAsia="Arial" w:hAnsi="Arial"/>
          <w:sz w:val="18"/>
          <w:szCs w:val="18"/>
          <w:color w:val="auto"/>
        </w:rPr>
      </w:pPr>
      <w:r>
        <w:rPr>
          <w:rFonts w:ascii="Arial" w:cs="Arial" w:eastAsia="Arial" w:hAnsi="Arial"/>
          <w:sz w:val="18"/>
          <w:szCs w:val="18"/>
          <w:color w:val="auto"/>
        </w:rPr>
        <w:t>integrating personnel from the two companies while maintaining focus on providing consistent, high-quality products and services, especially in the COVID-19 environment which has required employees to work remotely in some locations;</w:t>
      </w:r>
    </w:p>
    <w:p>
      <w:pPr>
        <w:spacing w:after="0" w:line="48"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potential unknown liabilities and unforeseen increased expenses, delays or regulatory conditions associated with the merger; and</w:t>
      </w:r>
    </w:p>
    <w:p>
      <w:pPr>
        <w:spacing w:after="0" w:line="103" w:lineRule="exact"/>
        <w:rPr>
          <w:rFonts w:ascii="Arial" w:cs="Arial" w:eastAsia="Arial" w:hAnsi="Arial"/>
          <w:sz w:val="18"/>
          <w:szCs w:val="18"/>
          <w:color w:val="auto"/>
        </w:rPr>
      </w:pPr>
    </w:p>
    <w:p>
      <w:pPr>
        <w:ind w:left="660" w:right="20" w:hanging="328"/>
        <w:spacing w:after="0" w:line="277" w:lineRule="auto"/>
        <w:tabs>
          <w:tab w:leader="none" w:pos="655" w:val="left"/>
        </w:tabs>
        <w:numPr>
          <w:ilvl w:val="0"/>
          <w:numId w:val="13"/>
        </w:numPr>
        <w:rPr>
          <w:rFonts w:ascii="Arial" w:cs="Arial" w:eastAsia="Arial" w:hAnsi="Arial"/>
          <w:sz w:val="18"/>
          <w:szCs w:val="18"/>
          <w:color w:val="auto"/>
        </w:rPr>
      </w:pPr>
      <w:r>
        <w:rPr>
          <w:rFonts w:ascii="Arial" w:cs="Arial" w:eastAsia="Arial" w:hAnsi="Arial"/>
          <w:sz w:val="18"/>
          <w:szCs w:val="18"/>
          <w:color w:val="auto"/>
        </w:rPr>
        <w:t>performance shortfalls at one or both of the two companies as a result of the diversion of management’s attention caused by completing the merger and integrating the companies’ operations.</w:t>
      </w:r>
    </w:p>
    <w:p>
      <w:pPr>
        <w:spacing w:after="0" w:line="76" w:lineRule="exact"/>
        <w:rPr>
          <w:sz w:val="20"/>
          <w:szCs w:val="20"/>
          <w:color w:val="auto"/>
        </w:rPr>
      </w:pPr>
    </w:p>
    <w:p>
      <w:pPr>
        <w:ind w:right="20" w:firstLine="445"/>
        <w:spacing w:after="0" w:line="279" w:lineRule="auto"/>
        <w:rPr>
          <w:sz w:val="20"/>
          <w:szCs w:val="20"/>
          <w:color w:val="auto"/>
        </w:rPr>
      </w:pPr>
      <w:r>
        <w:rPr>
          <w:rFonts w:ascii="Arial" w:cs="Arial" w:eastAsia="Arial" w:hAnsi="Arial"/>
          <w:sz w:val="17"/>
          <w:szCs w:val="17"/>
          <w:color w:val="auto"/>
        </w:rPr>
        <w:t>Any of these factors could result in the combined company failing to realize the anticipated benefits of the acquisition, on the expected timeline or at all. An inability to realize the full extent of the anticipated benefits of the merger and the other transactions contemplated by the Merger Agreement, as well as any delays encountered in the integration process, could have an adverse effect upon the revenues, level of expenses and operating results of the combined company, which may adversely affect the value of the common stock of the combined company.</w:t>
      </w:r>
    </w:p>
    <w:p>
      <w:pPr>
        <w:spacing w:after="0" w:line="77" w:lineRule="exact"/>
        <w:rPr>
          <w:sz w:val="20"/>
          <w:szCs w:val="20"/>
          <w:color w:val="auto"/>
        </w:rPr>
      </w:pPr>
    </w:p>
    <w:p>
      <w:pPr>
        <w:ind w:left="500"/>
        <w:spacing w:after="0"/>
        <w:rPr>
          <w:sz w:val="20"/>
          <w:szCs w:val="20"/>
          <w:color w:val="auto"/>
        </w:rPr>
      </w:pPr>
      <w:r>
        <w:rPr>
          <w:rFonts w:ascii="Arial" w:cs="Arial" w:eastAsia="Arial" w:hAnsi="Arial"/>
          <w:sz w:val="16"/>
          <w:szCs w:val="16"/>
          <w:color w:val="auto"/>
        </w:rPr>
        <w:t>In addition, the actual integration may result in additional and unforeseen expenses, and the anticipated benefits of the integration plan may not be</w:t>
      </w:r>
    </w:p>
    <w:p>
      <w:pPr>
        <w:spacing w:after="0" w:line="73" w:lineRule="exact"/>
        <w:rPr>
          <w:sz w:val="20"/>
          <w:szCs w:val="20"/>
          <w:color w:val="auto"/>
        </w:rPr>
      </w:pPr>
    </w:p>
    <w:p>
      <w:pPr>
        <w:ind w:right="20"/>
        <w:spacing w:after="0" w:line="263" w:lineRule="auto"/>
        <w:rPr>
          <w:sz w:val="20"/>
          <w:szCs w:val="20"/>
          <w:color w:val="auto"/>
        </w:rPr>
      </w:pPr>
      <w:r>
        <w:rPr>
          <w:rFonts w:ascii="Arial" w:cs="Arial" w:eastAsia="Arial" w:hAnsi="Arial"/>
          <w:sz w:val="18"/>
          <w:szCs w:val="18"/>
          <w:color w:val="auto"/>
        </w:rPr>
        <w:t>realized. Actual growth and cost savings, if achieved, may be lower than what we and Maxim expect and may take longer to achieve than anticipated. If we and Maxim are not able to adequately address integration challenges, we may be unable to successfully integrate their operations or realize the anticipated benefits of the integration of the two companies.</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The market value of our common stock could decline if large amounts of our common stock are sold following the Maxim acquisition.</w:t>
      </w:r>
    </w:p>
    <w:p>
      <w:pPr>
        <w:spacing w:after="0" w:line="131" w:lineRule="exact"/>
        <w:rPr>
          <w:sz w:val="20"/>
          <w:szCs w:val="20"/>
          <w:color w:val="auto"/>
        </w:rPr>
      </w:pPr>
    </w:p>
    <w:p>
      <w:pPr>
        <w:jc w:val="both"/>
        <w:ind w:firstLine="486"/>
        <w:spacing w:after="0" w:line="296" w:lineRule="auto"/>
        <w:rPr>
          <w:sz w:val="20"/>
          <w:szCs w:val="20"/>
          <w:color w:val="auto"/>
        </w:rPr>
      </w:pPr>
      <w:r>
        <w:rPr>
          <w:rFonts w:ascii="Arial" w:cs="Arial" w:eastAsia="Arial" w:hAnsi="Arial"/>
          <w:sz w:val="16"/>
          <w:szCs w:val="16"/>
          <w:color w:val="auto"/>
        </w:rPr>
        <w:t>If the merger is consummated, it is expected that we will issue a significant number of shares of our common stock to former Maxim stockholders. Former Maxim stockholders may decide not to hold the shares of our common stock that they will receive in the merger, and our shareholders may decide to reduce their investment in us as a result of the changes to our investment profile as a result of the merger. Other Maxim stockholders, such as funds with limitations on their permitted holdings of stock in individual issuers, may be required to sell the shares of our common stock that they receive in the merger. Such sales of our common stock could have the effect of depressing the market price for our common stock.</w:t>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38" w:right="339" w:bottom="1440" w:gutter="0" w:footer="0" w:header="0"/>
        </w:sectPr>
      </w:pPr>
    </w:p>
    <w:bookmarkStart w:id="35" w:name="page36"/>
    <w:bookmarkEnd w:id="35"/>
    <w:p>
      <w:pPr>
        <w:spacing w:after="0"/>
        <w:rPr>
          <w:sz w:val="20"/>
          <w:szCs w:val="20"/>
          <w:color w:val="auto"/>
        </w:rPr>
      </w:pPr>
      <w:r>
        <w:rPr>
          <w:rFonts w:ascii="Arial" w:cs="Arial" w:eastAsia="Arial" w:hAnsi="Arial"/>
          <w:sz w:val="18"/>
          <w:szCs w:val="18"/>
          <w:b w:val="1"/>
          <w:bCs w:val="1"/>
          <w:i w:val="1"/>
          <w:iCs w:val="1"/>
          <w:color w:val="auto"/>
        </w:rPr>
        <w:t>Risks Related to the Business</w:t>
      </w:r>
    </w:p>
    <w:p>
      <w:pPr>
        <w:spacing w:after="0" w:line="117" w:lineRule="exact"/>
        <w:rPr>
          <w:sz w:val="20"/>
          <w:szCs w:val="20"/>
          <w:color w:val="auto"/>
        </w:rPr>
      </w:pPr>
    </w:p>
    <w:p>
      <w:pPr>
        <w:ind w:right="700"/>
        <w:spacing w:after="0" w:line="277" w:lineRule="auto"/>
        <w:rPr>
          <w:sz w:val="20"/>
          <w:szCs w:val="20"/>
          <w:color w:val="auto"/>
        </w:rPr>
      </w:pPr>
      <w:r>
        <w:rPr>
          <w:rFonts w:ascii="Arial" w:cs="Arial" w:eastAsia="Arial" w:hAnsi="Arial"/>
          <w:sz w:val="18"/>
          <w:szCs w:val="18"/>
          <w:i w:val="1"/>
          <w:iCs w:val="1"/>
          <w:color w:val="auto"/>
        </w:rPr>
        <w:t>The extent to which the novel strain of the coronavirus (COVID-19) pandemic will adversely affect our business, financial condition and results of operations is uncertain.</w:t>
      </w:r>
    </w:p>
    <w:p>
      <w:pPr>
        <w:spacing w:after="0" w:line="89" w:lineRule="exact"/>
        <w:rPr>
          <w:sz w:val="20"/>
          <w:szCs w:val="20"/>
          <w:color w:val="auto"/>
        </w:rPr>
      </w:pPr>
    </w:p>
    <w:p>
      <w:pPr>
        <w:ind w:firstLine="486"/>
        <w:spacing w:after="0" w:line="270" w:lineRule="auto"/>
        <w:rPr>
          <w:sz w:val="20"/>
          <w:szCs w:val="20"/>
          <w:color w:val="auto"/>
        </w:rPr>
      </w:pPr>
      <w:r>
        <w:rPr>
          <w:rFonts w:ascii="Arial" w:cs="Arial" w:eastAsia="Arial" w:hAnsi="Arial"/>
          <w:sz w:val="17"/>
          <w:szCs w:val="17"/>
          <w:color w:val="auto"/>
        </w:rPr>
        <w:t>The COVID-19 pandemic has resulted in government authorities implementing numerous measures to try to contain the virus, such as travel bans and restrictions, quarantines, shelter in place orders, and shutdowns. These measures have adversely impacted and are expected to further adversely impact our workforce and operations, the operations of our customers, and those of our respective vendors and suppliers. We have significant operations worldwide, including in the United States, the Philippines, Ireland, Singapore, Malaysia, China, and India, and each of these countries has been affected by the pandemic and taken measures to try to contain it, resulting in disruptions at some of our manufacturing operations and facilities. There is considerable uncertainty regarding the impact, and expected duration, of such measures and potential future measures, and restrictions on our access to our facilities or on our support operations or workforce, or similar limitations for our vendors and suppliers. Increased restrictions on or disruptions of transportation, such as reduced availability of air transport, port closures, and increased border controls or closures, would limit our capacity to meet customer demand and have a material adverse effect on our business, financial condition and results of operations.</w:t>
      </w:r>
    </w:p>
    <w:p>
      <w:pPr>
        <w:spacing w:after="0" w:line="86" w:lineRule="exact"/>
        <w:rPr>
          <w:sz w:val="20"/>
          <w:szCs w:val="20"/>
          <w:color w:val="auto"/>
        </w:rPr>
      </w:pPr>
    </w:p>
    <w:p>
      <w:pPr>
        <w:ind w:right="20" w:firstLine="486"/>
        <w:spacing w:after="0" w:line="273" w:lineRule="auto"/>
        <w:rPr>
          <w:sz w:val="20"/>
          <w:szCs w:val="20"/>
          <w:color w:val="auto"/>
        </w:rPr>
      </w:pPr>
      <w:r>
        <w:rPr>
          <w:rFonts w:ascii="Arial" w:cs="Arial" w:eastAsia="Arial" w:hAnsi="Arial"/>
          <w:sz w:val="17"/>
          <w:szCs w:val="17"/>
          <w:color w:val="auto"/>
        </w:rPr>
        <w:t>The spread of COVID-19 has caused us to modify our business practices, including restricting employee travel, modifying employee work locations, and canceling physical participation in meetings, events and conferences, and we may take further actions as may be required by government authorities or that we determine are in the best interests of our employees, customers, partners, and suppliers. For example, many of our employees are temporarily working remotely, which may impact our business operations or customer relationships. Such actions may result in further disruptions to our supply chain, manufacturing operations and facilities, and workforce. We cannot provide assurance that such measures will be sufficient to mitigate the risks posed by COVID-19, and our ability to perform critical functions could be harmed.</w:t>
      </w:r>
    </w:p>
    <w:p>
      <w:pPr>
        <w:spacing w:after="0" w:line="83" w:lineRule="exact"/>
        <w:rPr>
          <w:sz w:val="20"/>
          <w:szCs w:val="20"/>
          <w:color w:val="auto"/>
        </w:rPr>
      </w:pPr>
    </w:p>
    <w:p>
      <w:pPr>
        <w:ind w:right="40" w:firstLine="486"/>
        <w:spacing w:after="0" w:line="296" w:lineRule="auto"/>
        <w:rPr>
          <w:sz w:val="20"/>
          <w:szCs w:val="20"/>
          <w:color w:val="auto"/>
        </w:rPr>
      </w:pPr>
      <w:r>
        <w:rPr>
          <w:rFonts w:ascii="Arial" w:cs="Arial" w:eastAsia="Arial" w:hAnsi="Arial"/>
          <w:sz w:val="16"/>
          <w:szCs w:val="16"/>
          <w:color w:val="auto"/>
        </w:rPr>
        <w:t>The COVID-19 pandemic has significantly increased economic and demand uncertainty and has caused an economic slowdown that is likely to continue and result in a global recession. The COVID-19 pandemic has led to disruption and volatility in the global capital markets, which may adversely affect our and our customers’ and suppliers’ liquidity, cost of capital and ability to access the capital markets. As a result, the continued spread of COVID-19 could cause further disruption in our supply chain and customer demand, and could adversely affect the ability of our customers to perform, including in making timely payments to us, which could further adversely impact our business, financial condition and results of operations.</w:t>
      </w:r>
    </w:p>
    <w:p>
      <w:pPr>
        <w:spacing w:after="0" w:line="80" w:lineRule="exact"/>
        <w:rPr>
          <w:sz w:val="20"/>
          <w:szCs w:val="20"/>
          <w:color w:val="auto"/>
        </w:rPr>
      </w:pPr>
    </w:p>
    <w:p>
      <w:pPr>
        <w:ind w:right="100" w:firstLine="486"/>
        <w:spacing w:after="0" w:line="259" w:lineRule="auto"/>
        <w:rPr>
          <w:sz w:val="20"/>
          <w:szCs w:val="20"/>
          <w:color w:val="auto"/>
        </w:rPr>
      </w:pPr>
      <w:r>
        <w:rPr>
          <w:rFonts w:ascii="Arial" w:cs="Arial" w:eastAsia="Arial" w:hAnsi="Arial"/>
          <w:sz w:val="18"/>
          <w:szCs w:val="18"/>
          <w:color w:val="auto"/>
        </w:rPr>
        <w:t>We cannot at this time fully quantify or forecast the impact of the COVID-19 pandemic on our business. The degree to which the pandemic impacts our business, financial condition and results of operations will depend on future developments, which are highly uncertain, including the scope and duration of the pandemic, the actions to contain the virus or treat its impact, or how quickly and to what extent normal economic and operating conditions can resume.</w:t>
      </w:r>
    </w:p>
    <w:p>
      <w:pPr>
        <w:spacing w:after="0" w:line="92"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i w:val="1"/>
          <w:iCs w:val="1"/>
          <w:color w:val="auto"/>
        </w:rPr>
        <w:t>Political and economic uncertainty as well as disruptions in global credit and financial markets could materially and adversely affect our business and results of operations.</w:t>
      </w:r>
    </w:p>
    <w:p>
      <w:pPr>
        <w:spacing w:after="0" w:line="76" w:lineRule="exact"/>
        <w:rPr>
          <w:sz w:val="20"/>
          <w:szCs w:val="20"/>
          <w:color w:val="auto"/>
        </w:rPr>
      </w:pPr>
    </w:p>
    <w:p>
      <w:pPr>
        <w:ind w:firstLine="486"/>
        <w:spacing w:after="0" w:line="269" w:lineRule="auto"/>
        <w:rPr>
          <w:sz w:val="20"/>
          <w:szCs w:val="20"/>
          <w:color w:val="auto"/>
        </w:rPr>
      </w:pPr>
      <w:r>
        <w:rPr>
          <w:rFonts w:ascii="Arial" w:cs="Arial" w:eastAsia="Arial" w:hAnsi="Arial"/>
          <w:sz w:val="17"/>
          <w:szCs w:val="17"/>
          <w:color w:val="auto"/>
        </w:rPr>
        <w:t>Continuing political and global macroeconomic uncertainty, including related to the COVID-19 pandemic, trade and political disputes between the United States and China, and the United Kingdom's withdrawal from the European Union, and uncertainty regarding the stability of global credit and financial markets may lead consumers and businesses to postpone or reduce spending, which may cause our customers to cancel, decrease or delay their existing and future orders for our products and make it difficult for us to accurately forecast and plan our future business activities. Financial difficulties experienced by our customers could result in nonpayment or payment delays for previously purchased products, thereby increasing our credit risk exposure. Uncertainty regarding the macroeconomic conditions as well as the future stability of the global credit and financial markets could cause the value of the currency in the affected markets to deteriorate, thus reducing the purchasing power of those customers. Significant disruption to global credit and financial markets may also adversely affect our ability to access external financing sources on acceptable terms. In addition, financial difficulties experienced by our suppliers, distributors or customers could result in product delays, increased accounts receivable defaults and inventory challenges. If economic conditions deteriorate, we may record additional charges relating to restructuring costs or the impairment of assets and our business and results of operations could be materially and adversely affected.</w:t>
      </w:r>
    </w:p>
    <w:p>
      <w:pPr>
        <w:spacing w:after="0" w:line="101"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i w:val="1"/>
          <w:iCs w:val="1"/>
          <w:color w:val="auto"/>
        </w:rPr>
        <w:t>We are exposed to business, economic, political, legal, regulatory and other risks through our significant worldwide operations, which could adversely affect our business, financial condition and results of operations.</w:t>
      </w:r>
    </w:p>
    <w:p>
      <w:pPr>
        <w:spacing w:after="0" w:line="76" w:lineRule="exact"/>
        <w:rPr>
          <w:sz w:val="20"/>
          <w:szCs w:val="20"/>
          <w:color w:val="auto"/>
        </w:rPr>
      </w:pPr>
    </w:p>
    <w:p>
      <w:pPr>
        <w:jc w:val="both"/>
        <w:ind w:right="20" w:firstLine="486"/>
        <w:spacing w:after="0" w:line="286" w:lineRule="auto"/>
        <w:rPr>
          <w:sz w:val="20"/>
          <w:szCs w:val="20"/>
          <w:color w:val="auto"/>
        </w:rPr>
      </w:pPr>
      <w:r>
        <w:rPr>
          <w:rFonts w:ascii="Arial" w:cs="Arial" w:eastAsia="Arial" w:hAnsi="Arial"/>
          <w:sz w:val="17"/>
          <w:szCs w:val="17"/>
          <w:color w:val="auto"/>
        </w:rPr>
        <w:t>We have significant operations and manufacturing facilities outside the United States, including in Ireland, the Philippines, Singapore and Malaysia. A significant portion of our revenue is derived from customers in international markets, and we expect that international sales will continue to account for a significant portion of our revenue in the future. Risks associated with our international business operations include the following:</w:t>
      </w:r>
    </w:p>
    <w:p>
      <w:pPr>
        <w:spacing w:after="0" w:line="200" w:lineRule="exact"/>
        <w:rPr>
          <w:sz w:val="20"/>
          <w:szCs w:val="20"/>
          <w:color w:val="auto"/>
        </w:rPr>
      </w:pPr>
    </w:p>
    <w:p>
      <w:pPr>
        <w:spacing w:after="0" w:line="3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16" w:right="339" w:bottom="1440" w:gutter="0" w:footer="0" w:header="0"/>
        </w:sectPr>
      </w:pPr>
    </w:p>
    <w:bookmarkStart w:id="36" w:name="page37"/>
    <w:bookmarkEnd w:id="36"/>
    <w:p>
      <w:pPr>
        <w:jc w:val="both"/>
        <w:ind w:left="660" w:right="20" w:hanging="328"/>
        <w:spacing w:after="0" w:line="263" w:lineRule="auto"/>
        <w:tabs>
          <w:tab w:leader="none" w:pos="655" w:val="left"/>
        </w:tabs>
        <w:numPr>
          <w:ilvl w:val="0"/>
          <w:numId w:val="14"/>
        </w:numPr>
        <w:rPr>
          <w:rFonts w:ascii="Arial" w:cs="Arial" w:eastAsia="Arial" w:hAnsi="Arial"/>
          <w:sz w:val="18"/>
          <w:szCs w:val="18"/>
          <w:color w:val="auto"/>
        </w:rPr>
      </w:pPr>
      <w:r>
        <w:rPr>
          <w:rFonts w:ascii="Arial" w:cs="Arial" w:eastAsia="Arial" w:hAnsi="Arial"/>
          <w:sz w:val="18"/>
          <w:szCs w:val="18"/>
          <w:color w:val="auto"/>
        </w:rPr>
        <w:t>political, legal and economic changes, crises or instability and civil unrest in markets in which we do business, including potential macroeconomic weakness related to trade and political disputes between the United States and China, the United Kingdom's withdrawal from the European Union and the implementation of the United States-Mexico-Canada Agreement;</w:t>
      </w:r>
    </w:p>
    <w:p>
      <w:pPr>
        <w:spacing w:after="0" w:line="48" w:lineRule="exact"/>
        <w:rPr>
          <w:rFonts w:ascii="Arial" w:cs="Arial" w:eastAsia="Arial" w:hAnsi="Arial"/>
          <w:sz w:val="18"/>
          <w:szCs w:val="18"/>
          <w:color w:val="auto"/>
        </w:rPr>
      </w:pPr>
    </w:p>
    <w:p>
      <w:pPr>
        <w:ind w:left="660" w:right="240" w:hanging="328"/>
        <w:spacing w:after="0" w:line="277" w:lineRule="auto"/>
        <w:tabs>
          <w:tab w:leader="none" w:pos="655" w:val="left"/>
        </w:tabs>
        <w:numPr>
          <w:ilvl w:val="0"/>
          <w:numId w:val="14"/>
        </w:numPr>
        <w:rPr>
          <w:rFonts w:ascii="Arial" w:cs="Arial" w:eastAsia="Arial" w:hAnsi="Arial"/>
          <w:sz w:val="18"/>
          <w:szCs w:val="18"/>
          <w:color w:val="auto"/>
        </w:rPr>
      </w:pPr>
      <w:r>
        <w:rPr>
          <w:rFonts w:ascii="Arial" w:cs="Arial" w:eastAsia="Arial" w:hAnsi="Arial"/>
          <w:sz w:val="18"/>
          <w:szCs w:val="18"/>
          <w:color w:val="auto"/>
        </w:rPr>
        <w:t>compliance requirements of U.S. customs and export regulations, including the Export Administration Regulations (EAR) and the International Traffic and Arms Regulations (ITAR);</w:t>
      </w:r>
    </w:p>
    <w:p>
      <w:pPr>
        <w:spacing w:after="0" w:line="21"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7"/>
          <w:szCs w:val="17"/>
          <w:color w:val="auto"/>
        </w:rPr>
      </w:pPr>
      <w:r>
        <w:rPr>
          <w:rFonts w:ascii="Arial" w:cs="Arial" w:eastAsia="Arial" w:hAnsi="Arial"/>
          <w:sz w:val="17"/>
          <w:szCs w:val="17"/>
          <w:color w:val="auto"/>
        </w:rPr>
        <w:t>currency conversion risks and exchange rate and interest rate fluctuations, including the potential impact of the transition from LIBOR;</w:t>
      </w:r>
    </w:p>
    <w:p>
      <w:pPr>
        <w:spacing w:after="0" w:line="88" w:lineRule="exact"/>
        <w:rPr>
          <w:rFonts w:ascii="Arial" w:cs="Arial" w:eastAsia="Arial" w:hAnsi="Arial"/>
          <w:sz w:val="17"/>
          <w:szCs w:val="17"/>
          <w:color w:val="auto"/>
        </w:rPr>
      </w:pPr>
    </w:p>
    <w:p>
      <w:pPr>
        <w:ind w:left="660" w:right="140" w:hanging="328"/>
        <w:spacing w:after="0" w:line="263" w:lineRule="auto"/>
        <w:tabs>
          <w:tab w:leader="none" w:pos="655" w:val="left"/>
        </w:tabs>
        <w:numPr>
          <w:ilvl w:val="0"/>
          <w:numId w:val="14"/>
        </w:numPr>
        <w:rPr>
          <w:rFonts w:ascii="Arial" w:cs="Arial" w:eastAsia="Arial" w:hAnsi="Arial"/>
          <w:sz w:val="18"/>
          <w:szCs w:val="18"/>
          <w:color w:val="auto"/>
        </w:rPr>
      </w:pPr>
      <w:r>
        <w:rPr>
          <w:rFonts w:ascii="Arial" w:cs="Arial" w:eastAsia="Arial" w:hAnsi="Arial"/>
          <w:sz w:val="18"/>
          <w:szCs w:val="18"/>
          <w:color w:val="auto"/>
        </w:rPr>
        <w:t>trade policy, commercial, travel, export or taxation disputes or restrictions, government sanctions, import or export tariffs, changes to export classifications or other restrictions imposed by the U.S. government or by the governments of the countries in which we do business, particularly in China;</w:t>
      </w:r>
    </w:p>
    <w:p>
      <w:pPr>
        <w:spacing w:after="0" w:line="48" w:lineRule="exact"/>
        <w:rPr>
          <w:rFonts w:ascii="Arial" w:cs="Arial" w:eastAsia="Arial" w:hAnsi="Arial"/>
          <w:sz w:val="18"/>
          <w:szCs w:val="18"/>
          <w:color w:val="auto"/>
        </w:rPr>
      </w:pPr>
    </w:p>
    <w:p>
      <w:pPr>
        <w:ind w:left="660" w:right="40" w:hanging="328"/>
        <w:spacing w:after="0" w:line="286" w:lineRule="auto"/>
        <w:tabs>
          <w:tab w:leader="none" w:pos="655" w:val="left"/>
        </w:tabs>
        <w:numPr>
          <w:ilvl w:val="0"/>
          <w:numId w:val="14"/>
        </w:numPr>
        <w:rPr>
          <w:rFonts w:ascii="Arial" w:cs="Arial" w:eastAsia="Arial" w:hAnsi="Arial"/>
          <w:sz w:val="17"/>
          <w:szCs w:val="17"/>
          <w:color w:val="auto"/>
        </w:rPr>
      </w:pPr>
      <w:r>
        <w:rPr>
          <w:rFonts w:ascii="Arial" w:cs="Arial" w:eastAsia="Arial" w:hAnsi="Arial"/>
          <w:sz w:val="17"/>
          <w:szCs w:val="17"/>
          <w:color w:val="auto"/>
        </w:rPr>
        <w:t>complex, varying and changing government regulations and legal standards and requirements, particularly with respect to tax regulations, price protection, competition practices, export control regulations and restrictions, customs and tax requirements, immigration, anti-boycott regulations, data privacy, intellectual property, anti-corruption and environmental compliance, including the Foreign Corrupt Practices Act;</w:t>
      </w:r>
    </w:p>
    <w:p>
      <w:pPr>
        <w:spacing w:after="0" w:line="16" w:lineRule="exact"/>
        <w:rPr>
          <w:rFonts w:ascii="Arial" w:cs="Arial" w:eastAsia="Arial" w:hAnsi="Arial"/>
          <w:sz w:val="17"/>
          <w:szCs w:val="17"/>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economic disruption from terrorism and threats of terrorism and the response to them by the U.S. and its allies;</w:t>
      </w:r>
    </w:p>
    <w:p>
      <w:pPr>
        <w:spacing w:after="0" w:line="76"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increased managerial complexities, including different employment practices and labor issues;</w:t>
      </w:r>
    </w:p>
    <w:p>
      <w:pPr>
        <w:spacing w:after="0" w:line="90"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changes in immigration laws, regulations and procedures and enforcement practices of various government agencies;</w:t>
      </w:r>
    </w:p>
    <w:p>
      <w:pPr>
        <w:spacing w:after="0" w:line="76"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greater difficulty enforcing intellectual property rights and weaker laws protecting such rights;</w:t>
      </w:r>
    </w:p>
    <w:p>
      <w:pPr>
        <w:spacing w:after="0" w:line="76"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natural disasters or public health emergencies, such as the current COVID-19 pandemic;</w:t>
      </w:r>
    </w:p>
    <w:p>
      <w:pPr>
        <w:spacing w:after="0" w:line="90"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transportation disruptions and delays and increases in labor and transportation costs;</w:t>
      </w:r>
    </w:p>
    <w:p>
      <w:pPr>
        <w:spacing w:after="0" w:line="76"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changes to foreign taxes, tariffs and freight rates;</w:t>
      </w:r>
    </w:p>
    <w:p>
      <w:pPr>
        <w:spacing w:after="0" w:line="76"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fluctuations in raw material costs and energy costs;</w:t>
      </w:r>
    </w:p>
    <w:p>
      <w:pPr>
        <w:spacing w:after="0" w:line="90"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greater difficulty in accounts receivable collections and longer collection periods; and</w:t>
      </w:r>
    </w:p>
    <w:p>
      <w:pPr>
        <w:spacing w:after="0" w:line="76"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costs associated with our foreign defined benefit pension plans.</w:t>
      </w:r>
    </w:p>
    <w:p>
      <w:pPr>
        <w:spacing w:after="0" w:line="131" w:lineRule="exact"/>
        <w:rPr>
          <w:sz w:val="20"/>
          <w:szCs w:val="20"/>
          <w:color w:val="auto"/>
        </w:rPr>
      </w:pPr>
    </w:p>
    <w:p>
      <w:pPr>
        <w:ind w:right="120" w:firstLine="486"/>
        <w:spacing w:after="0" w:line="277" w:lineRule="auto"/>
        <w:rPr>
          <w:sz w:val="20"/>
          <w:szCs w:val="20"/>
          <w:color w:val="auto"/>
        </w:rPr>
      </w:pPr>
      <w:r>
        <w:rPr>
          <w:rFonts w:ascii="Arial" w:cs="Arial" w:eastAsia="Arial" w:hAnsi="Arial"/>
          <w:sz w:val="18"/>
          <w:szCs w:val="18"/>
          <w:color w:val="auto"/>
        </w:rPr>
        <w:t>Any of these risks, or any other risks related to international business operations, could materially adversely affect our business, financial condition and results of operations.</w:t>
      </w:r>
    </w:p>
    <w:p>
      <w:pPr>
        <w:spacing w:after="0" w:line="89" w:lineRule="exact"/>
        <w:rPr>
          <w:sz w:val="20"/>
          <w:szCs w:val="20"/>
          <w:color w:val="auto"/>
        </w:rPr>
      </w:pPr>
    </w:p>
    <w:p>
      <w:pPr>
        <w:ind w:right="120" w:firstLine="486"/>
        <w:spacing w:after="0" w:line="254" w:lineRule="auto"/>
        <w:rPr>
          <w:sz w:val="20"/>
          <w:szCs w:val="20"/>
          <w:color w:val="auto"/>
        </w:rPr>
      </w:pPr>
      <w:r>
        <w:rPr>
          <w:rFonts w:ascii="Arial" w:cs="Arial" w:eastAsia="Arial" w:hAnsi="Arial"/>
          <w:sz w:val="18"/>
          <w:szCs w:val="18"/>
          <w:color w:val="auto"/>
        </w:rPr>
        <w:t>Many of these risks are present within our business operations in China. For example, changes in U.S.-China relations, the political environment or international trade policies and relations could result in further revisions to laws or regulations or their interpretation and enforcement, increased taxation, trade sanctions, the imposition of import or export duties and tariffs, restrictions on imports or exports, currency revaluations, or retaliatory actions, which has had and may continue to have an adverse effect on our business plans and operating results. In addition, our success in the Chinese markets may be adversely affected by China's continuously evolving policies, laws and regulations, including those relating to antitrust, cybersecurity and data protection, the environment, indigenous innovation and the promotion of a domestic semiconductor industry, and intellectual property rights and enforcement and protection of those rights.</w:t>
      </w:r>
    </w:p>
    <w:p>
      <w:pPr>
        <w:spacing w:after="0" w:line="100" w:lineRule="exact"/>
        <w:rPr>
          <w:sz w:val="20"/>
          <w:szCs w:val="20"/>
          <w:color w:val="auto"/>
        </w:rPr>
      </w:pPr>
    </w:p>
    <w:p>
      <w:pPr>
        <w:ind w:firstLine="445"/>
        <w:spacing w:after="0" w:line="272" w:lineRule="auto"/>
        <w:rPr>
          <w:sz w:val="20"/>
          <w:szCs w:val="20"/>
          <w:color w:val="auto"/>
        </w:rPr>
      </w:pPr>
      <w:r>
        <w:rPr>
          <w:rFonts w:ascii="Arial" w:cs="Arial" w:eastAsia="Arial" w:hAnsi="Arial"/>
          <w:sz w:val="17"/>
          <w:szCs w:val="17"/>
          <w:color w:val="auto"/>
        </w:rPr>
        <w:t>We carry outside basis differences in certain of our subsidiaries, primarily arising from acquisition accounting adjustments and undistributed earnings that are considered indefinitely reinvested. We intend to reinvest these funds in our international operations, and our current plans do not demonstrate a need to repatriate these earnings to fund our U.S. cash requirements. We require a substantial amount of cash in the United States for operating requirements, stock repurchases, cash dividends and acquisitions. If we are unable to address our U.S. cash requirements through operations, borrowings under our current revolving credit facility, future debt or equity offerings or other sources of cash obtained at an acceptable cost, it may be necessary for us to consider repatriation of earnings that are indefinitely reinvested, and we may be required to pay additional taxes under current tax laws, which could have a material adverse effect on our results of operations and financial condition.</w:t>
      </w:r>
    </w:p>
    <w:p>
      <w:pPr>
        <w:spacing w:after="0" w:line="8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Our future revenue, gross margins, operating results, net income and earnings per share are difficult to predict and may materially fluctuate.</w:t>
      </w:r>
    </w:p>
    <w:p>
      <w:pPr>
        <w:spacing w:after="0" w:line="90" w:lineRule="exact"/>
        <w:rPr>
          <w:sz w:val="20"/>
          <w:szCs w:val="20"/>
          <w:color w:val="auto"/>
        </w:rPr>
      </w:pPr>
    </w:p>
    <w:p>
      <w:pPr>
        <w:ind w:right="200" w:firstLine="486"/>
        <w:spacing w:after="0" w:line="277" w:lineRule="auto"/>
        <w:rPr>
          <w:sz w:val="20"/>
          <w:szCs w:val="20"/>
          <w:color w:val="auto"/>
        </w:rPr>
      </w:pPr>
      <w:r>
        <w:rPr>
          <w:rFonts w:ascii="Arial" w:cs="Arial" w:eastAsia="Arial" w:hAnsi="Arial"/>
          <w:sz w:val="18"/>
          <w:szCs w:val="18"/>
          <w:color w:val="auto"/>
        </w:rPr>
        <w:t>Our future revenue, gross margins, operating results, net income and earnings per share are difficult to predict and may be materially affected by a number of factors, including:</w:t>
      </w:r>
    </w:p>
    <w:p>
      <w:pPr>
        <w:spacing w:after="0" w:line="22" w:lineRule="exact"/>
        <w:rPr>
          <w:sz w:val="20"/>
          <w:szCs w:val="20"/>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extent of the impact and the duration of the COVID-19 pandemic;</w:t>
      </w:r>
    </w:p>
    <w:p>
      <w:pPr>
        <w:spacing w:after="0" w:line="76"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effects of adverse economic conditions in the markets in which we sell our products;</w:t>
      </w:r>
    </w:p>
    <w:p>
      <w:pPr>
        <w:spacing w:after="0" w:line="90"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changes in customer demand or order patterns for our products and/or for end products that incorporate our products;</w:t>
      </w: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084" w:right="359" w:bottom="1440" w:gutter="0" w:footer="0" w:header="0"/>
        </w:sectPr>
      </w:pPr>
    </w:p>
    <w:bookmarkStart w:id="37" w:name="page38"/>
    <w:bookmarkEnd w:id="37"/>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timing, delay, reduction or cancellation of significant customer orders and our ability to manage inventory;</w:t>
      </w:r>
    </w:p>
    <w:p>
      <w:pPr>
        <w:spacing w:after="0" w:line="90"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our ability to accurately forecast distributor demand for our products;</w:t>
      </w:r>
    </w:p>
    <w:p>
      <w:pPr>
        <w:spacing w:after="0" w:line="76"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our ability to accurately estimate future distributor pricing credits and/or stock rotation rights;</w:t>
      </w:r>
    </w:p>
    <w:p>
      <w:pPr>
        <w:spacing w:after="0" w:line="76"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our ability to effectively manage our cost structure in both the short term and over a longer duration;</w:t>
      </w:r>
    </w:p>
    <w:p>
      <w:pPr>
        <w:spacing w:after="0" w:line="90"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changes in geographic, product or customer mix;</w:t>
      </w:r>
    </w:p>
    <w:p>
      <w:pPr>
        <w:spacing w:after="0" w:line="76"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changes in our effective tax rates or new or revised tax legislation in the United States, Ireland or worldwide;</w:t>
      </w:r>
    </w:p>
    <w:p>
      <w:pPr>
        <w:spacing w:after="0" w:line="76" w:lineRule="exact"/>
        <w:rPr>
          <w:rFonts w:ascii="Arial" w:cs="Arial" w:eastAsia="Arial" w:hAnsi="Arial"/>
          <w:sz w:val="18"/>
          <w:szCs w:val="18"/>
          <w:color w:val="auto"/>
        </w:rPr>
      </w:pPr>
    </w:p>
    <w:p>
      <w:pPr>
        <w:ind w:left="660" w:right="240" w:hanging="328"/>
        <w:spacing w:after="0" w:line="263" w:lineRule="auto"/>
        <w:tabs>
          <w:tab w:leader="none" w:pos="655"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effects of issued, threatened or retaliatory government sanctions, trade barriers or economic restrictions, changes in law, regulations or other restrictions, including executive orders, changes in import and export regulations, export classifications or changes in duties and tariffs, particularly with respect to China;</w:t>
      </w:r>
    </w:p>
    <w:p>
      <w:pPr>
        <w:spacing w:after="0" w:line="48"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6"/>
          <w:szCs w:val="16"/>
          <w:color w:val="auto"/>
        </w:rPr>
      </w:pPr>
      <w:r>
        <w:rPr>
          <w:rFonts w:ascii="Arial" w:cs="Arial" w:eastAsia="Arial" w:hAnsi="Arial"/>
          <w:sz w:val="16"/>
          <w:szCs w:val="16"/>
          <w:color w:val="auto"/>
        </w:rPr>
        <w:t>the timing of new product announcements or introductions by us, our customers or our competitors and the market acceptance of such products;</w:t>
      </w:r>
    </w:p>
    <w:p>
      <w:pPr>
        <w:spacing w:after="0" w:line="99" w:lineRule="exact"/>
        <w:rPr>
          <w:rFonts w:ascii="Arial" w:cs="Arial" w:eastAsia="Arial" w:hAnsi="Arial"/>
          <w:sz w:val="16"/>
          <w:szCs w:val="16"/>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pricing decisions and competitive pricing pressures;</w:t>
      </w:r>
    </w:p>
    <w:p>
      <w:pPr>
        <w:spacing w:after="0" w:line="76"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7"/>
          <w:szCs w:val="17"/>
          <w:color w:val="auto"/>
        </w:rPr>
      </w:pPr>
      <w:r>
        <w:rPr>
          <w:rFonts w:ascii="Arial" w:cs="Arial" w:eastAsia="Arial" w:hAnsi="Arial"/>
          <w:sz w:val="17"/>
          <w:szCs w:val="17"/>
          <w:color w:val="auto"/>
        </w:rPr>
        <w:t>fluctuations in manufacturing yields, adequate availability of wafers and other raw materials, and manufacturing, assembly and test capacity;</w:t>
      </w:r>
    </w:p>
    <w:p>
      <w:pPr>
        <w:spacing w:after="0" w:line="101" w:lineRule="exact"/>
        <w:rPr>
          <w:rFonts w:ascii="Arial" w:cs="Arial" w:eastAsia="Arial" w:hAnsi="Arial"/>
          <w:sz w:val="17"/>
          <w:szCs w:val="17"/>
          <w:color w:val="auto"/>
        </w:rPr>
      </w:pPr>
    </w:p>
    <w:p>
      <w:pPr>
        <w:ind w:left="660" w:right="180" w:hanging="328"/>
        <w:spacing w:after="0" w:line="277" w:lineRule="auto"/>
        <w:tabs>
          <w:tab w:leader="none" w:pos="655"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ability of our third-party suppliers, subcontractors and manufacturers to supply us with sufficient quantities of raw materials, products and/or components;</w:t>
      </w:r>
    </w:p>
    <w:p>
      <w:pPr>
        <w:spacing w:after="0" w:line="21"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 decline in infrastructure spending by foreign governments, including China;</w:t>
      </w:r>
    </w:p>
    <w:p>
      <w:pPr>
        <w:spacing w:after="0" w:line="76" w:lineRule="exact"/>
        <w:rPr>
          <w:rFonts w:ascii="Arial" w:cs="Arial" w:eastAsia="Arial" w:hAnsi="Arial"/>
          <w:sz w:val="18"/>
          <w:szCs w:val="18"/>
          <w:color w:val="auto"/>
        </w:rPr>
      </w:pPr>
    </w:p>
    <w:p>
      <w:pPr>
        <w:ind w:left="660" w:right="60" w:hanging="328"/>
        <w:spacing w:after="0" w:line="277" w:lineRule="auto"/>
        <w:tabs>
          <w:tab w:leader="none" w:pos="655" w:val="left"/>
        </w:tabs>
        <w:numPr>
          <w:ilvl w:val="0"/>
          <w:numId w:val="16"/>
        </w:numPr>
        <w:rPr>
          <w:rFonts w:ascii="Arial" w:cs="Arial" w:eastAsia="Arial" w:hAnsi="Arial"/>
          <w:sz w:val="18"/>
          <w:szCs w:val="18"/>
          <w:color w:val="auto"/>
        </w:rPr>
      </w:pPr>
      <w:r>
        <w:rPr>
          <w:rFonts w:ascii="Arial" w:cs="Arial" w:eastAsia="Arial" w:hAnsi="Arial"/>
          <w:sz w:val="18"/>
          <w:szCs w:val="18"/>
          <w:color w:val="auto"/>
        </w:rPr>
        <w:t>a decline in the U.S. government defense budget, changes in spending or budgetary priorities, a prolonged U.S. government shutdown or delays in contract awards;</w:t>
      </w:r>
    </w:p>
    <w:p>
      <w:pPr>
        <w:spacing w:after="0" w:line="35"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any significant decline in our backlog;</w:t>
      </w:r>
    </w:p>
    <w:p>
      <w:pPr>
        <w:spacing w:after="0" w:line="76" w:lineRule="exact"/>
        <w:rPr>
          <w:rFonts w:ascii="Arial" w:cs="Arial" w:eastAsia="Arial" w:hAnsi="Arial"/>
          <w:sz w:val="18"/>
          <w:szCs w:val="18"/>
          <w:color w:val="auto"/>
        </w:rPr>
      </w:pPr>
    </w:p>
    <w:p>
      <w:pPr>
        <w:ind w:left="660" w:right="800" w:hanging="328"/>
        <w:spacing w:after="0" w:line="277" w:lineRule="auto"/>
        <w:tabs>
          <w:tab w:leader="none" w:pos="655" w:val="left"/>
        </w:tabs>
        <w:numPr>
          <w:ilvl w:val="0"/>
          <w:numId w:val="16"/>
        </w:numPr>
        <w:rPr>
          <w:rFonts w:ascii="Arial" w:cs="Arial" w:eastAsia="Arial" w:hAnsi="Arial"/>
          <w:sz w:val="18"/>
          <w:szCs w:val="18"/>
          <w:color w:val="auto"/>
        </w:rPr>
      </w:pPr>
      <w:r>
        <w:rPr>
          <w:rFonts w:ascii="Arial" w:cs="Arial" w:eastAsia="Arial" w:hAnsi="Arial"/>
          <w:sz w:val="18"/>
          <w:szCs w:val="18"/>
          <w:color w:val="auto"/>
        </w:rPr>
        <w:t>our ability to recruit, hire, retain and motivate adequate numbers of engineers and other qualified employees to meet the demands of our customers;</w:t>
      </w:r>
    </w:p>
    <w:p>
      <w:pPr>
        <w:spacing w:after="0" w:line="21"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our ability to generate new design opportunities and win competitive bid selection processes;</w:t>
      </w:r>
    </w:p>
    <w:p>
      <w:pPr>
        <w:spacing w:after="0" w:line="90" w:lineRule="exact"/>
        <w:rPr>
          <w:rFonts w:ascii="Arial" w:cs="Arial" w:eastAsia="Arial" w:hAnsi="Arial"/>
          <w:sz w:val="18"/>
          <w:szCs w:val="18"/>
          <w:color w:val="auto"/>
        </w:rPr>
      </w:pPr>
    </w:p>
    <w:p>
      <w:pPr>
        <w:ind w:left="660" w:right="340" w:hanging="328"/>
        <w:spacing w:after="0" w:line="277" w:lineRule="auto"/>
        <w:tabs>
          <w:tab w:leader="none" w:pos="655"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increasing costs of providing employee benefits worldwide, including health insurance, retirement plan and pension plan contributions and retirement benefits;</w:t>
      </w:r>
    </w:p>
    <w:p>
      <w:pPr>
        <w:spacing w:after="0" w:line="21"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our ability to utilize our manufacturing facilities at efficient levels;</w:t>
      </w:r>
    </w:p>
    <w:p>
      <w:pPr>
        <w:spacing w:after="0" w:line="76" w:lineRule="exact"/>
        <w:rPr>
          <w:rFonts w:ascii="Arial" w:cs="Arial" w:eastAsia="Arial" w:hAnsi="Arial"/>
          <w:sz w:val="18"/>
          <w:szCs w:val="18"/>
          <w:color w:val="auto"/>
        </w:rPr>
      </w:pPr>
    </w:p>
    <w:p>
      <w:pPr>
        <w:ind w:left="660" w:right="120" w:hanging="328"/>
        <w:spacing w:after="0" w:line="277" w:lineRule="auto"/>
        <w:tabs>
          <w:tab w:leader="none" w:pos="655" w:val="left"/>
        </w:tabs>
        <w:numPr>
          <w:ilvl w:val="0"/>
          <w:numId w:val="16"/>
        </w:numPr>
        <w:rPr>
          <w:rFonts w:ascii="Arial" w:cs="Arial" w:eastAsia="Arial" w:hAnsi="Arial"/>
          <w:sz w:val="18"/>
          <w:szCs w:val="18"/>
          <w:color w:val="auto"/>
        </w:rPr>
      </w:pPr>
      <w:r>
        <w:rPr>
          <w:rFonts w:ascii="Arial" w:cs="Arial" w:eastAsia="Arial" w:hAnsi="Arial"/>
          <w:sz w:val="18"/>
          <w:szCs w:val="18"/>
          <w:color w:val="auto"/>
        </w:rPr>
        <w:t>potential significant litigation-related costs or product liability, warranty and/or indemnity claims, including those not covered by our suppliers or insurers;</w:t>
      </w:r>
    </w:p>
    <w:p>
      <w:pPr>
        <w:spacing w:after="0" w:line="35" w:lineRule="exact"/>
        <w:rPr>
          <w:rFonts w:ascii="Arial" w:cs="Arial" w:eastAsia="Arial" w:hAnsi="Arial"/>
          <w:sz w:val="18"/>
          <w:szCs w:val="18"/>
          <w:color w:val="auto"/>
        </w:rPr>
      </w:pPr>
    </w:p>
    <w:p>
      <w:pPr>
        <w:ind w:left="660" w:right="40" w:hanging="328"/>
        <w:spacing w:after="0" w:line="277" w:lineRule="auto"/>
        <w:tabs>
          <w:tab w:leader="none" w:pos="655"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difficulties inherent in forecasting future operating expense levels, including with respect to costs associated with labor, utilities, transportation and raw materials;</w:t>
      </w:r>
    </w:p>
    <w:p>
      <w:pPr>
        <w:spacing w:after="0" w:line="21"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costs related to compliance with increasing worldwide government, environmental and social responsibility standards;</w:t>
      </w:r>
    </w:p>
    <w:p>
      <w:pPr>
        <w:spacing w:after="0" w:line="76"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new accounting pronouncements or changes in existing accounting standards and practices; and</w:t>
      </w:r>
    </w:p>
    <w:p>
      <w:pPr>
        <w:spacing w:after="0" w:line="90" w:lineRule="exact"/>
        <w:rPr>
          <w:rFonts w:ascii="Arial" w:cs="Arial" w:eastAsia="Arial" w:hAnsi="Arial"/>
          <w:sz w:val="18"/>
          <w:szCs w:val="18"/>
          <w:color w:val="auto"/>
        </w:rPr>
      </w:pPr>
    </w:p>
    <w:p>
      <w:pPr>
        <w:ind w:left="660" w:right="940" w:hanging="328"/>
        <w:spacing w:after="0" w:line="277" w:lineRule="auto"/>
        <w:tabs>
          <w:tab w:leader="none" w:pos="655"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effects of public health emergencies, civil unrest, natural disasters, widespread travel disruptions, security risks, terrorist activities, international conflicts and other events beyond our control.</w:t>
      </w:r>
    </w:p>
    <w:p>
      <w:pPr>
        <w:spacing w:after="0" w:line="76" w:lineRule="exact"/>
        <w:rPr>
          <w:sz w:val="20"/>
          <w:szCs w:val="20"/>
          <w:color w:val="auto"/>
        </w:rPr>
      </w:pPr>
    </w:p>
    <w:p>
      <w:pPr>
        <w:ind w:right="200" w:firstLine="486"/>
        <w:spacing w:after="0" w:line="271" w:lineRule="auto"/>
        <w:rPr>
          <w:sz w:val="20"/>
          <w:szCs w:val="20"/>
          <w:color w:val="auto"/>
        </w:rPr>
      </w:pPr>
      <w:r>
        <w:rPr>
          <w:rFonts w:ascii="Arial" w:cs="Arial" w:eastAsia="Arial" w:hAnsi="Arial"/>
          <w:sz w:val="17"/>
          <w:szCs w:val="17"/>
          <w:color w:val="auto"/>
        </w:rPr>
        <w:t>In addition, the semiconductor market has historically been cyclical and subject to significant economic upturns and downturns. Our business and certain of the end markets we serve are also subject to rapid technological changes and material fluctuations in demand based on end-user preferences. There can be no assurance (i) that products stocked in our inventory will not be rendered obsolete before we ship them, or (ii) that we will be able to design, develop and produce products in a timely fashion to accommodate changing customer demand. As a result of these and other factors, we may experience material fluctuations in future revenue, gross margins, operating results, net income and earnings per share on a quarterly or annual basis. Our historical financial performance and results of operations should not be relied upon as indicators of future performance or results. In addition, if our revenue, gross margins, operating results, net income and earnings per share results or expectations do not meet the expectations of securities analysts or investors, the market price of our common stock may decline.</w:t>
      </w:r>
    </w:p>
    <w:p>
      <w:pPr>
        <w:spacing w:after="0" w:line="5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Increases in our effective tax rate and exposure to additional tax liabilities may adversely impact our results of operations.</w:t>
      </w:r>
    </w:p>
    <w:p>
      <w:pPr>
        <w:spacing w:after="0" w:line="131" w:lineRule="exact"/>
        <w:rPr>
          <w:sz w:val="20"/>
          <w:szCs w:val="20"/>
          <w:color w:val="auto"/>
        </w:rPr>
      </w:pPr>
    </w:p>
    <w:p>
      <w:pPr>
        <w:ind w:firstLine="445"/>
        <w:spacing w:after="0" w:line="263" w:lineRule="auto"/>
        <w:rPr>
          <w:sz w:val="20"/>
          <w:szCs w:val="20"/>
          <w:color w:val="auto"/>
        </w:rPr>
      </w:pPr>
      <w:r>
        <w:rPr>
          <w:rFonts w:ascii="Arial" w:cs="Arial" w:eastAsia="Arial" w:hAnsi="Arial"/>
          <w:sz w:val="18"/>
          <w:szCs w:val="18"/>
          <w:color w:val="auto"/>
        </w:rPr>
        <w:t>Our effective tax rate reflects the applicable tax rate in effect in the various tax jurisdictions around the world where our income is earned. Our effective tax rate for the first nine months of the fiscal year ending October 31, 2020 was below our U.S. federal statutory rate of 21%. This is primarily due to lower statutory tax rates applicable to our operations in the foreign</w:t>
      </w:r>
    </w:p>
    <w:p>
      <w:pPr>
        <w:spacing w:after="0" w:line="200" w:lineRule="exact"/>
        <w:rPr>
          <w:sz w:val="20"/>
          <w:szCs w:val="20"/>
          <w:color w:val="auto"/>
        </w:rPr>
      </w:pPr>
    </w:p>
    <w:p>
      <w:pPr>
        <w:spacing w:after="0" w:line="3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84" w:right="339" w:bottom="1440" w:gutter="0" w:footer="0" w:header="0"/>
        </w:sectPr>
      </w:pPr>
    </w:p>
    <w:bookmarkStart w:id="38" w:name="page39"/>
    <w:bookmarkEnd w:id="38"/>
    <w:p>
      <w:pPr>
        <w:spacing w:after="0" w:line="288" w:lineRule="auto"/>
        <w:rPr>
          <w:sz w:val="20"/>
          <w:szCs w:val="20"/>
          <w:color w:val="auto"/>
        </w:rPr>
      </w:pPr>
      <w:r>
        <w:rPr>
          <w:rFonts w:ascii="Arial" w:cs="Arial" w:eastAsia="Arial" w:hAnsi="Arial"/>
          <w:sz w:val="16"/>
          <w:szCs w:val="16"/>
          <w:color w:val="auto"/>
        </w:rPr>
        <w:t>jurisdictions in which we earn income. A number of factors may increase our future effective tax rate, including: new or revised tax laws or legislation or the interpretation of such laws or legislation by governmental authorities; increases in tax rates in various jurisdictions; variation in the mix of jurisdictions in which our profits are earned and taxed; deferred taxes arising from basis differences in investments in foreign subsidiaries; any adverse resolution of ongoing tax audits or adverse rulings from taxing authorities worldwide, including our current transfer pricing appeal in Ireland; changes in the valuation of our deferred tax assets and liabilities; adjustments to income taxes upon finalization of various tax returns; increases in expenses not deductible for tax purposes, including executive compensation subject to the limitations of Section 162(m) of the Internal Revenue Code and amortization of assets acquired in connection with strategic transactions; decreased availability of tax deductions for stock-based compensation awards worldwide; and changes in available tax credits. In addition, we have a partial tax holiday through July 2025 in Malaysia. The ability to extend such tax holiday beyond its expiration date cannot be assured. In addition, if we fail to meet certain conditions of the tax holiday, we may lose the benefit of the tax holiday and/or be subject to additional taxes and/or penalties. Any significant increase in our future effective tax rate could adversely impact our net income during future periods.</w:t>
      </w:r>
    </w:p>
    <w:p>
      <w:pPr>
        <w:spacing w:after="0" w:line="87" w:lineRule="exact"/>
        <w:rPr>
          <w:sz w:val="20"/>
          <w:szCs w:val="20"/>
          <w:color w:val="auto"/>
        </w:rPr>
      </w:pPr>
    </w:p>
    <w:p>
      <w:pPr>
        <w:jc w:val="both"/>
        <w:ind w:right="200" w:firstLine="486"/>
        <w:spacing w:after="0" w:line="301" w:lineRule="auto"/>
        <w:rPr>
          <w:sz w:val="20"/>
          <w:szCs w:val="20"/>
          <w:color w:val="auto"/>
        </w:rPr>
      </w:pPr>
      <w:r>
        <w:rPr>
          <w:rFonts w:ascii="Arial" w:cs="Arial" w:eastAsia="Arial" w:hAnsi="Arial"/>
          <w:sz w:val="16"/>
          <w:szCs w:val="16"/>
          <w:color w:val="auto"/>
        </w:rPr>
        <w:t>Compliance with the Tax Cuts and Jobs Act of 2017 (Tax Legislation) may require the collection of information not regularly produced within the Company, and therefore necessitate the use of estimates in our Condensed Consolidated Financial Statements and the exercise of significant judgment in accounting for its provisions. As regulations and guidance evolve with respect to the Tax Legislation, and as more information is gathered and analyzed, our results may differ from previous estimates and may materially affect our Condensed Consolidated Financial Statements.</w:t>
      </w:r>
    </w:p>
    <w:p>
      <w:pPr>
        <w:spacing w:after="0" w:line="63" w:lineRule="exact"/>
        <w:rPr>
          <w:sz w:val="20"/>
          <w:szCs w:val="20"/>
          <w:color w:val="auto"/>
        </w:rPr>
      </w:pPr>
    </w:p>
    <w:p>
      <w:pPr>
        <w:ind w:left="500"/>
        <w:spacing w:after="0"/>
        <w:rPr>
          <w:sz w:val="20"/>
          <w:szCs w:val="20"/>
          <w:color w:val="auto"/>
        </w:rPr>
      </w:pPr>
      <w:r>
        <w:rPr>
          <w:rFonts w:ascii="Arial" w:cs="Arial" w:eastAsia="Arial" w:hAnsi="Arial"/>
          <w:sz w:val="16"/>
          <w:szCs w:val="16"/>
          <w:color w:val="auto"/>
        </w:rPr>
        <w:t>We are also subject to laws and regulations in various jurisdictions that determine how much profit has been earned and when it is subject to taxation</w:t>
      </w:r>
    </w:p>
    <w:p>
      <w:pPr>
        <w:spacing w:after="0" w:line="73" w:lineRule="exact"/>
        <w:rPr>
          <w:sz w:val="20"/>
          <w:szCs w:val="20"/>
          <w:color w:val="auto"/>
        </w:rPr>
      </w:pPr>
    </w:p>
    <w:p>
      <w:pPr>
        <w:ind w:right="140"/>
        <w:spacing w:after="0" w:line="263" w:lineRule="auto"/>
        <w:rPr>
          <w:sz w:val="20"/>
          <w:szCs w:val="20"/>
          <w:color w:val="auto"/>
        </w:rPr>
      </w:pPr>
      <w:r>
        <w:rPr>
          <w:rFonts w:ascii="Arial" w:cs="Arial" w:eastAsia="Arial" w:hAnsi="Arial"/>
          <w:sz w:val="18"/>
          <w:szCs w:val="18"/>
          <w:color w:val="auto"/>
        </w:rPr>
        <w:t>in that jurisdiction. Changes in these laws and regulations, including those that align to or are associated with the Organization for Economic Cooperation and Development's Base Erosion and Profit Shifting (BEPS) Actions Plans, could impact the jurisdictions where we are deemed to earn income, which could in turn adversely affect our tax liability and results of operations.</w:t>
      </w:r>
    </w:p>
    <w:p>
      <w:pPr>
        <w:spacing w:after="0" w:line="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We may be unable to adequately protect our proprietary intellectual property rights, which may limit our ability to compete effectively.</w:t>
      </w:r>
    </w:p>
    <w:p>
      <w:pPr>
        <w:spacing w:after="0" w:line="144" w:lineRule="exact"/>
        <w:rPr>
          <w:sz w:val="20"/>
          <w:szCs w:val="20"/>
          <w:color w:val="auto"/>
        </w:rPr>
      </w:pPr>
    </w:p>
    <w:p>
      <w:pPr>
        <w:ind w:right="80" w:firstLine="486"/>
        <w:spacing w:after="0" w:line="255" w:lineRule="auto"/>
        <w:rPr>
          <w:sz w:val="20"/>
          <w:szCs w:val="20"/>
          <w:color w:val="auto"/>
        </w:rPr>
      </w:pPr>
      <w:r>
        <w:rPr>
          <w:rFonts w:ascii="Arial" w:cs="Arial" w:eastAsia="Arial" w:hAnsi="Arial"/>
          <w:sz w:val="18"/>
          <w:szCs w:val="18"/>
          <w:color w:val="auto"/>
        </w:rPr>
        <w:t>Our future success depends, in part, on our ability to protect our intellectual property. We primarily rely on patent, mask work, copyright, trademark and trade secret laws, as well as nondisclosure agreements, information security practices, and other methods, to protect our proprietary information, technologies and processes. Despite our efforts to protect our intellectual property, it is possible that competitors or other unauthorized third parties may obtain or disclose our confidential information, reverse engineer or copy our technologies, products or processes, or otherwise misappropriate our intellectual property. Moreover, the laws of foreign countries in which we design, manufacture, market and sell our products may afford little or no effective protection of our intellectual property.</w:t>
      </w:r>
    </w:p>
    <w:p>
      <w:pPr>
        <w:spacing w:after="0" w:line="98" w:lineRule="exact"/>
        <w:rPr>
          <w:sz w:val="20"/>
          <w:szCs w:val="20"/>
          <w:color w:val="auto"/>
        </w:rPr>
      </w:pPr>
    </w:p>
    <w:p>
      <w:pPr>
        <w:ind w:right="80" w:firstLine="486"/>
        <w:spacing w:after="0" w:line="273" w:lineRule="auto"/>
        <w:rPr>
          <w:sz w:val="20"/>
          <w:szCs w:val="20"/>
          <w:color w:val="auto"/>
        </w:rPr>
      </w:pPr>
      <w:r>
        <w:rPr>
          <w:rFonts w:ascii="Arial" w:cs="Arial" w:eastAsia="Arial" w:hAnsi="Arial"/>
          <w:sz w:val="17"/>
          <w:szCs w:val="17"/>
          <w:color w:val="auto"/>
        </w:rPr>
        <w:t>There can be no assurance that the claims allowed in our issued patents will be sufficiently broad to protect our technology. In addition, any of our existing or future patents may be challenged, invalidated or circumvented. As such, any rights granted under these patents may not prevent others from exploiting our proprietary technology. We may not be able to obtain foreign patents or pending applications corresponding to our U.S. patents and applications. Even if patents are granted, we may not be able to effectively enforce our rights. If our patents and mask works do not adequately protect our technology, or if our registrations expire prior to end of life of our products, our competitors may be able to offer products similar to ours. Our competitors may also be able to develop similar technology independently or design around our patents.</w:t>
      </w:r>
    </w:p>
    <w:p>
      <w:pPr>
        <w:spacing w:after="0" w:line="83" w:lineRule="exact"/>
        <w:rPr>
          <w:sz w:val="20"/>
          <w:szCs w:val="20"/>
          <w:color w:val="auto"/>
        </w:rPr>
      </w:pPr>
    </w:p>
    <w:p>
      <w:pPr>
        <w:ind w:right="40" w:firstLine="486"/>
        <w:spacing w:after="0" w:line="257" w:lineRule="auto"/>
        <w:rPr>
          <w:sz w:val="20"/>
          <w:szCs w:val="20"/>
          <w:color w:val="auto"/>
        </w:rPr>
      </w:pPr>
      <w:r>
        <w:rPr>
          <w:rFonts w:ascii="Arial" w:cs="Arial" w:eastAsia="Arial" w:hAnsi="Arial"/>
          <w:sz w:val="18"/>
          <w:szCs w:val="18"/>
          <w:color w:val="auto"/>
        </w:rPr>
        <w:t>We generally enter into confidentiality agreements with our employees, consultants and strategic partners. We also try to control access to and distribution of our technologies, documentation and other proprietary information. Despite these efforts, internal or external parties may attempt to copy, disclose, obtain or use our products or technology without our authorization. Also, former employees may seek employment with our business partners, customers or competitors, and there can be no assurance that the confidential nature of our proprietary information will be maintained in the course of such future employment.</w:t>
      </w:r>
    </w:p>
    <w:p>
      <w:pPr>
        <w:spacing w:after="0" w:line="107"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i w:val="1"/>
          <w:iCs w:val="1"/>
          <w:color w:val="auto"/>
        </w:rPr>
        <w:t>A significant disruption in, or breach in security of, our information technology systems or certain of our products could materially and adversely affect our business or reputation.</w:t>
      </w:r>
    </w:p>
    <w:p>
      <w:pPr>
        <w:spacing w:after="0" w:line="76" w:lineRule="exact"/>
        <w:rPr>
          <w:sz w:val="20"/>
          <w:szCs w:val="20"/>
          <w:color w:val="auto"/>
        </w:rPr>
      </w:pPr>
    </w:p>
    <w:p>
      <w:pPr>
        <w:ind w:right="40" w:firstLine="486"/>
        <w:spacing w:after="0" w:line="296" w:lineRule="auto"/>
        <w:rPr>
          <w:sz w:val="20"/>
          <w:szCs w:val="20"/>
          <w:color w:val="auto"/>
        </w:rPr>
      </w:pPr>
      <w:r>
        <w:rPr>
          <w:rFonts w:ascii="Arial" w:cs="Arial" w:eastAsia="Arial" w:hAnsi="Arial"/>
          <w:sz w:val="16"/>
          <w:szCs w:val="16"/>
          <w:color w:val="auto"/>
        </w:rPr>
        <w:t>We rely on information technology systems throughout our company to keep financial records and customer data, process orders, manage inventory, coordinate shipments to customers, maintain confidential and proprietary information, assist in semiconductor engineering and other technical activities and operate other critical functions such as Internet connectivity, network communications and email. Our information technology systems may be susceptible to damage, disruptions or shutdowns due to power outages, hardware failures, telecommunication failures, employee malfeasance, user errors, catastrophes or other unforeseen events. Due to the COVID-19 pandemic, many of our employees are temporarily working</w:t>
      </w:r>
    </w:p>
    <w:p>
      <w:pPr>
        <w:spacing w:after="0" w:line="200" w:lineRule="exact"/>
        <w:rPr>
          <w:sz w:val="20"/>
          <w:szCs w:val="20"/>
          <w:color w:val="auto"/>
        </w:rPr>
      </w:pPr>
    </w:p>
    <w:p>
      <w:pPr>
        <w:spacing w:after="0" w:line="2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138" w:right="359" w:bottom="1440" w:gutter="0" w:footer="0" w:header="0"/>
        </w:sectPr>
      </w:pPr>
    </w:p>
    <w:bookmarkStart w:id="39" w:name="page40"/>
    <w:bookmarkEnd w:id="39"/>
    <w:p>
      <w:pPr>
        <w:ind w:right="100"/>
        <w:spacing w:after="0" w:line="269" w:lineRule="auto"/>
        <w:rPr>
          <w:sz w:val="20"/>
          <w:szCs w:val="20"/>
          <w:color w:val="auto"/>
        </w:rPr>
      </w:pPr>
      <w:r>
        <w:rPr>
          <w:rFonts w:ascii="Arial" w:cs="Arial" w:eastAsia="Arial" w:hAnsi="Arial"/>
          <w:sz w:val="17"/>
          <w:szCs w:val="17"/>
          <w:color w:val="auto"/>
        </w:rPr>
        <w:t>remotely, which may pose additional data security risks. We also rely upon external cloud providers for certain infrastructure activities. If we were to experience a prolonged disruption in the information technology systems that involve our internal communications or our interactions with customers or suppliers, it could result in the loss of sales and customers and significant incremental costs, which could adversely affect our business. We may also be subject to security breaches of our information technology systems and certain of our products caused by viruses, illegal break-ins or hacking, sabotage, or acts of vandalism by third parties or our employees or contractors. Our security measures or those of our third party service providers may not detect or prevent security breaches, defects, bugs or errors. In addition, we provide our confidential and proprietary information to our strategic partners in certain cases where doing so is necessary to conduct our business. While we employ confidentiality agreements to protect such information, those third parties may nonetheless also be subject to security breaches or otherwise compromise the protection of such information. Security breaches of our information technology systems or those of our partners could result in the misappropriation or unauthorized disclosure of confidential and proprietary information belonging to us or to our employees, partners, customers, suppliers, or other third parties which could result in our suffering significant financial or reputational damage.</w:t>
      </w:r>
    </w:p>
    <w:p>
      <w:pPr>
        <w:spacing w:after="0" w:line="101"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i w:val="1"/>
          <w:iCs w:val="1"/>
          <w:color w:val="auto"/>
        </w:rPr>
        <w:t>Our customers typically do not make long-term product purchase commitments and incorrect forecasts or reductions, cancellations or delays in orders for our products could adversely affect our operating results.</w:t>
      </w:r>
    </w:p>
    <w:p>
      <w:pPr>
        <w:spacing w:after="0" w:line="76" w:lineRule="exact"/>
        <w:rPr>
          <w:sz w:val="20"/>
          <w:szCs w:val="20"/>
          <w:color w:val="auto"/>
        </w:rPr>
      </w:pPr>
    </w:p>
    <w:p>
      <w:pPr>
        <w:ind w:right="20" w:firstLine="486"/>
        <w:spacing w:after="0" w:line="287" w:lineRule="auto"/>
        <w:rPr>
          <w:sz w:val="20"/>
          <w:szCs w:val="20"/>
          <w:color w:val="auto"/>
        </w:rPr>
      </w:pPr>
      <w:r>
        <w:rPr>
          <w:rFonts w:ascii="Arial" w:cs="Arial" w:eastAsia="Arial" w:hAnsi="Arial"/>
          <w:sz w:val="16"/>
          <w:szCs w:val="16"/>
          <w:color w:val="auto"/>
        </w:rPr>
        <w:t>We typically do not have sales contracts with our customers that include long-term product purchase commitments. In certain markets where end-user demand may be particularly volatile and difficult to predict, some customers place orders that require us to manufacture product and have it available for shipment, even though the customer is unwilling to make a binding commitment to purchase all, or even any, of the product. In other instances, we manufacture product based on non-binding forecasts of customer demands, which may fluctuate significantly on a quarterly or annual basis and at times may prove to be inaccurate. Additionally, our U.S. government contracts and subcontracts may be funded in increments over a number of government budget periods and typically can be terminated by the government for its convenience. As a result, we may incur inventory and manufacturing costs in advance of anticipated sales, and we are subject to the risk of lower than expected orders or cancellations of orders, leading to a sharp reduction of sales and backlog. Further, if orders or forecasts for products that meet a customer’s unique requirements are canceled or unrealized we may be left with an inventory of unsaleable products, causing potential inventory write-offs, and hindering our ability to recover our costs. As a result of lengthy manufacturing cycles for certain of the products that are subject to these uncertainties, the amount of unsaleable product could be substantial. Incorrect forecasts, or reductions, cancellations or delays in orders for our products could adversely affect our operating results.</w:t>
      </w:r>
    </w:p>
    <w:p>
      <w:pPr>
        <w:spacing w:after="0" w:line="77"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i w:val="1"/>
          <w:iCs w:val="1"/>
          <w:color w:val="auto"/>
        </w:rPr>
        <w:t>Our future success depends upon our ability to execute our business strategy, continue to innovate, improve our existing products, design, develop, produce and market new products, and identify and enter new markets.</w:t>
      </w:r>
    </w:p>
    <w:p>
      <w:pPr>
        <w:spacing w:after="0" w:line="89" w:lineRule="exact"/>
        <w:rPr>
          <w:sz w:val="20"/>
          <w:szCs w:val="20"/>
          <w:color w:val="auto"/>
        </w:rPr>
      </w:pPr>
    </w:p>
    <w:p>
      <w:pPr>
        <w:ind w:right="40" w:firstLine="486"/>
        <w:spacing w:after="0" w:line="270" w:lineRule="auto"/>
        <w:rPr>
          <w:sz w:val="20"/>
          <w:szCs w:val="20"/>
          <w:color w:val="auto"/>
        </w:rPr>
      </w:pPr>
      <w:r>
        <w:rPr>
          <w:rFonts w:ascii="Arial" w:cs="Arial" w:eastAsia="Arial" w:hAnsi="Arial"/>
          <w:sz w:val="17"/>
          <w:szCs w:val="17"/>
          <w:color w:val="auto"/>
        </w:rPr>
        <w:t>Our future success significantly depends on our ability to execute our business strategy, continue to innovate, improve our existing products and design, develop, produce and market innovative new products and system-level solutions. Product design, development, innovation and enhancement is often a complex, time-consuming and costly process involving significant investment in research and development, with no assurance of return on investment. There can be no assurance that we will be able to develop and introduce new and improved products in a timely or efficient manner or that new and improved products, if developed, will achieve market acceptance. Our products generally must conform to various evolving and sometimes competing industry standards, which may adversely affect our ability to compete in certain markets or require us to incur significant costs. In addition, our customers generally impose very high quality and reliability standards on our products, which often change and may be difficult or costly to satisfy. Any inability to satisfy customer quality and reliability standards or comply with industry standards and technical requirements may adversely affect demand for our products and our results of operations.</w:t>
      </w:r>
    </w:p>
    <w:p>
      <w:pPr>
        <w:spacing w:after="0" w:line="86" w:lineRule="exact"/>
        <w:rPr>
          <w:sz w:val="20"/>
          <w:szCs w:val="20"/>
          <w:color w:val="auto"/>
        </w:rPr>
      </w:pPr>
    </w:p>
    <w:p>
      <w:pPr>
        <w:ind w:right="40" w:firstLine="486"/>
        <w:spacing w:after="0" w:line="255" w:lineRule="auto"/>
        <w:rPr>
          <w:sz w:val="20"/>
          <w:szCs w:val="20"/>
          <w:color w:val="auto"/>
        </w:rPr>
      </w:pPr>
      <w:r>
        <w:rPr>
          <w:rFonts w:ascii="Arial" w:cs="Arial" w:eastAsia="Arial" w:hAnsi="Arial"/>
          <w:sz w:val="18"/>
          <w:szCs w:val="18"/>
          <w:color w:val="auto"/>
        </w:rPr>
        <w:t>Our growth is also dependent on our ability to identify and penetrate new markets where we have limited experience yet require significant investments, resources and technological advancements in order to compete effectively and there can be no assurance that we will achieve success in these markets. There can be no assurance that the markets we serve and/or target based on our business strategy will grow in the future, that our existing and new products will meet the requirements of these markets, that our products, or the end-products in which our products are used, will achieve customer acceptance in these markets, that competitors will not force price reductions or take market share from us, or that we can achieve or maintain adequate gross margins or profits in these markets.</w:t>
      </w:r>
    </w:p>
    <w:p>
      <w:pPr>
        <w:spacing w:after="0" w:line="9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We may not be able to compete successfully in markets within the semiconductor industry in the future.</w:t>
      </w:r>
    </w:p>
    <w:p>
      <w:pPr>
        <w:spacing w:after="0" w:line="144" w:lineRule="exact"/>
        <w:rPr>
          <w:sz w:val="20"/>
          <w:szCs w:val="20"/>
          <w:color w:val="auto"/>
        </w:rPr>
      </w:pPr>
    </w:p>
    <w:p>
      <w:pPr>
        <w:ind w:firstLine="486"/>
        <w:spacing w:after="0" w:line="296" w:lineRule="auto"/>
        <w:rPr>
          <w:sz w:val="20"/>
          <w:szCs w:val="20"/>
          <w:color w:val="auto"/>
        </w:rPr>
      </w:pPr>
      <w:r>
        <w:rPr>
          <w:rFonts w:ascii="Arial" w:cs="Arial" w:eastAsia="Arial" w:hAnsi="Arial"/>
          <w:sz w:val="16"/>
          <w:szCs w:val="16"/>
          <w:color w:val="auto"/>
        </w:rPr>
        <w:t>We face intense competition in the semiconductor industry, and we expect this competition to increase in the future, including from companies located outside of the United States. Competition is generally based on innovation, design, quality and reliability of products, product performance, features and functionality, product pricing, availability and capacity, technological service and support, and the availability of integrated system solutions, with the relative importance of these factors varying among products, markets and customers. Many companies have sufficient financial, manufacturing, technical, sales and marketing resources to develop and market products that compete with our products. Some of our competitors may</w:t>
      </w:r>
    </w:p>
    <w:p>
      <w:pPr>
        <w:spacing w:after="0" w:line="200" w:lineRule="exact"/>
        <w:rPr>
          <w:sz w:val="20"/>
          <w:szCs w:val="20"/>
          <w:color w:val="auto"/>
        </w:rPr>
      </w:pPr>
    </w:p>
    <w:p>
      <w:pPr>
        <w:spacing w:after="0" w:line="2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38" w:right="339" w:bottom="1440" w:gutter="0" w:footer="0" w:header="0"/>
        </w:sectPr>
      </w:pPr>
    </w:p>
    <w:bookmarkStart w:id="40" w:name="page41"/>
    <w:bookmarkEnd w:id="40"/>
    <w:p>
      <w:pPr>
        <w:ind w:right="20"/>
        <w:spacing w:after="0" w:line="269" w:lineRule="auto"/>
        <w:rPr>
          <w:sz w:val="20"/>
          <w:szCs w:val="20"/>
          <w:color w:val="auto"/>
        </w:rPr>
      </w:pPr>
      <w:r>
        <w:rPr>
          <w:rFonts w:ascii="Arial" w:cs="Arial" w:eastAsia="Arial" w:hAnsi="Arial"/>
          <w:sz w:val="17"/>
          <w:szCs w:val="17"/>
          <w:color w:val="auto"/>
        </w:rPr>
        <w:t>have more advantageous supply or development relationships with our current and potential customers or suppliers. Our competitors also include both emerging companies selling specialized products in markets we serve and companies outside of the U.S., including entities associated with well-funded efforts by foreign governments to create indigenous semiconductor industries. Existing or new competitors may develop products or technologies that more effectively address the demands of our customers and markets with enhanced performance, features and functionality, lower power requirements, greater levels of integration or lower cost. In addition, as we seek to expand our business, including the design and production of products and services for developing and emerging markets, we may encounter increased competition from our current competitors and/or new competitors. Increased competition in certain markets has resulted in and may continue to result in declining average selling prices, reduced gross margins and loss of market share in those markets. There can be no assurance that we will be able to compete successfully in the future against existing or new competitors, or that our operating results will not be adversely affected by increased competition. In addition, the semiconductor industry has experienced significant consolidation over the past several years. Consolidation among our competitors could lead to a changing competitive landscape, which could negatively impact our competitive position and market share and harm our results of operations.</w:t>
      </w:r>
    </w:p>
    <w:p>
      <w:pPr>
        <w:spacing w:after="0" w:line="101"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i w:val="1"/>
          <w:iCs w:val="1"/>
          <w:color w:val="auto"/>
        </w:rPr>
        <w:t>We rely on third-parties for supply of raw materials and parts, semiconductor wafer foundry services, assembly and test services, and transportation, among other things, and we generally cannot control their availability or conditions of supply or services.</w:t>
      </w:r>
    </w:p>
    <w:p>
      <w:pPr>
        <w:spacing w:after="0" w:line="76" w:lineRule="exact"/>
        <w:rPr>
          <w:sz w:val="20"/>
          <w:szCs w:val="20"/>
          <w:color w:val="auto"/>
        </w:rPr>
      </w:pPr>
    </w:p>
    <w:p>
      <w:pPr>
        <w:ind w:firstLine="486"/>
        <w:spacing w:after="0" w:line="288" w:lineRule="auto"/>
        <w:rPr>
          <w:sz w:val="20"/>
          <w:szCs w:val="20"/>
          <w:color w:val="auto"/>
        </w:rPr>
      </w:pPr>
      <w:r>
        <w:rPr>
          <w:rFonts w:ascii="Arial" w:cs="Arial" w:eastAsia="Arial" w:hAnsi="Arial"/>
          <w:sz w:val="16"/>
          <w:szCs w:val="16"/>
          <w:color w:val="auto"/>
        </w:rPr>
        <w:t>We rely, and plan to continue to rely, on third-party suppliers and service providers, including raw material and components suppliers, semiconductor wafer foundries, assembly and test contractors, and freight carriers (collectively, vendors) in manufacturing our products. This reliance involves several risks, including reduced control over availability, capacity utilization, delivery schedules, manufacturing yields, and costs. We currently source approximately half of our wafer requirements annually from third-party wafer foundries, including Taiwan Semiconductor Manufacturing Company (TSMC) and others. These foundries often provide wafer foundry services to our competitors and therefore periods of increased industry demand may result in capacity constraints. In addition, in certain instances, one of our vendors may be the sole source of highly specialized processing services or materials. If such vendor is unable or unwilling to manufacture and deliver components to us on the time schedule and of the quality or quantity that we require, we may be forced to seek to engage an additional or replacement vendor, which could result in additional expenses and delays in product development or shipment of product to our customers. If additional or replacement vendors are not available, we may also experience delays in product development or shipment which could, in turn, result in the temporary or permanent loss of customers.</w:t>
      </w:r>
    </w:p>
    <w:p>
      <w:pPr>
        <w:spacing w:after="0" w:line="74"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i w:val="1"/>
          <w:iCs w:val="1"/>
          <w:color w:val="auto"/>
        </w:rPr>
        <w:t>A prolonged disruption of our internal manufacturing operations could have a material adverse effect on our business, financial condition and results of operations.</w:t>
      </w:r>
    </w:p>
    <w:p>
      <w:pPr>
        <w:spacing w:after="0" w:line="89" w:lineRule="exact"/>
        <w:rPr>
          <w:sz w:val="20"/>
          <w:szCs w:val="20"/>
          <w:color w:val="auto"/>
        </w:rPr>
      </w:pPr>
    </w:p>
    <w:p>
      <w:pPr>
        <w:ind w:right="20" w:firstLine="486"/>
        <w:spacing w:after="0" w:line="272" w:lineRule="auto"/>
        <w:rPr>
          <w:sz w:val="20"/>
          <w:szCs w:val="20"/>
          <w:color w:val="auto"/>
        </w:rPr>
      </w:pPr>
      <w:r>
        <w:rPr>
          <w:rFonts w:ascii="Arial" w:cs="Arial" w:eastAsia="Arial" w:hAnsi="Arial"/>
          <w:sz w:val="17"/>
          <w:szCs w:val="17"/>
          <w:color w:val="auto"/>
        </w:rPr>
        <w:t>In addition to leveraging an outsourcing model for manufacturing operations, we also rely on our internal manufacturing operations located in the United States, Ireland, the Philippines, Singapore and Malaysia. A prolonged disruption at, or inability to utilize, one or more of our manufacturing facilities, loss of raw materials or damage to our manufacturing equipment for any reason, including due to the COVID-19 pandemic, natural or man-made disasters, civil unrest or other events outside of our control, such as widespread outbreaks of illness or the failure to maintain our labor force at one or more of these facilities, may disrupt our operations, delay production, shipments and revenue and result in us being unable to timely satisfy customer demand. As a result, we could forgo revenue opportunities, potentially lose market share and damage our customer relationships, all of which could materially and adversely affect our business, financial condition and results of operations.</w:t>
      </w:r>
    </w:p>
    <w:p>
      <w:pPr>
        <w:spacing w:after="0" w:line="83" w:lineRule="exact"/>
        <w:rPr>
          <w:sz w:val="20"/>
          <w:szCs w:val="20"/>
          <w:color w:val="auto"/>
        </w:rPr>
      </w:pPr>
    </w:p>
    <w:p>
      <w:pPr>
        <w:ind w:right="580"/>
        <w:spacing w:after="0" w:line="277" w:lineRule="auto"/>
        <w:rPr>
          <w:sz w:val="20"/>
          <w:szCs w:val="20"/>
          <w:color w:val="auto"/>
        </w:rPr>
      </w:pPr>
      <w:r>
        <w:rPr>
          <w:rFonts w:ascii="Arial" w:cs="Arial" w:eastAsia="Arial" w:hAnsi="Arial"/>
          <w:sz w:val="18"/>
          <w:szCs w:val="18"/>
          <w:i w:val="1"/>
          <w:iCs w:val="1"/>
          <w:color w:val="auto"/>
        </w:rPr>
        <w:t>If we are unable to generate sufficient cash flow, we may not be able to service our debt obligations, including making payments on our outstanding indebtedness.</w:t>
      </w:r>
    </w:p>
    <w:p>
      <w:pPr>
        <w:spacing w:after="0" w:line="76" w:lineRule="exact"/>
        <w:rPr>
          <w:sz w:val="20"/>
          <w:szCs w:val="20"/>
          <w:color w:val="auto"/>
        </w:rPr>
      </w:pPr>
    </w:p>
    <w:p>
      <w:pPr>
        <w:ind w:right="60" w:firstLine="648"/>
        <w:spacing w:after="0" w:line="275" w:lineRule="auto"/>
        <w:rPr>
          <w:sz w:val="20"/>
          <w:szCs w:val="20"/>
          <w:color w:val="auto"/>
        </w:rPr>
      </w:pPr>
      <w:r>
        <w:rPr>
          <w:rFonts w:ascii="Arial" w:cs="Arial" w:eastAsia="Arial" w:hAnsi="Arial"/>
          <w:sz w:val="17"/>
          <w:szCs w:val="17"/>
          <w:color w:val="auto"/>
        </w:rPr>
        <w:t>Our ability to make payments of principal and interest on our indebtedness when due depends upon our future performance, which will be subject to general economic conditions, industry cycles and financial, business and other factors affecting our consolidated operations, many of which are beyond our control. For example, the disruption to economic activity resulting from the COVID-19 pandemic has had, and is likely to continue to have, adverse effects on our supply chain, manufacturing operations and facilities, and workforce. If we are unable to generate sufficient cash flow from operations in the future to service our outstanding debt, we may be required to, among other things:</w:t>
      </w:r>
    </w:p>
    <w:p>
      <w:pPr>
        <w:spacing w:after="0" w:line="41" w:lineRule="exact"/>
        <w:rPr>
          <w:sz w:val="20"/>
          <w:szCs w:val="20"/>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seek additional financing in the debt or equity markets;</w:t>
      </w:r>
    </w:p>
    <w:p>
      <w:pPr>
        <w:spacing w:after="0" w:line="76"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refinance or restructure all or a portion of our indebtedness;</w:t>
      </w:r>
    </w:p>
    <w:p>
      <w:pPr>
        <w:spacing w:after="0" w:line="76"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borrow under our revolving credit facility;</w:t>
      </w:r>
    </w:p>
    <w:p>
      <w:pPr>
        <w:spacing w:after="0" w:line="90"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divert funds that would otherwise be invested in growing our business operations;</w:t>
      </w:r>
    </w:p>
    <w:p>
      <w:pPr>
        <w:spacing w:after="0" w:line="76"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repatriate earnings as dividends from foreign locations with potential for negative tax consequences; or</w:t>
      </w:r>
    </w:p>
    <w:p>
      <w:pPr>
        <w:spacing w:after="0" w:line="76"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sell selected assets.</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38" w:right="339" w:bottom="1440" w:gutter="0" w:footer="0" w:header="0"/>
        </w:sectPr>
      </w:pPr>
    </w:p>
    <w:bookmarkStart w:id="41" w:name="page42"/>
    <w:bookmarkEnd w:id="41"/>
    <w:p>
      <w:pPr>
        <w:ind w:right="140" w:firstLine="486"/>
        <w:spacing w:after="0" w:line="263" w:lineRule="auto"/>
        <w:rPr>
          <w:sz w:val="20"/>
          <w:szCs w:val="20"/>
          <w:color w:val="auto"/>
        </w:rPr>
      </w:pPr>
      <w:r>
        <w:rPr>
          <w:rFonts w:ascii="Arial" w:cs="Arial" w:eastAsia="Arial" w:hAnsi="Arial"/>
          <w:sz w:val="18"/>
          <w:szCs w:val="18"/>
          <w:color w:val="auto"/>
        </w:rPr>
        <w:t>Such measures might not be sufficient to enable us to service our debt, which could negatively impact our financial results. In addition, we may not be able to obtain any such financing, refinancing or complete a sale of assets on economically favorable terms. In the case of financing or refinancing, favorable interest rates will depend on the health of the debt capital markets.</w:t>
      </w:r>
    </w:p>
    <w:p>
      <w:pPr>
        <w:spacing w:after="0" w:line="103"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i w:val="1"/>
          <w:iCs w:val="1"/>
          <w:color w:val="auto"/>
        </w:rPr>
        <w:t>The markets for semiconductor products are cyclical, and increased production may lead to overcapacity and lower prices, and conversely, we may not be able to satisfy unexpected demand for our products.</w:t>
      </w:r>
    </w:p>
    <w:p>
      <w:pPr>
        <w:spacing w:after="0" w:line="76" w:lineRule="exact"/>
        <w:rPr>
          <w:sz w:val="20"/>
          <w:szCs w:val="20"/>
          <w:color w:val="auto"/>
        </w:rPr>
      </w:pPr>
    </w:p>
    <w:p>
      <w:pPr>
        <w:ind w:right="40" w:firstLine="486"/>
        <w:spacing w:after="0" w:line="288" w:lineRule="auto"/>
        <w:rPr>
          <w:sz w:val="20"/>
          <w:szCs w:val="20"/>
          <w:color w:val="auto"/>
        </w:rPr>
      </w:pPr>
      <w:r>
        <w:rPr>
          <w:rFonts w:ascii="Arial" w:cs="Arial" w:eastAsia="Arial" w:hAnsi="Arial"/>
          <w:sz w:val="16"/>
          <w:szCs w:val="16"/>
          <w:color w:val="auto"/>
        </w:rPr>
        <w:t>The cyclical nature of the semiconductor industry has resulted in periods when demand for our products has increased or decreased rapidly. The demand for our products is subject to the strength of our four major end markets of Industrial, Communications, Automotive and Consumer. If we expand our operations and workforce too rapidly or procure excessive resources in anticipation of increased demand for our products, and that demand does not materialize at the pace at which we expect, or declines, or if we overbuild inventory in a period of decreased demand, our operating results may be adversely affected as a result of increased operating expenses, reduced margins, underutilization of capacity or asset impairment charges. These capacity expansions by us and other semiconductor manufacturers could also lead to overcapacity in our target markets which could lead to price erosion that would adversely impact our operating results. Conversely, during periods of rapid increases in demand, our available capacity may not be sufficient to satisfy the demand. In addition, we may not be able to expand our workforce and operations in a sufficiently timely manner, procure adequate resources and raw materials, locate suitable third-party suppliers, or respond effectively to changes in demand for our existing products or to demand for new products requested by our customers, and our current or future business could be materially and adversely affected.</w:t>
      </w:r>
    </w:p>
    <w:p>
      <w:pPr>
        <w:spacing w:after="0" w:line="74" w:lineRule="exact"/>
        <w:rPr>
          <w:sz w:val="20"/>
          <w:szCs w:val="20"/>
          <w:color w:val="auto"/>
        </w:rPr>
      </w:pPr>
    </w:p>
    <w:p>
      <w:pPr>
        <w:ind w:right="240"/>
        <w:spacing w:after="0" w:line="342" w:lineRule="auto"/>
        <w:rPr>
          <w:sz w:val="20"/>
          <w:szCs w:val="20"/>
          <w:color w:val="auto"/>
        </w:rPr>
      </w:pPr>
      <w:r>
        <w:rPr>
          <w:rFonts w:ascii="Arial" w:cs="Arial" w:eastAsia="Arial" w:hAnsi="Arial"/>
          <w:sz w:val="16"/>
          <w:szCs w:val="16"/>
          <w:i w:val="1"/>
          <w:iCs w:val="1"/>
          <w:color w:val="auto"/>
        </w:rPr>
        <w:t>Our semiconductor products are complex and we may be subject to warranty, indemnity and/or product liability claims, which could result in significant costs and damage to our reputation and adversely affect customer relationships, the market acceptance of our products and our operating results.</w:t>
      </w:r>
    </w:p>
    <w:p>
      <w:pPr>
        <w:spacing w:after="0" w:line="43" w:lineRule="exact"/>
        <w:rPr>
          <w:sz w:val="20"/>
          <w:szCs w:val="20"/>
          <w:color w:val="auto"/>
        </w:rPr>
      </w:pPr>
    </w:p>
    <w:p>
      <w:pPr>
        <w:ind w:left="500"/>
        <w:spacing w:after="0"/>
        <w:rPr>
          <w:sz w:val="20"/>
          <w:szCs w:val="20"/>
          <w:color w:val="auto"/>
        </w:rPr>
      </w:pPr>
      <w:r>
        <w:rPr>
          <w:rFonts w:ascii="Arial" w:cs="Arial" w:eastAsia="Arial" w:hAnsi="Arial"/>
          <w:sz w:val="16"/>
          <w:szCs w:val="16"/>
          <w:color w:val="auto"/>
        </w:rPr>
        <w:t>Semiconductor products are highly complex and may contain defects that affect their quality or performance. Failures in our products and services or</w:t>
      </w:r>
    </w:p>
    <w:p>
      <w:pPr>
        <w:spacing w:after="0" w:line="73" w:lineRule="exact"/>
        <w:rPr>
          <w:sz w:val="20"/>
          <w:szCs w:val="20"/>
          <w:color w:val="auto"/>
        </w:rPr>
      </w:pPr>
    </w:p>
    <w:p>
      <w:pPr>
        <w:ind w:right="80"/>
        <w:spacing w:after="0" w:line="308" w:lineRule="auto"/>
        <w:rPr>
          <w:sz w:val="20"/>
          <w:szCs w:val="20"/>
          <w:color w:val="auto"/>
        </w:rPr>
      </w:pPr>
      <w:r>
        <w:rPr>
          <w:rFonts w:ascii="Arial" w:cs="Arial" w:eastAsia="Arial" w:hAnsi="Arial"/>
          <w:sz w:val="16"/>
          <w:szCs w:val="16"/>
          <w:color w:val="auto"/>
        </w:rPr>
        <w:t>in the products of our customers could result in damage to our reputation for reliability and increase our legal or financial exposure to third parties. Certain of our products and services could also contain security vulnerabilities, defects, bugs and errors, which could also result in significant data losses, security</w:t>
      </w:r>
    </w:p>
    <w:p>
      <w:pPr>
        <w:ind w:right="60"/>
        <w:spacing w:after="0" w:line="288" w:lineRule="auto"/>
        <w:rPr>
          <w:sz w:val="20"/>
          <w:szCs w:val="20"/>
          <w:color w:val="auto"/>
        </w:rPr>
      </w:pPr>
      <w:r>
        <w:rPr>
          <w:rFonts w:ascii="Arial" w:cs="Arial" w:eastAsia="Arial" w:hAnsi="Arial"/>
          <w:sz w:val="16"/>
          <w:szCs w:val="16"/>
          <w:color w:val="auto"/>
        </w:rPr>
        <w:t>breaches and theft of intellectual property. We generally warrant that our products will meet their published specifications, and that we will repair or replace defective products, for one year from the date title passes from us to the customer. We invest significant resources in the testing of our products; however, if any of our products contain defects, we may be required to incur additional development and remediation costs pursuant to warranty and indemnification provisions in our customer contracts and purchase orders. These problems may divert our technical and other resources from other product development efforts and could result in claims against us by our customers or others, including liability for costs and expenses associated with product defects, including recalls, which may adversely impact our operating results. We may also be subject to customer intellectual property indemnity claims. Our customers have on occasion been sued, and may be sued in the future, by third parties alleging infringement of intellectual property rights, or damages resulting from use of our products. Those customers may seek indemnification from us under the terms and conditions of our sales contracts with them. In</w:t>
      </w:r>
    </w:p>
    <w:p>
      <w:pPr>
        <w:spacing w:after="0" w:line="2" w:lineRule="exact"/>
        <w:rPr>
          <w:sz w:val="20"/>
          <w:szCs w:val="20"/>
          <w:color w:val="auto"/>
        </w:rPr>
      </w:pPr>
    </w:p>
    <w:p>
      <w:pPr>
        <w:ind w:right="640"/>
        <w:spacing w:after="0" w:line="308" w:lineRule="auto"/>
        <w:rPr>
          <w:sz w:val="20"/>
          <w:szCs w:val="20"/>
          <w:color w:val="auto"/>
        </w:rPr>
      </w:pPr>
      <w:r>
        <w:rPr>
          <w:rFonts w:ascii="Arial" w:cs="Arial" w:eastAsia="Arial" w:hAnsi="Arial"/>
          <w:sz w:val="16"/>
          <w:szCs w:val="16"/>
          <w:color w:val="auto"/>
        </w:rPr>
        <w:t>certain cases, our potential indemnification liability may be significant. Further, we sell to customers in industries such as automotive (including autonomous vehicles), aerospace, defense, and healthcare, where failure of the systems in which our products are integrated could cause damage to</w:t>
      </w:r>
    </w:p>
    <w:p>
      <w:pPr>
        <w:ind w:right="60"/>
        <w:spacing w:after="0" w:line="257" w:lineRule="auto"/>
        <w:rPr>
          <w:sz w:val="20"/>
          <w:szCs w:val="20"/>
          <w:color w:val="auto"/>
        </w:rPr>
      </w:pPr>
      <w:r>
        <w:rPr>
          <w:rFonts w:ascii="Arial" w:cs="Arial" w:eastAsia="Arial" w:hAnsi="Arial"/>
          <w:sz w:val="18"/>
          <w:szCs w:val="18"/>
          <w:color w:val="auto"/>
        </w:rPr>
        <w:t>property or persons. We may be subject to product liability claims if our products, or the integration of our products, cause system failures. Any product liability claim, whether or not determined in our favor, could result in significant expense, divert the efforts of our technical and management personnel, and harm our business. In addition, if any of our products contain defects, or have reliability, quality or compatibility problems not capable of being resolved, our reputation may be damaged, which could make it more difficult for us to sell our products to customers and which could also adversely affect our operating results.</w:t>
      </w:r>
    </w:p>
    <w:p>
      <w:pPr>
        <w:spacing w:after="0" w:line="93" w:lineRule="exact"/>
        <w:rPr>
          <w:sz w:val="20"/>
          <w:szCs w:val="20"/>
          <w:color w:val="auto"/>
        </w:rPr>
      </w:pPr>
    </w:p>
    <w:p>
      <w:pPr>
        <w:ind w:right="160" w:firstLine="486"/>
        <w:spacing w:after="0" w:line="255" w:lineRule="auto"/>
        <w:rPr>
          <w:sz w:val="20"/>
          <w:szCs w:val="20"/>
          <w:color w:val="auto"/>
        </w:rPr>
      </w:pPr>
      <w:r>
        <w:rPr>
          <w:rFonts w:ascii="Arial" w:cs="Arial" w:eastAsia="Arial" w:hAnsi="Arial"/>
          <w:sz w:val="18"/>
          <w:szCs w:val="18"/>
          <w:color w:val="auto"/>
        </w:rPr>
        <w:t>The fabrication of integrated circuits is highly complex and precise, and our manufacturing processes utilize a substantial amount of technology. Minute impurities, contaminants in the manufacturing environment, difficulties in the fabrication process, defects in the masks used in the wafer manufacturing process, manufacturing equipment failures, wafer breakage or other factors can cause a substantial percentage of wafers to be rejected or numerous dice on each wafer to be nonfunctional. While we have significant expertise in semiconductor manufacturing, it is possible that some processes could become unstable. This instability could result in manufacturing delays and product shortages, which could have a material adverse effect on our operating results.</w:t>
      </w:r>
    </w:p>
    <w:p>
      <w:pPr>
        <w:spacing w:after="0" w:line="98"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i w:val="1"/>
          <w:iCs w:val="1"/>
          <w:color w:val="auto"/>
        </w:rPr>
        <w:t>We are occasionally involved in litigation, including claims regarding intellectual property rights, which could be costly to litigate and could require us to redesign products or pay significant royalties.</w:t>
      </w:r>
    </w:p>
    <w:p>
      <w:pPr>
        <w:spacing w:after="0" w:line="89" w:lineRule="exact"/>
        <w:rPr>
          <w:sz w:val="20"/>
          <w:szCs w:val="20"/>
          <w:color w:val="auto"/>
        </w:rPr>
      </w:pPr>
    </w:p>
    <w:p>
      <w:pPr>
        <w:ind w:right="780" w:firstLine="486"/>
        <w:spacing w:after="0" w:line="277" w:lineRule="auto"/>
        <w:rPr>
          <w:sz w:val="20"/>
          <w:szCs w:val="20"/>
          <w:color w:val="auto"/>
        </w:rPr>
      </w:pPr>
      <w:r>
        <w:rPr>
          <w:rFonts w:ascii="Arial" w:cs="Arial" w:eastAsia="Arial" w:hAnsi="Arial"/>
          <w:sz w:val="18"/>
          <w:szCs w:val="18"/>
          <w:color w:val="auto"/>
        </w:rPr>
        <w:t>The semiconductor industry is characterized by frequent claims and litigation involving patent and other intellectual property rights. Other companies or individuals have obtained patents covering a variety of semiconductor designs and</w:t>
      </w:r>
    </w:p>
    <w:p>
      <w:pPr>
        <w:spacing w:after="0" w:line="200" w:lineRule="exact"/>
        <w:rPr>
          <w:sz w:val="20"/>
          <w:szCs w:val="20"/>
          <w:color w:val="auto"/>
        </w:rPr>
      </w:pPr>
    </w:p>
    <w:p>
      <w:pPr>
        <w:spacing w:after="0" w:line="3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38" w:right="339" w:bottom="1440" w:gutter="0" w:footer="0" w:header="0"/>
        </w:sectPr>
      </w:pPr>
    </w:p>
    <w:bookmarkStart w:id="42" w:name="page43"/>
    <w:bookmarkEnd w:id="42"/>
    <w:p>
      <w:pPr>
        <w:spacing w:after="0"/>
        <w:rPr>
          <w:sz w:val="20"/>
          <w:szCs w:val="20"/>
          <w:color w:val="auto"/>
        </w:rPr>
      </w:pPr>
      <w:r>
        <w:rPr>
          <w:rFonts w:ascii="Arial" w:cs="Arial" w:eastAsia="Arial" w:hAnsi="Arial"/>
          <w:sz w:val="16"/>
          <w:szCs w:val="16"/>
          <w:color w:val="auto"/>
        </w:rPr>
        <w:t>processes, and we might be required to obtain licenses under some of these patents or be precluded from making and selling infringing products, if those</w:t>
      </w:r>
    </w:p>
    <w:p>
      <w:pPr>
        <w:spacing w:after="0" w:line="73"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patents are found to be valid and infringed by us. In the event a third party makes a valid intellectual property claim against us and a license is not available to us on commercially reasonable terms, or at all, we could be forced either to redesign or to stop production of products incorporating that intellectual property, and our operating results could be materially and adversely affected. Litigation may be necessary to enforce our patents or other of our intellectual property rights or to defend us against claims of infringement, and this litigation could be costly and divert the attention of our key personnel. We could also be subject to litigation or arbitration disputes arising under our contractual obligations, as well as customer indemnity, warranty or product liability claims that could lead to significant costs and expenses as we defend those claims or pay damage awards. There can be no assurance that we are adequately insured to protect against all claims and potential liabilities, and we may elect to self-insure with respect to certain matters. An adverse outcome in litigation or arbitration could have a material adverse effect on our financial position or on our operating results or cash flows in the period in which the dispute is resolved.</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If we are unable to recruit or retain our key personnel, our ability to execute our business strategy will be adversely affected.</w:t>
      </w:r>
    </w:p>
    <w:p>
      <w:pPr>
        <w:spacing w:after="0" w:line="131" w:lineRule="exact"/>
        <w:rPr>
          <w:sz w:val="20"/>
          <w:szCs w:val="20"/>
          <w:color w:val="auto"/>
        </w:rPr>
      </w:pPr>
    </w:p>
    <w:p>
      <w:pPr>
        <w:ind w:right="100" w:firstLine="486"/>
        <w:spacing w:after="0" w:line="257" w:lineRule="auto"/>
        <w:rPr>
          <w:sz w:val="20"/>
          <w:szCs w:val="20"/>
          <w:color w:val="auto"/>
        </w:rPr>
      </w:pPr>
      <w:r>
        <w:rPr>
          <w:rFonts w:ascii="Arial" w:cs="Arial" w:eastAsia="Arial" w:hAnsi="Arial"/>
          <w:sz w:val="18"/>
          <w:szCs w:val="18"/>
          <w:color w:val="auto"/>
        </w:rPr>
        <w:t>Our continued success depends to a significant extent upon the recruitment, retention and effective succession of our key personnel, including our leadership team, management and technical personnel, particularly our experienced engineers. The competition for these employees is intense. The loss of key personnel or the inability to attract, hire and retain key employees with critical technical skills to achieve our strategy, including as a result of changes to immigration policies, could also have a material adverse effect on our business. We do not maintain any key person life insurance policy on any of our officers or other employees.</w:t>
      </w:r>
    </w:p>
    <w:p>
      <w:pPr>
        <w:spacing w:after="0" w:line="93" w:lineRule="exact"/>
        <w:rPr>
          <w:sz w:val="20"/>
          <w:szCs w:val="20"/>
          <w:color w:val="auto"/>
        </w:rPr>
      </w:pPr>
    </w:p>
    <w:p>
      <w:pPr>
        <w:spacing w:after="0" w:line="277" w:lineRule="auto"/>
        <w:rPr>
          <w:sz w:val="20"/>
          <w:szCs w:val="20"/>
          <w:color w:val="auto"/>
        </w:rPr>
      </w:pPr>
      <w:r>
        <w:rPr>
          <w:rFonts w:ascii="Arial" w:cs="Arial" w:eastAsia="Arial" w:hAnsi="Arial"/>
          <w:sz w:val="18"/>
          <w:szCs w:val="18"/>
          <w:i w:val="1"/>
          <w:iCs w:val="1"/>
          <w:color w:val="auto"/>
        </w:rPr>
        <w:t>To remain competitive, we may need to invest in or acquire other companies, purchase or license technology from third parties, or enter into other strategic transactions in order to introduce new products or enhance our existing products.</w:t>
      </w:r>
    </w:p>
    <w:p>
      <w:pPr>
        <w:spacing w:after="0" w:line="89" w:lineRule="exact"/>
        <w:rPr>
          <w:sz w:val="20"/>
          <w:szCs w:val="20"/>
          <w:color w:val="auto"/>
        </w:rPr>
      </w:pPr>
    </w:p>
    <w:p>
      <w:pPr>
        <w:ind w:right="40" w:firstLine="486"/>
        <w:spacing w:after="0" w:line="287" w:lineRule="auto"/>
        <w:rPr>
          <w:sz w:val="20"/>
          <w:szCs w:val="20"/>
          <w:color w:val="auto"/>
        </w:rPr>
      </w:pPr>
      <w:r>
        <w:rPr>
          <w:rFonts w:ascii="Arial" w:cs="Arial" w:eastAsia="Arial" w:hAnsi="Arial"/>
          <w:sz w:val="16"/>
          <w:szCs w:val="16"/>
          <w:color w:val="auto"/>
        </w:rPr>
        <w:t>An element of our business strategy involves expansion through the acquisitions of businesses, assets, products or technologies that allow us to complement our existing product offerings, diversify our product portfolio, expand our market coverage, increase our engineering workforce, expand our technical skill sets or enhance our technological capabilities. We may not be able to find businesses that have the technology or resources we need and, if we find such businesses, we may not be able to invest in, purchase or license the technology or resources on commercially favorable terms or at all. Acquisitions, investments and technology licenses are challenging to complete for a number of reasons, including difficulties in identifying potential targets, the cost of potential transactions, competition among prospective buyers and licensees, the need for regulatory approvals, and difficulties related to integration efforts. In addition, investments in private companies are subject to a risk of a partial or total loss of our investment. Both in the U.S. and abroad, governmental regulation of acquisitions, including antitrust and other regulatory reviews and approvals, has become more complex, increasing the costs and risks of undertaking and consummating significant acquisitions. In order to finance a potential transaction, we may need to raise additional funds by issuing securities or borrowing money. We may not be able to obtain financing on favorable terms, and the sale of our stock may result in the dilution of our existing shareholders or the issuance of securities with rights that are superior to the rights of our common shareholders.</w:t>
      </w:r>
    </w:p>
    <w:p>
      <w:pPr>
        <w:spacing w:after="0" w:line="7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Acquisitions also involve a number of challenges and risks, including:</w:t>
      </w:r>
    </w:p>
    <w:p>
      <w:pPr>
        <w:spacing w:after="0" w:line="77" w:lineRule="exact"/>
        <w:rPr>
          <w:sz w:val="20"/>
          <w:szCs w:val="20"/>
          <w:color w:val="auto"/>
        </w:rPr>
      </w:pPr>
    </w:p>
    <w:p>
      <w:pPr>
        <w:ind w:left="660" w:hanging="328"/>
        <w:spacing w:after="0"/>
        <w:tabs>
          <w:tab w:leader="none" w:pos="660" w:val="left"/>
        </w:tabs>
        <w:numPr>
          <w:ilvl w:val="0"/>
          <w:numId w:val="18"/>
        </w:numPr>
        <w:rPr>
          <w:rFonts w:ascii="Arial" w:cs="Arial" w:eastAsia="Arial" w:hAnsi="Arial"/>
          <w:sz w:val="17"/>
          <w:szCs w:val="17"/>
          <w:color w:val="auto"/>
        </w:rPr>
      </w:pPr>
      <w:r>
        <w:rPr>
          <w:rFonts w:ascii="Arial" w:cs="Arial" w:eastAsia="Arial" w:hAnsi="Arial"/>
          <w:sz w:val="17"/>
          <w:szCs w:val="17"/>
          <w:color w:val="auto"/>
        </w:rPr>
        <w:t>diversion of management’s attention in connection with both negotiating the transaction and integrating the acquired assets and businesses;</w:t>
      </w:r>
    </w:p>
    <w:p>
      <w:pPr>
        <w:spacing w:after="0" w:line="101" w:lineRule="exact"/>
        <w:rPr>
          <w:rFonts w:ascii="Arial" w:cs="Arial" w:eastAsia="Arial" w:hAnsi="Arial"/>
          <w:sz w:val="17"/>
          <w:szCs w:val="17"/>
          <w:color w:val="auto"/>
        </w:rPr>
      </w:pPr>
    </w:p>
    <w:p>
      <w:pPr>
        <w:ind w:left="660" w:hanging="328"/>
        <w:spacing w:after="0"/>
        <w:tabs>
          <w:tab w:leader="none" w:pos="660" w:val="left"/>
        </w:tabs>
        <w:numPr>
          <w:ilvl w:val="0"/>
          <w:numId w:val="18"/>
        </w:numPr>
        <w:rPr>
          <w:rFonts w:ascii="Arial" w:cs="Arial" w:eastAsia="Arial" w:hAnsi="Arial"/>
          <w:sz w:val="17"/>
          <w:szCs w:val="17"/>
          <w:color w:val="auto"/>
        </w:rPr>
      </w:pPr>
      <w:r>
        <w:rPr>
          <w:rFonts w:ascii="Arial" w:cs="Arial" w:eastAsia="Arial" w:hAnsi="Arial"/>
          <w:sz w:val="17"/>
          <w:szCs w:val="17"/>
          <w:color w:val="auto"/>
        </w:rPr>
        <w:t>difficulty or delay integrating acquired technologies, operations, systems and infrastructure, and personnel with our existing businesses;</w:t>
      </w:r>
    </w:p>
    <w:p>
      <w:pPr>
        <w:spacing w:after="0" w:line="88" w:lineRule="exact"/>
        <w:rPr>
          <w:rFonts w:ascii="Arial" w:cs="Arial" w:eastAsia="Arial" w:hAnsi="Arial"/>
          <w:sz w:val="17"/>
          <w:szCs w:val="17"/>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strain on managerial and operational resources as management tries to oversee larger or more complex operations;</w:t>
      </w:r>
    </w:p>
    <w:p>
      <w:pPr>
        <w:spacing w:after="0" w:line="76" w:lineRule="exact"/>
        <w:rPr>
          <w:rFonts w:ascii="Arial" w:cs="Arial" w:eastAsia="Arial" w:hAnsi="Arial"/>
          <w:sz w:val="18"/>
          <w:szCs w:val="18"/>
          <w:color w:val="auto"/>
        </w:rPr>
      </w:pPr>
    </w:p>
    <w:p>
      <w:pPr>
        <w:ind w:left="660" w:right="360" w:hanging="328"/>
        <w:spacing w:after="0" w:line="277" w:lineRule="auto"/>
        <w:tabs>
          <w:tab w:leader="none" w:pos="655"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future funding requirements for acquired companies, including research and development costs, employee compensation and benefits, and operating expenses, which may be significant;</w:t>
      </w:r>
    </w:p>
    <w:p>
      <w:pPr>
        <w:spacing w:after="0" w:line="35"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servicing significant debt that may be incurred in connection with acquisitions;</w:t>
      </w:r>
    </w:p>
    <w:p>
      <w:pPr>
        <w:spacing w:after="0" w:line="76"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potential loss of key employees;</w:t>
      </w:r>
    </w:p>
    <w:p>
      <w:pPr>
        <w:spacing w:after="0" w:line="76"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exposure to unforeseen liabilities or regulatory compliance issues of acquired companies;</w:t>
      </w:r>
    </w:p>
    <w:p>
      <w:pPr>
        <w:spacing w:after="0" w:line="90"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higher than expected or unexpected costs relating to or associated with an acquisition and integration of assets and businesses;</w:t>
      </w:r>
    </w:p>
    <w:p>
      <w:pPr>
        <w:spacing w:after="0" w:line="76"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difficulty realizing expected cost savings, operating synergies and growth prospects of an acquisition in a timely manner or at all; and</w:t>
      </w:r>
    </w:p>
    <w:p>
      <w:pPr>
        <w:spacing w:after="0" w:line="76"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increased risk of costly and time-consuming legal proceedings.</w:t>
      </w: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138" w:right="359" w:bottom="1440" w:gutter="0" w:footer="0" w:header="0"/>
        </w:sectPr>
      </w:pPr>
    </w:p>
    <w:bookmarkStart w:id="43" w:name="page44"/>
    <w:bookmarkEnd w:id="43"/>
    <w:p>
      <w:pPr>
        <w:ind w:right="140" w:firstLine="486"/>
        <w:spacing w:after="0" w:line="277" w:lineRule="auto"/>
        <w:rPr>
          <w:sz w:val="20"/>
          <w:szCs w:val="20"/>
          <w:color w:val="auto"/>
        </w:rPr>
      </w:pPr>
      <w:r>
        <w:rPr>
          <w:rFonts w:ascii="Arial" w:cs="Arial" w:eastAsia="Arial" w:hAnsi="Arial"/>
          <w:sz w:val="18"/>
          <w:szCs w:val="18"/>
          <w:color w:val="auto"/>
        </w:rPr>
        <w:t>If we are unable to successfully address these risks, we may not realize some or all of the expected benefits of our acquisitions, which may have an adverse effect on our business strategy, plans and operating results.</w:t>
      </w:r>
    </w:p>
    <w:p>
      <w:pPr>
        <w:spacing w:after="0" w:line="89"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We rely on supplies, services and manufacturing capacity located in geologically unstable areas, which could affect our ability to produce products.</w:t>
      </w:r>
    </w:p>
    <w:p>
      <w:pPr>
        <w:spacing w:after="0" w:line="142" w:lineRule="exact"/>
        <w:rPr>
          <w:sz w:val="20"/>
          <w:szCs w:val="20"/>
          <w:color w:val="auto"/>
        </w:rPr>
      </w:pPr>
    </w:p>
    <w:p>
      <w:pPr>
        <w:ind w:firstLine="486"/>
        <w:spacing w:after="0" w:line="272" w:lineRule="auto"/>
        <w:rPr>
          <w:sz w:val="20"/>
          <w:szCs w:val="20"/>
          <w:color w:val="auto"/>
        </w:rPr>
      </w:pPr>
      <w:r>
        <w:rPr>
          <w:rFonts w:ascii="Arial" w:cs="Arial" w:eastAsia="Arial" w:hAnsi="Arial"/>
          <w:sz w:val="17"/>
          <w:szCs w:val="17"/>
          <w:color w:val="auto"/>
        </w:rPr>
        <w:t>We, like many companies in the semiconductor industry, rely on supplies, services, internal manufacturing capacity, wafer fabrication foundries and other subcontractors in geologically unstable locations around the world. Earthquakes, tsunamis, flooding or other natural disasters may disrupt local semiconductor-related businesses and adversely affect manufacturing capacity, availability and cost of key raw materials, utilities and equipment, and availability of key services, including transport of our products worldwide. Our insurance may not adequately cover losses resulting from such disruptions. Any prolonged inability to utilize one of our manufacturing facilities, or those of our subcontractors or third-party wafer fabrication foundries, as a result of fire, flood, natural disaster, unavailability of utilities or otherwise, could result in a temporary or permanent loss of customers for affected products, which could have a material adverse effect on our results of operations and financial condition.</w:t>
      </w:r>
    </w:p>
    <w:p>
      <w:pPr>
        <w:spacing w:after="0" w:line="8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Our operating results are dependent on the performance of independent distributors.</w:t>
      </w:r>
    </w:p>
    <w:p>
      <w:pPr>
        <w:spacing w:after="0" w:line="144" w:lineRule="exact"/>
        <w:rPr>
          <w:sz w:val="20"/>
          <w:szCs w:val="20"/>
          <w:color w:val="auto"/>
        </w:rPr>
      </w:pPr>
    </w:p>
    <w:p>
      <w:pPr>
        <w:ind w:right="40" w:firstLine="486"/>
        <w:spacing w:after="0" w:line="291" w:lineRule="auto"/>
        <w:rPr>
          <w:sz w:val="20"/>
          <w:szCs w:val="20"/>
          <w:color w:val="auto"/>
        </w:rPr>
      </w:pPr>
      <w:r>
        <w:rPr>
          <w:rFonts w:ascii="Arial" w:cs="Arial" w:eastAsia="Arial" w:hAnsi="Arial"/>
          <w:sz w:val="16"/>
          <w:szCs w:val="16"/>
          <w:color w:val="auto"/>
        </w:rPr>
        <w:t>A significant portion of our sales are through independent global and regional distributors that are not under our control. Arrow Electronics is currently our largest distributor. These independent distributors generally represent product lines offered by several companies and thus could reduce their sales efforts for our products or they could terminate their representation of us. We generally do not require letters of credit from our distributors, including our largest distributor, and are not protected against accounts receivable default or declarations of bankruptcy by these distributors. Our inability to collect open accounts receivable could adversely affect our operating results. Termination of a significant distributor or a group of distributors, whether at our initiative or the distributor’s initiative or through consolidation in the distribution industry, could disrupt our current business, and if we are unable to find suitable replacements with the appropriate scale and resources, our operating results could be adversely affected.</w:t>
      </w:r>
    </w:p>
    <w:p>
      <w:pPr>
        <w:spacing w:after="0" w:line="72" w:lineRule="exact"/>
        <w:rPr>
          <w:sz w:val="20"/>
          <w:szCs w:val="20"/>
          <w:color w:val="auto"/>
        </w:rPr>
      </w:pPr>
    </w:p>
    <w:p>
      <w:pPr>
        <w:ind w:firstLine="486"/>
        <w:spacing w:after="0" w:line="259" w:lineRule="auto"/>
        <w:rPr>
          <w:sz w:val="20"/>
          <w:szCs w:val="20"/>
          <w:color w:val="auto"/>
        </w:rPr>
      </w:pPr>
      <w:r>
        <w:rPr>
          <w:rFonts w:ascii="Arial" w:cs="Arial" w:eastAsia="Arial" w:hAnsi="Arial"/>
          <w:sz w:val="18"/>
          <w:szCs w:val="18"/>
          <w:color w:val="auto"/>
        </w:rPr>
        <w:t xml:space="preserve">Effective November 4, 2018, all distributor sales are recognized upon shipment to the distributor under Accounting Standards Update 2014-09, </w:t>
      </w:r>
      <w:r>
        <w:rPr>
          <w:rFonts w:ascii="Arial" w:cs="Arial" w:eastAsia="Arial" w:hAnsi="Arial"/>
          <w:sz w:val="18"/>
          <w:szCs w:val="18"/>
          <w:i w:val="1"/>
          <w:iCs w:val="1"/>
          <w:color w:val="auto"/>
        </w:rPr>
        <w:t xml:space="preserve">Revenue from Contracts with Customers </w:t>
      </w:r>
      <w:r>
        <w:rPr>
          <w:rFonts w:ascii="Arial" w:cs="Arial" w:eastAsia="Arial" w:hAnsi="Arial"/>
          <w:sz w:val="18"/>
          <w:szCs w:val="18"/>
          <w:color w:val="auto"/>
        </w:rPr>
        <w:t>(ASU 2014-09). We are now required to estimate the effects of returns and allowances provided to distributors and</w:t>
      </w:r>
      <w:r>
        <w:rPr>
          <w:rFonts w:ascii="Arial" w:cs="Arial" w:eastAsia="Arial" w:hAnsi="Arial"/>
          <w:sz w:val="18"/>
          <w:szCs w:val="18"/>
          <w:i w:val="1"/>
          <w:iCs w:val="1"/>
          <w:color w:val="auto"/>
        </w:rPr>
        <w:t xml:space="preserve"> </w:t>
      </w:r>
      <w:r>
        <w:rPr>
          <w:rFonts w:ascii="Arial" w:cs="Arial" w:eastAsia="Arial" w:hAnsi="Arial"/>
          <w:sz w:val="18"/>
          <w:szCs w:val="18"/>
          <w:color w:val="auto"/>
        </w:rPr>
        <w:t>record revenue at the time of sale to the distributor. If our estimates of such credits and rights are materially understated, it could cause subsequent adjustments that negatively impact our revenues and gross profits in a future period.</w:t>
      </w:r>
    </w:p>
    <w:p>
      <w:pPr>
        <w:spacing w:after="0" w:line="9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We are subject to environmental, health and safety (EHS) regulations, which could increase our expenses and affect our operating results.</w:t>
      </w:r>
    </w:p>
    <w:p>
      <w:pPr>
        <w:spacing w:after="0" w:line="144" w:lineRule="exact"/>
        <w:rPr>
          <w:sz w:val="20"/>
          <w:szCs w:val="20"/>
          <w:color w:val="auto"/>
        </w:rPr>
      </w:pPr>
    </w:p>
    <w:p>
      <w:pPr>
        <w:ind w:right="20" w:firstLine="486"/>
        <w:spacing w:after="0" w:line="271" w:lineRule="auto"/>
        <w:rPr>
          <w:sz w:val="20"/>
          <w:szCs w:val="20"/>
          <w:color w:val="auto"/>
        </w:rPr>
      </w:pPr>
      <w:r>
        <w:rPr>
          <w:rFonts w:ascii="Arial" w:cs="Arial" w:eastAsia="Arial" w:hAnsi="Arial"/>
          <w:sz w:val="17"/>
          <w:szCs w:val="17"/>
          <w:color w:val="auto"/>
        </w:rPr>
        <w:t>Our industry is subject to EHS requirements, particularly those that control and restrict the sourcing, use, transportation, emission, discharge, storage and disposal of certain substances, and materials used or produced in the semiconductor manufacturing process. Public attention to environmental sustainability and social responsibility concerns continues to increase, and our customers routinely include stringent environmental and other standards in their contract with us. Changes in EHS laws or regulations may require us to invest in costly equipment or make manufacturing process changes and may adversely affect the sourcing, supply and pricing of materials used in our products. In addition, we use hazardous and other regulated materials that subject us to risks of strict liability for damages caused by potential or actual releases of such materials. Any failure to control such materials adequately or to comply with existing or future EHS statutory or regulatory standards, requirements or contractual obligations could result in any of the following, each of which could have a material adverse effect on our business and operating results:</w:t>
      </w:r>
    </w:p>
    <w:p>
      <w:pPr>
        <w:spacing w:after="0" w:line="30" w:lineRule="exact"/>
        <w:rPr>
          <w:sz w:val="20"/>
          <w:szCs w:val="20"/>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liability for damages and remediation;</w:t>
      </w:r>
    </w:p>
    <w:p>
      <w:pPr>
        <w:spacing w:after="0" w:line="76"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imposition of regulatory penalties and civil and criminal fines;</w:t>
      </w:r>
    </w:p>
    <w:p>
      <w:pPr>
        <w:spacing w:after="0" w:line="90"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suspension or termination of the development, manufacture, sale or use of certain of our products;</w:t>
      </w:r>
    </w:p>
    <w:p>
      <w:pPr>
        <w:spacing w:after="0" w:line="76"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changes to our manufacturing processes or a need to substitute materials that may cost more or be less available;</w:t>
      </w:r>
    </w:p>
    <w:p>
      <w:pPr>
        <w:spacing w:after="0" w:line="76"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damage to our reputation; and/or</w:t>
      </w:r>
    </w:p>
    <w:p>
      <w:pPr>
        <w:spacing w:after="0" w:line="90"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increased expenses associated with compliance.</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Restrictions in our revolving credit facility, term loan and outstanding debt instruments may limit our activities.</w:t>
      </w:r>
    </w:p>
    <w:p>
      <w:pPr>
        <w:spacing w:after="0" w:line="131" w:lineRule="exact"/>
        <w:rPr>
          <w:sz w:val="20"/>
          <w:szCs w:val="20"/>
          <w:color w:val="auto"/>
        </w:rPr>
      </w:pPr>
    </w:p>
    <w:p>
      <w:pPr>
        <w:ind w:right="300" w:firstLine="486"/>
        <w:spacing w:after="0" w:line="259" w:lineRule="auto"/>
        <w:rPr>
          <w:sz w:val="20"/>
          <w:szCs w:val="20"/>
          <w:color w:val="auto"/>
        </w:rPr>
      </w:pPr>
      <w:r>
        <w:rPr>
          <w:rFonts w:ascii="Arial" w:cs="Arial" w:eastAsia="Arial" w:hAnsi="Arial"/>
          <w:sz w:val="18"/>
          <w:szCs w:val="18"/>
          <w:color w:val="auto"/>
        </w:rPr>
        <w:t>Our current revolving credit facility, term loan and outstanding debt instruments impose, and future debt instruments to which we may become subject may impose, restrictions that limit our ability to engage in activities that could otherwise benefit our Company, including to undertake certain transactions, to create certain liens on our assets and to incur certain subsidiary indebtedness. Our ability to comply with these financial restrictions and covenants is dependent on our future performance,</w:t>
      </w:r>
    </w:p>
    <w:p>
      <w:pPr>
        <w:spacing w:after="0" w:line="200" w:lineRule="exact"/>
        <w:rPr>
          <w:sz w:val="20"/>
          <w:szCs w:val="20"/>
          <w:color w:val="auto"/>
        </w:rPr>
      </w:pPr>
    </w:p>
    <w:p>
      <w:pPr>
        <w:spacing w:after="0" w:line="3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138" w:right="359" w:bottom="1440" w:gutter="0" w:footer="0" w:header="0"/>
        </w:sectPr>
      </w:pPr>
    </w:p>
    <w:bookmarkStart w:id="44" w:name="page45"/>
    <w:bookmarkEnd w:id="44"/>
    <w:p>
      <w:pPr>
        <w:ind w:right="120"/>
        <w:spacing w:after="0" w:line="255" w:lineRule="auto"/>
        <w:rPr>
          <w:sz w:val="20"/>
          <w:szCs w:val="20"/>
          <w:color w:val="auto"/>
        </w:rPr>
      </w:pPr>
      <w:r>
        <w:rPr>
          <w:rFonts w:ascii="Arial" w:cs="Arial" w:eastAsia="Arial" w:hAnsi="Arial"/>
          <w:sz w:val="18"/>
          <w:szCs w:val="18"/>
          <w:color w:val="auto"/>
        </w:rPr>
        <w:t>which is subject to prevailing economic conditions and other factors, including factors that are beyond our control such as changes in technology, government regulations and the level of competition in our markets. In addition, our revolving credit facility and term loan require us to maintain compliance with specified financial ratios. If we breach any of the covenants under our revolving credit facility, the indentures governing our outstanding senior unsecured notes, the term loan facility or any future debt instruments to which we may become subject and do not obtain appropriate waivers, then, subject to applicable cure periods, our outstanding indebtedness thereunder could be declared immediately due and payable and/or we may be restricted from further borrowing under our revolving credit facility.</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If we fail to comply with government contracting regulations, we could suffer a loss of revenue or incur price adjustments or other penalties.</w:t>
      </w:r>
    </w:p>
    <w:p>
      <w:pPr>
        <w:spacing w:after="0" w:line="131" w:lineRule="exact"/>
        <w:rPr>
          <w:sz w:val="20"/>
          <w:szCs w:val="20"/>
          <w:color w:val="auto"/>
        </w:rPr>
      </w:pPr>
    </w:p>
    <w:p>
      <w:pPr>
        <w:ind w:right="280" w:firstLine="486"/>
        <w:spacing w:after="0" w:line="293" w:lineRule="auto"/>
        <w:rPr>
          <w:sz w:val="20"/>
          <w:szCs w:val="20"/>
          <w:color w:val="auto"/>
        </w:rPr>
      </w:pPr>
      <w:r>
        <w:rPr>
          <w:rFonts w:ascii="Arial" w:cs="Arial" w:eastAsia="Arial" w:hAnsi="Arial"/>
          <w:sz w:val="16"/>
          <w:szCs w:val="16"/>
          <w:color w:val="auto"/>
        </w:rPr>
        <w:t>Some of our revenue is derived from contracts with agencies of the United States government and subcontracts with its prime contractors. As a United States government contractor or subcontractor, we are subject to federal contracting regulations, including the Federal Acquisition Regulations, which govern the allowability of costs incurred by us in the performance of United States government contracts. Certain contract pricing is based on estimated direct and indirect costs, which are subject to change. Additionally, the United States government is entitled after final payment on certain negotiated contracts to examine all of our cost records with respect to such contracts and to seek a downward adjustment to the price of the contract if it determines that we failed to furnish complete, accurate and current cost or pricing data in connection with the negotiation of the price of the contract.</w:t>
      </w:r>
    </w:p>
    <w:p>
      <w:pPr>
        <w:spacing w:after="0" w:line="70" w:lineRule="exact"/>
        <w:rPr>
          <w:sz w:val="20"/>
          <w:szCs w:val="20"/>
          <w:color w:val="auto"/>
        </w:rPr>
      </w:pPr>
    </w:p>
    <w:p>
      <w:pPr>
        <w:ind w:right="220" w:firstLine="486"/>
        <w:spacing w:after="0" w:line="255" w:lineRule="auto"/>
        <w:rPr>
          <w:sz w:val="20"/>
          <w:szCs w:val="20"/>
          <w:color w:val="auto"/>
        </w:rPr>
      </w:pPr>
      <w:r>
        <w:rPr>
          <w:rFonts w:ascii="Arial" w:cs="Arial" w:eastAsia="Arial" w:hAnsi="Arial"/>
          <w:sz w:val="18"/>
          <w:szCs w:val="18"/>
          <w:color w:val="auto"/>
        </w:rPr>
        <w:t>In connection with our United States government business, we are also subject to government audits and to review and approval of our policies, procedures, and internal controls for compliance with procurement regulations and applicable laws, such as the Cybersecurity Maturity Model Certification. In certain circumstances, if we do not comply with the terms of a contract or with regulations or statutes, we could be subject to downward contract price adjustments or refund obligations or could in extreme circumstances be assessed civil and criminal penalties or be debarred or suspended from obtaining future contracts for a specified period of time. Any such suspension or debarment or other sanction could have an adverse effect on our business.</w:t>
      </w:r>
    </w:p>
    <w:p>
      <w:pPr>
        <w:spacing w:after="0" w:line="111" w:lineRule="exact"/>
        <w:rPr>
          <w:sz w:val="20"/>
          <w:szCs w:val="20"/>
          <w:color w:val="auto"/>
        </w:rPr>
      </w:pPr>
    </w:p>
    <w:p>
      <w:pPr>
        <w:jc w:val="both"/>
        <w:ind w:firstLine="486"/>
        <w:spacing w:after="0" w:line="259" w:lineRule="auto"/>
        <w:rPr>
          <w:sz w:val="20"/>
          <w:szCs w:val="20"/>
          <w:color w:val="auto"/>
        </w:rPr>
      </w:pPr>
      <w:r>
        <w:rPr>
          <w:rFonts w:ascii="Arial" w:cs="Arial" w:eastAsia="Arial" w:hAnsi="Arial"/>
          <w:sz w:val="18"/>
          <w:szCs w:val="18"/>
          <w:color w:val="auto"/>
        </w:rPr>
        <w:t>Under some of our government subcontracts, we are required to maintain secure facilities and to obtain security clearances for personnel involved in performance of the contract, in compliance with applicable federal standards. If we were unable to comply with these requirements, or if personnel critical to our performance of these contracts were unable to obtain or maintain their security clearances, we might be unable to perform these contracts or compete for other projects of this nature, which could adversely affect our revenue.</w:t>
      </w:r>
    </w:p>
    <w:p>
      <w:pPr>
        <w:spacing w:after="0" w:line="9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Our stock price may be volatile.</w:t>
      </w:r>
    </w:p>
    <w:p>
      <w:pPr>
        <w:spacing w:after="0" w:line="131" w:lineRule="exact"/>
        <w:rPr>
          <w:sz w:val="20"/>
          <w:szCs w:val="20"/>
          <w:color w:val="auto"/>
        </w:rPr>
      </w:pPr>
    </w:p>
    <w:p>
      <w:pPr>
        <w:ind w:right="220" w:firstLine="486"/>
        <w:spacing w:after="0" w:line="277" w:lineRule="auto"/>
        <w:rPr>
          <w:sz w:val="20"/>
          <w:szCs w:val="20"/>
          <w:color w:val="auto"/>
        </w:rPr>
      </w:pPr>
      <w:r>
        <w:rPr>
          <w:rFonts w:ascii="Arial" w:cs="Arial" w:eastAsia="Arial" w:hAnsi="Arial"/>
          <w:sz w:val="18"/>
          <w:szCs w:val="18"/>
          <w:color w:val="auto"/>
        </w:rPr>
        <w:t>The market price of our common stock has been volatile in the past and may be volatile in the future, as it may be significantly affected by factors including:</w:t>
      </w:r>
    </w:p>
    <w:p>
      <w:pPr>
        <w:spacing w:after="0" w:line="89" w:lineRule="exact"/>
        <w:rPr>
          <w:sz w:val="20"/>
          <w:szCs w:val="20"/>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extent of the impact and the duration of the COVID-19 outbreak;</w:t>
      </w:r>
    </w:p>
    <w:p>
      <w:pPr>
        <w:spacing w:after="0" w:line="76" w:lineRule="exact"/>
        <w:rPr>
          <w:rFonts w:ascii="Arial" w:cs="Arial" w:eastAsia="Arial" w:hAnsi="Arial"/>
          <w:sz w:val="18"/>
          <w:szCs w:val="18"/>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global economic conditions generally;</w:t>
      </w:r>
    </w:p>
    <w:p>
      <w:pPr>
        <w:spacing w:after="0" w:line="76" w:lineRule="exact"/>
        <w:rPr>
          <w:rFonts w:ascii="Arial" w:cs="Arial" w:eastAsia="Arial" w:hAnsi="Arial"/>
          <w:sz w:val="18"/>
          <w:szCs w:val="18"/>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crises in global credit, debt and financial markets;</w:t>
      </w:r>
    </w:p>
    <w:p>
      <w:pPr>
        <w:spacing w:after="0" w:line="90" w:lineRule="exact"/>
        <w:rPr>
          <w:rFonts w:ascii="Arial" w:cs="Arial" w:eastAsia="Arial" w:hAnsi="Arial"/>
          <w:sz w:val="18"/>
          <w:szCs w:val="18"/>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actual or anticipated fluctuations in our revenue and operating results;</w:t>
      </w:r>
    </w:p>
    <w:p>
      <w:pPr>
        <w:spacing w:after="0" w:line="76" w:lineRule="exact"/>
        <w:rPr>
          <w:rFonts w:ascii="Arial" w:cs="Arial" w:eastAsia="Arial" w:hAnsi="Arial"/>
          <w:sz w:val="18"/>
          <w:szCs w:val="18"/>
          <w:color w:val="auto"/>
        </w:rPr>
      </w:pPr>
    </w:p>
    <w:p>
      <w:pPr>
        <w:ind w:left="660" w:right="320" w:hanging="328"/>
        <w:spacing w:after="0" w:line="277" w:lineRule="auto"/>
        <w:tabs>
          <w:tab w:leader="none" w:pos="655" w:val="left"/>
        </w:tabs>
        <w:numPr>
          <w:ilvl w:val="0"/>
          <w:numId w:val="20"/>
        </w:numPr>
        <w:rPr>
          <w:rFonts w:ascii="Arial" w:cs="Arial" w:eastAsia="Arial" w:hAnsi="Arial"/>
          <w:sz w:val="18"/>
          <w:szCs w:val="18"/>
          <w:color w:val="auto"/>
        </w:rPr>
      </w:pPr>
      <w:r>
        <w:rPr>
          <w:rFonts w:ascii="Arial" w:cs="Arial" w:eastAsia="Arial" w:hAnsi="Arial"/>
          <w:sz w:val="18"/>
          <w:szCs w:val="18"/>
          <w:color w:val="auto"/>
        </w:rPr>
        <w:t>changes in financial estimates or other statements made by securities analysts or others in analyst reports or other publications or our failure to perform in line with those estimates or statements or our published guidance;</w:t>
      </w:r>
    </w:p>
    <w:p>
      <w:pPr>
        <w:spacing w:after="0" w:line="21" w:lineRule="exact"/>
        <w:rPr>
          <w:rFonts w:ascii="Arial" w:cs="Arial" w:eastAsia="Arial" w:hAnsi="Arial"/>
          <w:sz w:val="18"/>
          <w:szCs w:val="18"/>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financial results and prospects of our customers;</w:t>
      </w:r>
    </w:p>
    <w:p>
      <w:pPr>
        <w:spacing w:after="0" w:line="90" w:lineRule="exact"/>
        <w:rPr>
          <w:rFonts w:ascii="Arial" w:cs="Arial" w:eastAsia="Arial" w:hAnsi="Arial"/>
          <w:sz w:val="18"/>
          <w:szCs w:val="18"/>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U.S. and foreign government actions, including with respect to trade, travel, export and taxation;</w:t>
      </w:r>
    </w:p>
    <w:p>
      <w:pPr>
        <w:spacing w:after="0" w:line="76" w:lineRule="exact"/>
        <w:rPr>
          <w:rFonts w:ascii="Arial" w:cs="Arial" w:eastAsia="Arial" w:hAnsi="Arial"/>
          <w:sz w:val="18"/>
          <w:szCs w:val="18"/>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changes in market valuations of other semiconductor companies;</w:t>
      </w:r>
    </w:p>
    <w:p>
      <w:pPr>
        <w:spacing w:after="0" w:line="76" w:lineRule="exact"/>
        <w:rPr>
          <w:rFonts w:ascii="Arial" w:cs="Arial" w:eastAsia="Arial" w:hAnsi="Arial"/>
          <w:sz w:val="18"/>
          <w:szCs w:val="18"/>
          <w:color w:val="auto"/>
        </w:rPr>
      </w:pPr>
    </w:p>
    <w:p>
      <w:pPr>
        <w:ind w:left="660" w:hanging="328"/>
        <w:spacing w:after="0"/>
        <w:tabs>
          <w:tab w:leader="none" w:pos="660" w:val="left"/>
        </w:tabs>
        <w:numPr>
          <w:ilvl w:val="0"/>
          <w:numId w:val="20"/>
        </w:numPr>
        <w:rPr>
          <w:rFonts w:ascii="Arial" w:cs="Arial" w:eastAsia="Arial" w:hAnsi="Arial"/>
          <w:sz w:val="17"/>
          <w:szCs w:val="17"/>
          <w:color w:val="auto"/>
        </w:rPr>
      </w:pPr>
      <w:r>
        <w:rPr>
          <w:rFonts w:ascii="Arial" w:cs="Arial" w:eastAsia="Arial" w:hAnsi="Arial"/>
          <w:sz w:val="17"/>
          <w:szCs w:val="17"/>
          <w:color w:val="auto"/>
        </w:rPr>
        <w:t>rumors and speculation in the press, investment community or on social media about us, our customers or other companies in our industry;</w:t>
      </w:r>
    </w:p>
    <w:p>
      <w:pPr>
        <w:spacing w:after="0" w:line="101" w:lineRule="exact"/>
        <w:rPr>
          <w:rFonts w:ascii="Arial" w:cs="Arial" w:eastAsia="Arial" w:hAnsi="Arial"/>
          <w:sz w:val="17"/>
          <w:szCs w:val="17"/>
          <w:color w:val="auto"/>
        </w:rPr>
      </w:pPr>
    </w:p>
    <w:p>
      <w:pPr>
        <w:ind w:left="660" w:right="180" w:hanging="328"/>
        <w:spacing w:after="0" w:line="325" w:lineRule="auto"/>
        <w:tabs>
          <w:tab w:leader="none" w:pos="655" w:val="left"/>
        </w:tabs>
        <w:numPr>
          <w:ilvl w:val="0"/>
          <w:numId w:val="20"/>
        </w:numPr>
        <w:rPr>
          <w:rFonts w:ascii="Arial" w:cs="Arial" w:eastAsia="Arial" w:hAnsi="Arial"/>
          <w:sz w:val="16"/>
          <w:szCs w:val="16"/>
          <w:color w:val="auto"/>
        </w:rPr>
      </w:pPr>
      <w:r>
        <w:rPr>
          <w:rFonts w:ascii="Arial" w:cs="Arial" w:eastAsia="Arial" w:hAnsi="Arial"/>
          <w:sz w:val="16"/>
          <w:szCs w:val="16"/>
          <w:color w:val="auto"/>
        </w:rPr>
        <w:t>announcements by us, our customers or our competitors of significant new products, technical innovations, material transactions, acquisitions or dispositions, litigation, capital commitments, including share repurchases and dividend policies, or revised earnings estimates;</w:t>
      </w:r>
    </w:p>
    <w:p>
      <w:pPr>
        <w:spacing w:after="0" w:line="1" w:lineRule="exact"/>
        <w:rPr>
          <w:rFonts w:ascii="Arial" w:cs="Arial" w:eastAsia="Arial" w:hAnsi="Arial"/>
          <w:sz w:val="16"/>
          <w:szCs w:val="16"/>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departures of key personnel;</w:t>
      </w:r>
    </w:p>
    <w:p>
      <w:pPr>
        <w:spacing w:after="0" w:line="76" w:lineRule="exact"/>
        <w:rPr>
          <w:rFonts w:ascii="Arial" w:cs="Arial" w:eastAsia="Arial" w:hAnsi="Arial"/>
          <w:sz w:val="18"/>
          <w:szCs w:val="18"/>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alleged noncompliance with laws, regulations or ethics standards by us or any of our employees, officers or directors; and</w:t>
      </w:r>
    </w:p>
    <w:p>
      <w:pPr>
        <w:spacing w:after="0" w:line="90" w:lineRule="exact"/>
        <w:rPr>
          <w:rFonts w:ascii="Arial" w:cs="Arial" w:eastAsia="Arial" w:hAnsi="Arial"/>
          <w:sz w:val="18"/>
          <w:szCs w:val="18"/>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negative media publicity targeting us or our suppliers, customers or competitors.</w:t>
      </w:r>
    </w:p>
    <w:p>
      <w:pPr>
        <w:spacing w:after="0" w:line="200" w:lineRule="exact"/>
        <w:rPr>
          <w:sz w:val="20"/>
          <w:szCs w:val="20"/>
          <w:color w:val="auto"/>
        </w:rPr>
      </w:pPr>
    </w:p>
    <w:p>
      <w:pPr>
        <w:spacing w:after="0" w:line="36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138" w:right="359" w:bottom="1440" w:gutter="0" w:footer="0" w:header="0"/>
        </w:sectPr>
      </w:pPr>
    </w:p>
    <w:bookmarkStart w:id="45" w:name="page46"/>
    <w:bookmarkEnd w:id="45"/>
    <w:p>
      <w:pPr>
        <w:ind w:right="520" w:firstLine="486"/>
        <w:spacing w:after="0" w:line="342" w:lineRule="auto"/>
        <w:rPr>
          <w:sz w:val="20"/>
          <w:szCs w:val="20"/>
          <w:color w:val="auto"/>
        </w:rPr>
      </w:pPr>
      <w:r>
        <w:rPr>
          <w:rFonts w:ascii="Arial" w:cs="Arial" w:eastAsia="Arial" w:hAnsi="Arial"/>
          <w:sz w:val="16"/>
          <w:szCs w:val="16"/>
          <w:color w:val="auto"/>
        </w:rPr>
        <w:t>The stock market has historically experienced volatility, especially within the semiconductor industry, that often has been unrelated to the performance of particular companies. These market fluctuations may cause our stock price to fall regardless of our operating results.</w:t>
      </w:r>
    </w:p>
    <w:p>
      <w:pPr>
        <w:spacing w:after="0" w:line="43" w:lineRule="exact"/>
        <w:rPr>
          <w:sz w:val="20"/>
          <w:szCs w:val="20"/>
          <w:color w:val="auto"/>
        </w:rPr>
      </w:pPr>
    </w:p>
    <w:p>
      <w:pPr>
        <w:ind w:firstLine="486"/>
        <w:spacing w:after="0" w:line="263" w:lineRule="auto"/>
        <w:rPr>
          <w:sz w:val="20"/>
          <w:szCs w:val="20"/>
          <w:color w:val="auto"/>
        </w:rPr>
      </w:pPr>
      <w:r>
        <w:rPr>
          <w:rFonts w:ascii="Arial" w:cs="Arial" w:eastAsia="Arial" w:hAnsi="Arial"/>
          <w:sz w:val="18"/>
          <w:szCs w:val="18"/>
          <w:color w:val="auto"/>
        </w:rPr>
        <w:t>Our directors and executive officers periodically sell shares of our common stock in the market, including pursuant to Rule 10b5-1 trading plans. Regardless of the individual's reasons for such sales, securities analysts and investors could view such sales as a negative indicator and our stock price could be adversely affected as a result.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20"/>
          </w:cols>
          <w:pgMar w:left="320" w:top="1138" w:right="659" w:bottom="1440" w:gutter="0" w:footer="0" w:header="0"/>
        </w:sectPr>
      </w:pPr>
    </w:p>
    <w:bookmarkStart w:id="46" w:name="page47"/>
    <w:bookmarkEnd w:id="46"/>
    <w:p>
      <w:pPr>
        <w:ind w:left="20"/>
        <w:spacing w:after="0"/>
        <w:tabs>
          <w:tab w:leader="none" w:pos="124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5"/>
          <w:szCs w:val="15"/>
          <w:b w:val="1"/>
          <w:bCs w:val="1"/>
          <w:color w:val="auto"/>
        </w:rPr>
        <w:t>Unregistered Sales of Equity Securities and Use of Proceeds</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Issuer Purchases of Equity Securities</w:t>
      </w:r>
    </w:p>
    <w:p>
      <w:pPr>
        <w:spacing w:after="0" w:line="108" w:lineRule="exact"/>
        <w:rPr>
          <w:sz w:val="20"/>
          <w:szCs w:val="20"/>
          <w:color w:val="auto"/>
        </w:rPr>
      </w:pPr>
    </w:p>
    <w:p>
      <w:pPr>
        <w:ind w:right="100"/>
        <w:spacing w:after="0" w:line="283" w:lineRule="auto"/>
        <w:rPr>
          <w:sz w:val="20"/>
          <w:szCs w:val="20"/>
          <w:color w:val="auto"/>
        </w:rPr>
      </w:pPr>
      <w:r>
        <w:rPr>
          <w:rFonts w:ascii="Arial" w:cs="Arial" w:eastAsia="Arial" w:hAnsi="Arial"/>
          <w:sz w:val="17"/>
          <w:szCs w:val="17"/>
          <w:color w:val="auto"/>
        </w:rPr>
        <w:t>On July 12, 2020, we entered into a definitive agreement to acquire Maxim Integrated Products, Inc., an independent manufacturer of innovative analog and mixed-signal products and technologies. As a result of this proposed acquisition, we have continued the temporary suspension of our share repurchase program, which was previously suspended in March 2020 as a result of the global macroeconomic environment.</w:t>
      </w:r>
    </w:p>
    <w:tbl>
      <w:tblPr>
        <w:tblLayout w:type="fixed"/>
        <w:tblInd w:w="0" w:type="dxa"/>
        <w:tblCellMar>
          <w:top w:w="0" w:type="dxa"/>
          <w:left w:w="0" w:type="dxa"/>
          <w:bottom w:w="0" w:type="dxa"/>
          <w:right w:w="0" w:type="dxa"/>
        </w:tblCellMar>
      </w:tblPr>
      <w:tr>
        <w:trPr>
          <w:trHeight w:val="151"/>
        </w:trPr>
        <w:tc>
          <w:tcPr>
            <w:tcW w:w="4400" w:type="dxa"/>
            <w:vAlign w:val="bottom"/>
          </w:tcPr>
          <w:p>
            <w:pPr>
              <w:spacing w:after="0"/>
              <w:rPr>
                <w:sz w:val="13"/>
                <w:szCs w:val="13"/>
                <w:color w:val="auto"/>
              </w:rPr>
            </w:pPr>
          </w:p>
        </w:tc>
        <w:tc>
          <w:tcPr>
            <w:tcW w:w="16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7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4"/>
              </w:rPr>
              <w:t>Total Number of</w:t>
            </w: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580" w:type="dxa"/>
            <w:vAlign w:val="bottom"/>
          </w:tcPr>
          <w:p>
            <w:pPr>
              <w:jc w:val="center"/>
              <w:ind w:right="101"/>
              <w:spacing w:after="0" w:line="151" w:lineRule="exact"/>
              <w:rPr>
                <w:sz w:val="20"/>
                <w:szCs w:val="20"/>
                <w:color w:val="auto"/>
              </w:rPr>
            </w:pPr>
            <w:r>
              <w:rPr>
                <w:rFonts w:ascii="Arial" w:cs="Arial" w:eastAsia="Arial" w:hAnsi="Arial"/>
                <w:sz w:val="14"/>
                <w:szCs w:val="14"/>
                <w:b w:val="1"/>
                <w:bCs w:val="1"/>
                <w:color w:val="auto"/>
                <w:w w:val="95"/>
              </w:rPr>
              <w:t>Approximate Dollar</w:t>
            </w:r>
          </w:p>
        </w:tc>
        <w:tc>
          <w:tcPr>
            <w:tcW w:w="0" w:type="dxa"/>
            <w:vAlign w:val="bottom"/>
          </w:tcPr>
          <w:p>
            <w:pPr>
              <w:spacing w:after="0"/>
              <w:rPr>
                <w:sz w:val="1"/>
                <w:szCs w:val="1"/>
                <w:color w:val="auto"/>
              </w:rPr>
            </w:pPr>
          </w:p>
        </w:tc>
      </w:tr>
      <w:tr>
        <w:trPr>
          <w:trHeight w:val="148"/>
        </w:trPr>
        <w:tc>
          <w:tcPr>
            <w:tcW w:w="440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76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580" w:type="dxa"/>
            <w:vAlign w:val="bottom"/>
          </w:tcPr>
          <w:p>
            <w:pPr>
              <w:jc w:val="center"/>
              <w:ind w:right="101"/>
              <w:spacing w:after="0" w:line="149" w:lineRule="exact"/>
              <w:rPr>
                <w:sz w:val="20"/>
                <w:szCs w:val="20"/>
                <w:color w:val="auto"/>
              </w:rPr>
            </w:pPr>
            <w:r>
              <w:rPr>
                <w:rFonts w:ascii="Arial" w:cs="Arial" w:eastAsia="Arial" w:hAnsi="Arial"/>
                <w:sz w:val="14"/>
                <w:szCs w:val="14"/>
                <w:b w:val="1"/>
                <w:bCs w:val="1"/>
                <w:color w:val="auto"/>
                <w:w w:val="92"/>
              </w:rPr>
              <w:t>Value of Shares that</w:t>
            </w:r>
          </w:p>
        </w:tc>
        <w:tc>
          <w:tcPr>
            <w:tcW w:w="0" w:type="dxa"/>
            <w:vAlign w:val="bottom"/>
          </w:tcPr>
          <w:p>
            <w:pPr>
              <w:spacing w:after="0"/>
              <w:rPr>
                <w:sz w:val="1"/>
                <w:szCs w:val="1"/>
                <w:color w:val="auto"/>
              </w:rPr>
            </w:pPr>
          </w:p>
        </w:tc>
      </w:tr>
      <w:tr>
        <w:trPr>
          <w:trHeight w:val="149"/>
        </w:trPr>
        <w:tc>
          <w:tcPr>
            <w:tcW w:w="4400" w:type="dxa"/>
            <w:vAlign w:val="bottom"/>
          </w:tcPr>
          <w:p>
            <w:pPr>
              <w:spacing w:after="0"/>
              <w:rPr>
                <w:sz w:val="12"/>
                <w:szCs w:val="12"/>
                <w:color w:val="auto"/>
              </w:rPr>
            </w:pPr>
          </w:p>
        </w:tc>
        <w:tc>
          <w:tcPr>
            <w:tcW w:w="16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4"/>
              </w:rPr>
              <w:t>Total Number of</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7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Shares Purchased as</w:t>
            </w: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580" w:type="dxa"/>
            <w:vAlign w:val="bottom"/>
          </w:tcPr>
          <w:p>
            <w:pPr>
              <w:jc w:val="center"/>
              <w:ind w:right="101"/>
              <w:spacing w:after="0" w:line="149" w:lineRule="exact"/>
              <w:rPr>
                <w:sz w:val="20"/>
                <w:szCs w:val="20"/>
                <w:color w:val="auto"/>
              </w:rPr>
            </w:pPr>
            <w:r>
              <w:rPr>
                <w:rFonts w:ascii="Arial" w:cs="Arial" w:eastAsia="Arial" w:hAnsi="Arial"/>
                <w:sz w:val="14"/>
                <w:szCs w:val="14"/>
                <w:b w:val="1"/>
                <w:bCs w:val="1"/>
                <w:color w:val="auto"/>
                <w:w w:val="96"/>
              </w:rPr>
              <w:t>May Yet Be</w:t>
            </w:r>
          </w:p>
        </w:tc>
        <w:tc>
          <w:tcPr>
            <w:tcW w:w="0" w:type="dxa"/>
            <w:vAlign w:val="bottom"/>
          </w:tcPr>
          <w:p>
            <w:pPr>
              <w:spacing w:after="0"/>
              <w:rPr>
                <w:sz w:val="1"/>
                <w:szCs w:val="1"/>
                <w:color w:val="auto"/>
              </w:rPr>
            </w:pPr>
          </w:p>
        </w:tc>
      </w:tr>
      <w:tr>
        <w:trPr>
          <w:trHeight w:val="148"/>
        </w:trPr>
        <w:tc>
          <w:tcPr>
            <w:tcW w:w="4400" w:type="dxa"/>
            <w:vAlign w:val="bottom"/>
          </w:tcPr>
          <w:p>
            <w:pPr>
              <w:spacing w:after="0"/>
              <w:rPr>
                <w:sz w:val="12"/>
                <w:szCs w:val="12"/>
                <w:color w:val="auto"/>
              </w:rPr>
            </w:pPr>
          </w:p>
        </w:tc>
        <w:tc>
          <w:tcPr>
            <w:tcW w:w="160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4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Average Price</w:t>
            </w:r>
          </w:p>
        </w:tc>
        <w:tc>
          <w:tcPr>
            <w:tcW w:w="17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Part of Publicly</w:t>
            </w: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580" w:type="dxa"/>
            <w:vAlign w:val="bottom"/>
          </w:tcPr>
          <w:p>
            <w:pPr>
              <w:jc w:val="center"/>
              <w:ind w:right="101"/>
              <w:spacing w:after="0" w:line="149" w:lineRule="exact"/>
              <w:rPr>
                <w:sz w:val="20"/>
                <w:szCs w:val="20"/>
                <w:color w:val="auto"/>
              </w:rPr>
            </w:pPr>
            <w:r>
              <w:rPr>
                <w:rFonts w:ascii="Arial" w:cs="Arial" w:eastAsia="Arial" w:hAnsi="Arial"/>
                <w:sz w:val="14"/>
                <w:szCs w:val="14"/>
                <w:b w:val="1"/>
                <w:bCs w:val="1"/>
                <w:color w:val="auto"/>
                <w:w w:val="93"/>
              </w:rPr>
              <w:t>Purchased Under</w:t>
            </w:r>
          </w:p>
        </w:tc>
        <w:tc>
          <w:tcPr>
            <w:tcW w:w="0" w:type="dxa"/>
            <w:vAlign w:val="bottom"/>
          </w:tcPr>
          <w:p>
            <w:pPr>
              <w:spacing w:after="0"/>
              <w:rPr>
                <w:sz w:val="1"/>
                <w:szCs w:val="1"/>
                <w:color w:val="auto"/>
              </w:rPr>
            </w:pPr>
          </w:p>
        </w:tc>
      </w:tr>
      <w:tr>
        <w:trPr>
          <w:trHeight w:val="148"/>
        </w:trPr>
        <w:tc>
          <w:tcPr>
            <w:tcW w:w="4400" w:type="dxa"/>
            <w:vAlign w:val="bottom"/>
            <w:vMerge w:val="restart"/>
          </w:tcPr>
          <w:p>
            <w:pPr>
              <w:ind w:left="2000"/>
              <w:spacing w:after="0"/>
              <w:rPr>
                <w:sz w:val="20"/>
                <w:szCs w:val="20"/>
                <w:color w:val="auto"/>
              </w:rPr>
            </w:pPr>
            <w:r>
              <w:rPr>
                <w:rFonts w:ascii="Arial" w:cs="Arial" w:eastAsia="Arial" w:hAnsi="Arial"/>
                <w:sz w:val="14"/>
                <w:szCs w:val="14"/>
                <w:b w:val="1"/>
                <w:bCs w:val="1"/>
                <w:color w:val="auto"/>
              </w:rPr>
              <w:t>Period</w:t>
            </w:r>
          </w:p>
        </w:tc>
        <w:tc>
          <w:tcPr>
            <w:tcW w:w="16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Shares Purchased</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40" w:type="dxa"/>
            <w:vAlign w:val="bottom"/>
            <w:gridSpan w:val="2"/>
            <w:vMerge w:val="continue"/>
          </w:tcPr>
          <w:p>
            <w:pPr>
              <w:spacing w:after="0"/>
              <w:rPr>
                <w:sz w:val="12"/>
                <w:szCs w:val="12"/>
                <w:color w:val="auto"/>
              </w:rPr>
            </w:pPr>
          </w:p>
        </w:tc>
        <w:tc>
          <w:tcPr>
            <w:tcW w:w="17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Announced Plans or</w:t>
            </w: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580" w:type="dxa"/>
            <w:vAlign w:val="bottom"/>
          </w:tcPr>
          <w:p>
            <w:pPr>
              <w:jc w:val="center"/>
              <w:ind w:right="121"/>
              <w:spacing w:after="0" w:line="149" w:lineRule="exact"/>
              <w:rPr>
                <w:sz w:val="20"/>
                <w:szCs w:val="20"/>
                <w:color w:val="auto"/>
              </w:rPr>
            </w:pPr>
            <w:r>
              <w:rPr>
                <w:rFonts w:ascii="Arial" w:cs="Arial" w:eastAsia="Arial" w:hAnsi="Arial"/>
                <w:sz w:val="14"/>
                <w:szCs w:val="14"/>
                <w:b w:val="1"/>
                <w:bCs w:val="1"/>
                <w:color w:val="auto"/>
                <w:w w:val="92"/>
              </w:rPr>
              <w:t>the Plans or</w:t>
            </w:r>
          </w:p>
        </w:tc>
        <w:tc>
          <w:tcPr>
            <w:tcW w:w="0" w:type="dxa"/>
            <w:vAlign w:val="bottom"/>
          </w:tcPr>
          <w:p>
            <w:pPr>
              <w:spacing w:after="0"/>
              <w:rPr>
                <w:sz w:val="1"/>
                <w:szCs w:val="1"/>
                <w:color w:val="auto"/>
              </w:rPr>
            </w:pPr>
          </w:p>
        </w:tc>
      </w:tr>
      <w:tr>
        <w:trPr>
          <w:trHeight w:val="192"/>
        </w:trPr>
        <w:tc>
          <w:tcPr>
            <w:tcW w:w="4400" w:type="dxa"/>
            <w:vAlign w:val="bottom"/>
            <w:tcBorders>
              <w:bottom w:val="single" w:sz="8" w:color="CCEEFF"/>
            </w:tcBorders>
            <w:vMerge w:val="continue"/>
          </w:tcPr>
          <w:p>
            <w:pPr>
              <w:spacing w:after="0"/>
              <w:rPr>
                <w:sz w:val="16"/>
                <w:szCs w:val="16"/>
                <w:color w:val="auto"/>
              </w:rPr>
            </w:pPr>
          </w:p>
        </w:tc>
        <w:tc>
          <w:tcPr>
            <w:tcW w:w="16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(a)</w:t>
            </w: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16"/>
              <w:spacing w:after="0"/>
              <w:rPr>
                <w:sz w:val="20"/>
                <w:szCs w:val="20"/>
                <w:color w:val="auto"/>
              </w:rPr>
            </w:pPr>
            <w:r>
              <w:rPr>
                <w:rFonts w:ascii="Arial" w:cs="Arial" w:eastAsia="Arial" w:hAnsi="Arial"/>
                <w:sz w:val="14"/>
                <w:szCs w:val="14"/>
                <w:b w:val="1"/>
                <w:bCs w:val="1"/>
                <w:color w:val="auto"/>
                <w:w w:val="92"/>
              </w:rPr>
              <w:t>Paid Per Share (b)</w:t>
            </w:r>
          </w:p>
        </w:tc>
        <w:tc>
          <w:tcPr>
            <w:tcW w:w="100" w:type="dxa"/>
            <w:vAlign w:val="bottom"/>
            <w:tcBorders>
              <w:bottom w:val="single" w:sz="8" w:color="CCEEFF"/>
            </w:tcBorders>
          </w:tcPr>
          <w:p>
            <w:pPr>
              <w:spacing w:after="0"/>
              <w:rPr>
                <w:sz w:val="16"/>
                <w:szCs w:val="16"/>
                <w:color w:val="auto"/>
              </w:rPr>
            </w:pPr>
          </w:p>
        </w:tc>
        <w:tc>
          <w:tcPr>
            <w:tcW w:w="17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Programs (c)</w:t>
            </w:r>
          </w:p>
        </w:tc>
        <w:tc>
          <w:tcPr>
            <w:tcW w:w="12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tcPr>
          <w:p>
            <w:pPr>
              <w:jc w:val="center"/>
              <w:ind w:right="101"/>
              <w:spacing w:after="0"/>
              <w:rPr>
                <w:sz w:val="20"/>
                <w:szCs w:val="20"/>
                <w:color w:val="auto"/>
              </w:rPr>
            </w:pPr>
            <w:r>
              <w:rPr>
                <w:rFonts w:ascii="Arial" w:cs="Arial" w:eastAsia="Arial" w:hAnsi="Arial"/>
                <w:sz w:val="14"/>
                <w:szCs w:val="14"/>
                <w:b w:val="1"/>
                <w:bCs w:val="1"/>
                <w:color w:val="auto"/>
                <w:w w:val="91"/>
              </w:rPr>
              <w:t>Programs</w:t>
            </w:r>
          </w:p>
        </w:tc>
        <w:tc>
          <w:tcPr>
            <w:tcW w:w="0" w:type="dxa"/>
            <w:vAlign w:val="bottom"/>
          </w:tcPr>
          <w:p>
            <w:pPr>
              <w:spacing w:after="0"/>
              <w:rPr>
                <w:sz w:val="1"/>
                <w:szCs w:val="1"/>
                <w:color w:val="auto"/>
              </w:rPr>
            </w:pPr>
          </w:p>
        </w:tc>
      </w:tr>
      <w:tr>
        <w:trPr>
          <w:trHeight w:val="249"/>
        </w:trPr>
        <w:tc>
          <w:tcPr>
            <w:tcW w:w="4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May 3, 2020 through May 30, 2020</w:t>
            </w:r>
          </w:p>
        </w:tc>
        <w:tc>
          <w:tcPr>
            <w:tcW w:w="1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3,124</w:t>
            </w:r>
          </w:p>
        </w:tc>
        <w:tc>
          <w:tcPr>
            <w:tcW w:w="2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104.52</w:t>
            </w:r>
          </w:p>
        </w:tc>
        <w:tc>
          <w:tcPr>
            <w:tcW w:w="10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shd w:val="clear" w:color="auto" w:fill="CCEEFF"/>
          </w:tcPr>
          <w:p>
            <w:pPr>
              <w:ind w:left="150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58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18"/>
                <w:szCs w:val="18"/>
                <w:color w:val="auto"/>
              </w:rPr>
              <w:t>1,893,079,550</w:t>
            </w:r>
          </w:p>
        </w:tc>
        <w:tc>
          <w:tcPr>
            <w:tcW w:w="0" w:type="dxa"/>
            <w:vAlign w:val="bottom"/>
          </w:tcPr>
          <w:p>
            <w:pPr>
              <w:spacing w:after="0"/>
              <w:rPr>
                <w:sz w:val="1"/>
                <w:szCs w:val="1"/>
                <w:color w:val="auto"/>
              </w:rPr>
            </w:pPr>
          </w:p>
        </w:tc>
      </w:tr>
      <w:tr>
        <w:trPr>
          <w:trHeight w:val="243"/>
        </w:trPr>
        <w:tc>
          <w:tcPr>
            <w:tcW w:w="4400" w:type="dxa"/>
            <w:vAlign w:val="bottom"/>
          </w:tcPr>
          <w:p>
            <w:pPr>
              <w:ind w:left="20"/>
              <w:spacing w:after="0"/>
              <w:rPr>
                <w:sz w:val="20"/>
                <w:szCs w:val="20"/>
                <w:color w:val="auto"/>
              </w:rPr>
            </w:pPr>
            <w:r>
              <w:rPr>
                <w:rFonts w:ascii="Arial" w:cs="Arial" w:eastAsia="Arial" w:hAnsi="Arial"/>
                <w:sz w:val="18"/>
                <w:szCs w:val="18"/>
                <w:color w:val="auto"/>
              </w:rPr>
              <w:t>May 31, 2020 through June 27, 2020</w:t>
            </w:r>
          </w:p>
        </w:tc>
        <w:tc>
          <w:tcPr>
            <w:tcW w:w="1600" w:type="dxa"/>
            <w:vAlign w:val="bottom"/>
          </w:tcPr>
          <w:p>
            <w:pPr>
              <w:jc w:val="right"/>
              <w:spacing w:after="0"/>
              <w:rPr>
                <w:sz w:val="20"/>
                <w:szCs w:val="20"/>
                <w:color w:val="auto"/>
              </w:rPr>
            </w:pPr>
            <w:r>
              <w:rPr>
                <w:rFonts w:ascii="Arial" w:cs="Arial" w:eastAsia="Arial" w:hAnsi="Arial"/>
                <w:sz w:val="18"/>
                <w:szCs w:val="18"/>
                <w:color w:val="auto"/>
              </w:rPr>
              <w:t>42,368</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118.58</w:t>
            </w:r>
          </w:p>
        </w:tc>
        <w:tc>
          <w:tcPr>
            <w:tcW w:w="100" w:type="dxa"/>
            <w:vAlign w:val="bottom"/>
          </w:tcPr>
          <w:p>
            <w:pPr>
              <w:spacing w:after="0"/>
              <w:rPr>
                <w:sz w:val="21"/>
                <w:szCs w:val="21"/>
                <w:color w:val="auto"/>
              </w:rPr>
            </w:pPr>
          </w:p>
        </w:tc>
        <w:tc>
          <w:tcPr>
            <w:tcW w:w="1760" w:type="dxa"/>
            <w:vAlign w:val="bottom"/>
          </w:tcPr>
          <w:p>
            <w:pPr>
              <w:ind w:left="1500"/>
              <w:spacing w:after="0"/>
              <w:rPr>
                <w:sz w:val="20"/>
                <w:szCs w:val="20"/>
                <w:color w:val="auto"/>
              </w:rPr>
            </w:pPr>
            <w:r>
              <w:rPr>
                <w:rFonts w:ascii="Arial" w:cs="Arial" w:eastAsia="Arial" w:hAnsi="Arial"/>
                <w:sz w:val="18"/>
                <w:szCs w:val="18"/>
                <w:color w:val="auto"/>
              </w:rPr>
              <w:t>—</w:t>
            </w:r>
          </w:p>
        </w:tc>
        <w:tc>
          <w:tcPr>
            <w:tcW w:w="3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580" w:type="dxa"/>
            <w:vAlign w:val="bottom"/>
          </w:tcPr>
          <w:p>
            <w:pPr>
              <w:jc w:val="right"/>
              <w:ind w:right="1"/>
              <w:spacing w:after="0"/>
              <w:rPr>
                <w:sz w:val="20"/>
                <w:szCs w:val="20"/>
                <w:color w:val="auto"/>
              </w:rPr>
            </w:pPr>
            <w:r>
              <w:rPr>
                <w:rFonts w:ascii="Arial" w:cs="Arial" w:eastAsia="Arial" w:hAnsi="Arial"/>
                <w:sz w:val="18"/>
                <w:szCs w:val="18"/>
                <w:color w:val="auto"/>
              </w:rPr>
              <w:t>1,893,079,550</w:t>
            </w:r>
          </w:p>
        </w:tc>
        <w:tc>
          <w:tcPr>
            <w:tcW w:w="0" w:type="dxa"/>
            <w:vAlign w:val="bottom"/>
          </w:tcPr>
          <w:p>
            <w:pPr>
              <w:spacing w:after="0"/>
              <w:rPr>
                <w:sz w:val="1"/>
                <w:szCs w:val="1"/>
                <w:color w:val="auto"/>
              </w:rPr>
            </w:pPr>
          </w:p>
        </w:tc>
      </w:tr>
      <w:tr>
        <w:trPr>
          <w:trHeight w:val="27"/>
        </w:trPr>
        <w:tc>
          <w:tcPr>
            <w:tcW w:w="440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June 28, 2020 through August 1, 2020</w:t>
            </w:r>
          </w:p>
        </w:tc>
        <w:tc>
          <w:tcPr>
            <w:tcW w:w="1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106,225</w:t>
            </w:r>
          </w:p>
        </w:tc>
        <w:tc>
          <w:tcPr>
            <w:tcW w:w="2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115.80</w:t>
            </w:r>
          </w:p>
        </w:tc>
        <w:tc>
          <w:tcPr>
            <w:tcW w:w="100" w:type="dxa"/>
            <w:vAlign w:val="bottom"/>
            <w:tcBorders>
              <w:bottom w:val="single" w:sz="8" w:color="CCEEFF"/>
            </w:tcBorders>
            <w:shd w:val="clear" w:color="auto" w:fill="CCEEFF"/>
          </w:tcPr>
          <w:p>
            <w:pPr>
              <w:spacing w:after="0"/>
              <w:rPr>
                <w:sz w:val="23"/>
                <w:szCs w:val="23"/>
                <w:color w:val="auto"/>
              </w:rPr>
            </w:pPr>
          </w:p>
        </w:tc>
        <w:tc>
          <w:tcPr>
            <w:tcW w:w="1760" w:type="dxa"/>
            <w:vAlign w:val="bottom"/>
            <w:tcBorders>
              <w:bottom w:val="single" w:sz="8" w:color="CCEEFF"/>
            </w:tcBorders>
            <w:shd w:val="clear" w:color="auto" w:fill="CCEEFF"/>
          </w:tcPr>
          <w:p>
            <w:pPr>
              <w:ind w:left="150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58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18"/>
                <w:szCs w:val="18"/>
                <w:color w:val="auto"/>
              </w:rPr>
              <w:t>1,893,079,550</w:t>
            </w:r>
          </w:p>
        </w:tc>
        <w:tc>
          <w:tcPr>
            <w:tcW w:w="0" w:type="dxa"/>
            <w:vAlign w:val="bottom"/>
          </w:tcPr>
          <w:p>
            <w:pPr>
              <w:spacing w:after="0"/>
              <w:rPr>
                <w:sz w:val="1"/>
                <w:szCs w:val="1"/>
                <w:color w:val="auto"/>
              </w:rPr>
            </w:pPr>
          </w:p>
        </w:tc>
      </w:tr>
      <w:tr>
        <w:trPr>
          <w:trHeight w:val="237"/>
        </w:trPr>
        <w:tc>
          <w:tcPr>
            <w:tcW w:w="4400" w:type="dxa"/>
            <w:vAlign w:val="bottom"/>
          </w:tcPr>
          <w:p>
            <w:pPr>
              <w:ind w:left="2020"/>
              <w:spacing w:after="0"/>
              <w:rPr>
                <w:sz w:val="20"/>
                <w:szCs w:val="20"/>
                <w:color w:val="auto"/>
              </w:rPr>
            </w:pPr>
            <w:r>
              <w:rPr>
                <w:rFonts w:ascii="Arial" w:cs="Arial" w:eastAsia="Arial" w:hAnsi="Arial"/>
                <w:sz w:val="18"/>
                <w:szCs w:val="18"/>
                <w:color w:val="auto"/>
              </w:rPr>
              <w:t>Total</w:t>
            </w:r>
          </w:p>
        </w:tc>
        <w:tc>
          <w:tcPr>
            <w:tcW w:w="1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151,717</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116.34</w:t>
            </w:r>
          </w:p>
        </w:tc>
        <w:tc>
          <w:tcPr>
            <w:tcW w:w="100" w:type="dxa"/>
            <w:vAlign w:val="bottom"/>
          </w:tcPr>
          <w:p>
            <w:pPr>
              <w:spacing w:after="0"/>
              <w:rPr>
                <w:sz w:val="20"/>
                <w:szCs w:val="20"/>
                <w:color w:val="auto"/>
              </w:rPr>
            </w:pPr>
          </w:p>
        </w:tc>
        <w:tc>
          <w:tcPr>
            <w:tcW w:w="1760" w:type="dxa"/>
            <w:vAlign w:val="bottom"/>
            <w:tcBorders>
              <w:top w:val="single" w:sz="8" w:color="auto"/>
            </w:tcBorders>
          </w:tcPr>
          <w:p>
            <w:pPr>
              <w:ind w:left="1500"/>
              <w:spacing w:after="0"/>
              <w:rPr>
                <w:sz w:val="20"/>
                <w:szCs w:val="20"/>
                <w:color w:val="auto"/>
              </w:rPr>
            </w:pPr>
            <w:r>
              <w:rPr>
                <w:rFonts w:ascii="Arial" w:cs="Arial" w:eastAsia="Arial" w:hAnsi="Arial"/>
                <w:sz w:val="18"/>
                <w:szCs w:val="18"/>
                <w:color w:val="auto"/>
              </w:rPr>
              <w:t>—</w:t>
            </w:r>
          </w:p>
        </w:tc>
        <w:tc>
          <w:tcPr>
            <w:tcW w:w="3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580" w:type="dxa"/>
            <w:vAlign w:val="bottom"/>
          </w:tcPr>
          <w:p>
            <w:pPr>
              <w:jc w:val="right"/>
              <w:ind w:right="1"/>
              <w:spacing w:after="0"/>
              <w:rPr>
                <w:sz w:val="20"/>
                <w:szCs w:val="20"/>
                <w:color w:val="auto"/>
              </w:rPr>
            </w:pPr>
            <w:r>
              <w:rPr>
                <w:rFonts w:ascii="Arial" w:cs="Arial" w:eastAsia="Arial" w:hAnsi="Arial"/>
                <w:sz w:val="18"/>
                <w:szCs w:val="18"/>
                <w:color w:val="auto"/>
              </w:rPr>
              <w:t>1,893,079,550</w:t>
            </w:r>
          </w:p>
        </w:tc>
        <w:tc>
          <w:tcPr>
            <w:tcW w:w="0" w:type="dxa"/>
            <w:vAlign w:val="bottom"/>
          </w:tcPr>
          <w:p>
            <w:pPr>
              <w:spacing w:after="0"/>
              <w:rPr>
                <w:sz w:val="1"/>
                <w:szCs w:val="1"/>
                <w:color w:val="auto"/>
              </w:rPr>
            </w:pPr>
          </w:p>
        </w:tc>
      </w:tr>
      <w:tr>
        <w:trPr>
          <w:trHeight w:val="27"/>
        </w:trPr>
        <w:tc>
          <w:tcPr>
            <w:tcW w:w="4400" w:type="dxa"/>
            <w:vAlign w:val="bottom"/>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
        </w:trPr>
        <w:tc>
          <w:tcPr>
            <w:tcW w:w="4400" w:type="dxa"/>
            <w:vAlign w:val="bottom"/>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37" w:lineRule="exact"/>
        <w:rPr>
          <w:sz w:val="20"/>
          <w:szCs w:val="20"/>
          <w:color w:val="auto"/>
        </w:rPr>
      </w:pPr>
    </w:p>
    <w:p>
      <w:pPr>
        <w:ind w:left="660" w:right="720" w:hanging="328"/>
        <w:spacing w:after="0" w:line="258" w:lineRule="auto"/>
        <w:tabs>
          <w:tab w:leader="none" w:pos="657" w:val="left"/>
        </w:tabs>
        <w:numPr>
          <w:ilvl w:val="0"/>
          <w:numId w:val="21"/>
        </w:numPr>
        <w:rPr>
          <w:rFonts w:ascii="Arial" w:cs="Arial" w:eastAsia="Arial" w:hAnsi="Arial"/>
          <w:sz w:val="18"/>
          <w:szCs w:val="18"/>
          <w:color w:val="auto"/>
        </w:rPr>
      </w:pPr>
      <w:r>
        <w:rPr>
          <w:rFonts w:ascii="Arial" w:cs="Arial" w:eastAsia="Arial" w:hAnsi="Arial"/>
          <w:sz w:val="18"/>
          <w:szCs w:val="18"/>
          <w:color w:val="auto"/>
        </w:rPr>
        <w:t>Consists of 151,717 shares withheld by us from employees to satisfy minimum employee tax obligations upon vesting of restricted stock units/awards granted to our employees under our equity compensation plans.</w:t>
      </w:r>
    </w:p>
    <w:p>
      <w:pPr>
        <w:spacing w:after="0" w:line="1" w:lineRule="exact"/>
        <w:rPr>
          <w:rFonts w:ascii="Arial" w:cs="Arial" w:eastAsia="Arial" w:hAnsi="Arial"/>
          <w:sz w:val="18"/>
          <w:szCs w:val="18"/>
          <w:color w:val="auto"/>
        </w:rPr>
      </w:pPr>
    </w:p>
    <w:p>
      <w:pPr>
        <w:ind w:left="660" w:right="140" w:hanging="328"/>
        <w:spacing w:after="0" w:line="250" w:lineRule="auto"/>
        <w:tabs>
          <w:tab w:leader="none" w:pos="654"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average price paid for shares in connection with vesting of restricted stock units/awards are averages of the closing stock price at the vesting date which is used to calculate the number of shares to be withheld.</w:t>
      </w:r>
    </w:p>
    <w:p>
      <w:pPr>
        <w:ind w:left="660" w:hanging="328"/>
        <w:spacing w:after="0" w:line="273" w:lineRule="auto"/>
        <w:tabs>
          <w:tab w:leader="none" w:pos="657" w:val="left"/>
        </w:tabs>
        <w:numPr>
          <w:ilvl w:val="0"/>
          <w:numId w:val="21"/>
        </w:numPr>
        <w:rPr>
          <w:rFonts w:ascii="Arial" w:cs="Arial" w:eastAsia="Arial" w:hAnsi="Arial"/>
          <w:sz w:val="17"/>
          <w:szCs w:val="17"/>
          <w:color w:val="auto"/>
        </w:rPr>
      </w:pPr>
      <w:r>
        <w:rPr>
          <w:rFonts w:ascii="Arial" w:cs="Arial" w:eastAsia="Arial" w:hAnsi="Arial"/>
          <w:sz w:val="17"/>
          <w:szCs w:val="17"/>
          <w:color w:val="auto"/>
        </w:rPr>
        <w:t>Shares repurchased pursuant to the stock repurchase program publicly announced on August 12, 2004. Under the repurchase program, we may repurchase outstanding shares of our common stock from time to time in the open market and through privately negotiated transactions in an aggregate amount of up to $8.2 billion. Unless terminated earlier by resolution of our Board of Directors, the repurchase program will expire when we have repurchased all shares authorized for repurchase under the repurchase program.</w:t>
      </w: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309" w:right="359" w:bottom="1440" w:gutter="0" w:footer="0" w:header="0"/>
        </w:sectPr>
      </w:pPr>
    </w:p>
    <w:bookmarkStart w:id="47" w:name="page48"/>
    <w:bookmarkEnd w:id="47"/>
    <w:p>
      <w:pPr>
        <w:ind w:left="20"/>
        <w:spacing w:after="0"/>
        <w:tabs>
          <w:tab w:leader="none" w:pos="124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6"/>
          <w:szCs w:val="16"/>
          <w:b w:val="1"/>
          <w:bCs w:val="1"/>
          <w:color w:val="auto"/>
        </w:rPr>
        <w:t>Exhibits</w:t>
      </w:r>
    </w:p>
    <w:p>
      <w:pPr>
        <w:sectPr>
          <w:pgSz w:w="11900" w:h="16838" w:orient="portrait"/>
          <w:cols w:equalWidth="0" w:num="1">
            <w:col w:w="11180"/>
          </w:cols>
          <w:pgMar w:left="320" w:top="1309" w:right="399" w:bottom="1440" w:gutter="0" w:footer="0" w:header="0"/>
        </w:sectPr>
      </w:pPr>
    </w:p>
    <w:p>
      <w:pPr>
        <w:spacing w:after="0" w:line="200" w:lineRule="exact"/>
        <w:rPr>
          <w:sz w:val="20"/>
          <w:szCs w:val="20"/>
          <w:color w:val="auto"/>
        </w:rPr>
      </w:pPr>
    </w:p>
    <w:p>
      <w:pPr>
        <w:spacing w:after="0" w:line="331" w:lineRule="exact"/>
        <w:rPr>
          <w:sz w:val="20"/>
          <w:szCs w:val="20"/>
          <w:color w:val="auto"/>
        </w:rPr>
      </w:pPr>
    </w:p>
    <w:p>
      <w:pPr>
        <w:ind w:left="20"/>
        <w:spacing w:after="0"/>
        <w:rPr>
          <w:sz w:val="20"/>
          <w:szCs w:val="20"/>
          <w:color w:val="auto"/>
        </w:rPr>
      </w:pPr>
      <w:r>
        <w:rPr>
          <w:rFonts w:ascii="Arial" w:cs="Arial" w:eastAsia="Arial" w:hAnsi="Arial"/>
          <w:sz w:val="14"/>
          <w:szCs w:val="14"/>
          <w:b w:val="1"/>
          <w:bCs w:val="1"/>
          <w:u w:val="single" w:color="auto"/>
          <w:color w:val="auto"/>
        </w:rPr>
        <w:t>Exhibit No.</w:t>
      </w:r>
    </w:p>
    <w:p>
      <w:pPr>
        <w:spacing w:after="0" w:line="5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2.1</w:t>
      </w:r>
    </w:p>
    <w:p>
      <w:pPr>
        <w:spacing w:after="0" w:line="374" w:lineRule="exact"/>
        <w:rPr>
          <w:sz w:val="20"/>
          <w:szCs w:val="20"/>
          <w:color w:val="auto"/>
        </w:rPr>
      </w:pPr>
    </w:p>
    <w:p>
      <w:pPr>
        <w:ind w:left="360"/>
        <w:spacing w:after="0"/>
        <w:rPr>
          <w:sz w:val="20"/>
          <w:szCs w:val="20"/>
          <w:color w:val="auto"/>
        </w:rPr>
      </w:pPr>
      <w:r>
        <w:rPr>
          <w:rFonts w:ascii="Arial" w:cs="Arial" w:eastAsia="Arial" w:hAnsi="Arial"/>
          <w:sz w:val="18"/>
          <w:szCs w:val="18"/>
          <w:color w:val="auto"/>
        </w:rPr>
        <w:t>31.1†</w:t>
      </w:r>
    </w:p>
    <w:p>
      <w:pPr>
        <w:spacing w:after="0" w:line="198" w:lineRule="exact"/>
        <w:rPr>
          <w:sz w:val="20"/>
          <w:szCs w:val="20"/>
          <w:color w:val="auto"/>
        </w:rPr>
      </w:pPr>
    </w:p>
    <w:p>
      <w:pPr>
        <w:ind w:left="360"/>
        <w:spacing w:after="0"/>
        <w:rPr>
          <w:sz w:val="20"/>
          <w:szCs w:val="20"/>
          <w:color w:val="auto"/>
        </w:rPr>
      </w:pPr>
      <w:r>
        <w:rPr>
          <w:rFonts w:ascii="Arial" w:cs="Arial" w:eastAsia="Arial" w:hAnsi="Arial"/>
          <w:sz w:val="18"/>
          <w:szCs w:val="18"/>
          <w:color w:val="auto"/>
        </w:rPr>
        <w:t>31.2†</w:t>
      </w:r>
    </w:p>
    <w:p>
      <w:pPr>
        <w:spacing w:after="0" w:line="198" w:lineRule="exact"/>
        <w:rPr>
          <w:sz w:val="20"/>
          <w:szCs w:val="20"/>
          <w:color w:val="auto"/>
        </w:rPr>
      </w:pPr>
    </w:p>
    <w:p>
      <w:pPr>
        <w:ind w:left="300"/>
        <w:spacing w:after="0"/>
        <w:rPr>
          <w:sz w:val="20"/>
          <w:szCs w:val="20"/>
          <w:color w:val="auto"/>
        </w:rPr>
      </w:pPr>
      <w:r>
        <w:rPr>
          <w:rFonts w:ascii="Arial" w:cs="Arial" w:eastAsia="Arial" w:hAnsi="Arial"/>
          <w:sz w:val="18"/>
          <w:szCs w:val="18"/>
          <w:color w:val="auto"/>
        </w:rPr>
        <w:t>32.1†*</w:t>
      </w:r>
    </w:p>
    <w:p>
      <w:pPr>
        <w:spacing w:after="0" w:line="63" w:lineRule="exact"/>
        <w:rPr>
          <w:sz w:val="20"/>
          <w:szCs w:val="20"/>
          <w:color w:val="auto"/>
        </w:rPr>
      </w:pPr>
    </w:p>
    <w:p>
      <w:pPr>
        <w:ind w:left="300"/>
        <w:spacing w:after="0"/>
        <w:rPr>
          <w:sz w:val="20"/>
          <w:szCs w:val="20"/>
          <w:color w:val="auto"/>
        </w:rPr>
      </w:pPr>
      <w:r>
        <w:rPr>
          <w:rFonts w:ascii="Arial" w:cs="Arial" w:eastAsia="Arial" w:hAnsi="Arial"/>
          <w:sz w:val="18"/>
          <w:szCs w:val="18"/>
          <w:color w:val="auto"/>
        </w:rPr>
        <w:t>32.2†*</w:t>
      </w:r>
    </w:p>
    <w:p>
      <w:pPr>
        <w:spacing w:after="0" w:line="6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101.INS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1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Description</w:t>
      </w:r>
    </w:p>
    <w:p>
      <w:pPr>
        <w:spacing w:after="0" w:line="36" w:lineRule="exact"/>
        <w:rPr>
          <w:sz w:val="20"/>
          <w:szCs w:val="20"/>
          <w:color w:val="auto"/>
        </w:rPr>
      </w:pPr>
    </w:p>
    <w:p>
      <w:pPr>
        <w:jc w:val="both"/>
        <w:spacing w:after="0" w:line="224" w:lineRule="auto"/>
        <w:rPr>
          <w:rFonts w:ascii="Arial" w:cs="Arial" w:eastAsia="Arial" w:hAnsi="Arial"/>
          <w:sz w:val="18"/>
          <w:szCs w:val="18"/>
          <w:color w:val="0000FF"/>
        </w:rPr>
      </w:pPr>
      <w:hyperlink r:id="rId89">
        <w:r>
          <w:rPr>
            <w:rFonts w:ascii="Arial" w:cs="Arial" w:eastAsia="Arial" w:hAnsi="Arial"/>
            <w:sz w:val="18"/>
            <w:szCs w:val="18"/>
            <w:u w:val="single" w:color="auto"/>
            <w:color w:val="0000FF"/>
          </w:rPr>
          <w:t>Agreement and Plan of Merger</w:t>
        </w:r>
      </w:hyperlink>
      <w:r>
        <w:rPr>
          <w:rFonts w:ascii="Arial" w:cs="Arial" w:eastAsia="Arial" w:hAnsi="Arial"/>
          <w:sz w:val="18"/>
          <w:szCs w:val="18"/>
          <w:color w:val="000000"/>
        </w:rPr>
        <w:t>,</w:t>
      </w:r>
      <w:r>
        <w:rPr>
          <w:rFonts w:ascii="Arial" w:cs="Arial" w:eastAsia="Arial" w:hAnsi="Arial"/>
          <w:sz w:val="18"/>
          <w:szCs w:val="18"/>
          <w:color w:val="0000FF"/>
        </w:rPr>
        <w:t xml:space="preserve"> </w:t>
      </w:r>
      <w:r>
        <w:rPr>
          <w:rFonts w:ascii="Arial" w:cs="Arial" w:eastAsia="Arial" w:hAnsi="Arial"/>
          <w:sz w:val="18"/>
          <w:szCs w:val="18"/>
          <w:color w:val="000000"/>
        </w:rPr>
        <w:t>dated as of July 12, 2020, by and among Analog Devices, Inc., Magneto Corp. and Maxim Integrated</w:t>
      </w:r>
      <w:r>
        <w:rPr>
          <w:rFonts w:ascii="Arial" w:cs="Arial" w:eastAsia="Arial" w:hAnsi="Arial"/>
          <w:sz w:val="18"/>
          <w:szCs w:val="18"/>
          <w:color w:val="0000FF"/>
        </w:rPr>
        <w:t xml:space="preserve"> </w:t>
      </w:r>
      <w:r>
        <w:rPr>
          <w:rFonts w:ascii="Arial" w:cs="Arial" w:eastAsia="Arial" w:hAnsi="Arial"/>
          <w:sz w:val="18"/>
          <w:szCs w:val="18"/>
          <w:color w:val="000000"/>
        </w:rPr>
        <w:t>Products, Inc., filed as Exhibit 2.1 to the Company's Current Report on Form 8-K (File No. 1-7819) as filed with the Commission on July 15, 2020 and incorporated herein by reference.</w:t>
      </w:r>
    </w:p>
    <w:p>
      <w:pPr>
        <w:spacing w:after="0" w:line="2" w:lineRule="exact"/>
        <w:rPr>
          <w:sz w:val="20"/>
          <w:szCs w:val="20"/>
          <w:color w:val="auto"/>
        </w:rPr>
      </w:pPr>
    </w:p>
    <w:p>
      <w:pPr>
        <w:ind w:right="260"/>
        <w:spacing w:after="0" w:line="234" w:lineRule="auto"/>
        <w:rPr>
          <w:rFonts w:ascii="Arial" w:cs="Arial" w:eastAsia="Arial" w:hAnsi="Arial"/>
          <w:sz w:val="18"/>
          <w:szCs w:val="18"/>
          <w:u w:val="single" w:color="auto"/>
          <w:color w:val="0000FF"/>
        </w:rPr>
      </w:pPr>
      <w:hyperlink w:anchor="page50">
        <w:r>
          <w:rPr>
            <w:rFonts w:ascii="Arial" w:cs="Arial" w:eastAsia="Arial" w:hAnsi="Arial"/>
            <w:sz w:val="18"/>
            <w:szCs w:val="18"/>
            <w:u w:val="single" w:color="auto"/>
            <w:color w:val="0000FF"/>
          </w:rPr>
          <w:t>Certification Pursuant to Rule 13a-14(a) and 15d-14(a) of the Securities Exchange Act, as Adopted Pursuant to Section 302 of the</w:t>
        </w:r>
      </w:hyperlink>
      <w:r>
        <w:rPr>
          <w:rFonts w:ascii="Arial" w:cs="Arial" w:eastAsia="Arial" w:hAnsi="Arial"/>
          <w:sz w:val="18"/>
          <w:szCs w:val="18"/>
          <w:u w:val="single" w:color="auto"/>
          <w:color w:val="0000FF"/>
        </w:rPr>
        <w:t xml:space="preserve"> </w:t>
      </w:r>
      <w:hyperlink w:anchor="page50">
        <w:r>
          <w:rPr>
            <w:rFonts w:ascii="Arial" w:cs="Arial" w:eastAsia="Arial" w:hAnsi="Arial"/>
            <w:sz w:val="18"/>
            <w:szCs w:val="18"/>
            <w:u w:val="single" w:color="auto"/>
            <w:color w:val="0000FF"/>
          </w:rPr>
          <w:t>Sarbanes-Oxley Act of 2002 (Chief Executive Officer).</w:t>
        </w:r>
      </w:hyperlink>
    </w:p>
    <w:p>
      <w:pPr>
        <w:spacing w:after="0" w:line="1" w:lineRule="exact"/>
        <w:rPr>
          <w:sz w:val="20"/>
          <w:szCs w:val="20"/>
          <w:color w:val="auto"/>
        </w:rPr>
      </w:pPr>
    </w:p>
    <w:p>
      <w:pPr>
        <w:ind w:right="260"/>
        <w:spacing w:after="0" w:line="234" w:lineRule="auto"/>
        <w:rPr>
          <w:rFonts w:ascii="Arial" w:cs="Arial" w:eastAsia="Arial" w:hAnsi="Arial"/>
          <w:sz w:val="18"/>
          <w:szCs w:val="18"/>
          <w:u w:val="single" w:color="auto"/>
          <w:color w:val="0000FF"/>
        </w:rPr>
      </w:pPr>
      <w:hyperlink w:anchor="page51">
        <w:r>
          <w:rPr>
            <w:rFonts w:ascii="Arial" w:cs="Arial" w:eastAsia="Arial" w:hAnsi="Arial"/>
            <w:sz w:val="18"/>
            <w:szCs w:val="18"/>
            <w:u w:val="single" w:color="auto"/>
            <w:color w:val="0000FF"/>
          </w:rPr>
          <w:t>Certification Pursuant to Rule 13a-14(a) and 15d-14(a) of the Securities Exchange Act, as Adopted Pursuant to Section 302 of the</w:t>
        </w:r>
      </w:hyperlink>
      <w:r>
        <w:rPr>
          <w:rFonts w:ascii="Arial" w:cs="Arial" w:eastAsia="Arial" w:hAnsi="Arial"/>
          <w:sz w:val="18"/>
          <w:szCs w:val="18"/>
          <w:u w:val="single" w:color="auto"/>
          <w:color w:val="0000FF"/>
        </w:rPr>
        <w:t xml:space="preserve"> </w:t>
      </w:r>
      <w:hyperlink w:anchor="page51">
        <w:r>
          <w:rPr>
            <w:rFonts w:ascii="Arial" w:cs="Arial" w:eastAsia="Arial" w:hAnsi="Arial"/>
            <w:sz w:val="18"/>
            <w:szCs w:val="18"/>
            <w:u w:val="single" w:color="auto"/>
            <w:color w:val="0000FF"/>
          </w:rPr>
          <w:t>Sarbanes-Oxley Act of 2002 (Chief Financial Officer).</w:t>
        </w:r>
      </w:hyperlink>
    </w:p>
    <w:p>
      <w:pPr>
        <w:spacing w:after="0" w:line="1" w:lineRule="exact"/>
        <w:rPr>
          <w:sz w:val="20"/>
          <w:szCs w:val="20"/>
          <w:color w:val="auto"/>
        </w:rPr>
      </w:pPr>
    </w:p>
    <w:p>
      <w:pPr>
        <w:spacing w:after="0"/>
        <w:rPr>
          <w:rFonts w:ascii="Arial" w:cs="Arial" w:eastAsia="Arial" w:hAnsi="Arial"/>
          <w:sz w:val="18"/>
          <w:szCs w:val="18"/>
          <w:u w:val="single" w:color="auto"/>
          <w:color w:val="0000FF"/>
        </w:rPr>
      </w:pPr>
      <w:hyperlink w:anchor="page52">
        <w:r>
          <w:rPr>
            <w:rFonts w:ascii="Arial" w:cs="Arial" w:eastAsia="Arial" w:hAnsi="Arial"/>
            <w:sz w:val="18"/>
            <w:szCs w:val="18"/>
            <w:u w:val="single" w:color="auto"/>
            <w:color w:val="0000FF"/>
          </w:rPr>
          <w:t>Certification Pursuant to 18 U.S.C. Section 1350 (Chief Executive Officer).</w:t>
        </w:r>
      </w:hyperlink>
    </w:p>
    <w:p>
      <w:pPr>
        <w:spacing w:after="0" w:line="62" w:lineRule="exact"/>
        <w:rPr>
          <w:sz w:val="20"/>
          <w:szCs w:val="20"/>
          <w:color w:val="auto"/>
        </w:rPr>
      </w:pPr>
    </w:p>
    <w:p>
      <w:pPr>
        <w:spacing w:after="0"/>
        <w:rPr>
          <w:rFonts w:ascii="Arial" w:cs="Arial" w:eastAsia="Arial" w:hAnsi="Arial"/>
          <w:sz w:val="18"/>
          <w:szCs w:val="18"/>
          <w:u w:val="single" w:color="auto"/>
          <w:color w:val="0000FF"/>
        </w:rPr>
      </w:pPr>
      <w:hyperlink w:anchor="page53">
        <w:r>
          <w:rPr>
            <w:rFonts w:ascii="Arial" w:cs="Arial" w:eastAsia="Arial" w:hAnsi="Arial"/>
            <w:sz w:val="18"/>
            <w:szCs w:val="18"/>
            <w:u w:val="single" w:color="auto"/>
            <w:color w:val="0000FF"/>
          </w:rPr>
          <w:t>Certification Pursuant to 18 U.S.C. Section 1350 (Chief Financial Officer).</w:t>
        </w:r>
      </w:hyperlink>
    </w:p>
    <w:p>
      <w:pPr>
        <w:spacing w:after="0" w:line="77"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The instance document does not appear in the Interactive Data File because its XBRL tags are embedded within the inline XBRL document.**</w:t>
      </w:r>
    </w:p>
    <w:p>
      <w:pPr>
        <w:spacing w:after="0" w:line="8" w:lineRule="exact"/>
        <w:rPr>
          <w:sz w:val="20"/>
          <w:szCs w:val="20"/>
          <w:color w:val="auto"/>
        </w:rPr>
      </w:pPr>
    </w:p>
    <w:p>
      <w:pPr>
        <w:sectPr>
          <w:pgSz w:w="11900" w:h="16838" w:orient="portrait"/>
          <w:cols w:equalWidth="0" w:num="2">
            <w:col w:w="860" w:space="700"/>
            <w:col w:w="9620"/>
          </w:cols>
          <w:pgMar w:left="320" w:top="1309" w:right="399" w:bottom="1440" w:gutter="0" w:footer="0" w:header="0"/>
          <w:type w:val="continuous"/>
        </w:sectPr>
      </w:pPr>
    </w:p>
    <w:tbl>
      <w:tblPr>
        <w:tblLayout w:type="fixed"/>
        <w:tblInd w:w="220" w:type="dxa"/>
        <w:tblCellMar>
          <w:top w:w="0" w:type="dxa"/>
          <w:left w:w="0" w:type="dxa"/>
          <w:bottom w:w="0" w:type="dxa"/>
          <w:right w:w="0" w:type="dxa"/>
        </w:tblCellMar>
      </w:tblPr>
      <w:tr>
        <w:trPr>
          <w:trHeight w:val="230"/>
        </w:trPr>
        <w:tc>
          <w:tcPr>
            <w:tcW w:w="1000" w:type="dxa"/>
            <w:vAlign w:val="bottom"/>
          </w:tcPr>
          <w:p>
            <w:pPr>
              <w:spacing w:after="0"/>
              <w:rPr>
                <w:sz w:val="20"/>
                <w:szCs w:val="20"/>
                <w:color w:val="auto"/>
              </w:rPr>
            </w:pPr>
            <w:r>
              <w:rPr>
                <w:rFonts w:ascii="Arial" w:cs="Arial" w:eastAsia="Arial" w:hAnsi="Arial"/>
                <w:sz w:val="18"/>
                <w:szCs w:val="18"/>
                <w:color w:val="auto"/>
              </w:rPr>
              <w:t>101.SCH</w:t>
            </w:r>
          </w:p>
        </w:tc>
        <w:tc>
          <w:tcPr>
            <w:tcW w:w="3940" w:type="dxa"/>
            <w:vAlign w:val="bottom"/>
          </w:tcPr>
          <w:p>
            <w:pPr>
              <w:ind w:left="340"/>
              <w:spacing w:after="0"/>
              <w:rPr>
                <w:sz w:val="20"/>
                <w:szCs w:val="20"/>
                <w:color w:val="auto"/>
              </w:rPr>
            </w:pPr>
            <w:r>
              <w:rPr>
                <w:rFonts w:ascii="Arial" w:cs="Arial" w:eastAsia="Arial" w:hAnsi="Arial"/>
                <w:sz w:val="18"/>
                <w:szCs w:val="18"/>
                <w:color w:val="auto"/>
              </w:rPr>
              <w:t>Inline XBRL Schema Document.**</w:t>
            </w:r>
          </w:p>
        </w:tc>
      </w:tr>
      <w:tr>
        <w:trPr>
          <w:trHeight w:val="270"/>
        </w:trPr>
        <w:tc>
          <w:tcPr>
            <w:tcW w:w="1000" w:type="dxa"/>
            <w:vAlign w:val="bottom"/>
          </w:tcPr>
          <w:p>
            <w:pPr>
              <w:spacing w:after="0"/>
              <w:rPr>
                <w:sz w:val="20"/>
                <w:szCs w:val="20"/>
                <w:color w:val="auto"/>
              </w:rPr>
            </w:pPr>
            <w:r>
              <w:rPr>
                <w:rFonts w:ascii="Arial" w:cs="Arial" w:eastAsia="Arial" w:hAnsi="Arial"/>
                <w:sz w:val="18"/>
                <w:szCs w:val="18"/>
                <w:color w:val="auto"/>
              </w:rPr>
              <w:t>101.CAL</w:t>
            </w:r>
          </w:p>
        </w:tc>
        <w:tc>
          <w:tcPr>
            <w:tcW w:w="3940" w:type="dxa"/>
            <w:vAlign w:val="bottom"/>
          </w:tcPr>
          <w:p>
            <w:pPr>
              <w:ind w:left="340"/>
              <w:spacing w:after="0"/>
              <w:rPr>
                <w:sz w:val="20"/>
                <w:szCs w:val="20"/>
                <w:color w:val="auto"/>
              </w:rPr>
            </w:pPr>
            <w:r>
              <w:rPr>
                <w:rFonts w:ascii="Arial" w:cs="Arial" w:eastAsia="Arial" w:hAnsi="Arial"/>
                <w:sz w:val="18"/>
                <w:szCs w:val="18"/>
                <w:color w:val="auto"/>
                <w:w w:val="96"/>
              </w:rPr>
              <w:t>Inline XBRL Calculation Linkbase Document.**</w:t>
            </w:r>
          </w:p>
        </w:tc>
      </w:tr>
      <w:tr>
        <w:trPr>
          <w:trHeight w:val="270"/>
        </w:trPr>
        <w:tc>
          <w:tcPr>
            <w:tcW w:w="1000" w:type="dxa"/>
            <w:vAlign w:val="bottom"/>
          </w:tcPr>
          <w:p>
            <w:pPr>
              <w:spacing w:after="0"/>
              <w:rPr>
                <w:sz w:val="20"/>
                <w:szCs w:val="20"/>
                <w:color w:val="auto"/>
              </w:rPr>
            </w:pPr>
            <w:r>
              <w:rPr>
                <w:rFonts w:ascii="Arial" w:cs="Arial" w:eastAsia="Arial" w:hAnsi="Arial"/>
                <w:sz w:val="18"/>
                <w:szCs w:val="18"/>
                <w:color w:val="auto"/>
              </w:rPr>
              <w:t>101.LAB</w:t>
            </w:r>
          </w:p>
        </w:tc>
        <w:tc>
          <w:tcPr>
            <w:tcW w:w="3940" w:type="dxa"/>
            <w:vAlign w:val="bottom"/>
          </w:tcPr>
          <w:p>
            <w:pPr>
              <w:ind w:left="340"/>
              <w:spacing w:after="0"/>
              <w:rPr>
                <w:sz w:val="20"/>
                <w:szCs w:val="20"/>
                <w:color w:val="auto"/>
              </w:rPr>
            </w:pPr>
            <w:r>
              <w:rPr>
                <w:rFonts w:ascii="Arial" w:cs="Arial" w:eastAsia="Arial" w:hAnsi="Arial"/>
                <w:sz w:val="18"/>
                <w:szCs w:val="18"/>
                <w:color w:val="auto"/>
              </w:rPr>
              <w:t>Inline XBRL Labels Linkbase Document.**</w:t>
            </w:r>
          </w:p>
        </w:tc>
      </w:tr>
      <w:tr>
        <w:trPr>
          <w:trHeight w:val="270"/>
        </w:trPr>
        <w:tc>
          <w:tcPr>
            <w:tcW w:w="1000" w:type="dxa"/>
            <w:vAlign w:val="bottom"/>
          </w:tcPr>
          <w:p>
            <w:pPr>
              <w:ind w:left="20"/>
              <w:spacing w:after="0"/>
              <w:rPr>
                <w:sz w:val="20"/>
                <w:szCs w:val="20"/>
                <w:color w:val="auto"/>
              </w:rPr>
            </w:pPr>
            <w:r>
              <w:rPr>
                <w:rFonts w:ascii="Arial" w:cs="Arial" w:eastAsia="Arial" w:hAnsi="Arial"/>
                <w:sz w:val="18"/>
                <w:szCs w:val="18"/>
                <w:color w:val="auto"/>
              </w:rPr>
              <w:t>101.PRE</w:t>
            </w:r>
          </w:p>
        </w:tc>
        <w:tc>
          <w:tcPr>
            <w:tcW w:w="3940" w:type="dxa"/>
            <w:vAlign w:val="bottom"/>
          </w:tcPr>
          <w:p>
            <w:pPr>
              <w:ind w:left="340"/>
              <w:spacing w:after="0"/>
              <w:rPr>
                <w:sz w:val="20"/>
                <w:szCs w:val="20"/>
                <w:color w:val="auto"/>
              </w:rPr>
            </w:pPr>
            <w:r>
              <w:rPr>
                <w:rFonts w:ascii="Arial" w:cs="Arial" w:eastAsia="Arial" w:hAnsi="Arial"/>
                <w:sz w:val="18"/>
                <w:szCs w:val="18"/>
                <w:color w:val="auto"/>
                <w:w w:val="93"/>
              </w:rPr>
              <w:t>Inline XBRL Presentation Linkbase Document.**</w:t>
            </w:r>
          </w:p>
        </w:tc>
      </w:tr>
      <w:tr>
        <w:trPr>
          <w:trHeight w:val="270"/>
        </w:trPr>
        <w:tc>
          <w:tcPr>
            <w:tcW w:w="1000" w:type="dxa"/>
            <w:vAlign w:val="bottom"/>
          </w:tcPr>
          <w:p>
            <w:pPr>
              <w:spacing w:after="0"/>
              <w:rPr>
                <w:sz w:val="20"/>
                <w:szCs w:val="20"/>
                <w:color w:val="auto"/>
              </w:rPr>
            </w:pPr>
            <w:r>
              <w:rPr>
                <w:rFonts w:ascii="Arial" w:cs="Arial" w:eastAsia="Arial" w:hAnsi="Arial"/>
                <w:sz w:val="18"/>
                <w:szCs w:val="18"/>
                <w:color w:val="auto"/>
              </w:rPr>
              <w:t>101.DEF</w:t>
            </w:r>
          </w:p>
        </w:tc>
        <w:tc>
          <w:tcPr>
            <w:tcW w:w="3940" w:type="dxa"/>
            <w:vAlign w:val="bottom"/>
          </w:tcPr>
          <w:p>
            <w:pPr>
              <w:ind w:left="340"/>
              <w:spacing w:after="0"/>
              <w:rPr>
                <w:sz w:val="20"/>
                <w:szCs w:val="20"/>
                <w:color w:val="auto"/>
              </w:rPr>
            </w:pPr>
            <w:r>
              <w:rPr>
                <w:rFonts w:ascii="Arial" w:cs="Arial" w:eastAsia="Arial" w:hAnsi="Arial"/>
                <w:sz w:val="18"/>
                <w:szCs w:val="18"/>
                <w:color w:val="auto"/>
                <w:w w:val="99"/>
              </w:rPr>
              <w:t>Inline XBRL Definition Linkbase Document.**</w:t>
            </w:r>
          </w:p>
        </w:tc>
      </w:tr>
    </w:tbl>
    <w:p>
      <w:pPr>
        <w:spacing w:after="0" w:line="40" w:lineRule="exact"/>
        <w:rPr>
          <w:sz w:val="20"/>
          <w:szCs w:val="20"/>
          <w:color w:val="auto"/>
        </w:rPr>
      </w:pPr>
    </w:p>
    <w:p>
      <w:pPr>
        <w:ind w:left="1560" w:right="180" w:hanging="1140"/>
        <w:spacing w:after="0" w:line="277" w:lineRule="auto"/>
        <w:tabs>
          <w:tab w:leader="none" w:pos="15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Cover page Interactive Data File (formatted as inline XBRL with applicable taxonomy extension information contained in Exhibits 101).</w:t>
      </w:r>
    </w:p>
    <w:p>
      <w:pPr>
        <w:spacing w:after="0" w:line="8" w:lineRule="exact"/>
        <w:rPr>
          <w:sz w:val="20"/>
          <w:szCs w:val="20"/>
          <w:color w:val="auto"/>
        </w:rPr>
      </w:pPr>
    </w:p>
    <w:p>
      <w:pPr>
        <w:ind w:left="1560" w:hanging="1050"/>
        <w:spacing w:after="0"/>
        <w:tabs>
          <w:tab w:leader="none" w:pos="15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Filed or furnished herewith.</w:t>
      </w:r>
    </w:p>
    <w:p>
      <w:pPr>
        <w:spacing w:after="0" w:line="63" w:lineRule="exact"/>
        <w:rPr>
          <w:sz w:val="20"/>
          <w:szCs w:val="20"/>
          <w:color w:val="auto"/>
        </w:rPr>
      </w:pPr>
    </w:p>
    <w:p>
      <w:pPr>
        <w:ind w:left="1560" w:right="100" w:hanging="1050"/>
        <w:spacing w:after="0" w:line="275" w:lineRule="auto"/>
        <w:tabs>
          <w:tab w:leader="none" w:pos="1560" w:val="left"/>
        </w:tabs>
        <w:numPr>
          <w:ilvl w:val="0"/>
          <w:numId w:val="24"/>
        </w:numPr>
        <w:rPr>
          <w:rFonts w:ascii="Arial" w:cs="Arial" w:eastAsia="Arial" w:hAnsi="Arial"/>
          <w:sz w:val="17"/>
          <w:szCs w:val="17"/>
          <w:color w:val="auto"/>
        </w:rPr>
      </w:pPr>
      <w:r>
        <w:rPr>
          <w:rFonts w:ascii="Arial" w:cs="Arial" w:eastAsia="Arial" w:hAnsi="Arial"/>
          <w:sz w:val="17"/>
          <w:szCs w:val="17"/>
          <w:color w:val="auto"/>
        </w:rPr>
        <w:t>The certification furnished in each of Exhibits 32.1 and 32.2 hereto are deemed to accompany this Quarterly Report on Form 10-Q and will not be deemed "filed" for purposes of Section 18 of the Securities Exchange Act of 1934, as amended, except to the extent that the Registrant specifically incorporates each by reference. Such certification will not be deemed to be incorporated by reference into any filings under the Securities Act of 1933, as amended, or the Securities Exchange Act of 1934, as amended, except to the extent that the Registrant specifically incorporates it by reference.</w:t>
      </w:r>
    </w:p>
    <w:p>
      <w:pPr>
        <w:spacing w:after="0" w:line="14" w:lineRule="exact"/>
        <w:rPr>
          <w:sz w:val="20"/>
          <w:szCs w:val="20"/>
          <w:color w:val="auto"/>
        </w:rPr>
      </w:pPr>
    </w:p>
    <w:p>
      <w:pPr>
        <w:ind w:left="1560" w:hanging="1095"/>
        <w:spacing w:after="0"/>
        <w:tabs>
          <w:tab w:leader="none" w:pos="15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Submitted electronically herewith.</w:t>
      </w:r>
    </w:p>
    <w:p>
      <w:pPr>
        <w:spacing w:after="0" w:line="198"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Attached as Exhibit 101 to this report are the following formatted in iXBRL (Inline Extensible Business Reporting Language): (i) Condensed Consolidated Statements of Income for the three and nine months ended August 1, 2020 and August 3, 2019, (ii) Condensed Consolidated Statements of Comprehensive Income for the three and nine months ended August 1, 2020 and August 3, 2019, (iii) Condensed Consolidated Balance Sheets at August 1, 2020 and November 2, 2019, (iv) Condensed Consolidated Statements of Shareholders' Equity for the three and nine months ended August 1, 2020 and August 3, 2019, (v) Condensed Consolidated Statements of Cash Flows for the nine months ended August 1, 2020 and August 3, 2019 and (vi) Notes to Condensed Consolidated Financial Statements for the three and nine months ended August 1, 2020.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9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1309" w:right="399" w:bottom="1440" w:gutter="0" w:footer="0" w:header="0"/>
          <w:type w:val="continuous"/>
        </w:sectPr>
      </w:pPr>
    </w:p>
    <w:bookmarkStart w:id="48" w:name="page49"/>
    <w:bookmarkEnd w:id="48"/>
    <w:p>
      <w:pPr>
        <w:jc w:val="center"/>
        <w:ind w:right="-359"/>
        <w:spacing w:after="0"/>
        <w:rPr>
          <w:sz w:val="20"/>
          <w:szCs w:val="20"/>
          <w:color w:val="auto"/>
        </w:rPr>
      </w:pPr>
      <w:r>
        <w:rPr>
          <w:rFonts w:ascii="Arial" w:cs="Arial" w:eastAsia="Arial" w:hAnsi="Arial"/>
          <w:sz w:val="18"/>
          <w:szCs w:val="18"/>
          <w:b w:val="1"/>
          <w:bCs w:val="1"/>
          <w:color w:val="auto"/>
        </w:rPr>
        <w:t>SIGNATURES</w:t>
      </w:r>
    </w:p>
    <w:p>
      <w:pPr>
        <w:spacing w:after="0" w:line="175" w:lineRule="exact"/>
        <w:rPr>
          <w:sz w:val="20"/>
          <w:szCs w:val="20"/>
          <w:color w:val="auto"/>
        </w:rPr>
      </w:pPr>
    </w:p>
    <w:p>
      <w:pPr>
        <w:ind w:right="160" w:firstLine="445"/>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97" w:lineRule="exact"/>
        <w:rPr>
          <w:sz w:val="20"/>
          <w:szCs w:val="20"/>
          <w:color w:val="auto"/>
        </w:rPr>
      </w:pPr>
    </w:p>
    <w:tbl>
      <w:tblPr>
        <w:tblLayout w:type="fixed"/>
        <w:tblInd w:w="20" w:type="dxa"/>
        <w:tblCellMar>
          <w:top w:w="0" w:type="dxa"/>
          <w:left w:w="0" w:type="dxa"/>
          <w:bottom w:w="0" w:type="dxa"/>
          <w:right w:w="0" w:type="dxa"/>
        </w:tblCellMar>
      </w:tblPr>
      <w:tr>
        <w:trPr>
          <w:trHeight w:val="230"/>
        </w:trPr>
        <w:tc>
          <w:tcPr>
            <w:tcW w:w="3160" w:type="dxa"/>
            <w:vAlign w:val="bottom"/>
          </w:tcPr>
          <w:p>
            <w:pPr>
              <w:spacing w:after="0"/>
              <w:rPr>
                <w:sz w:val="20"/>
                <w:szCs w:val="20"/>
                <w:color w:val="auto"/>
              </w:rPr>
            </w:pPr>
          </w:p>
        </w:tc>
        <w:tc>
          <w:tcPr>
            <w:tcW w:w="7700" w:type="dxa"/>
            <w:vAlign w:val="bottom"/>
            <w:gridSpan w:val="2"/>
          </w:tcPr>
          <w:p>
            <w:pPr>
              <w:ind w:left="1540"/>
              <w:spacing w:after="0"/>
              <w:rPr>
                <w:sz w:val="20"/>
                <w:szCs w:val="20"/>
                <w:color w:val="auto"/>
              </w:rPr>
            </w:pPr>
            <w:r>
              <w:rPr>
                <w:rFonts w:ascii="Arial" w:cs="Arial" w:eastAsia="Arial" w:hAnsi="Arial"/>
                <w:sz w:val="18"/>
                <w:szCs w:val="18"/>
                <w:color w:val="auto"/>
              </w:rPr>
              <w:t>ANALOG DEVICES, INC.</w:t>
            </w:r>
          </w:p>
        </w:tc>
      </w:tr>
      <w:tr>
        <w:trPr>
          <w:trHeight w:val="540"/>
        </w:trPr>
        <w:tc>
          <w:tcPr>
            <w:tcW w:w="3160" w:type="dxa"/>
            <w:vAlign w:val="bottom"/>
          </w:tcPr>
          <w:p>
            <w:pPr>
              <w:spacing w:after="0"/>
              <w:rPr>
                <w:sz w:val="20"/>
                <w:szCs w:val="20"/>
                <w:color w:val="auto"/>
              </w:rPr>
            </w:pPr>
            <w:r>
              <w:rPr>
                <w:rFonts w:ascii="Arial" w:cs="Arial" w:eastAsia="Arial" w:hAnsi="Arial"/>
                <w:sz w:val="18"/>
                <w:szCs w:val="18"/>
                <w:color w:val="auto"/>
              </w:rPr>
              <w:t>Date: August 19, 2020</w:t>
            </w:r>
          </w:p>
        </w:tc>
        <w:tc>
          <w:tcPr>
            <w:tcW w:w="2060" w:type="dxa"/>
            <w:vAlign w:val="bottom"/>
          </w:tcPr>
          <w:p>
            <w:pPr>
              <w:ind w:left="1540"/>
              <w:spacing w:after="0"/>
              <w:rPr>
                <w:sz w:val="20"/>
                <w:szCs w:val="20"/>
                <w:color w:val="auto"/>
              </w:rPr>
            </w:pPr>
            <w:r>
              <w:rPr>
                <w:rFonts w:ascii="Arial" w:cs="Arial" w:eastAsia="Arial" w:hAnsi="Arial"/>
                <w:sz w:val="18"/>
                <w:szCs w:val="18"/>
                <w:color w:val="auto"/>
              </w:rPr>
              <w:t>By:</w:t>
            </w:r>
          </w:p>
        </w:tc>
        <w:tc>
          <w:tcPr>
            <w:tcW w:w="5640" w:type="dxa"/>
            <w:vAlign w:val="bottom"/>
          </w:tcPr>
          <w:p>
            <w:pPr>
              <w:ind w:left="140"/>
              <w:spacing w:after="0"/>
              <w:rPr>
                <w:sz w:val="20"/>
                <w:szCs w:val="20"/>
                <w:color w:val="auto"/>
              </w:rPr>
            </w:pPr>
            <w:r>
              <w:rPr>
                <w:rFonts w:ascii="Arial" w:cs="Arial" w:eastAsia="Arial" w:hAnsi="Arial"/>
                <w:sz w:val="18"/>
                <w:szCs w:val="18"/>
                <w:color w:val="auto"/>
              </w:rPr>
              <w:t>/s/ Vincent Roche</w:t>
            </w:r>
          </w:p>
        </w:tc>
      </w:tr>
      <w:tr>
        <w:trPr>
          <w:trHeight w:val="27"/>
        </w:trPr>
        <w:tc>
          <w:tcPr>
            <w:tcW w:w="3160" w:type="dxa"/>
            <w:vAlign w:val="bottom"/>
          </w:tcPr>
          <w:p>
            <w:pPr>
              <w:spacing w:after="0"/>
              <w:rPr>
                <w:sz w:val="2"/>
                <w:szCs w:val="2"/>
                <w:color w:val="auto"/>
              </w:rPr>
            </w:pPr>
          </w:p>
        </w:tc>
        <w:tc>
          <w:tcPr>
            <w:tcW w:w="2060" w:type="dxa"/>
            <w:vAlign w:val="bottom"/>
          </w:tcPr>
          <w:p>
            <w:pPr>
              <w:spacing w:after="0"/>
              <w:rPr>
                <w:sz w:val="2"/>
                <w:szCs w:val="2"/>
                <w:color w:val="auto"/>
              </w:rPr>
            </w:pPr>
          </w:p>
        </w:tc>
        <w:tc>
          <w:tcPr>
            <w:tcW w:w="5640" w:type="dxa"/>
            <w:vAlign w:val="bottom"/>
            <w:tcBorders>
              <w:bottom w:val="single" w:sz="8" w:color="auto"/>
            </w:tcBorders>
          </w:tcPr>
          <w:p>
            <w:pPr>
              <w:spacing w:after="0"/>
              <w:rPr>
                <w:sz w:val="2"/>
                <w:szCs w:val="2"/>
                <w:color w:val="auto"/>
              </w:rPr>
            </w:pPr>
          </w:p>
        </w:tc>
      </w:tr>
      <w:tr>
        <w:trPr>
          <w:trHeight w:val="237"/>
        </w:trPr>
        <w:tc>
          <w:tcPr>
            <w:tcW w:w="3160" w:type="dxa"/>
            <w:vAlign w:val="bottom"/>
          </w:tcPr>
          <w:p>
            <w:pPr>
              <w:spacing w:after="0"/>
              <w:rPr>
                <w:sz w:val="20"/>
                <w:szCs w:val="20"/>
                <w:color w:val="auto"/>
              </w:rPr>
            </w:pPr>
          </w:p>
        </w:tc>
        <w:tc>
          <w:tcPr>
            <w:tcW w:w="2060" w:type="dxa"/>
            <w:vAlign w:val="bottom"/>
          </w:tcPr>
          <w:p>
            <w:pPr>
              <w:spacing w:after="0"/>
              <w:rPr>
                <w:sz w:val="20"/>
                <w:szCs w:val="20"/>
                <w:color w:val="auto"/>
              </w:rPr>
            </w:pPr>
          </w:p>
        </w:tc>
        <w:tc>
          <w:tcPr>
            <w:tcW w:w="5640" w:type="dxa"/>
            <w:vAlign w:val="bottom"/>
          </w:tcPr>
          <w:p>
            <w:pPr>
              <w:ind w:left="140"/>
              <w:spacing w:after="0"/>
              <w:rPr>
                <w:sz w:val="20"/>
                <w:szCs w:val="20"/>
                <w:color w:val="auto"/>
              </w:rPr>
            </w:pPr>
            <w:r>
              <w:rPr>
                <w:rFonts w:ascii="Arial" w:cs="Arial" w:eastAsia="Arial" w:hAnsi="Arial"/>
                <w:sz w:val="18"/>
                <w:szCs w:val="18"/>
                <w:color w:val="auto"/>
              </w:rPr>
              <w:t>Vincent Roche</w:t>
            </w:r>
          </w:p>
        </w:tc>
      </w:tr>
      <w:tr>
        <w:trPr>
          <w:trHeight w:val="270"/>
        </w:trPr>
        <w:tc>
          <w:tcPr>
            <w:tcW w:w="3160" w:type="dxa"/>
            <w:vAlign w:val="bottom"/>
          </w:tcPr>
          <w:p>
            <w:pPr>
              <w:spacing w:after="0"/>
              <w:rPr>
                <w:sz w:val="23"/>
                <w:szCs w:val="23"/>
                <w:color w:val="auto"/>
              </w:rPr>
            </w:pPr>
          </w:p>
        </w:tc>
        <w:tc>
          <w:tcPr>
            <w:tcW w:w="2060" w:type="dxa"/>
            <w:vAlign w:val="bottom"/>
          </w:tcPr>
          <w:p>
            <w:pPr>
              <w:spacing w:after="0"/>
              <w:rPr>
                <w:sz w:val="23"/>
                <w:szCs w:val="23"/>
                <w:color w:val="auto"/>
              </w:rPr>
            </w:pPr>
          </w:p>
        </w:tc>
        <w:tc>
          <w:tcPr>
            <w:tcW w:w="5640" w:type="dxa"/>
            <w:vAlign w:val="bottom"/>
          </w:tcPr>
          <w:p>
            <w:pPr>
              <w:ind w:left="140"/>
              <w:spacing w:after="0"/>
              <w:rPr>
                <w:sz w:val="20"/>
                <w:szCs w:val="20"/>
                <w:color w:val="auto"/>
              </w:rPr>
            </w:pPr>
            <w:r>
              <w:rPr>
                <w:rFonts w:ascii="Arial" w:cs="Arial" w:eastAsia="Arial" w:hAnsi="Arial"/>
                <w:sz w:val="18"/>
                <w:szCs w:val="18"/>
                <w:color w:val="auto"/>
              </w:rPr>
              <w:t>President and Chief Executive Officer</w:t>
            </w:r>
          </w:p>
        </w:tc>
      </w:tr>
      <w:tr>
        <w:trPr>
          <w:trHeight w:val="270"/>
        </w:trPr>
        <w:tc>
          <w:tcPr>
            <w:tcW w:w="3160" w:type="dxa"/>
            <w:vAlign w:val="bottom"/>
          </w:tcPr>
          <w:p>
            <w:pPr>
              <w:spacing w:after="0"/>
              <w:rPr>
                <w:sz w:val="23"/>
                <w:szCs w:val="23"/>
                <w:color w:val="auto"/>
              </w:rPr>
            </w:pPr>
          </w:p>
        </w:tc>
        <w:tc>
          <w:tcPr>
            <w:tcW w:w="2060" w:type="dxa"/>
            <w:vAlign w:val="bottom"/>
          </w:tcPr>
          <w:p>
            <w:pPr>
              <w:spacing w:after="0"/>
              <w:rPr>
                <w:sz w:val="23"/>
                <w:szCs w:val="23"/>
                <w:color w:val="auto"/>
              </w:rPr>
            </w:pPr>
          </w:p>
        </w:tc>
        <w:tc>
          <w:tcPr>
            <w:tcW w:w="5640" w:type="dxa"/>
            <w:vAlign w:val="bottom"/>
          </w:tcPr>
          <w:p>
            <w:pPr>
              <w:ind w:left="140"/>
              <w:spacing w:after="0"/>
              <w:rPr>
                <w:sz w:val="20"/>
                <w:szCs w:val="20"/>
                <w:color w:val="auto"/>
              </w:rPr>
            </w:pPr>
            <w:r>
              <w:rPr>
                <w:rFonts w:ascii="Arial" w:cs="Arial" w:eastAsia="Arial" w:hAnsi="Arial"/>
                <w:sz w:val="18"/>
                <w:szCs w:val="18"/>
                <w:color w:val="auto"/>
              </w:rPr>
              <w:t>(Principal Executive Officer)</w:t>
            </w:r>
          </w:p>
        </w:tc>
      </w:tr>
      <w:tr>
        <w:trPr>
          <w:trHeight w:val="540"/>
        </w:trPr>
        <w:tc>
          <w:tcPr>
            <w:tcW w:w="3160" w:type="dxa"/>
            <w:vAlign w:val="bottom"/>
          </w:tcPr>
          <w:p>
            <w:pPr>
              <w:spacing w:after="0"/>
              <w:rPr>
                <w:sz w:val="20"/>
                <w:szCs w:val="20"/>
                <w:color w:val="auto"/>
              </w:rPr>
            </w:pPr>
            <w:r>
              <w:rPr>
                <w:rFonts w:ascii="Arial" w:cs="Arial" w:eastAsia="Arial" w:hAnsi="Arial"/>
                <w:sz w:val="18"/>
                <w:szCs w:val="18"/>
                <w:color w:val="auto"/>
              </w:rPr>
              <w:t>Date: August 19, 2020</w:t>
            </w:r>
          </w:p>
        </w:tc>
        <w:tc>
          <w:tcPr>
            <w:tcW w:w="2060" w:type="dxa"/>
            <w:vAlign w:val="bottom"/>
          </w:tcPr>
          <w:p>
            <w:pPr>
              <w:ind w:left="1540"/>
              <w:spacing w:after="0"/>
              <w:rPr>
                <w:sz w:val="20"/>
                <w:szCs w:val="20"/>
                <w:color w:val="auto"/>
              </w:rPr>
            </w:pPr>
            <w:r>
              <w:rPr>
                <w:rFonts w:ascii="Arial" w:cs="Arial" w:eastAsia="Arial" w:hAnsi="Arial"/>
                <w:sz w:val="18"/>
                <w:szCs w:val="18"/>
                <w:color w:val="auto"/>
              </w:rPr>
              <w:t>By:</w:t>
            </w:r>
          </w:p>
        </w:tc>
        <w:tc>
          <w:tcPr>
            <w:tcW w:w="5640" w:type="dxa"/>
            <w:vAlign w:val="bottom"/>
          </w:tcPr>
          <w:p>
            <w:pPr>
              <w:ind w:left="140"/>
              <w:spacing w:after="0"/>
              <w:rPr>
                <w:sz w:val="20"/>
                <w:szCs w:val="20"/>
                <w:color w:val="auto"/>
              </w:rPr>
            </w:pPr>
            <w:r>
              <w:rPr>
                <w:rFonts w:ascii="Arial" w:cs="Arial" w:eastAsia="Arial" w:hAnsi="Arial"/>
                <w:sz w:val="18"/>
                <w:szCs w:val="18"/>
                <w:color w:val="auto"/>
              </w:rPr>
              <w:t>/s/ Prashanth Mahendra-Rajah</w:t>
            </w:r>
          </w:p>
        </w:tc>
      </w:tr>
      <w:tr>
        <w:trPr>
          <w:trHeight w:val="27"/>
        </w:trPr>
        <w:tc>
          <w:tcPr>
            <w:tcW w:w="3160" w:type="dxa"/>
            <w:vAlign w:val="bottom"/>
          </w:tcPr>
          <w:p>
            <w:pPr>
              <w:spacing w:after="0"/>
              <w:rPr>
                <w:sz w:val="2"/>
                <w:szCs w:val="2"/>
                <w:color w:val="auto"/>
              </w:rPr>
            </w:pPr>
          </w:p>
        </w:tc>
        <w:tc>
          <w:tcPr>
            <w:tcW w:w="2060" w:type="dxa"/>
            <w:vAlign w:val="bottom"/>
          </w:tcPr>
          <w:p>
            <w:pPr>
              <w:spacing w:after="0"/>
              <w:rPr>
                <w:sz w:val="2"/>
                <w:szCs w:val="2"/>
                <w:color w:val="auto"/>
              </w:rPr>
            </w:pPr>
          </w:p>
        </w:tc>
        <w:tc>
          <w:tcPr>
            <w:tcW w:w="5640" w:type="dxa"/>
            <w:vAlign w:val="bottom"/>
            <w:tcBorders>
              <w:bottom w:val="single" w:sz="8" w:color="auto"/>
            </w:tcBorders>
          </w:tcPr>
          <w:p>
            <w:pPr>
              <w:spacing w:after="0"/>
              <w:rPr>
                <w:sz w:val="2"/>
                <w:szCs w:val="2"/>
                <w:color w:val="auto"/>
              </w:rPr>
            </w:pPr>
          </w:p>
        </w:tc>
      </w:tr>
      <w:tr>
        <w:trPr>
          <w:trHeight w:val="237"/>
        </w:trPr>
        <w:tc>
          <w:tcPr>
            <w:tcW w:w="3160" w:type="dxa"/>
            <w:vAlign w:val="bottom"/>
          </w:tcPr>
          <w:p>
            <w:pPr>
              <w:spacing w:after="0"/>
              <w:rPr>
                <w:sz w:val="20"/>
                <w:szCs w:val="20"/>
                <w:color w:val="auto"/>
              </w:rPr>
            </w:pPr>
          </w:p>
        </w:tc>
        <w:tc>
          <w:tcPr>
            <w:tcW w:w="2060" w:type="dxa"/>
            <w:vAlign w:val="bottom"/>
          </w:tcPr>
          <w:p>
            <w:pPr>
              <w:spacing w:after="0"/>
              <w:rPr>
                <w:sz w:val="20"/>
                <w:szCs w:val="20"/>
                <w:color w:val="auto"/>
              </w:rPr>
            </w:pPr>
          </w:p>
        </w:tc>
        <w:tc>
          <w:tcPr>
            <w:tcW w:w="5640" w:type="dxa"/>
            <w:vAlign w:val="bottom"/>
          </w:tcPr>
          <w:p>
            <w:pPr>
              <w:ind w:left="140"/>
              <w:spacing w:after="0"/>
              <w:rPr>
                <w:sz w:val="20"/>
                <w:szCs w:val="20"/>
                <w:color w:val="auto"/>
              </w:rPr>
            </w:pPr>
            <w:r>
              <w:rPr>
                <w:rFonts w:ascii="Arial" w:cs="Arial" w:eastAsia="Arial" w:hAnsi="Arial"/>
                <w:sz w:val="18"/>
                <w:szCs w:val="18"/>
                <w:color w:val="auto"/>
              </w:rPr>
              <w:t>Prashanth Mahendra-Rajah</w:t>
            </w:r>
          </w:p>
        </w:tc>
      </w:tr>
      <w:tr>
        <w:trPr>
          <w:trHeight w:val="270"/>
        </w:trPr>
        <w:tc>
          <w:tcPr>
            <w:tcW w:w="3160" w:type="dxa"/>
            <w:vAlign w:val="bottom"/>
          </w:tcPr>
          <w:p>
            <w:pPr>
              <w:spacing w:after="0"/>
              <w:rPr>
                <w:sz w:val="23"/>
                <w:szCs w:val="23"/>
                <w:color w:val="auto"/>
              </w:rPr>
            </w:pPr>
          </w:p>
        </w:tc>
        <w:tc>
          <w:tcPr>
            <w:tcW w:w="2060" w:type="dxa"/>
            <w:vAlign w:val="bottom"/>
          </w:tcPr>
          <w:p>
            <w:pPr>
              <w:spacing w:after="0"/>
              <w:rPr>
                <w:sz w:val="23"/>
                <w:szCs w:val="23"/>
                <w:color w:val="auto"/>
              </w:rPr>
            </w:pPr>
          </w:p>
        </w:tc>
        <w:tc>
          <w:tcPr>
            <w:tcW w:w="5640" w:type="dxa"/>
            <w:vAlign w:val="bottom"/>
          </w:tcPr>
          <w:p>
            <w:pPr>
              <w:ind w:left="140"/>
              <w:spacing w:after="0"/>
              <w:rPr>
                <w:sz w:val="20"/>
                <w:szCs w:val="20"/>
                <w:color w:val="auto"/>
              </w:rPr>
            </w:pPr>
            <w:r>
              <w:rPr>
                <w:rFonts w:ascii="Arial" w:cs="Arial" w:eastAsia="Arial" w:hAnsi="Arial"/>
                <w:sz w:val="18"/>
                <w:szCs w:val="18"/>
                <w:color w:val="auto"/>
              </w:rPr>
              <w:t>Senior Vice President, Finance and Chief Financial Officer</w:t>
            </w:r>
          </w:p>
        </w:tc>
      </w:tr>
      <w:tr>
        <w:trPr>
          <w:trHeight w:val="270"/>
        </w:trPr>
        <w:tc>
          <w:tcPr>
            <w:tcW w:w="3160" w:type="dxa"/>
            <w:vAlign w:val="bottom"/>
          </w:tcPr>
          <w:p>
            <w:pPr>
              <w:spacing w:after="0"/>
              <w:rPr>
                <w:sz w:val="23"/>
                <w:szCs w:val="23"/>
                <w:color w:val="auto"/>
              </w:rPr>
            </w:pPr>
          </w:p>
        </w:tc>
        <w:tc>
          <w:tcPr>
            <w:tcW w:w="2060" w:type="dxa"/>
            <w:vAlign w:val="bottom"/>
          </w:tcPr>
          <w:p>
            <w:pPr>
              <w:spacing w:after="0"/>
              <w:rPr>
                <w:sz w:val="23"/>
                <w:szCs w:val="23"/>
                <w:color w:val="auto"/>
              </w:rPr>
            </w:pPr>
          </w:p>
        </w:tc>
        <w:tc>
          <w:tcPr>
            <w:tcW w:w="5640" w:type="dxa"/>
            <w:vAlign w:val="bottom"/>
          </w:tcPr>
          <w:p>
            <w:pPr>
              <w:ind w:left="140"/>
              <w:spacing w:after="0"/>
              <w:rPr>
                <w:sz w:val="20"/>
                <w:szCs w:val="20"/>
                <w:color w:val="auto"/>
              </w:rPr>
            </w:pPr>
            <w:r>
              <w:rPr>
                <w:rFonts w:ascii="Arial" w:cs="Arial" w:eastAsia="Arial" w:hAnsi="Arial"/>
                <w:sz w:val="18"/>
                <w:szCs w:val="18"/>
                <w:color w:val="auto"/>
              </w:rPr>
              <w:t>(Principal Financial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0880"/>
          </w:cols>
          <w:pgMar w:left="320" w:top="1012" w:right="699" w:bottom="1440" w:gutter="0" w:footer="0" w:header="0"/>
        </w:sectPr>
      </w:pPr>
    </w:p>
    <w:bookmarkStart w:id="49" w:name="page50"/>
    <w:bookmarkEnd w:id="49"/>
    <w:p>
      <w:pPr>
        <w:jc w:val="right"/>
        <w:spacing w:after="0"/>
        <w:rPr>
          <w:sz w:val="20"/>
          <w:szCs w:val="20"/>
          <w:color w:val="auto"/>
        </w:rPr>
      </w:pPr>
      <w:r>
        <w:rPr>
          <w:rFonts w:ascii="Arial" w:cs="Arial" w:eastAsia="Arial" w:hAnsi="Arial"/>
          <w:sz w:val="18"/>
          <w:szCs w:val="18"/>
          <w:color w:val="auto"/>
        </w:rPr>
        <w:t>Exhibit 31.1</w:t>
      </w: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color w:val="auto"/>
        </w:rPr>
        <w:t>I, Vincent Roche, certify that:</w:t>
      </w:r>
    </w:p>
    <w:p>
      <w:pPr>
        <w:spacing w:after="0" w:line="63" w:lineRule="exact"/>
        <w:rPr>
          <w:sz w:val="20"/>
          <w:szCs w:val="20"/>
          <w:color w:val="auto"/>
        </w:rPr>
      </w:pPr>
    </w:p>
    <w:p>
      <w:pPr>
        <w:ind w:left="660" w:hanging="328"/>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Analog Devices, Inc.;</w:t>
      </w:r>
    </w:p>
    <w:p>
      <w:pPr>
        <w:spacing w:after="0" w:line="63" w:lineRule="exact"/>
        <w:rPr>
          <w:rFonts w:ascii="Arial" w:cs="Arial" w:eastAsia="Arial" w:hAnsi="Arial"/>
          <w:sz w:val="18"/>
          <w:szCs w:val="18"/>
          <w:color w:val="auto"/>
        </w:rPr>
      </w:pPr>
    </w:p>
    <w:p>
      <w:pPr>
        <w:jc w:val="both"/>
        <w:ind w:left="660" w:right="120" w:hanging="328"/>
        <w:spacing w:after="0" w:line="263" w:lineRule="auto"/>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1" w:lineRule="exact"/>
        <w:rPr>
          <w:rFonts w:ascii="Arial" w:cs="Arial" w:eastAsia="Arial" w:hAnsi="Arial"/>
          <w:sz w:val="18"/>
          <w:szCs w:val="18"/>
          <w:color w:val="auto"/>
        </w:rPr>
      </w:pPr>
    </w:p>
    <w:p>
      <w:pPr>
        <w:ind w:left="660" w:right="80" w:hanging="328"/>
        <w:spacing w:after="0" w:line="298" w:lineRule="auto"/>
        <w:tabs>
          <w:tab w:leader="none" w:pos="660" w:val="left"/>
        </w:tabs>
        <w:numPr>
          <w:ilvl w:val="0"/>
          <w:numId w:val="26"/>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ind w:left="660" w:right="120" w:hanging="328"/>
        <w:spacing w:after="0" w:line="263" w:lineRule="auto"/>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1" w:lineRule="exact"/>
        <w:rPr>
          <w:rFonts w:ascii="Arial" w:cs="Arial" w:eastAsia="Arial" w:hAnsi="Arial"/>
          <w:sz w:val="18"/>
          <w:szCs w:val="18"/>
          <w:color w:val="auto"/>
        </w:rPr>
      </w:pPr>
    </w:p>
    <w:p>
      <w:pPr>
        <w:ind w:left="1300" w:right="120" w:hanging="320"/>
        <w:spacing w:after="0" w:line="263" w:lineRule="auto"/>
        <w:tabs>
          <w:tab w:leader="none" w:pos="1291" w:val="left"/>
        </w:tabs>
        <w:numPr>
          <w:ilvl w:val="1"/>
          <w:numId w:val="2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1" w:lineRule="exact"/>
        <w:rPr>
          <w:rFonts w:ascii="Arial" w:cs="Arial" w:eastAsia="Arial" w:hAnsi="Arial"/>
          <w:sz w:val="18"/>
          <w:szCs w:val="18"/>
          <w:color w:val="auto"/>
        </w:rPr>
      </w:pPr>
    </w:p>
    <w:p>
      <w:pPr>
        <w:ind w:left="1300" w:right="40" w:hanging="320"/>
        <w:spacing w:after="0" w:line="263" w:lineRule="auto"/>
        <w:tabs>
          <w:tab w:leader="none" w:pos="1288" w:val="left"/>
        </w:tabs>
        <w:numPr>
          <w:ilvl w:val="1"/>
          <w:numId w:val="26"/>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1" w:lineRule="exact"/>
        <w:rPr>
          <w:rFonts w:ascii="Arial" w:cs="Arial" w:eastAsia="Arial" w:hAnsi="Arial"/>
          <w:sz w:val="18"/>
          <w:szCs w:val="18"/>
          <w:color w:val="auto"/>
        </w:rPr>
      </w:pPr>
    </w:p>
    <w:p>
      <w:pPr>
        <w:jc w:val="both"/>
        <w:ind w:left="1300" w:right="220" w:hanging="320"/>
        <w:spacing w:after="0" w:line="316" w:lineRule="auto"/>
        <w:tabs>
          <w:tab w:leader="none" w:pos="1291" w:val="left"/>
        </w:tabs>
        <w:numPr>
          <w:ilvl w:val="1"/>
          <w:numId w:val="26"/>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 w:lineRule="exact"/>
        <w:rPr>
          <w:rFonts w:ascii="Arial" w:cs="Arial" w:eastAsia="Arial" w:hAnsi="Arial"/>
          <w:sz w:val="16"/>
          <w:szCs w:val="16"/>
          <w:color w:val="auto"/>
        </w:rPr>
      </w:pPr>
    </w:p>
    <w:p>
      <w:pPr>
        <w:ind w:left="1300" w:right="220" w:hanging="320"/>
        <w:spacing w:after="0" w:line="263" w:lineRule="auto"/>
        <w:tabs>
          <w:tab w:leader="none" w:pos="1288" w:val="left"/>
        </w:tabs>
        <w:numPr>
          <w:ilvl w:val="1"/>
          <w:numId w:val="26"/>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1" w:lineRule="exact"/>
        <w:rPr>
          <w:rFonts w:ascii="Arial" w:cs="Arial" w:eastAsia="Arial" w:hAnsi="Arial"/>
          <w:sz w:val="18"/>
          <w:szCs w:val="18"/>
          <w:color w:val="auto"/>
        </w:rPr>
      </w:pPr>
    </w:p>
    <w:p>
      <w:pPr>
        <w:ind w:left="660" w:hanging="328"/>
        <w:spacing w:after="0" w:line="298" w:lineRule="auto"/>
        <w:tabs>
          <w:tab w:leader="none" w:pos="660" w:val="left"/>
        </w:tabs>
        <w:numPr>
          <w:ilvl w:val="0"/>
          <w:numId w:val="26"/>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ind w:left="1300" w:right="460" w:hanging="320"/>
        <w:spacing w:after="0" w:line="316" w:lineRule="auto"/>
        <w:tabs>
          <w:tab w:leader="none" w:pos="1291" w:val="left"/>
        </w:tabs>
        <w:numPr>
          <w:ilvl w:val="1"/>
          <w:numId w:val="26"/>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 w:lineRule="exact"/>
        <w:rPr>
          <w:rFonts w:ascii="Arial" w:cs="Arial" w:eastAsia="Arial" w:hAnsi="Arial"/>
          <w:sz w:val="16"/>
          <w:szCs w:val="16"/>
          <w:color w:val="auto"/>
        </w:rPr>
      </w:pPr>
    </w:p>
    <w:p>
      <w:pPr>
        <w:ind w:left="1300" w:right="160" w:hanging="320"/>
        <w:spacing w:after="0" w:line="277" w:lineRule="auto"/>
        <w:tabs>
          <w:tab w:leader="none" w:pos="1288" w:val="left"/>
        </w:tabs>
        <w:numPr>
          <w:ilvl w:val="1"/>
          <w:numId w:val="2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ind w:left="40"/>
        <w:spacing w:after="0"/>
        <w:tabs>
          <w:tab w:leader="none" w:pos="6120" w:val="left"/>
        </w:tabs>
        <w:rPr>
          <w:sz w:val="20"/>
          <w:szCs w:val="20"/>
          <w:color w:val="auto"/>
        </w:rPr>
      </w:pPr>
      <w:r>
        <w:rPr>
          <w:rFonts w:ascii="Arial" w:cs="Arial" w:eastAsia="Arial" w:hAnsi="Arial"/>
          <w:sz w:val="18"/>
          <w:szCs w:val="18"/>
          <w:color w:val="auto"/>
        </w:rPr>
        <w:t>Date: August 19, 2020</w:t>
      </w:r>
      <w:r>
        <w:rPr>
          <w:sz w:val="20"/>
          <w:szCs w:val="20"/>
          <w:color w:val="auto"/>
        </w:rPr>
        <w:tab/>
      </w:r>
      <w:r>
        <w:rPr>
          <w:rFonts w:ascii="Arial" w:cs="Arial" w:eastAsia="Arial" w:hAnsi="Arial"/>
          <w:sz w:val="16"/>
          <w:szCs w:val="16"/>
          <w:color w:val="auto"/>
        </w:rPr>
        <w:t>/s/ Vincent Roche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3888105</wp:posOffset>
            </wp:positionH>
            <wp:positionV relativeFrom="paragraph">
              <wp:posOffset>31750</wp:posOffset>
            </wp:positionV>
            <wp:extent cx="3240405"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1">
                      <a:extLst>
                        <a:ext uri="{28A0092B-C50C-407E-A947-70E740481C1C}"/>
                      </a:extLst>
                    </a:blip>
                    <a:srcRect/>
                    <a:stretch>
                      <a:fillRect/>
                    </a:stretch>
                  </pic:blipFill>
                  <pic:spPr bwMode="auto">
                    <a:xfrm>
                      <a:off x="0" y="0"/>
                      <a:ext cx="3240405" cy="8255"/>
                    </a:xfrm>
                    <a:prstGeom prst="rect">
                      <a:avLst/>
                    </a:prstGeom>
                    <a:noFill/>
                  </pic:spPr>
                </pic:pic>
              </a:graphicData>
            </a:graphic>
          </wp:anchor>
        </w:drawing>
      </w:r>
    </w:p>
    <w:p>
      <w:pPr>
        <w:spacing w:after="0" w:line="43"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Vincent Roche</w:t>
      </w:r>
    </w:p>
    <w:p>
      <w:pPr>
        <w:spacing w:after="0" w:line="63"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President and Chief Executive Officer</w:t>
      </w:r>
    </w:p>
    <w:p>
      <w:pPr>
        <w:spacing w:after="0" w:line="63"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(Principal Executive Officer)</w:t>
      </w:r>
    </w:p>
    <w:p>
      <w:pPr>
        <w:sectPr>
          <w:pgSz w:w="11900" w:h="16838" w:orient="portrait"/>
          <w:cols w:equalWidth="0" w:num="1">
            <w:col w:w="11240"/>
          </w:cols>
          <w:pgMar w:left="320" w:top="922" w:right="339" w:bottom="1440" w:gutter="0" w:footer="0" w:header="0"/>
        </w:sectPr>
      </w:pPr>
    </w:p>
    <w:bookmarkStart w:id="50" w:name="page51"/>
    <w:bookmarkEnd w:id="50"/>
    <w:p>
      <w:pPr>
        <w:jc w:val="right"/>
        <w:spacing w:after="0"/>
        <w:rPr>
          <w:sz w:val="20"/>
          <w:szCs w:val="20"/>
          <w:color w:val="auto"/>
        </w:rPr>
      </w:pPr>
      <w:r>
        <w:rPr>
          <w:rFonts w:ascii="Arial" w:cs="Arial" w:eastAsia="Arial" w:hAnsi="Arial"/>
          <w:sz w:val="18"/>
          <w:szCs w:val="18"/>
          <w:color w:val="auto"/>
        </w:rPr>
        <w:t>Exhibit 31.2</w:t>
      </w: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color w:val="auto"/>
        </w:rPr>
        <w:t>I, Prashanth Mahendra-Rajah, certify that:</w:t>
      </w:r>
    </w:p>
    <w:p>
      <w:pPr>
        <w:spacing w:after="0" w:line="63" w:lineRule="exact"/>
        <w:rPr>
          <w:sz w:val="20"/>
          <w:szCs w:val="20"/>
          <w:color w:val="auto"/>
        </w:rPr>
      </w:pP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Analog Devices, Inc.;</w:t>
      </w:r>
    </w:p>
    <w:p>
      <w:pPr>
        <w:spacing w:after="0" w:line="63" w:lineRule="exact"/>
        <w:rPr>
          <w:rFonts w:ascii="Arial" w:cs="Arial" w:eastAsia="Arial" w:hAnsi="Arial"/>
          <w:sz w:val="18"/>
          <w:szCs w:val="18"/>
          <w:color w:val="auto"/>
        </w:rPr>
      </w:pPr>
    </w:p>
    <w:p>
      <w:pPr>
        <w:jc w:val="both"/>
        <w:ind w:left="660" w:right="120" w:hanging="328"/>
        <w:spacing w:after="0" w:line="263" w:lineRule="auto"/>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1" w:lineRule="exact"/>
        <w:rPr>
          <w:rFonts w:ascii="Arial" w:cs="Arial" w:eastAsia="Arial" w:hAnsi="Arial"/>
          <w:sz w:val="18"/>
          <w:szCs w:val="18"/>
          <w:color w:val="auto"/>
        </w:rPr>
      </w:pPr>
    </w:p>
    <w:p>
      <w:pPr>
        <w:ind w:left="660" w:right="80" w:hanging="328"/>
        <w:spacing w:after="0" w:line="298" w:lineRule="auto"/>
        <w:tabs>
          <w:tab w:leader="none" w:pos="660" w:val="left"/>
        </w:tabs>
        <w:numPr>
          <w:ilvl w:val="0"/>
          <w:numId w:val="27"/>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ind w:left="660" w:right="120" w:hanging="328"/>
        <w:spacing w:after="0" w:line="263" w:lineRule="auto"/>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1" w:lineRule="exact"/>
        <w:rPr>
          <w:rFonts w:ascii="Arial" w:cs="Arial" w:eastAsia="Arial" w:hAnsi="Arial"/>
          <w:sz w:val="18"/>
          <w:szCs w:val="18"/>
          <w:color w:val="auto"/>
        </w:rPr>
      </w:pPr>
    </w:p>
    <w:p>
      <w:pPr>
        <w:ind w:left="1300" w:right="120" w:hanging="320"/>
        <w:spacing w:after="0" w:line="263" w:lineRule="auto"/>
        <w:tabs>
          <w:tab w:leader="none" w:pos="1291" w:val="left"/>
        </w:tabs>
        <w:numPr>
          <w:ilvl w:val="1"/>
          <w:numId w:val="27"/>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1" w:lineRule="exact"/>
        <w:rPr>
          <w:rFonts w:ascii="Arial" w:cs="Arial" w:eastAsia="Arial" w:hAnsi="Arial"/>
          <w:sz w:val="18"/>
          <w:szCs w:val="18"/>
          <w:color w:val="auto"/>
        </w:rPr>
      </w:pPr>
    </w:p>
    <w:p>
      <w:pPr>
        <w:ind w:left="1300" w:right="40" w:hanging="320"/>
        <w:spacing w:after="0" w:line="263" w:lineRule="auto"/>
        <w:tabs>
          <w:tab w:leader="none" w:pos="1288" w:val="left"/>
        </w:tabs>
        <w:numPr>
          <w:ilvl w:val="1"/>
          <w:numId w:val="27"/>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1" w:lineRule="exact"/>
        <w:rPr>
          <w:rFonts w:ascii="Arial" w:cs="Arial" w:eastAsia="Arial" w:hAnsi="Arial"/>
          <w:sz w:val="18"/>
          <w:szCs w:val="18"/>
          <w:color w:val="auto"/>
        </w:rPr>
      </w:pPr>
    </w:p>
    <w:p>
      <w:pPr>
        <w:jc w:val="both"/>
        <w:ind w:left="1300" w:right="220" w:hanging="320"/>
        <w:spacing w:after="0" w:line="316" w:lineRule="auto"/>
        <w:tabs>
          <w:tab w:leader="none" w:pos="1291" w:val="left"/>
        </w:tabs>
        <w:numPr>
          <w:ilvl w:val="1"/>
          <w:numId w:val="27"/>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 w:lineRule="exact"/>
        <w:rPr>
          <w:rFonts w:ascii="Arial" w:cs="Arial" w:eastAsia="Arial" w:hAnsi="Arial"/>
          <w:sz w:val="16"/>
          <w:szCs w:val="16"/>
          <w:color w:val="auto"/>
        </w:rPr>
      </w:pPr>
    </w:p>
    <w:p>
      <w:pPr>
        <w:ind w:left="1300" w:right="220" w:hanging="320"/>
        <w:spacing w:after="0" w:line="263" w:lineRule="auto"/>
        <w:tabs>
          <w:tab w:leader="none" w:pos="1288" w:val="left"/>
        </w:tabs>
        <w:numPr>
          <w:ilvl w:val="1"/>
          <w:numId w:val="27"/>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1" w:lineRule="exact"/>
        <w:rPr>
          <w:rFonts w:ascii="Arial" w:cs="Arial" w:eastAsia="Arial" w:hAnsi="Arial"/>
          <w:sz w:val="18"/>
          <w:szCs w:val="18"/>
          <w:color w:val="auto"/>
        </w:rPr>
      </w:pPr>
    </w:p>
    <w:p>
      <w:pPr>
        <w:ind w:left="660" w:hanging="328"/>
        <w:spacing w:after="0" w:line="298" w:lineRule="auto"/>
        <w:tabs>
          <w:tab w:leader="none" w:pos="660" w:val="left"/>
        </w:tabs>
        <w:numPr>
          <w:ilvl w:val="0"/>
          <w:numId w:val="27"/>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ind w:left="1300" w:right="460" w:hanging="320"/>
        <w:spacing w:after="0" w:line="316" w:lineRule="auto"/>
        <w:tabs>
          <w:tab w:leader="none" w:pos="1291" w:val="left"/>
        </w:tabs>
        <w:numPr>
          <w:ilvl w:val="1"/>
          <w:numId w:val="27"/>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 w:lineRule="exact"/>
        <w:rPr>
          <w:rFonts w:ascii="Arial" w:cs="Arial" w:eastAsia="Arial" w:hAnsi="Arial"/>
          <w:sz w:val="16"/>
          <w:szCs w:val="16"/>
          <w:color w:val="auto"/>
        </w:rPr>
      </w:pPr>
    </w:p>
    <w:p>
      <w:pPr>
        <w:ind w:left="1300" w:right="160" w:hanging="320"/>
        <w:spacing w:after="0" w:line="277" w:lineRule="auto"/>
        <w:tabs>
          <w:tab w:leader="none" w:pos="1288" w:val="left"/>
        </w:tabs>
        <w:numPr>
          <w:ilvl w:val="1"/>
          <w:numId w:val="2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ind w:left="40"/>
        <w:spacing w:after="0"/>
        <w:tabs>
          <w:tab w:leader="none" w:pos="6120" w:val="left"/>
        </w:tabs>
        <w:rPr>
          <w:sz w:val="20"/>
          <w:szCs w:val="20"/>
          <w:color w:val="auto"/>
        </w:rPr>
      </w:pPr>
      <w:r>
        <w:rPr>
          <w:rFonts w:ascii="Arial" w:cs="Arial" w:eastAsia="Arial" w:hAnsi="Arial"/>
          <w:sz w:val="18"/>
          <w:szCs w:val="18"/>
          <w:color w:val="auto"/>
        </w:rPr>
        <w:t>Date: August 19, 2020</w:t>
      </w:r>
      <w:r>
        <w:rPr>
          <w:sz w:val="20"/>
          <w:szCs w:val="20"/>
          <w:color w:val="auto"/>
        </w:rPr>
        <w:tab/>
      </w:r>
      <w:r>
        <w:rPr>
          <w:rFonts w:ascii="Arial" w:cs="Arial" w:eastAsia="Arial" w:hAnsi="Arial"/>
          <w:sz w:val="16"/>
          <w:szCs w:val="16"/>
          <w:color w:val="auto"/>
        </w:rPr>
        <w:t>/s/ Prashanth Mahendra-Rajah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3888105</wp:posOffset>
            </wp:positionH>
            <wp:positionV relativeFrom="paragraph">
              <wp:posOffset>31750</wp:posOffset>
            </wp:positionV>
            <wp:extent cx="3240405"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2">
                      <a:extLst>
                        <a:ext uri="{28A0092B-C50C-407E-A947-70E740481C1C}"/>
                      </a:extLst>
                    </a:blip>
                    <a:srcRect/>
                    <a:stretch>
                      <a:fillRect/>
                    </a:stretch>
                  </pic:blipFill>
                  <pic:spPr bwMode="auto">
                    <a:xfrm>
                      <a:off x="0" y="0"/>
                      <a:ext cx="3240405" cy="8255"/>
                    </a:xfrm>
                    <a:prstGeom prst="rect">
                      <a:avLst/>
                    </a:prstGeom>
                    <a:noFill/>
                  </pic:spPr>
                </pic:pic>
              </a:graphicData>
            </a:graphic>
          </wp:anchor>
        </w:drawing>
      </w:r>
    </w:p>
    <w:p>
      <w:pPr>
        <w:spacing w:after="0" w:line="43"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Prashanth Mahendra-Rajah</w:t>
      </w:r>
    </w:p>
    <w:p>
      <w:pPr>
        <w:spacing w:after="0" w:line="63"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Senior Vice President, Finance</w:t>
      </w:r>
    </w:p>
    <w:p>
      <w:pPr>
        <w:spacing w:after="0" w:line="63"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and Chief Financial Officer</w:t>
      </w:r>
    </w:p>
    <w:p>
      <w:pPr>
        <w:spacing w:after="0" w:line="63"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(Principal Financial Officer)</w:t>
      </w:r>
    </w:p>
    <w:p>
      <w:pPr>
        <w:sectPr>
          <w:pgSz w:w="11900" w:h="16838" w:orient="portrait"/>
          <w:cols w:equalWidth="0" w:num="1">
            <w:col w:w="11240"/>
          </w:cols>
          <w:pgMar w:left="320" w:top="922" w:right="339" w:bottom="1440" w:gutter="0" w:footer="0" w:header="0"/>
        </w:sectPr>
      </w:pPr>
    </w:p>
    <w:bookmarkStart w:id="51" w:name="page52"/>
    <w:bookmarkEnd w:id="51"/>
    <w:p>
      <w:pPr>
        <w:jc w:val="right"/>
        <w:spacing w:after="0"/>
        <w:rPr>
          <w:sz w:val="20"/>
          <w:szCs w:val="20"/>
          <w:color w:val="auto"/>
        </w:rPr>
      </w:pPr>
      <w:r>
        <w:rPr>
          <w:rFonts w:ascii="Arial" w:cs="Arial" w:eastAsia="Arial" w:hAnsi="Arial"/>
          <w:sz w:val="18"/>
          <w:szCs w:val="18"/>
          <w:color w:val="auto"/>
        </w:rPr>
        <w:t>Exhibit 32.1</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18 U.S.C. Section 1350,</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38" w:lineRule="exact"/>
        <w:rPr>
          <w:sz w:val="20"/>
          <w:szCs w:val="20"/>
          <w:color w:val="auto"/>
        </w:rPr>
      </w:pPr>
    </w:p>
    <w:p>
      <w:pPr>
        <w:ind w:right="120"/>
        <w:spacing w:after="0" w:line="263" w:lineRule="auto"/>
        <w:rPr>
          <w:sz w:val="20"/>
          <w:szCs w:val="20"/>
          <w:color w:val="auto"/>
        </w:rPr>
      </w:pPr>
      <w:r>
        <w:rPr>
          <w:rFonts w:ascii="Arial" w:cs="Arial" w:eastAsia="Arial" w:hAnsi="Arial"/>
          <w:sz w:val="18"/>
          <w:szCs w:val="18"/>
          <w:color w:val="auto"/>
        </w:rPr>
        <w:t>In connection with the Quarterly Report on Form 10-Q of Analog Devices, Inc. (the “Company”) for the period ended August 1, 2020 as filed with the Securities and Exchange Commission on the date hereof (the “Report”), the undersigned, Vincent Roche, Chief Executive Officer of the Company, hereby certifies, pursuant to 18 U.S.C. Section 1350, that:</w:t>
      </w:r>
    </w:p>
    <w:p>
      <w:pPr>
        <w:spacing w:after="0" w:line="22" w:lineRule="exact"/>
        <w:rPr>
          <w:sz w:val="20"/>
          <w:szCs w:val="20"/>
          <w:color w:val="auto"/>
        </w:rPr>
      </w:pPr>
    </w:p>
    <w:p>
      <w:pPr>
        <w:ind w:left="660" w:hanging="328"/>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28"/>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51" w:lineRule="exact"/>
        <w:rPr>
          <w:sz w:val="20"/>
          <w:szCs w:val="20"/>
          <w:color w:val="auto"/>
        </w:rPr>
      </w:pPr>
    </w:p>
    <w:p>
      <w:pPr>
        <w:ind w:left="40"/>
        <w:spacing w:after="0"/>
        <w:tabs>
          <w:tab w:leader="none" w:pos="6120" w:val="left"/>
        </w:tabs>
        <w:rPr>
          <w:sz w:val="20"/>
          <w:szCs w:val="20"/>
          <w:color w:val="auto"/>
        </w:rPr>
      </w:pPr>
      <w:r>
        <w:rPr>
          <w:rFonts w:ascii="Arial" w:cs="Arial" w:eastAsia="Arial" w:hAnsi="Arial"/>
          <w:sz w:val="18"/>
          <w:szCs w:val="18"/>
          <w:color w:val="auto"/>
        </w:rPr>
        <w:t>Date: August 19, 2020</w:t>
      </w:r>
      <w:r>
        <w:rPr>
          <w:sz w:val="20"/>
          <w:szCs w:val="20"/>
          <w:color w:val="auto"/>
        </w:rPr>
        <w:tab/>
      </w:r>
      <w:r>
        <w:rPr>
          <w:rFonts w:ascii="Arial" w:cs="Arial" w:eastAsia="Arial" w:hAnsi="Arial"/>
          <w:sz w:val="16"/>
          <w:szCs w:val="16"/>
          <w:color w:val="auto"/>
        </w:rPr>
        <w:t>/s/ Vincent Roche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3888105</wp:posOffset>
            </wp:positionH>
            <wp:positionV relativeFrom="paragraph">
              <wp:posOffset>31750</wp:posOffset>
            </wp:positionV>
            <wp:extent cx="3240405"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3">
                      <a:extLst>
                        <a:ext uri="{28A0092B-C50C-407E-A947-70E740481C1C}"/>
                      </a:extLst>
                    </a:blip>
                    <a:srcRect/>
                    <a:stretch>
                      <a:fillRect/>
                    </a:stretch>
                  </pic:blipFill>
                  <pic:spPr bwMode="auto">
                    <a:xfrm>
                      <a:off x="0" y="0"/>
                      <a:ext cx="3240405" cy="8255"/>
                    </a:xfrm>
                    <a:prstGeom prst="rect">
                      <a:avLst/>
                    </a:prstGeom>
                    <a:noFill/>
                  </pic:spPr>
                </pic:pic>
              </a:graphicData>
            </a:graphic>
          </wp:anchor>
        </w:drawing>
      </w:r>
    </w:p>
    <w:p>
      <w:pPr>
        <w:spacing w:after="0" w:line="43"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Vincent Roche</w:t>
      </w:r>
    </w:p>
    <w:p>
      <w:pPr>
        <w:spacing w:after="0" w:line="63"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Chief Executive Officer</w:t>
      </w:r>
    </w:p>
    <w:p>
      <w:pPr>
        <w:sectPr>
          <w:pgSz w:w="11900" w:h="16838" w:orient="portrait"/>
          <w:cols w:equalWidth="0" w:num="1">
            <w:col w:w="11240"/>
          </w:cols>
          <w:pgMar w:left="320" w:top="922" w:right="339" w:bottom="1440" w:gutter="0" w:footer="0" w:header="0"/>
        </w:sectPr>
      </w:pPr>
    </w:p>
    <w:bookmarkStart w:id="52" w:name="page53"/>
    <w:bookmarkEnd w:id="52"/>
    <w:p>
      <w:pPr>
        <w:jc w:val="right"/>
        <w:spacing w:after="0"/>
        <w:rPr>
          <w:sz w:val="20"/>
          <w:szCs w:val="20"/>
          <w:color w:val="auto"/>
        </w:rPr>
      </w:pPr>
      <w:r>
        <w:rPr>
          <w:rFonts w:ascii="Arial" w:cs="Arial" w:eastAsia="Arial" w:hAnsi="Arial"/>
          <w:sz w:val="18"/>
          <w:szCs w:val="18"/>
          <w:color w:val="auto"/>
        </w:rPr>
        <w:t>Exhibit 32.2</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18 U.S.C. Section 1350,</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38" w:lineRule="exact"/>
        <w:rPr>
          <w:sz w:val="20"/>
          <w:szCs w:val="20"/>
          <w:color w:val="auto"/>
        </w:rPr>
      </w:pPr>
    </w:p>
    <w:p>
      <w:pPr>
        <w:ind w:right="380"/>
        <w:spacing w:after="0" w:line="263" w:lineRule="auto"/>
        <w:rPr>
          <w:sz w:val="20"/>
          <w:szCs w:val="20"/>
          <w:color w:val="auto"/>
        </w:rPr>
      </w:pPr>
      <w:r>
        <w:rPr>
          <w:rFonts w:ascii="Arial" w:cs="Arial" w:eastAsia="Arial" w:hAnsi="Arial"/>
          <w:sz w:val="18"/>
          <w:szCs w:val="18"/>
          <w:color w:val="auto"/>
        </w:rPr>
        <w:t>In connection with the Quarterly Report on Form 10-Q of Analog Devices, Inc. (the “Company”) for the period ended August 1, 2020 as filed with the Securities and Exchange Commission on the date hereof (the “Report”), the undersigned, Prashanth Mahendra-Rajah, Chief Financial Officer of the Company, hereby certifies, pursuant to 18 U.S.C. Section 1350, that:</w:t>
      </w:r>
    </w:p>
    <w:p>
      <w:pPr>
        <w:spacing w:after="0" w:line="22" w:lineRule="exact"/>
        <w:rPr>
          <w:sz w:val="20"/>
          <w:szCs w:val="20"/>
          <w:color w:val="auto"/>
        </w:rPr>
      </w:pPr>
    </w:p>
    <w:p>
      <w:pPr>
        <w:ind w:left="660" w:hanging="328"/>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29"/>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51" w:lineRule="exact"/>
        <w:rPr>
          <w:sz w:val="20"/>
          <w:szCs w:val="20"/>
          <w:color w:val="auto"/>
        </w:rPr>
      </w:pPr>
    </w:p>
    <w:p>
      <w:pPr>
        <w:ind w:left="40"/>
        <w:spacing w:after="0"/>
        <w:tabs>
          <w:tab w:leader="none" w:pos="6120" w:val="left"/>
        </w:tabs>
        <w:rPr>
          <w:sz w:val="20"/>
          <w:szCs w:val="20"/>
          <w:color w:val="auto"/>
        </w:rPr>
      </w:pPr>
      <w:r>
        <w:rPr>
          <w:rFonts w:ascii="Arial" w:cs="Arial" w:eastAsia="Arial" w:hAnsi="Arial"/>
          <w:sz w:val="18"/>
          <w:szCs w:val="18"/>
          <w:color w:val="auto"/>
        </w:rPr>
        <w:t>Date: August 19, 2020</w:t>
      </w:r>
      <w:r>
        <w:rPr>
          <w:sz w:val="20"/>
          <w:szCs w:val="20"/>
          <w:color w:val="auto"/>
        </w:rPr>
        <w:tab/>
      </w:r>
      <w:r>
        <w:rPr>
          <w:rFonts w:ascii="Arial" w:cs="Arial" w:eastAsia="Arial" w:hAnsi="Arial"/>
          <w:sz w:val="16"/>
          <w:szCs w:val="16"/>
          <w:color w:val="auto"/>
        </w:rPr>
        <w:t>/s/ Prashanth Mahendra-Rajah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3888105</wp:posOffset>
            </wp:positionH>
            <wp:positionV relativeFrom="paragraph">
              <wp:posOffset>31750</wp:posOffset>
            </wp:positionV>
            <wp:extent cx="3240405"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4">
                      <a:extLst>
                        <a:ext uri="{28A0092B-C50C-407E-A947-70E740481C1C}"/>
                      </a:extLst>
                    </a:blip>
                    <a:srcRect/>
                    <a:stretch>
                      <a:fillRect/>
                    </a:stretch>
                  </pic:blipFill>
                  <pic:spPr bwMode="auto">
                    <a:xfrm>
                      <a:off x="0" y="0"/>
                      <a:ext cx="3240405" cy="8255"/>
                    </a:xfrm>
                    <a:prstGeom prst="rect">
                      <a:avLst/>
                    </a:prstGeom>
                    <a:noFill/>
                  </pic:spPr>
                </pic:pic>
              </a:graphicData>
            </a:graphic>
          </wp:anchor>
        </w:drawing>
      </w:r>
    </w:p>
    <w:p>
      <w:pPr>
        <w:spacing w:after="0" w:line="43"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Prashanth Mahendra-Rajah</w:t>
      </w:r>
    </w:p>
    <w:p>
      <w:pPr>
        <w:spacing w:after="0" w:line="63"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Chief Financial Officer</w:t>
      </w:r>
    </w:p>
    <w:sectPr>
      <w:pgSz w:w="11900" w:h="16838" w:orient="portrait"/>
      <w:cols w:equalWidth="0" w:num="1">
        <w:col w:w="11240"/>
      </w:cols>
      <w:pgMar w:left="320" w:top="922"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BEFD79F"/>
    <w:multiLevelType w:val="hybridMultilevel"/>
    <w:lvl w:ilvl="0">
      <w:lvlJc w:val="left"/>
      <w:lvlText w:val="☑"/>
      <w:numFmt w:val="bullet"/>
      <w:start w:val="1"/>
    </w:lvl>
  </w:abstractNum>
  <w:abstractNum w:abstractNumId="1">
    <w:nsid w:val="41A7C4C9"/>
    <w:multiLevelType w:val="hybridMultilevel"/>
    <w:lvl w:ilvl="0">
      <w:lvlJc w:val="left"/>
      <w:lvlText w:val="☐"/>
      <w:numFmt w:val="bullet"/>
      <w:start w:val="1"/>
    </w:lvl>
  </w:abstractNum>
  <w:abstractNum w:abstractNumId="2">
    <w:nsid w:val="6B68079A"/>
    <w:multiLevelType w:val="hybridMultilevel"/>
    <w:lvl w:ilvl="0">
      <w:lvlJc w:val="left"/>
      <w:lvlText w:val="(%1)"/>
      <w:numFmt w:val="decimal"/>
      <w:start w:val="1"/>
    </w:lvl>
  </w:abstractNum>
  <w:abstractNum w:abstractNumId="3">
    <w:nsid w:val="4E6AFB66"/>
    <w:multiLevelType w:val="hybridMultilevel"/>
    <w:lvl w:ilvl="0">
      <w:lvlJc w:val="left"/>
      <w:lvlText w:val="(%1)"/>
      <w:numFmt w:val="decimal"/>
      <w:start w:val="1"/>
    </w:lvl>
  </w:abstractNum>
  <w:abstractNum w:abstractNumId="4">
    <w:nsid w:val="25E45D32"/>
    <w:multiLevelType w:val="hybridMultilevel"/>
    <w:lvl w:ilvl="0">
      <w:lvlJc w:val="left"/>
      <w:lvlText w:val="(%1)"/>
      <w:numFmt w:val="decimal"/>
      <w:start w:val="1"/>
    </w:lvl>
  </w:abstractNum>
  <w:abstractNum w:abstractNumId="5">
    <w:nsid w:val="519B500D"/>
    <w:multiLevelType w:val="hybridMultilevel"/>
    <w:lvl w:ilvl="0">
      <w:lvlJc w:val="left"/>
      <w:lvlText w:val="(%1)"/>
      <w:numFmt w:val="lowerRoman"/>
      <w:start w:val="2"/>
    </w:lvl>
  </w:abstractNum>
  <w:abstractNum w:abstractNumId="6">
    <w:nsid w:val="431BD7B7"/>
    <w:multiLevelType w:val="hybridMultilevel"/>
    <w:lvl w:ilvl="0">
      <w:lvlJc w:val="left"/>
      <w:lvlText w:val="•"/>
      <w:numFmt w:val="bullet"/>
      <w:start w:val="1"/>
    </w:lvl>
  </w:abstractNum>
  <w:abstractNum w:abstractNumId="7">
    <w:nsid w:val="3F2DBA31"/>
    <w:multiLevelType w:val="hybridMultilevel"/>
    <w:lvl w:ilvl="0">
      <w:lvlJc w:val="left"/>
      <w:lvlText w:val="*"/>
      <w:numFmt w:val="bullet"/>
      <w:start w:val="1"/>
    </w:lvl>
  </w:abstractNum>
  <w:abstractNum w:abstractNumId="8">
    <w:nsid w:val="7C83E458"/>
    <w:multiLevelType w:val="hybridMultilevel"/>
    <w:lvl w:ilvl="0">
      <w:lvlJc w:val="left"/>
      <w:lvlText w:val="(%1)"/>
      <w:numFmt w:val="lowerLetter"/>
      <w:start w:val="1"/>
    </w:lvl>
  </w:abstractNum>
  <w:abstractNum w:abstractNumId="9">
    <w:nsid w:val="257130A3"/>
    <w:multiLevelType w:val="hybridMultilevel"/>
    <w:lvl w:ilvl="0">
      <w:lvlJc w:val="left"/>
      <w:lvlText w:val="•"/>
      <w:numFmt w:val="bullet"/>
      <w:start w:val="1"/>
    </w:lvl>
  </w:abstractNum>
  <w:abstractNum w:abstractNumId="10">
    <w:nsid w:val="62BBD95A"/>
    <w:multiLevelType w:val="hybridMultilevel"/>
    <w:lvl w:ilvl="0">
      <w:lvlJc w:val="left"/>
      <w:lvlText w:val="•"/>
      <w:numFmt w:val="bullet"/>
      <w:start w:val="1"/>
    </w:lvl>
  </w:abstractNum>
  <w:abstractNum w:abstractNumId="11">
    <w:nsid w:val="436C6125"/>
    <w:multiLevelType w:val="hybridMultilevel"/>
    <w:lvl w:ilvl="0">
      <w:lvlJc w:val="left"/>
      <w:lvlText w:val="•"/>
      <w:numFmt w:val="bullet"/>
      <w:start w:val="1"/>
    </w:lvl>
  </w:abstractNum>
  <w:abstractNum w:abstractNumId="12">
    <w:nsid w:val="628C895D"/>
    <w:multiLevelType w:val="hybridMultilevel"/>
    <w:lvl w:ilvl="0">
      <w:lvlJc w:val="left"/>
      <w:lvlText w:val="•"/>
      <w:numFmt w:val="bullet"/>
      <w:start w:val="1"/>
    </w:lvl>
  </w:abstractNum>
  <w:abstractNum w:abstractNumId="13">
    <w:nsid w:val="333AB105"/>
    <w:multiLevelType w:val="hybridMultilevel"/>
    <w:lvl w:ilvl="0">
      <w:lvlJc w:val="left"/>
      <w:lvlText w:val="•"/>
      <w:numFmt w:val="bullet"/>
      <w:start w:val="1"/>
    </w:lvl>
  </w:abstractNum>
  <w:abstractNum w:abstractNumId="14">
    <w:nsid w:val="721DA317"/>
    <w:multiLevelType w:val="hybridMultilevel"/>
    <w:lvl w:ilvl="0">
      <w:lvlJc w:val="left"/>
      <w:lvlText w:val="•"/>
      <w:numFmt w:val="bullet"/>
      <w:start w:val="1"/>
    </w:lvl>
  </w:abstractNum>
  <w:abstractNum w:abstractNumId="15">
    <w:nsid w:val="2443A858"/>
    <w:multiLevelType w:val="hybridMultilevel"/>
    <w:lvl w:ilvl="0">
      <w:lvlJc w:val="left"/>
      <w:lvlText w:val="•"/>
      <w:numFmt w:val="bullet"/>
      <w:start w:val="1"/>
    </w:lvl>
  </w:abstractNum>
  <w:abstractNum w:abstractNumId="16">
    <w:nsid w:val="2D1D5AE9"/>
    <w:multiLevelType w:val="hybridMultilevel"/>
    <w:lvl w:ilvl="0">
      <w:lvlJc w:val="left"/>
      <w:lvlText w:val="•"/>
      <w:numFmt w:val="bullet"/>
      <w:start w:val="1"/>
    </w:lvl>
  </w:abstractNum>
  <w:abstractNum w:abstractNumId="17">
    <w:nsid w:val="6763845E"/>
    <w:multiLevelType w:val="hybridMultilevel"/>
    <w:lvl w:ilvl="0">
      <w:lvlJc w:val="left"/>
      <w:lvlText w:val="•"/>
      <w:numFmt w:val="bullet"/>
      <w:start w:val="1"/>
    </w:lvl>
  </w:abstractNum>
  <w:abstractNum w:abstractNumId="18">
    <w:nsid w:val="75A2A8D4"/>
    <w:multiLevelType w:val="hybridMultilevel"/>
    <w:lvl w:ilvl="0">
      <w:lvlJc w:val="left"/>
      <w:lvlText w:val="•"/>
      <w:numFmt w:val="bullet"/>
      <w:start w:val="1"/>
    </w:lvl>
  </w:abstractNum>
  <w:abstractNum w:abstractNumId="19">
    <w:nsid w:val="8EDBDAB"/>
    <w:multiLevelType w:val="hybridMultilevel"/>
    <w:lvl w:ilvl="0">
      <w:lvlJc w:val="left"/>
      <w:lvlText w:val="•"/>
      <w:numFmt w:val="bullet"/>
      <w:start w:val="1"/>
    </w:lvl>
  </w:abstractNum>
  <w:abstractNum w:abstractNumId="20">
    <w:nsid w:val="79838CB2"/>
    <w:multiLevelType w:val="hybridMultilevel"/>
    <w:lvl w:ilvl="0">
      <w:lvlJc w:val="left"/>
      <w:lvlText w:val="(%1)"/>
      <w:numFmt w:val="lowerLetter"/>
      <w:start w:val="1"/>
    </w:lvl>
  </w:abstractNum>
  <w:abstractNum w:abstractNumId="21">
    <w:nsid w:val="4353D0CD"/>
    <w:multiLevelType w:val="hybridMultilevel"/>
    <w:lvl w:ilvl="0">
      <w:lvlJc w:val="left"/>
      <w:lvlText w:val="%1"/>
      <w:numFmt w:val="decimal"/>
      <w:start w:val="104"/>
    </w:lvl>
  </w:abstractNum>
  <w:abstractNum w:abstractNumId="22">
    <w:nsid w:val="B03E0C6"/>
    <w:multiLevelType w:val="hybridMultilevel"/>
    <w:lvl w:ilvl="0">
      <w:lvlJc w:val="left"/>
      <w:lvlText w:val="†"/>
      <w:numFmt w:val="bullet"/>
      <w:start w:val="1"/>
    </w:lvl>
  </w:abstractNum>
  <w:abstractNum w:abstractNumId="23">
    <w:nsid w:val="189A769B"/>
    <w:multiLevelType w:val="hybridMultilevel"/>
    <w:lvl w:ilvl="0">
      <w:lvlJc w:val="left"/>
      <w:lvlText w:val="*"/>
      <w:numFmt w:val="bullet"/>
      <w:start w:val="1"/>
    </w:lvl>
  </w:abstractNum>
  <w:abstractNum w:abstractNumId="24">
    <w:nsid w:val="54E49EB4"/>
    <w:multiLevelType w:val="hybridMultilevel"/>
    <w:lvl w:ilvl="0">
      <w:lvlJc w:val="left"/>
      <w:lvlText w:val="**"/>
      <w:numFmt w:val="bullet"/>
      <w:start w:val="1"/>
    </w:lvl>
  </w:abstractNum>
  <w:abstractNum w:abstractNumId="25">
    <w:nsid w:val="71F32454"/>
    <w:multiLevelType w:val="hybridMultilevel"/>
    <w:lvl w:ilvl="0">
      <w:lvlJc w:val="left"/>
      <w:lvlText w:val="%1."/>
      <w:numFmt w:val="decimal"/>
      <w:start w:val="1"/>
    </w:lvl>
    <w:lvl w:ilvl="1">
      <w:lvlJc w:val="left"/>
      <w:lvlText w:val="%2)"/>
      <w:numFmt w:val="lowerLetter"/>
      <w:start w:val="1"/>
    </w:lvl>
  </w:abstractNum>
  <w:abstractNum w:abstractNumId="26">
    <w:nsid w:val="2CA88611"/>
    <w:multiLevelType w:val="hybridMultilevel"/>
    <w:lvl w:ilvl="0">
      <w:lvlJc w:val="left"/>
      <w:lvlText w:val="%1."/>
      <w:numFmt w:val="decimal"/>
      <w:start w:val="1"/>
    </w:lvl>
    <w:lvl w:ilvl="1">
      <w:lvlJc w:val="left"/>
      <w:lvlText w:val="%2)"/>
      <w:numFmt w:val="lowerLetter"/>
      <w:start w:val="1"/>
    </w:lvl>
  </w:abstractNum>
  <w:abstractNum w:abstractNumId="27">
    <w:nsid w:val="836C40E"/>
    <w:multiLevelType w:val="hybridMultilevel"/>
    <w:lvl w:ilvl="0">
      <w:lvlJc w:val="left"/>
      <w:lvlText w:val="%1."/>
      <w:numFmt w:val="decimal"/>
      <w:start w:val="1"/>
    </w:lvl>
  </w:abstractNum>
  <w:abstractNum w:abstractNumId="28">
    <w:nsid w:val="2901D82"/>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90" Type="http://schemas.openxmlformats.org/officeDocument/2006/relationships/image" Target="media/image82.png"/><Relationship Id="rId91" Type="http://schemas.openxmlformats.org/officeDocument/2006/relationships/image" Target="media/image83.png"/><Relationship Id="rId92" Type="http://schemas.openxmlformats.org/officeDocument/2006/relationships/image" Target="media/image84.png"/><Relationship Id="rId93" Type="http://schemas.openxmlformats.org/officeDocument/2006/relationships/image" Target="media/image85.png"/><Relationship Id="rId94" Type="http://schemas.openxmlformats.org/officeDocument/2006/relationships/image" Target="media/image86.png"/><Relationship Id="rId89" Type="http://schemas.openxmlformats.org/officeDocument/2006/relationships/hyperlink" Target="http://www.sec.gov/Archives/edgar/data/6281/000119312520192918/d934725dex2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2020-08-19T07:08:15Z</dcterms:created>
  <dcterms:modified xsi:type="dcterms:W3CDTF">2020-08-19T07:08:15Z</dcterms:modified>
</cp:coreProperties>
</file>