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2063750</wp:posOffset>
            </wp:positionH>
            <wp:positionV relativeFrom="paragraph">
              <wp:posOffset>81915</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3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2063750</wp:posOffset>
            </wp:positionH>
            <wp:positionV relativeFrom="paragraph">
              <wp:posOffset>-98425</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34" w:lineRule="exact"/>
        <w:rPr>
          <w:sz w:val="24"/>
          <w:szCs w:val="24"/>
          <w:color w:val="auto"/>
        </w:rPr>
      </w:pPr>
    </w:p>
    <w:p>
      <w:pPr>
        <w:ind w:left="880" w:hanging="587"/>
        <w:spacing w:after="0"/>
        <w:tabs>
          <w:tab w:leader="none" w:pos="8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 (d) OF THE SECURITIES EXCHANGE ACT OF 1934</w:t>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880" w:hanging="574"/>
        <w:spacing w:after="0"/>
        <w:tabs>
          <w:tab w:leader="none" w:pos="88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15 (d) OF THE SECURITIES EXCHANGE ACT OF 1934</w:t>
      </w:r>
    </w:p>
    <w:p>
      <w:pPr>
        <w:spacing w:after="0" w:line="308"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from_______________ to ________________</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1-7819</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2424430</wp:posOffset>
            </wp:positionH>
            <wp:positionV relativeFrom="paragraph">
              <wp:posOffset>-302895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INVESTMENT PARTNERSHIP PLAN</w:t>
      </w:r>
    </w:p>
    <w:p>
      <w:pPr>
        <w:ind w:left="3860"/>
        <w:spacing w:after="0"/>
        <w:rPr>
          <w:sz w:val="20"/>
          <w:szCs w:val="20"/>
          <w:color w:val="auto"/>
        </w:rPr>
      </w:pPr>
      <w:r>
        <w:rPr>
          <w:rFonts w:ascii="Arial" w:cs="Arial" w:eastAsia="Arial" w:hAnsi="Arial"/>
          <w:sz w:val="18"/>
          <w:szCs w:val="18"/>
          <w:i w:val="1"/>
          <w:iCs w:val="1"/>
          <w:color w:val="auto"/>
        </w:rPr>
        <w:t>(Full title of the plan and the address of the plan,</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i w:val="1"/>
          <w:iCs w:val="1"/>
          <w:color w:val="auto"/>
        </w:rPr>
        <w:t>if different from that of the issuer named below)</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issuer of the securities held pursuant to the plan and the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its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Technology Way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1969770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1986915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20" w:top="1341" w:right="299" w:bottom="1440" w:gutter="0" w:footer="0" w:header="0"/>
        </w:sectPr>
      </w:pPr>
    </w:p>
    <w:bookmarkStart w:id="1" w:name="page2"/>
    <w:bookmarkEnd w:id="1"/>
    <w:p>
      <w:pPr>
        <w:jc w:val="center"/>
        <w:ind w:right="-1180"/>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Years ended December 31, 2014 and 2013</w:t>
      </w:r>
    </w:p>
    <w:p>
      <w:pPr>
        <w:spacing w:after="0" w:line="385"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Contents</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Ÿ Report of Independent Registered Public Accounting Firm</w:t>
      </w:r>
    </w:p>
    <w:p>
      <w:pPr>
        <w:spacing w:after="0" w:line="368" w:lineRule="exact"/>
        <w:rPr>
          <w:sz w:val="20"/>
          <w:szCs w:val="20"/>
          <w:color w:val="auto"/>
        </w:rPr>
      </w:pPr>
    </w:p>
    <w:p>
      <w:pPr>
        <w:ind w:left="4780"/>
        <w:spacing w:after="0"/>
        <w:rPr>
          <w:sz w:val="20"/>
          <w:szCs w:val="20"/>
          <w:color w:val="auto"/>
        </w:rPr>
      </w:pPr>
      <w:r>
        <w:rPr>
          <w:rFonts w:ascii="Arial" w:cs="Arial" w:eastAsia="Arial" w:hAnsi="Arial"/>
          <w:sz w:val="22"/>
          <w:szCs w:val="22"/>
          <w:u w:val="single" w:color="auto"/>
          <w:color w:val="auto"/>
        </w:rPr>
        <w:t>Financial Statements</w:t>
      </w:r>
    </w:p>
    <w:p>
      <w:pPr>
        <w:spacing w:after="0" w:line="368" w:lineRule="exact"/>
        <w:rPr>
          <w:sz w:val="20"/>
          <w:szCs w:val="20"/>
          <w:color w:val="auto"/>
        </w:rPr>
      </w:pPr>
    </w:p>
    <w:p>
      <w:pPr>
        <w:ind w:left="220" w:hanging="215"/>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Statements of Net Assets Available for Benefits as of December 31, 2014 and 2013</w:t>
      </w:r>
    </w:p>
    <w:p>
      <w:pPr>
        <w:spacing w:after="0" w:line="44" w:lineRule="exact"/>
        <w:rPr>
          <w:rFonts w:ascii="Arial" w:cs="Arial" w:eastAsia="Arial" w:hAnsi="Arial"/>
          <w:sz w:val="22"/>
          <w:szCs w:val="22"/>
          <w:color w:val="auto"/>
        </w:rPr>
      </w:pPr>
    </w:p>
    <w:p>
      <w:pPr>
        <w:ind w:left="220" w:right="1299" w:hanging="215"/>
        <w:spacing w:after="0" w:line="281" w:lineRule="auto"/>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Statements of Changes in Net Assets Available for Benefits for the Years Ended December 31, 2014 and 2013</w:t>
      </w:r>
    </w:p>
    <w:p>
      <w:pPr>
        <w:spacing w:after="0" w:line="1" w:lineRule="exact"/>
        <w:rPr>
          <w:rFonts w:ascii="Arial" w:cs="Arial" w:eastAsia="Arial" w:hAnsi="Arial"/>
          <w:sz w:val="22"/>
          <w:szCs w:val="22"/>
          <w:color w:val="auto"/>
        </w:rPr>
      </w:pPr>
    </w:p>
    <w:p>
      <w:pPr>
        <w:ind w:left="220" w:hanging="215"/>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Notes to Financial Statements</w:t>
      </w:r>
    </w:p>
    <w:p>
      <w:pPr>
        <w:spacing w:after="0" w:line="368"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Supplemental Schedule</w:t>
      </w:r>
    </w:p>
    <w:p>
      <w:pPr>
        <w:spacing w:after="0" w:line="368" w:lineRule="exact"/>
        <w:rPr>
          <w:sz w:val="20"/>
          <w:szCs w:val="20"/>
          <w:color w:val="auto"/>
        </w:rPr>
      </w:pPr>
    </w:p>
    <w:p>
      <w:pPr>
        <w:ind w:left="5420" w:right="2159" w:hanging="5415"/>
        <w:spacing w:after="0" w:line="617" w:lineRule="auto"/>
        <w:tabs>
          <w:tab w:leader="none" w:pos="216"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Schedule H-Line 4i — Schedule of Assets (Held at End of Year) as of December 31, 2014 </w:t>
      </w:r>
      <w:r>
        <w:rPr>
          <w:rFonts w:ascii="Arial" w:cs="Arial" w:eastAsia="Arial" w:hAnsi="Arial"/>
          <w:sz w:val="21"/>
          <w:szCs w:val="21"/>
          <w:u w:val="single" w:color="auto"/>
          <w:color w:val="auto"/>
        </w:rPr>
        <w:t>Exhibits</w:t>
      </w:r>
    </w:p>
    <w:p>
      <w:pPr>
        <w:ind w:left="220" w:hanging="215"/>
        <w:spacing w:after="0"/>
        <w:tabs>
          <w:tab w:leader="none" w:pos="22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Consent of Independent Registered Public Accounting Firm,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79"/>
          </w:cols>
          <w:pgMar w:left="280" w:top="375" w:right="1440" w:bottom="1440" w:gutter="0" w:footer="0" w:header="0"/>
        </w:sectPr>
      </w:pPr>
    </w:p>
    <w:bookmarkStart w:id="2" w:name="page3"/>
    <w:bookmarkEnd w:id="2"/>
    <w:p>
      <w:pPr>
        <w:ind w:left="3180"/>
        <w:spacing w:after="0"/>
        <w:rPr>
          <w:sz w:val="20"/>
          <w:szCs w:val="20"/>
          <w:color w:val="auto"/>
        </w:rPr>
      </w:pPr>
      <w:r>
        <w:rPr>
          <w:rFonts w:ascii="Arial" w:cs="Arial" w:eastAsia="Arial" w:hAnsi="Arial"/>
          <w:sz w:val="22"/>
          <w:szCs w:val="22"/>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Administrative Committee and Participants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Investment Partnership Plan</w:t>
      </w:r>
    </w:p>
    <w:p>
      <w:pPr>
        <w:spacing w:after="0" w:line="3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have audited the accompanying statements of net assets available for benefits of Analog Devices, Inc. The Investment Partnership Plan as of December 31, 2014 and 2013, and the related statements of changes in net assets available for benefits for each of the years then ended. These financial statements are the responsibility of the Plan's management. Our responsibility is to express an opinion on these financial statements based on our audits.</w:t>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8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net assets available for benefits of Analog Devices, Inc. The Investment Partnership Plan at December 31, 2014 and 2013, and the changes in its net assets available for benefits for each of the years then ended, in conformity with U.S. generally accepted accounting principles.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accompanying supplemental schedule of assets (held at end of year) as of December 31</w:t>
      </w:r>
      <w:r>
        <w:rPr>
          <w:rFonts w:ascii="Arial" w:cs="Arial" w:eastAsia="Arial" w:hAnsi="Arial"/>
          <w:sz w:val="21"/>
          <w:szCs w:val="21"/>
          <w:i w:val="1"/>
          <w:iCs w:val="1"/>
          <w:color w:val="auto"/>
        </w:rPr>
        <w:t>,</w:t>
      </w:r>
      <w:r>
        <w:rPr>
          <w:rFonts w:ascii="Arial" w:cs="Arial" w:eastAsia="Arial" w:hAnsi="Arial"/>
          <w:sz w:val="21"/>
          <w:szCs w:val="21"/>
          <w:color w:val="auto"/>
        </w:rPr>
        <w:t xml:space="preserve"> 2014, has been subjected to audit procedures performed in conjunction with the audit of Analog Devices, Inc. The Investment Partnership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Ernst &amp; Young LLP</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Boston, Massachusetts</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June 17, 2015</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NET ASSETS AVAILABLE FOR BENEFITS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 and 2013</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67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b w:val="1"/>
                <w:bCs w:val="1"/>
                <w:color w:val="auto"/>
              </w:rPr>
              <w:t>2014</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b w:val="1"/>
                <w:bCs w:val="1"/>
                <w:color w:val="auto"/>
              </w:rPr>
              <w:t>2013</w:t>
            </w:r>
          </w:p>
        </w:tc>
      </w:tr>
      <w:tr>
        <w:trPr>
          <w:trHeight w:val="284"/>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Assets</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89"/>
        </w:trPr>
        <w:tc>
          <w:tcPr>
            <w:tcW w:w="6720" w:type="dxa"/>
            <w:vAlign w:val="bottom"/>
          </w:tcPr>
          <w:p>
            <w:pPr>
              <w:ind w:left="40"/>
              <w:spacing w:after="0"/>
              <w:rPr>
                <w:sz w:val="20"/>
                <w:szCs w:val="20"/>
                <w:color w:val="auto"/>
              </w:rPr>
            </w:pPr>
            <w:r>
              <w:rPr>
                <w:rFonts w:ascii="Arial" w:cs="Arial" w:eastAsia="Arial" w:hAnsi="Arial"/>
                <w:sz w:val="22"/>
                <w:szCs w:val="22"/>
                <w:color w:val="auto"/>
              </w:rPr>
              <w:t>Investments, at fair value</w:t>
            </w:r>
          </w:p>
        </w:tc>
        <w:tc>
          <w:tcPr>
            <w:tcW w:w="540" w:type="dxa"/>
            <w:vAlign w:val="bottom"/>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Pr>
          <w:p>
            <w:pPr>
              <w:jc w:val="right"/>
              <w:ind w:right="12"/>
              <w:spacing w:after="0"/>
              <w:rPr>
                <w:sz w:val="20"/>
                <w:szCs w:val="20"/>
                <w:color w:val="auto"/>
              </w:rPr>
            </w:pPr>
            <w:r>
              <w:rPr>
                <w:rFonts w:ascii="Arial" w:cs="Arial" w:eastAsia="Arial" w:hAnsi="Arial"/>
                <w:sz w:val="22"/>
                <w:szCs w:val="22"/>
                <w:color w:val="auto"/>
              </w:rPr>
              <w:t>1,123,792,411</w:t>
            </w:r>
          </w:p>
        </w:tc>
        <w:tc>
          <w:tcPr>
            <w:tcW w:w="100" w:type="dxa"/>
            <w:vAlign w:val="bottom"/>
          </w:tcPr>
          <w:p>
            <w:pPr>
              <w:spacing w:after="0"/>
              <w:rPr>
                <w:sz w:val="24"/>
                <w:szCs w:val="24"/>
                <w:color w:val="auto"/>
              </w:rPr>
            </w:pPr>
          </w:p>
        </w:tc>
        <w:tc>
          <w:tcPr>
            <w:tcW w:w="540" w:type="dxa"/>
            <w:vAlign w:val="bottom"/>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Pr>
          <w:p>
            <w:pPr>
              <w:jc w:val="right"/>
              <w:spacing w:after="0"/>
              <w:rPr>
                <w:sz w:val="20"/>
                <w:szCs w:val="20"/>
                <w:color w:val="auto"/>
              </w:rPr>
            </w:pPr>
            <w:r>
              <w:rPr>
                <w:rFonts w:ascii="Arial" w:cs="Arial" w:eastAsia="Arial" w:hAnsi="Arial"/>
                <w:sz w:val="22"/>
                <w:szCs w:val="22"/>
                <w:color w:val="auto"/>
              </w:rPr>
              <w:t>1,086,563,457</w:t>
            </w:r>
          </w:p>
        </w:tc>
      </w:tr>
      <w:tr>
        <w:trPr>
          <w:trHeight w:val="299"/>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Notes receivable from participants</w:t>
            </w: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9,096,275</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8,995,688</w:t>
            </w:r>
          </w:p>
        </w:tc>
      </w:tr>
      <w:tr>
        <w:trPr>
          <w:trHeight w:val="295"/>
        </w:trPr>
        <w:tc>
          <w:tcPr>
            <w:tcW w:w="6720" w:type="dxa"/>
            <w:vAlign w:val="bottom"/>
          </w:tcPr>
          <w:p>
            <w:pPr>
              <w:ind w:left="40"/>
              <w:spacing w:after="0"/>
              <w:rPr>
                <w:sz w:val="20"/>
                <w:szCs w:val="20"/>
                <w:color w:val="auto"/>
              </w:rPr>
            </w:pPr>
            <w:r>
              <w:rPr>
                <w:rFonts w:ascii="Arial" w:cs="Arial" w:eastAsia="Arial" w:hAnsi="Arial"/>
                <w:sz w:val="22"/>
                <w:szCs w:val="22"/>
                <w:color w:val="auto"/>
              </w:rPr>
              <w:t>Net assets available for benefits</w:t>
            </w:r>
          </w:p>
        </w:tc>
        <w:tc>
          <w:tcPr>
            <w:tcW w:w="54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1,132,888,686</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1,095,559,145</w:t>
            </w:r>
          </w:p>
        </w:tc>
      </w:tr>
      <w:tr>
        <w:trPr>
          <w:trHeight w:val="20"/>
        </w:trPr>
        <w:tc>
          <w:tcPr>
            <w:tcW w:w="6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7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7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CHANGES IN NET ASSETS AVAILABLE FOR BENEFITS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2014 and 2013</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71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b w:val="1"/>
                <w:bCs w:val="1"/>
                <w:color w:val="auto"/>
              </w:rPr>
              <w:t>2014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b w:val="1"/>
                <w:bCs w:val="1"/>
                <w:color w:val="auto"/>
              </w:rPr>
              <w:t>2013</w:t>
            </w:r>
          </w:p>
        </w:tc>
      </w:tr>
      <w:tr>
        <w:trPr>
          <w:trHeight w:val="284"/>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Additions</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89"/>
        </w:trPr>
        <w:tc>
          <w:tcPr>
            <w:tcW w:w="7180" w:type="dxa"/>
            <w:vAlign w:val="bottom"/>
          </w:tcPr>
          <w:p>
            <w:pPr>
              <w:ind w:left="40"/>
              <w:spacing w:after="0"/>
              <w:rPr>
                <w:sz w:val="20"/>
                <w:szCs w:val="20"/>
                <w:color w:val="auto"/>
              </w:rPr>
            </w:pPr>
            <w:r>
              <w:rPr>
                <w:rFonts w:ascii="Arial" w:cs="Arial" w:eastAsia="Arial" w:hAnsi="Arial"/>
                <w:sz w:val="22"/>
                <w:szCs w:val="22"/>
                <w:color w:val="auto"/>
              </w:rPr>
              <w:t>Investment income:</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06"/>
        </w:trPr>
        <w:tc>
          <w:tcPr>
            <w:tcW w:w="7180" w:type="dxa"/>
            <w:vAlign w:val="bottom"/>
            <w:shd w:val="clear" w:color="auto" w:fill="CCEEFF"/>
          </w:tcPr>
          <w:p>
            <w:pPr>
              <w:ind w:left="200"/>
              <w:spacing w:after="0"/>
              <w:rPr>
                <w:sz w:val="20"/>
                <w:szCs w:val="20"/>
                <w:color w:val="auto"/>
              </w:rPr>
            </w:pPr>
            <w:r>
              <w:rPr>
                <w:rFonts w:ascii="Arial" w:cs="Arial" w:eastAsia="Arial" w:hAnsi="Arial"/>
                <w:sz w:val="22"/>
                <w:szCs w:val="22"/>
                <w:color w:val="auto"/>
              </w:rPr>
              <w:t>Net appreciation in fair value of investments</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36,171,091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8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147,329,758</w:t>
            </w:r>
          </w:p>
        </w:tc>
      </w:tr>
      <w:tr>
        <w:trPr>
          <w:trHeight w:val="291"/>
        </w:trPr>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Dividends, interest and capital gains distributions</w:t>
            </w: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31,362,683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27,728,813</w:t>
            </w:r>
          </w:p>
        </w:tc>
      </w:tr>
      <w:tr>
        <w:trPr>
          <w:trHeight w:val="297"/>
        </w:trPr>
        <w:tc>
          <w:tcPr>
            <w:tcW w:w="71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Net investment income</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67,533,774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175,058,571</w:t>
            </w:r>
          </w:p>
        </w:tc>
      </w:tr>
      <w:tr>
        <w:trPr>
          <w:trHeight w:val="324"/>
        </w:trPr>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7"/>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rPr>
              <w:t>Interest income on notes receivable from participants</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365,402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361,736</w:t>
            </w:r>
          </w:p>
        </w:tc>
      </w:tr>
      <w:tr>
        <w:trPr>
          <w:trHeight w:val="324"/>
        </w:trPr>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7"/>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Contributions:</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89"/>
        </w:trPr>
        <w:tc>
          <w:tcPr>
            <w:tcW w:w="7180" w:type="dxa"/>
            <w:vAlign w:val="bottom"/>
          </w:tcPr>
          <w:p>
            <w:pPr>
              <w:ind w:left="200"/>
              <w:spacing w:after="0"/>
              <w:rPr>
                <w:sz w:val="20"/>
                <w:szCs w:val="20"/>
                <w:color w:val="auto"/>
              </w:rPr>
            </w:pPr>
            <w:r>
              <w:rPr>
                <w:rFonts w:ascii="Arial" w:cs="Arial" w:eastAsia="Arial" w:hAnsi="Arial"/>
                <w:sz w:val="22"/>
                <w:szCs w:val="22"/>
                <w:color w:val="auto"/>
              </w:rPr>
              <w:t>Employer</w:t>
            </w:r>
          </w:p>
        </w:tc>
        <w:tc>
          <w:tcPr>
            <w:tcW w:w="4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24,463,975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23,100,730</w:t>
            </w:r>
          </w:p>
        </w:tc>
      </w:tr>
      <w:tr>
        <w:trPr>
          <w:trHeight w:val="306"/>
        </w:trPr>
        <w:tc>
          <w:tcPr>
            <w:tcW w:w="7180" w:type="dxa"/>
            <w:vAlign w:val="bottom"/>
            <w:shd w:val="clear" w:color="auto" w:fill="CCEEFF"/>
          </w:tcPr>
          <w:p>
            <w:pPr>
              <w:ind w:left="200"/>
              <w:spacing w:after="0"/>
              <w:rPr>
                <w:sz w:val="20"/>
                <w:szCs w:val="20"/>
                <w:color w:val="auto"/>
              </w:rPr>
            </w:pPr>
            <w:r>
              <w:rPr>
                <w:rFonts w:ascii="Arial" w:cs="Arial" w:eastAsia="Arial" w:hAnsi="Arial"/>
                <w:sz w:val="22"/>
                <w:szCs w:val="22"/>
                <w:color w:val="auto"/>
              </w:rPr>
              <w:t>Participant</w:t>
            </w: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33,023,081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30,252,619</w:t>
            </w:r>
          </w:p>
        </w:tc>
      </w:tr>
      <w:tr>
        <w:trPr>
          <w:trHeight w:val="291"/>
        </w:trPr>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Rollover</w:t>
            </w: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1,260,044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1,379,404</w:t>
            </w:r>
          </w:p>
        </w:tc>
      </w:tr>
      <w:tr>
        <w:trPr>
          <w:trHeight w:val="297"/>
        </w:trPr>
        <w:tc>
          <w:tcPr>
            <w:tcW w:w="71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Total contributions</w:t>
            </w:r>
          </w:p>
        </w:tc>
        <w:tc>
          <w:tcPr>
            <w:tcW w:w="42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58,747,100</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54,732,753</w:t>
            </w:r>
          </w:p>
        </w:tc>
      </w:tr>
      <w:tr>
        <w:trPr>
          <w:trHeight w:val="282"/>
        </w:trPr>
        <w:tc>
          <w:tcPr>
            <w:tcW w:w="7180" w:type="dxa"/>
            <w:vAlign w:val="bottom"/>
          </w:tcPr>
          <w:p>
            <w:pPr>
              <w:ind w:left="40"/>
              <w:spacing w:after="0"/>
              <w:rPr>
                <w:sz w:val="20"/>
                <w:szCs w:val="20"/>
                <w:color w:val="auto"/>
              </w:rPr>
            </w:pPr>
            <w:r>
              <w:rPr>
                <w:rFonts w:ascii="Arial" w:cs="Arial" w:eastAsia="Arial" w:hAnsi="Arial"/>
                <w:sz w:val="22"/>
                <w:szCs w:val="22"/>
                <w:color w:val="auto"/>
              </w:rPr>
              <w:t>Total additions</w:t>
            </w:r>
          </w:p>
        </w:tc>
        <w:tc>
          <w:tcPr>
            <w:tcW w:w="4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126,646,276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230,153,060</w:t>
            </w:r>
          </w:p>
        </w:tc>
      </w:tr>
      <w:tr>
        <w:trPr>
          <w:trHeight w:val="306"/>
        </w:trPr>
        <w:tc>
          <w:tcPr>
            <w:tcW w:w="7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89"/>
        </w:trPr>
        <w:tc>
          <w:tcPr>
            <w:tcW w:w="7180" w:type="dxa"/>
            <w:vAlign w:val="bottom"/>
          </w:tcPr>
          <w:p>
            <w:pPr>
              <w:ind w:left="40"/>
              <w:spacing w:after="0"/>
              <w:rPr>
                <w:sz w:val="20"/>
                <w:szCs w:val="20"/>
                <w:color w:val="auto"/>
              </w:rPr>
            </w:pPr>
            <w:r>
              <w:rPr>
                <w:rFonts w:ascii="Arial" w:cs="Arial" w:eastAsia="Arial" w:hAnsi="Arial"/>
                <w:sz w:val="22"/>
                <w:szCs w:val="22"/>
                <w:b w:val="1"/>
                <w:bCs w:val="1"/>
                <w:color w:val="auto"/>
              </w:rPr>
              <w:t>Deductions</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05"/>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rPr>
              <w:t>Benefit payments</w:t>
            </w:r>
          </w:p>
        </w:tc>
        <w:tc>
          <w:tcPr>
            <w:tcW w:w="42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(89,316,735)</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(50,218,271)</w:t>
            </w:r>
          </w:p>
        </w:tc>
      </w:tr>
      <w:tr>
        <w:trPr>
          <w:trHeight w:val="282"/>
        </w:trPr>
        <w:tc>
          <w:tcPr>
            <w:tcW w:w="7180" w:type="dxa"/>
            <w:vAlign w:val="bottom"/>
          </w:tcPr>
          <w:p>
            <w:pPr>
              <w:ind w:left="200"/>
              <w:spacing w:after="0"/>
              <w:rPr>
                <w:sz w:val="20"/>
                <w:szCs w:val="20"/>
                <w:color w:val="auto"/>
              </w:rPr>
            </w:pPr>
            <w:r>
              <w:rPr>
                <w:rFonts w:ascii="Arial" w:cs="Arial" w:eastAsia="Arial" w:hAnsi="Arial"/>
                <w:sz w:val="22"/>
                <w:szCs w:val="22"/>
                <w:color w:val="auto"/>
              </w:rPr>
              <w:t>Net increase in net assets available for benefits</w:t>
            </w:r>
          </w:p>
        </w:tc>
        <w:tc>
          <w:tcPr>
            <w:tcW w:w="4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37,329,541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179,934,789</w:t>
            </w:r>
          </w:p>
        </w:tc>
      </w:tr>
      <w:tr>
        <w:trPr>
          <w:trHeight w:val="333"/>
        </w:trPr>
        <w:tc>
          <w:tcPr>
            <w:tcW w:w="7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91"/>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Net assets available for benefits at beginning of year</w:t>
            </w: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1,095,559,145</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915,624,356</w:t>
            </w:r>
          </w:p>
        </w:tc>
      </w:tr>
      <w:tr>
        <w:trPr>
          <w:trHeight w:val="295"/>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Net assets available for benefits at end of year</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1,132,888,686</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8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1,095,559,145</w:t>
            </w:r>
          </w:p>
        </w:tc>
      </w:tr>
      <w:tr>
        <w:trPr>
          <w:trHeight w:val="20"/>
        </w:trPr>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7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75" w:right="239"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Years ended December 31, 2014 and 2013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Description of Plan</w:t>
      </w:r>
    </w:p>
    <w:p>
      <w:pPr>
        <w:spacing w:after="0" w:line="266" w:lineRule="exact"/>
        <w:rPr>
          <w:sz w:val="20"/>
          <w:szCs w:val="20"/>
          <w:color w:val="auto"/>
        </w:rPr>
      </w:pPr>
    </w:p>
    <w:p>
      <w:pPr>
        <w:ind w:right="100"/>
        <w:spacing w:after="0" w:line="343" w:lineRule="auto"/>
        <w:rPr>
          <w:sz w:val="20"/>
          <w:szCs w:val="20"/>
          <w:color w:val="auto"/>
        </w:rPr>
      </w:pPr>
      <w:r>
        <w:rPr>
          <w:rFonts w:ascii="Arial" w:cs="Arial" w:eastAsia="Arial" w:hAnsi="Arial"/>
          <w:sz w:val="19"/>
          <w:szCs w:val="19"/>
          <w:color w:val="auto"/>
        </w:rPr>
        <w:t>The following description of the Analog Devices, Inc. (the “Company”) The Investment Partnership Plan (the “Plan”) provides only general information. Participants should refer to the Plan agreement for a more complete description of the Plan’s provisions.</w:t>
      </w:r>
    </w:p>
    <w:p>
      <w:pPr>
        <w:spacing w:after="0" w:line="145" w:lineRule="exact"/>
        <w:rPr>
          <w:sz w:val="20"/>
          <w:szCs w:val="20"/>
          <w:color w:val="auto"/>
        </w:rPr>
      </w:pPr>
    </w:p>
    <w:p>
      <w:pPr>
        <w:ind w:right="100" w:firstLine="8"/>
        <w:spacing w:after="0" w:line="253" w:lineRule="auto"/>
        <w:tabs>
          <w:tab w:leader="none" w:pos="216"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General. </w:t>
      </w:r>
      <w:r>
        <w:rPr>
          <w:rFonts w:ascii="Arial" w:cs="Arial" w:eastAsia="Arial" w:hAnsi="Arial"/>
          <w:sz w:val="22"/>
          <w:szCs w:val="22"/>
          <w:color w:val="auto"/>
        </w:rPr>
        <w:t>The Plan is a contributory defined contribution plan sponsored and administered by the Company. The Administrative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(the “Committee”) is responsible for the administration of the plan. It is subject to the provisions of the Employee Retirement Income Security Act of 1974 (“ERISA”).</w:t>
      </w:r>
    </w:p>
    <w:p>
      <w:pPr>
        <w:spacing w:after="0" w:line="226"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In July of 2014 the Company acquired Hittite Microwave Corporation (Hittite). In connection with this acquisition, former Hittite employees who became employees of the Company were eligible to become participants in the Plan. The Plan was amended to credit certain employees vesting service for prior service rendered with Hittite.</w:t>
      </w:r>
    </w:p>
    <w:p>
      <w:pPr>
        <w:spacing w:after="0" w:line="226" w:lineRule="exact"/>
        <w:rPr>
          <w:sz w:val="20"/>
          <w:szCs w:val="20"/>
          <w:color w:val="auto"/>
        </w:rPr>
      </w:pPr>
    </w:p>
    <w:p>
      <w:pPr>
        <w:ind w:right="40" w:firstLine="8"/>
        <w:spacing w:after="0" w:line="271" w:lineRule="auto"/>
        <w:tabs>
          <w:tab w:leader="none" w:pos="216" w:val="left"/>
        </w:tabs>
        <w:numPr>
          <w:ilvl w:val="0"/>
          <w:numId w:val="6"/>
        </w:numPr>
        <w:rPr>
          <w:rFonts w:ascii="Arial" w:cs="Arial" w:eastAsia="Arial" w:hAnsi="Arial"/>
          <w:sz w:val="21"/>
          <w:szCs w:val="21"/>
          <w:color w:val="auto"/>
        </w:rPr>
      </w:pPr>
      <w:r>
        <w:rPr>
          <w:rFonts w:ascii="Arial" w:cs="Arial" w:eastAsia="Arial" w:hAnsi="Arial"/>
          <w:sz w:val="21"/>
          <w:szCs w:val="21"/>
          <w:i w:val="1"/>
          <w:iCs w:val="1"/>
          <w:color w:val="auto"/>
        </w:rPr>
        <w:t xml:space="preserve">Eligibility. </w:t>
      </w:r>
      <w:r>
        <w:rPr>
          <w:rFonts w:ascii="Arial" w:cs="Arial" w:eastAsia="Arial" w:hAnsi="Arial"/>
          <w:sz w:val="21"/>
          <w:szCs w:val="21"/>
          <w:color w:val="auto"/>
        </w:rPr>
        <w:t>Domestic employees of the Company are eligible to participate in the Plan on the first day of employment.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contributions are effective upon the first day following one year of service. For eligibility purposes, a year of service is a 12-month period during which an employee completes at least 1,000 hours of service.</w:t>
      </w:r>
    </w:p>
    <w:p>
      <w:pPr>
        <w:spacing w:after="0" w:line="208" w:lineRule="exact"/>
        <w:rPr>
          <w:rFonts w:ascii="Arial" w:cs="Arial" w:eastAsia="Arial" w:hAnsi="Arial"/>
          <w:sz w:val="21"/>
          <w:szCs w:val="21"/>
          <w:color w:val="auto"/>
        </w:rPr>
      </w:pPr>
    </w:p>
    <w:p>
      <w:pPr>
        <w:ind w:firstLine="8"/>
        <w:spacing w:after="0" w:line="288" w:lineRule="auto"/>
        <w:tabs>
          <w:tab w:leader="none" w:pos="216" w:val="left"/>
        </w:tabs>
        <w:numPr>
          <w:ilvl w:val="0"/>
          <w:numId w:val="6"/>
        </w:numPr>
        <w:rPr>
          <w:rFonts w:ascii="Arial" w:cs="Arial" w:eastAsia="Arial" w:hAnsi="Arial"/>
          <w:sz w:val="19"/>
          <w:szCs w:val="19"/>
          <w:color w:val="auto"/>
        </w:rPr>
      </w:pPr>
      <w:r>
        <w:rPr>
          <w:rFonts w:ascii="Arial" w:cs="Arial" w:eastAsia="Arial" w:hAnsi="Arial"/>
          <w:sz w:val="19"/>
          <w:szCs w:val="19"/>
          <w:i w:val="1"/>
          <w:iCs w:val="1"/>
          <w:color w:val="auto"/>
        </w:rPr>
        <w:t xml:space="preserve">Contributions. </w:t>
      </w:r>
      <w:r>
        <w:rPr>
          <w:rFonts w:ascii="Arial" w:cs="Arial" w:eastAsia="Arial" w:hAnsi="Arial"/>
          <w:sz w:val="19"/>
          <w:szCs w:val="19"/>
          <w:color w:val="auto"/>
        </w:rPr>
        <w:t>Basic contributions are made at the sole discretion of the Company. For 2014 and 2013, the Company made</w:t>
      </w:r>
      <w:r>
        <w:rPr>
          <w:rFonts w:ascii="Arial" w:cs="Arial" w:eastAsia="Arial" w:hAnsi="Arial"/>
          <w:sz w:val="19"/>
          <w:szCs w:val="19"/>
          <w:i w:val="1"/>
          <w:iCs w:val="1"/>
          <w:color w:val="auto"/>
        </w:rPr>
        <w:t xml:space="preserve"> </w:t>
      </w:r>
      <w:r>
        <w:rPr>
          <w:rFonts w:ascii="Arial" w:cs="Arial" w:eastAsia="Arial" w:hAnsi="Arial"/>
          <w:sz w:val="19"/>
          <w:szCs w:val="19"/>
          <w:color w:val="auto"/>
        </w:rPr>
        <w:t>annual basic contributions of 5% of each participant’s total eligible compensation. The Internal Revenue Code limited total eligible compensation to an amount not to exceed $260,000 and $255,000 for 2014 and 2013, respectively. For 2015, this limitation will increase to $265,000. In addition to the basic contribution, the Company matches each participant's pre-tax contribution, if any, by contributing an amount equal to 100% of the first 2% of total eligible pay contributed on a pre-tax basis plus 50% of the next 2%, not to exceed 3% of such participant's total pre-tax eligible compensation. A participant may elect to contribute up to 50% of his or her pre-tax total eligible compensation to the Plan; however, in 2014 and 2013 pre-tax contributions were limited to $17,500. For 2015, this limitation will increase to $18,000. Eligible participants are automatically enrolled in the Plan after sixty days from their employment commencement date, unless they affirmatively decline to participate. If a participant is automatically enrolled, a participant’s pre-tax deferral is set at 4% of pre-tax eligible compensation.</w:t>
      </w:r>
    </w:p>
    <w:p>
      <w:pPr>
        <w:spacing w:after="0" w:line="201"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32" w:right="29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Years ended December 31,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 </w:t>
      </w:r>
      <w:r>
        <w:rPr>
          <w:rFonts w:ascii="Arial" w:cs="Arial" w:eastAsia="Arial" w:hAnsi="Arial"/>
          <w:sz w:val="22"/>
          <w:szCs w:val="22"/>
          <w:i w:val="1"/>
          <w:iCs w:val="1"/>
          <w:color w:val="auto"/>
        </w:rPr>
        <w:t>Investment Options.</w:t>
      </w:r>
      <w:r>
        <w:rPr>
          <w:rFonts w:ascii="Arial" w:cs="Arial" w:eastAsia="Arial" w:hAnsi="Arial"/>
          <w:sz w:val="22"/>
          <w:szCs w:val="22"/>
          <w:color w:val="auto"/>
        </w:rPr>
        <w:t xml:space="preserve"> The investment options of the Plan as of December 31, 2014 are listed below.</w:t>
      </w:r>
    </w:p>
    <w:p>
      <w:pPr>
        <w:spacing w:after="0" w:line="152"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Analog Devices Common Stock*</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Dodge &amp; Cox Global Stock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Dodge &amp; Cox Income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Fidelity Growth Company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Fidelity Institutional Money Market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Fidelity Low-Priced Stock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Oppenheimer Developing Markets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PRIMECAP Odyssey Aggressive Growth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Spartan 500 Index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Spartan Extended Market Index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Spartan International Index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Spartan U.S. Bond Index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BlackRock Strategic Completion Non-Lendable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TIP 2020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TIP 2030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TIP 2040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TIP 2050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TIP 2060 Fund***</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TIP Income Fund***</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*During 2014 this fund was frozen to new contributions.</w:t>
      </w:r>
    </w:p>
    <w:p>
      <w:pPr>
        <w:spacing w:after="0" w:line="22" w:lineRule="exact"/>
        <w:rPr>
          <w:sz w:val="20"/>
          <w:szCs w:val="20"/>
          <w:color w:val="auto"/>
        </w:rPr>
      </w:pPr>
    </w:p>
    <w:p>
      <w:pPr>
        <w:ind w:left="1580" w:hanging="275"/>
        <w:spacing w:after="0"/>
        <w:tabs>
          <w:tab w:leader="none" w:pos="1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Represents core investment options.</w:t>
      </w:r>
    </w:p>
    <w:p>
      <w:pPr>
        <w:spacing w:after="0" w:line="3" w:lineRule="exact"/>
        <w:rPr>
          <w:rFonts w:ascii="Arial" w:cs="Arial" w:eastAsia="Arial" w:hAnsi="Arial"/>
          <w:sz w:val="22"/>
          <w:szCs w:val="22"/>
          <w:color w:val="auto"/>
        </w:rPr>
      </w:pPr>
    </w:p>
    <w:p>
      <w:pPr>
        <w:ind w:left="1300" w:right="180" w:firstLine="5"/>
        <w:spacing w:after="0" w:line="270" w:lineRule="auto"/>
        <w:tabs>
          <w:tab w:leader="none" w:pos="1678" w:val="left"/>
        </w:tabs>
        <w:numPr>
          <w:ilvl w:val="0"/>
          <w:numId w:val="8"/>
        </w:numPr>
        <w:rPr>
          <w:rFonts w:ascii="Arial" w:cs="Arial" w:eastAsia="Arial" w:hAnsi="Arial"/>
          <w:sz w:val="21"/>
          <w:szCs w:val="21"/>
          <w:color w:val="auto"/>
        </w:rPr>
      </w:pPr>
      <w:r>
        <w:rPr>
          <w:rFonts w:ascii="Arial" w:cs="Arial" w:eastAsia="Arial" w:hAnsi="Arial"/>
          <w:sz w:val="21"/>
          <w:szCs w:val="21"/>
          <w:color w:val="auto"/>
        </w:rPr>
        <w:t>Represents Custom Target Retirement Date Funds comprised of varying allocations of the core investment options. Refer to Note E for further information regarding the composition of these funds.</w:t>
      </w:r>
    </w:p>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Additionally, participants have the option to invest assets in a self-directed brokerage service that allows participants access to a wide variety of stocks, bonds, short-term securities and mutual funds.</w:t>
      </w:r>
    </w:p>
    <w:p>
      <w:pPr>
        <w:spacing w:after="0" w:line="1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240" w:top="132" w:right="5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5. </w:t>
      </w:r>
      <w:r>
        <w:rPr>
          <w:rFonts w:ascii="Arial" w:cs="Arial" w:eastAsia="Arial" w:hAnsi="Arial"/>
          <w:sz w:val="19"/>
          <w:szCs w:val="19"/>
          <w:i w:val="1"/>
          <w:iCs w:val="1"/>
          <w:color w:val="auto"/>
        </w:rPr>
        <w:t>Vesting. Participant contributions:</w:t>
      </w:r>
      <w:r>
        <w:rPr>
          <w:rFonts w:ascii="Arial" w:cs="Arial" w:eastAsia="Arial" w:hAnsi="Arial"/>
          <w:sz w:val="19"/>
          <w:szCs w:val="19"/>
          <w:color w:val="auto"/>
        </w:rPr>
        <w:t xml:space="preserve"> Participants are immediately 100% vested in their contributions plus actual earnings thereon.</w:t>
      </w:r>
    </w:p>
    <w:p>
      <w:pPr>
        <w:spacing w:after="0" w:line="200" w:lineRule="exact"/>
        <w:rPr>
          <w:sz w:val="20"/>
          <w:szCs w:val="20"/>
          <w:color w:val="auto"/>
        </w:rPr>
      </w:pPr>
    </w:p>
    <w:p>
      <w:pPr>
        <w:spacing w:after="0" w:line="351" w:lineRule="exact"/>
        <w:rPr>
          <w:sz w:val="20"/>
          <w:szCs w:val="20"/>
          <w:color w:val="auto"/>
        </w:rPr>
      </w:pPr>
    </w:p>
    <w:p>
      <w:pPr>
        <w:jc w:val="both"/>
        <w:ind w:right="240"/>
        <w:spacing w:after="0" w:line="291" w:lineRule="auto"/>
        <w:rPr>
          <w:sz w:val="20"/>
          <w:szCs w:val="20"/>
          <w:color w:val="auto"/>
        </w:rPr>
      </w:pPr>
      <w:r>
        <w:rPr>
          <w:rFonts w:ascii="Arial" w:cs="Arial" w:eastAsia="Arial" w:hAnsi="Arial"/>
          <w:sz w:val="19"/>
          <w:szCs w:val="19"/>
          <w:i w:val="1"/>
          <w:iCs w:val="1"/>
          <w:color w:val="auto"/>
        </w:rPr>
        <w:t xml:space="preserve">Company Contributions: </w:t>
      </w:r>
      <w:r>
        <w:rPr>
          <w:rFonts w:ascii="Arial" w:cs="Arial" w:eastAsia="Arial" w:hAnsi="Arial"/>
          <w:sz w:val="19"/>
          <w:szCs w:val="19"/>
          <w:color w:val="auto"/>
        </w:rPr>
        <w:t>Company basic and match contributions and investment earnings thereon become fully vested upon the</w:t>
      </w:r>
      <w:r>
        <w:rPr>
          <w:rFonts w:ascii="Arial" w:cs="Arial" w:eastAsia="Arial" w:hAnsi="Arial"/>
          <w:sz w:val="19"/>
          <w:szCs w:val="19"/>
          <w:i w:val="1"/>
          <w:iCs w:val="1"/>
          <w:color w:val="auto"/>
        </w:rPr>
        <w:t xml:space="preserve"> </w:t>
      </w:r>
      <w:r>
        <w:rPr>
          <w:rFonts w:ascii="Arial" w:cs="Arial" w:eastAsia="Arial" w:hAnsi="Arial"/>
          <w:sz w:val="19"/>
          <w:szCs w:val="19"/>
          <w:color w:val="auto"/>
        </w:rPr>
        <w:t>first to occur of (i) completion of three years of service with the Company, (ii) attaining age 65 while employed by the Company,</w:t>
      </w:r>
    </w:p>
    <w:p>
      <w:pPr>
        <w:spacing w:after="0" w:line="1" w:lineRule="exact"/>
        <w:rPr>
          <w:sz w:val="20"/>
          <w:szCs w:val="20"/>
          <w:color w:val="auto"/>
        </w:rPr>
      </w:pPr>
    </w:p>
    <w:p>
      <w:pPr>
        <w:ind w:right="60" w:firstLine="8"/>
        <w:spacing w:after="0" w:line="246" w:lineRule="auto"/>
        <w:tabs>
          <w:tab w:leader="none" w:pos="378" w:val="left"/>
        </w:tabs>
        <w:numPr>
          <w:ilvl w:val="0"/>
          <w:numId w:val="9"/>
        </w:numPr>
        <w:rPr>
          <w:rFonts w:ascii="Arial" w:cs="Arial" w:eastAsia="Arial" w:hAnsi="Arial"/>
          <w:sz w:val="22"/>
          <w:szCs w:val="22"/>
          <w:color w:val="auto"/>
        </w:rPr>
      </w:pPr>
      <w:r>
        <w:rPr>
          <w:rFonts w:ascii="Arial" w:cs="Arial" w:eastAsia="Arial" w:hAnsi="Arial"/>
          <w:sz w:val="22"/>
          <w:szCs w:val="22"/>
          <w:color w:val="auto"/>
        </w:rPr>
        <w:t>death or permanent disability while employed by the Company or (iv) if employment is terminated by the Company due to job elimination, the closing of a facility or as the result of the disposition of a business unit.</w:t>
      </w:r>
    </w:p>
    <w:p>
      <w:pPr>
        <w:spacing w:after="0" w:line="233" w:lineRule="exact"/>
        <w:rPr>
          <w:sz w:val="20"/>
          <w:szCs w:val="20"/>
          <w:color w:val="auto"/>
        </w:rPr>
      </w:pPr>
    </w:p>
    <w:p>
      <w:pPr>
        <w:ind w:right="180" w:firstLine="8"/>
        <w:spacing w:after="0" w:line="246" w:lineRule="auto"/>
        <w:tabs>
          <w:tab w:leader="none" w:pos="216"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 xml:space="preserve">Benefits. </w:t>
      </w:r>
      <w:r>
        <w:rPr>
          <w:rFonts w:ascii="Arial" w:cs="Arial" w:eastAsia="Arial" w:hAnsi="Arial"/>
          <w:sz w:val="22"/>
          <w:szCs w:val="22"/>
          <w:color w:val="auto"/>
        </w:rPr>
        <w:t>Upon normal retirement at age 65, death, permanent disability or termination of employment, the participant's vested</w:t>
      </w:r>
      <w:r>
        <w:rPr>
          <w:rFonts w:ascii="Arial" w:cs="Arial" w:eastAsia="Arial" w:hAnsi="Arial"/>
          <w:sz w:val="22"/>
          <w:szCs w:val="22"/>
          <w:i w:val="1"/>
          <w:iCs w:val="1"/>
          <w:color w:val="auto"/>
        </w:rPr>
        <w:t xml:space="preserve"> </w:t>
      </w:r>
      <w:r>
        <w:rPr>
          <w:rFonts w:ascii="Arial" w:cs="Arial" w:eastAsia="Arial" w:hAnsi="Arial"/>
          <w:sz w:val="22"/>
          <w:szCs w:val="22"/>
          <w:color w:val="auto"/>
        </w:rPr>
        <w:t>benefits are paid to the 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$1,000 upon termination of employment, distribution will be made in the form of a lump-sum payment within one year following termination of employment. A participant may request an in-service withdrawal for any reason after he or she attains age 59 1/2. In addition, the Plan will allow hardship withdrawals (as defined by the Plan).</w:t>
      </w:r>
    </w:p>
    <w:p>
      <w:pPr>
        <w:spacing w:after="0" w:line="237" w:lineRule="exact"/>
        <w:rPr>
          <w:rFonts w:ascii="Arial" w:cs="Arial" w:eastAsia="Arial" w:hAnsi="Arial"/>
          <w:sz w:val="22"/>
          <w:szCs w:val="22"/>
          <w:color w:val="auto"/>
        </w:rPr>
      </w:pPr>
    </w:p>
    <w:p>
      <w:pPr>
        <w:jc w:val="both"/>
        <w:ind w:right="60" w:firstLine="8"/>
        <w:spacing w:after="0" w:line="297" w:lineRule="auto"/>
        <w:tabs>
          <w:tab w:leader="none" w:pos="216"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 xml:space="preserve">Notes Receivable from Participants. </w:t>
      </w:r>
      <w:r>
        <w:rPr>
          <w:rFonts w:ascii="Arial" w:cs="Arial" w:eastAsia="Arial" w:hAnsi="Arial"/>
          <w:sz w:val="19"/>
          <w:szCs w:val="19"/>
          <w:color w:val="auto"/>
        </w:rPr>
        <w:t>Participants may borrow the lesser of 50% of the vested account balance, as defined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plan, or $50,000 less the highest outstanding loan balance over the prior 12 months. Participants repay loans, plus interest to their accounts through payroll deductions, generally over a five-year period unless the loan is for the purchase of a primary residence, in which case the repayment period may be extended up to a maximum of twenty years. The interest rate on loans is set quarterly and remains fixed for the duration of the loan. The interest rate is Prime plus 1% for all loans (4.25% at December 31, 2014 and 2013).</w:t>
      </w:r>
    </w:p>
    <w:p>
      <w:pPr>
        <w:spacing w:after="0" w:line="187" w:lineRule="exact"/>
        <w:rPr>
          <w:rFonts w:ascii="Arial" w:cs="Arial" w:eastAsia="Arial" w:hAnsi="Arial"/>
          <w:sz w:val="19"/>
          <w:szCs w:val="19"/>
          <w:color w:val="auto"/>
        </w:rPr>
      </w:pPr>
    </w:p>
    <w:p>
      <w:pPr>
        <w:ind w:firstLine="8"/>
        <w:spacing w:after="0" w:line="288" w:lineRule="auto"/>
        <w:tabs>
          <w:tab w:leader="none" w:pos="216"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 xml:space="preserve">Accounting. </w:t>
      </w:r>
      <w:r>
        <w:rPr>
          <w:rFonts w:ascii="Arial" w:cs="Arial" w:eastAsia="Arial" w:hAnsi="Arial"/>
          <w:sz w:val="19"/>
          <w:szCs w:val="19"/>
          <w:color w:val="auto"/>
        </w:rPr>
        <w:t>A separate account is maintained for each participant. Account balances are adjusted periodically for participant and</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contributions, withdrawals and a pro rata share of net investment income or loss. Forfeitures that arise when participants terminate employment with the Company prior to vesting are used to offset future Company contributions and administrative expenses of the Plan. If an employee who had terminated returns to the employment of the Company within five years, any amount that had been forfeited will be reinstated by the Company. The benefit to which a participant is entitled is the benefit that can be provided from the participant’s vested account. Unallocated forfeiture balances as of December 31, 2014 and 2013 were $284,800 and $115,968, respectively, and forfeitures used to reduce Company contributions for 2014 and 2013 were $105,723 and $300,852, respectively. 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200" w:lineRule="exact"/>
        <w:rPr>
          <w:rFonts w:ascii="Arial" w:cs="Arial" w:eastAsia="Arial" w:hAnsi="Arial"/>
          <w:sz w:val="19"/>
          <w:szCs w:val="19"/>
          <w:color w:val="auto"/>
        </w:rPr>
      </w:pPr>
    </w:p>
    <w:p>
      <w:pPr>
        <w:ind w:right="180" w:firstLine="8"/>
        <w:spacing w:after="0" w:line="302" w:lineRule="auto"/>
        <w:tabs>
          <w:tab w:leader="none" w:pos="216"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 xml:space="preserve">Investment allocation. </w:t>
      </w:r>
      <w:r>
        <w:rPr>
          <w:rFonts w:ascii="Arial" w:cs="Arial" w:eastAsia="Arial" w:hAnsi="Arial"/>
          <w:sz w:val="19"/>
          <w:szCs w:val="19"/>
          <w:color w:val="auto"/>
        </w:rPr>
        <w:t>The vested and nonvested share of a participant's account balance is invested in one or more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 options depending upon the allocation instructions of the participant. In the absence of such allocation instructions, all amounts accruing to the participant are invested in a Custom Target Retirement Date Fund as the Qualified Default Investment Alternative (QDIA), based on their projected retirement time frame. Participants may change this election at any time.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2"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2014 and 2013</w:t>
      </w:r>
    </w:p>
    <w:p>
      <w:pPr>
        <w:spacing w:after="0" w:line="200" w:lineRule="exact"/>
        <w:rPr>
          <w:sz w:val="20"/>
          <w:szCs w:val="20"/>
          <w:color w:val="auto"/>
        </w:rPr>
      </w:pPr>
    </w:p>
    <w:p>
      <w:pPr>
        <w:spacing w:after="0" w:line="285" w:lineRule="exact"/>
        <w:rPr>
          <w:sz w:val="20"/>
          <w:szCs w:val="20"/>
          <w:color w:val="auto"/>
        </w:rPr>
      </w:pPr>
    </w:p>
    <w:p>
      <w:pPr>
        <w:ind w:right="140" w:firstLine="8"/>
        <w:spacing w:after="0" w:line="253" w:lineRule="auto"/>
        <w:tabs>
          <w:tab w:leader="none" w:pos="324"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Continuation of the Plan</w:t>
      </w:r>
      <w:r>
        <w:rPr>
          <w:rFonts w:ascii="Arial" w:cs="Arial" w:eastAsia="Arial" w:hAnsi="Arial"/>
          <w:sz w:val="22"/>
          <w:szCs w:val="22"/>
          <w:color w:val="auto"/>
        </w:rPr>
        <w:t>. While the Company has not expressed any intent to terminate the Plan or suspend contributions, it is</w:t>
      </w:r>
      <w:r>
        <w:rPr>
          <w:rFonts w:ascii="Arial" w:cs="Arial" w:eastAsia="Arial" w:hAnsi="Arial"/>
          <w:sz w:val="22"/>
          <w:szCs w:val="22"/>
          <w:i w:val="1"/>
          <w:iCs w:val="1"/>
          <w:color w:val="auto"/>
        </w:rPr>
        <w:t xml:space="preserve"> </w:t>
      </w:r>
      <w:r>
        <w:rPr>
          <w:rFonts w:ascii="Arial" w:cs="Arial" w:eastAsia="Arial" w:hAnsi="Arial"/>
          <w:sz w:val="22"/>
          <w:szCs w:val="22"/>
          <w:color w:val="auto"/>
        </w:rPr>
        <w:t>free to do so at any time. In the event of such termination or suspension, each participant will become 100% vested and have a nonforfeitable right to all monies in his or her account.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Summary of Significant Accounting Policies</w:t>
      </w:r>
    </w:p>
    <w:p>
      <w:pPr>
        <w:spacing w:after="0" w:line="266"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 xml:space="preserve">Basis of presentation. </w:t>
      </w:r>
      <w:r>
        <w:rPr>
          <w:rFonts w:ascii="Arial" w:cs="Arial" w:eastAsia="Arial" w:hAnsi="Arial"/>
          <w:sz w:val="21"/>
          <w:szCs w:val="21"/>
          <w:color w:val="auto"/>
        </w:rPr>
        <w:t>The accompanying financial statements have been prepared on the accrual basis of accounting.</w:t>
      </w:r>
    </w:p>
    <w:p>
      <w:pPr>
        <w:spacing w:after="0" w:line="271" w:lineRule="exact"/>
        <w:rPr>
          <w:rFonts w:ascii="Arial" w:cs="Arial" w:eastAsia="Arial" w:hAnsi="Arial"/>
          <w:sz w:val="21"/>
          <w:szCs w:val="21"/>
          <w:color w:val="auto"/>
        </w:rPr>
      </w:pPr>
    </w:p>
    <w:p>
      <w:pPr>
        <w:ind w:right="380" w:firstLine="8"/>
        <w:spacing w:after="0" w:line="263" w:lineRule="auto"/>
        <w:tabs>
          <w:tab w:leader="none" w:pos="216"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 xml:space="preserve">Notes receivable from participants. </w:t>
      </w:r>
      <w:r>
        <w:rPr>
          <w:rFonts w:ascii="Arial" w:cs="Arial" w:eastAsia="Arial" w:hAnsi="Arial"/>
          <w:sz w:val="21"/>
          <w:szCs w:val="21"/>
          <w:color w:val="auto"/>
        </w:rPr>
        <w:t>Notes receivable from participants represent participant loans that are recorded at their</w:t>
      </w:r>
      <w:r>
        <w:rPr>
          <w:rFonts w:ascii="Arial" w:cs="Arial" w:eastAsia="Arial" w:hAnsi="Arial"/>
          <w:sz w:val="21"/>
          <w:szCs w:val="21"/>
          <w:i w:val="1"/>
          <w:iCs w:val="1"/>
          <w:color w:val="auto"/>
        </w:rPr>
        <w:t xml:space="preserve"> </w:t>
      </w:r>
      <w:r>
        <w:rPr>
          <w:rFonts w:ascii="Arial" w:cs="Arial" w:eastAsia="Arial" w:hAnsi="Arial"/>
          <w:sz w:val="21"/>
          <w:szCs w:val="21"/>
          <w:color w:val="auto"/>
        </w:rPr>
        <w:t>unpaid principal balance plus any accrued but unpaid interest. Interest income on notes receivable from participants is recorded when it is earned. No allowance for credit losses has been recorded as of December 31, 2014 or 2013. If a participant ceases to make loan repayments and the plan administrator deems the participant loan to be a distribution, the participant loan balance is reduced and a benefit payment is recorded.</w:t>
      </w:r>
    </w:p>
    <w:p>
      <w:pPr>
        <w:spacing w:after="0" w:line="216" w:lineRule="exact"/>
        <w:rPr>
          <w:rFonts w:ascii="Arial" w:cs="Arial" w:eastAsia="Arial" w:hAnsi="Arial"/>
          <w:sz w:val="21"/>
          <w:szCs w:val="21"/>
          <w:color w:val="auto"/>
        </w:rPr>
      </w:pPr>
    </w:p>
    <w:p>
      <w:pPr>
        <w:ind w:right="260" w:firstLine="8"/>
        <w:spacing w:after="0" w:line="289" w:lineRule="auto"/>
        <w:tabs>
          <w:tab w:leader="none" w:pos="216"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 xml:space="preserve">Investments. </w:t>
      </w:r>
      <w:r>
        <w:rPr>
          <w:rFonts w:ascii="Arial" w:cs="Arial" w:eastAsia="Arial" w:hAnsi="Arial"/>
          <w:sz w:val="19"/>
          <w:szCs w:val="19"/>
          <w:color w:val="auto"/>
        </w:rPr>
        <w:t>Investments are reported at fair value. Fair value is defined as the price that would be received to sell an asset or</w:t>
      </w:r>
      <w:r>
        <w:rPr>
          <w:rFonts w:ascii="Arial" w:cs="Arial" w:eastAsia="Arial" w:hAnsi="Arial"/>
          <w:sz w:val="19"/>
          <w:szCs w:val="19"/>
          <w:i w:val="1"/>
          <w:iCs w:val="1"/>
          <w:color w:val="auto"/>
        </w:rPr>
        <w:t xml:space="preserve"> </w:t>
      </w:r>
      <w:r>
        <w:rPr>
          <w:rFonts w:ascii="Arial" w:cs="Arial" w:eastAsia="Arial" w:hAnsi="Arial"/>
          <w:sz w:val="19"/>
          <w:szCs w:val="19"/>
          <w:color w:val="auto"/>
        </w:rPr>
        <w:t>paid to transfer a liability in an orderly transaction between market participants at the measurement date (an exit price). Plan management is responsible for determining the Plan's valuation policies and analyzing information provided by the investment custodians and issuers that is used to determine the fair value of the Plan's investments. Plan management applies a three level hierarchy which prioritizes the inputs to valuation techniques used to measure fair value into three levels and bases the categorization of investments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 See Note E for further discussion and disclosures related to fair value measurements.</w:t>
      </w:r>
    </w:p>
    <w:p>
      <w:pPr>
        <w:spacing w:after="0" w:line="198" w:lineRule="exact"/>
        <w:rPr>
          <w:rFonts w:ascii="Arial" w:cs="Arial" w:eastAsia="Arial" w:hAnsi="Arial"/>
          <w:sz w:val="19"/>
          <w:szCs w:val="19"/>
          <w:color w:val="auto"/>
        </w:rPr>
      </w:pPr>
    </w:p>
    <w:p>
      <w:pPr>
        <w:ind w:firstLine="8"/>
        <w:spacing w:after="0" w:line="253" w:lineRule="auto"/>
        <w:tabs>
          <w:tab w:leader="none" w:pos="216" w:val="left"/>
        </w:tabs>
        <w:numPr>
          <w:ilvl w:val="0"/>
          <w:numId w:val="12"/>
        </w:numPr>
        <w:rPr>
          <w:rFonts w:ascii="Arial" w:cs="Arial" w:eastAsia="Arial" w:hAnsi="Arial"/>
          <w:sz w:val="22"/>
          <w:szCs w:val="22"/>
          <w:color w:val="auto"/>
        </w:rPr>
      </w:pPr>
      <w:r>
        <w:rPr>
          <w:rFonts w:ascii="Arial" w:cs="Arial" w:eastAsia="Arial" w:hAnsi="Arial"/>
          <w:sz w:val="22"/>
          <w:szCs w:val="22"/>
          <w:i w:val="1"/>
          <w:iCs w:val="1"/>
          <w:color w:val="auto"/>
        </w:rPr>
        <w:t xml:space="preserve">Contributions. </w:t>
      </w:r>
      <w:r>
        <w:rPr>
          <w:rFonts w:ascii="Arial" w:cs="Arial" w:eastAsia="Arial" w:hAnsi="Arial"/>
          <w:sz w:val="22"/>
          <w:szCs w:val="22"/>
          <w:color w:val="auto"/>
        </w:rPr>
        <w:t>Contributions from participants are recorded when the Company makes payroll deductions from plan participants.</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contributions are accrued at the end of the period in which they become obligations of the Company based upon the terms of the Plan.</w:t>
      </w:r>
    </w:p>
    <w:p>
      <w:pPr>
        <w:spacing w:after="0" w:line="226" w:lineRule="exact"/>
        <w:rPr>
          <w:rFonts w:ascii="Arial" w:cs="Arial" w:eastAsia="Arial" w:hAnsi="Arial"/>
          <w:sz w:val="22"/>
          <w:szCs w:val="22"/>
          <w:color w:val="auto"/>
        </w:rPr>
      </w:pPr>
    </w:p>
    <w:p>
      <w:pPr>
        <w:ind w:right="100" w:firstLine="8"/>
        <w:spacing w:after="0" w:line="297" w:lineRule="auto"/>
        <w:tabs>
          <w:tab w:leader="none" w:pos="216"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 xml:space="preserve">Investment income. </w:t>
      </w:r>
      <w:r>
        <w:rPr>
          <w:rFonts w:ascii="Arial" w:cs="Arial" w:eastAsia="Arial" w:hAnsi="Arial"/>
          <w:sz w:val="19"/>
          <w:szCs w:val="19"/>
          <w:color w:val="auto"/>
        </w:rPr>
        <w:t>Net investment income consists of dividends, interest and capital gains distributions, realized gains or losses</w:t>
      </w:r>
      <w:r>
        <w:rPr>
          <w:rFonts w:ascii="Arial" w:cs="Arial" w:eastAsia="Arial" w:hAnsi="Arial"/>
          <w:sz w:val="19"/>
          <w:szCs w:val="19"/>
          <w:i w:val="1"/>
          <w:iCs w:val="1"/>
          <w:color w:val="auto"/>
        </w:rPr>
        <w:t xml:space="preserve"> </w:t>
      </w:r>
      <w:r>
        <w:rPr>
          <w:rFonts w:ascii="Arial" w:cs="Arial" w:eastAsia="Arial" w:hAnsi="Arial"/>
          <w:sz w:val="19"/>
          <w:szCs w:val="19"/>
          <w:color w:val="auto"/>
        </w:rPr>
        <w:t>on sales of investments and the change in net unrealized appreciation (depreciation) between the cost and market value of investments at the beginning and end of the period. Purchases and sales of securities are recorded on a trade-date basis. Dividends are recorded on the ex-dividend date. Interest income is recorded as earned. Net appreciation (depreciation) includes the Plan’s gains and losses on investments bought and sold as well as held during the year.</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dividends, interest and capital gains distributions are reinvested in the respective funds and are recorded as earned on an accrual basis.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 </w:t>
      </w:r>
      <w:r>
        <w:rPr>
          <w:rFonts w:ascii="Arial" w:cs="Arial" w:eastAsia="Arial" w:hAnsi="Arial"/>
          <w:sz w:val="22"/>
          <w:szCs w:val="22"/>
          <w:i w:val="1"/>
          <w:iCs w:val="1"/>
          <w:color w:val="auto"/>
        </w:rPr>
        <w:t>Benefit Payments</w:t>
      </w:r>
      <w:r>
        <w:rPr>
          <w:rFonts w:ascii="Arial" w:cs="Arial" w:eastAsia="Arial" w:hAnsi="Arial"/>
          <w:sz w:val="22"/>
          <w:szCs w:val="22"/>
          <w:color w:val="auto"/>
        </w:rPr>
        <w:t>. Benefits are recorded when paid.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2"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Years ended December 31, 2014 and 2013</w:t>
      </w:r>
    </w:p>
    <w:p>
      <w:pPr>
        <w:spacing w:after="0" w:line="229" w:lineRule="exact"/>
        <w:rPr>
          <w:sz w:val="20"/>
          <w:szCs w:val="20"/>
          <w:color w:val="auto"/>
        </w:rPr>
      </w:pPr>
    </w:p>
    <w:p>
      <w:pPr>
        <w:ind w:right="40" w:firstLine="8"/>
        <w:spacing w:after="0" w:line="261" w:lineRule="auto"/>
        <w:tabs>
          <w:tab w:leader="none" w:pos="216" w:val="left"/>
        </w:tabs>
        <w:numPr>
          <w:ilvl w:val="0"/>
          <w:numId w:val="13"/>
        </w:numPr>
        <w:rPr>
          <w:rFonts w:ascii="Arial" w:cs="Arial" w:eastAsia="Arial" w:hAnsi="Arial"/>
          <w:sz w:val="21"/>
          <w:szCs w:val="21"/>
          <w:color w:val="auto"/>
        </w:rPr>
      </w:pPr>
      <w:r>
        <w:rPr>
          <w:rFonts w:ascii="Arial" w:cs="Arial" w:eastAsia="Arial" w:hAnsi="Arial"/>
          <w:sz w:val="21"/>
          <w:szCs w:val="21"/>
          <w:i w:val="1"/>
          <w:iCs w:val="1"/>
          <w:color w:val="auto"/>
        </w:rPr>
        <w:t xml:space="preserve">Income tax status. </w:t>
      </w:r>
      <w:r>
        <w:rPr>
          <w:rFonts w:ascii="Arial" w:cs="Arial" w:eastAsia="Arial" w:hAnsi="Arial"/>
          <w:sz w:val="21"/>
          <w:szCs w:val="21"/>
          <w:color w:val="auto"/>
        </w:rPr>
        <w:t>The Plan has received a determination letter from the Internal Revenue Service (IRS), dated April 10, 2012,</w:t>
      </w:r>
      <w:r>
        <w:rPr>
          <w:rFonts w:ascii="Arial" w:cs="Arial" w:eastAsia="Arial" w:hAnsi="Arial"/>
          <w:sz w:val="21"/>
          <w:szCs w:val="21"/>
          <w:i w:val="1"/>
          <w:iCs w:val="1"/>
          <w:color w:val="auto"/>
        </w:rPr>
        <w:t xml:space="preserve"> </w:t>
      </w:r>
      <w:r>
        <w:rPr>
          <w:rFonts w:ascii="Arial" w:cs="Arial" w:eastAsia="Arial" w:hAnsi="Arial"/>
          <w:sz w:val="21"/>
          <w:szCs w:val="21"/>
          <w:color w:val="auto"/>
        </w:rPr>
        <w:t>stating that the Plan is qualified under Section 401(a) of the Internal Revenue Code (the Code) and therefore the related trust is exempt from taxation. Subsequent to this determination by the Internal Revenue Service, the Plan was amended and restated. Once qualified, the Plan is required to operate in conformity with the Code to maintain its qualified status. The Committee believes the Plan is being operated in compliance with the applicable requirements of the Code and therefore believes that the Plan, as restated, is qualified and the related trust is tax exempt.</w:t>
      </w:r>
    </w:p>
    <w:p>
      <w:pPr>
        <w:spacing w:after="0" w:line="221" w:lineRule="exact"/>
        <w:rPr>
          <w:sz w:val="20"/>
          <w:szCs w:val="20"/>
          <w:color w:val="auto"/>
        </w:rPr>
      </w:pPr>
    </w:p>
    <w:p>
      <w:pPr>
        <w:ind w:right="240"/>
        <w:spacing w:after="0" w:line="260" w:lineRule="auto"/>
        <w:rPr>
          <w:sz w:val="20"/>
          <w:szCs w:val="20"/>
          <w:color w:val="auto"/>
        </w:rPr>
      </w:pPr>
      <w:r>
        <w:rPr>
          <w:rFonts w:ascii="Arial" w:cs="Arial" w:eastAsia="Arial" w:hAnsi="Arial"/>
          <w:sz w:val="21"/>
          <w:szCs w:val="21"/>
          <w:color w:val="auto"/>
        </w:rPr>
        <w:t>Accounting principles generally accepted in the United States (U.S. GAAP)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2014, there are no uncertain positions.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2011.</w:t>
      </w:r>
    </w:p>
    <w:p>
      <w:pPr>
        <w:spacing w:after="0" w:line="222" w:lineRule="exact"/>
        <w:rPr>
          <w:sz w:val="20"/>
          <w:szCs w:val="20"/>
          <w:color w:val="auto"/>
        </w:rPr>
      </w:pPr>
    </w:p>
    <w:p>
      <w:pPr>
        <w:ind w:right="20" w:firstLine="8"/>
        <w:spacing w:after="0" w:line="263" w:lineRule="auto"/>
        <w:tabs>
          <w:tab w:leader="none" w:pos="216" w:val="left"/>
        </w:tabs>
        <w:numPr>
          <w:ilvl w:val="0"/>
          <w:numId w:val="14"/>
        </w:numPr>
        <w:rPr>
          <w:rFonts w:ascii="Arial" w:cs="Arial" w:eastAsia="Arial" w:hAnsi="Arial"/>
          <w:sz w:val="21"/>
          <w:szCs w:val="21"/>
          <w:color w:val="auto"/>
        </w:rPr>
      </w:pPr>
      <w:r>
        <w:rPr>
          <w:rFonts w:ascii="Arial" w:cs="Arial" w:eastAsia="Arial" w:hAnsi="Arial"/>
          <w:sz w:val="21"/>
          <w:szCs w:val="21"/>
          <w:i w:val="1"/>
          <w:iCs w:val="1"/>
          <w:color w:val="auto"/>
        </w:rPr>
        <w:t xml:space="preserve">Related Party. </w:t>
      </w:r>
      <w:r>
        <w:rPr>
          <w:rFonts w:ascii="Arial" w:cs="Arial" w:eastAsia="Arial" w:hAnsi="Arial"/>
          <w:sz w:val="21"/>
          <w:szCs w:val="21"/>
          <w:color w:val="auto"/>
        </w:rPr>
        <w:t>Certain Plan investments are shares of mutual funds managed by Fidelity Management and Research (FMR)</w:t>
      </w:r>
      <w:r>
        <w:rPr>
          <w:rFonts w:ascii="Arial" w:cs="Arial" w:eastAsia="Arial" w:hAnsi="Arial"/>
          <w:sz w:val="21"/>
          <w:szCs w:val="21"/>
          <w:i w:val="1"/>
          <w:iCs w:val="1"/>
          <w:color w:val="auto"/>
        </w:rPr>
        <w:t xml:space="preserve"> </w:t>
      </w:r>
      <w:r>
        <w:rPr>
          <w:rFonts w:ascii="Arial" w:cs="Arial" w:eastAsia="Arial" w:hAnsi="Arial"/>
          <w:sz w:val="21"/>
          <w:szCs w:val="21"/>
          <w:color w:val="auto"/>
        </w:rPr>
        <w:t>Corporation. FMR Corporation is a related party to the trustee and recordkeeper of the Plan and therefore these transactions qualify as party-in-interest transactions. However, these transactions are exempt from the prohibited transaction rules under ERISA. Fees paid by the Company to the trustee and recordkeeper for administrative expenses amounted to $4,500 and $5,400 for the years ended December 31, 2014 and 2013, respectively.</w:t>
      </w:r>
    </w:p>
    <w:p>
      <w:pPr>
        <w:spacing w:after="0" w:line="216"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The Plan also offers the Analog Devices Common Stock investment option which was frozen to new contributions during 2014. This investment option is designed for investment in the common stock of the Company. In addition, some of the other investment options in the Plan may hold the Company’s Common stock. These transactions qualify as party-in-interest transactions. At December 31, 2014 and 2013, the Plan recorded dividend income from Analog Devices Stock of $2,630,160 and $2,661,545,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Notes receivable from participants also qualify as party-in-interest transactions.</w:t>
      </w:r>
    </w:p>
    <w:p>
      <w:pPr>
        <w:spacing w:after="0" w:line="260" w:lineRule="exact"/>
        <w:rPr>
          <w:sz w:val="20"/>
          <w:szCs w:val="20"/>
          <w:color w:val="auto"/>
        </w:rPr>
      </w:pPr>
    </w:p>
    <w:p>
      <w:pPr>
        <w:ind w:right="180" w:firstLine="8"/>
        <w:spacing w:after="0" w:line="263" w:lineRule="auto"/>
        <w:tabs>
          <w:tab w:leader="none" w:pos="216" w:val="left"/>
        </w:tabs>
        <w:numPr>
          <w:ilvl w:val="0"/>
          <w:numId w:val="15"/>
        </w:numPr>
        <w:rPr>
          <w:rFonts w:ascii="Arial" w:cs="Arial" w:eastAsia="Arial" w:hAnsi="Arial"/>
          <w:sz w:val="21"/>
          <w:szCs w:val="21"/>
          <w:color w:val="auto"/>
        </w:rPr>
      </w:pPr>
      <w:r>
        <w:rPr>
          <w:rFonts w:ascii="Arial" w:cs="Arial" w:eastAsia="Arial" w:hAnsi="Arial"/>
          <w:sz w:val="21"/>
          <w:szCs w:val="21"/>
          <w:i w:val="1"/>
          <w:iCs w:val="1"/>
          <w:color w:val="auto"/>
        </w:rPr>
        <w:t xml:space="preserve">Administrative expenses. </w:t>
      </w:r>
      <w:r>
        <w:rPr>
          <w:rFonts w:ascii="Arial" w:cs="Arial" w:eastAsia="Arial" w:hAnsi="Arial"/>
          <w:sz w:val="21"/>
          <w:szCs w:val="21"/>
          <w:color w:val="auto"/>
        </w:rPr>
        <w:t>The Plan's administrative expenses are paid by either the Plan or the Company, as provided by the</w:t>
      </w:r>
      <w:r>
        <w:rPr>
          <w:rFonts w:ascii="Arial" w:cs="Arial" w:eastAsia="Arial" w:hAnsi="Arial"/>
          <w:sz w:val="21"/>
          <w:szCs w:val="21"/>
          <w:i w:val="1"/>
          <w:iCs w:val="1"/>
          <w:color w:val="auto"/>
        </w:rPr>
        <w:t xml:space="preserve"> </w:t>
      </w:r>
      <w:r>
        <w:rPr>
          <w:rFonts w:ascii="Arial" w:cs="Arial" w:eastAsia="Arial" w:hAnsi="Arial"/>
          <w:sz w:val="21"/>
          <w:szCs w:val="21"/>
          <w:color w:val="auto"/>
        </w:rPr>
        <w:t>Plan's provisions. Administrative expenses paid by the Plan include recordkeeping, trustee, and advisor fees. Expenses relating to purchases, sales or transfers of the Plan's investments are charged to the particular investment fund to which the expenses relate. Certain expenses resulting from participant loans and investment fees are deducted directly from participant accounts. All other administrative expenses of the Plan are paid by the Company.</w:t>
      </w:r>
    </w:p>
    <w:p>
      <w:pPr>
        <w:spacing w:after="0" w:line="216" w:lineRule="exact"/>
        <w:rPr>
          <w:rFonts w:ascii="Arial" w:cs="Arial" w:eastAsia="Arial" w:hAnsi="Arial"/>
          <w:sz w:val="21"/>
          <w:szCs w:val="21"/>
          <w:color w:val="auto"/>
        </w:rPr>
      </w:pPr>
    </w:p>
    <w:p>
      <w:pPr>
        <w:ind w:firstLine="8"/>
        <w:spacing w:after="0" w:line="312" w:lineRule="auto"/>
        <w:tabs>
          <w:tab w:leader="none" w:pos="324"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 xml:space="preserve">Use of estimates. </w:t>
      </w:r>
      <w:r>
        <w:rPr>
          <w:rFonts w:ascii="Arial" w:cs="Arial" w:eastAsia="Arial" w:hAnsi="Arial"/>
          <w:sz w:val="19"/>
          <w:szCs w:val="19"/>
          <w:color w:val="auto"/>
        </w:rPr>
        <w:t>The preparation of financial statements in conformity with U.S. GAAP requires management to make</w:t>
      </w:r>
      <w:r>
        <w:rPr>
          <w:rFonts w:ascii="Arial" w:cs="Arial" w:eastAsia="Arial" w:hAnsi="Arial"/>
          <w:sz w:val="19"/>
          <w:szCs w:val="19"/>
          <w:i w:val="1"/>
          <w:iCs w:val="1"/>
          <w:color w:val="auto"/>
        </w:rPr>
        <w:t xml:space="preserve"> </w:t>
      </w:r>
      <w:r>
        <w:rPr>
          <w:rFonts w:ascii="Arial" w:cs="Arial" w:eastAsia="Arial" w:hAnsi="Arial"/>
          <w:sz w:val="19"/>
          <w:szCs w:val="19"/>
          <w:color w:val="auto"/>
        </w:rPr>
        <w:t>estimates that affect the reported amounts of assets and liabilities at the date of the financial statements and the reported amounts of changes in net assets available for benefits during the reporting period. Actual results could differ from those estimates.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32"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2014 and 2013</w:t>
      </w:r>
    </w:p>
    <w:p>
      <w:pPr>
        <w:spacing w:after="0" w:line="229" w:lineRule="exact"/>
        <w:rPr>
          <w:sz w:val="20"/>
          <w:szCs w:val="20"/>
          <w:color w:val="auto"/>
        </w:rPr>
      </w:pPr>
    </w:p>
    <w:p>
      <w:pPr>
        <w:ind w:right="120" w:firstLine="8"/>
        <w:spacing w:after="0" w:line="302" w:lineRule="auto"/>
        <w:tabs>
          <w:tab w:leader="none" w:pos="316"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Risk and uncertainties. </w:t>
      </w:r>
      <w:r>
        <w:rPr>
          <w:rFonts w:ascii="Arial" w:cs="Arial" w:eastAsia="Arial" w:hAnsi="Arial"/>
          <w:sz w:val="19"/>
          <w:szCs w:val="19"/>
          <w:color w:val="auto"/>
        </w:rPr>
        <w:t>The Plan and its participants invest in various securities. Investment securities are exposed to various</w:t>
      </w:r>
      <w:r>
        <w:rPr>
          <w:rFonts w:ascii="Arial" w:cs="Arial" w:eastAsia="Arial" w:hAnsi="Arial"/>
          <w:sz w:val="19"/>
          <w:szCs w:val="19"/>
          <w:i w:val="1"/>
          <w:iCs w:val="1"/>
          <w:color w:val="auto"/>
        </w:rPr>
        <w:t xml:space="preserve"> </w:t>
      </w:r>
      <w:r>
        <w:rPr>
          <w:rFonts w:ascii="Arial" w:cs="Arial" w:eastAsia="Arial" w:hAnsi="Arial"/>
          <w:sz w:val="19"/>
          <w:szCs w:val="19"/>
          <w:color w:val="auto"/>
        </w:rPr>
        <w:t>risks such as interest rate, market volatility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83" w:lineRule="exact"/>
        <w:rPr>
          <w:rFonts w:ascii="Arial" w:cs="Arial" w:eastAsia="Arial" w:hAnsi="Arial"/>
          <w:sz w:val="19"/>
          <w:szCs w:val="19"/>
          <w:color w:val="auto"/>
        </w:rPr>
      </w:pPr>
    </w:p>
    <w:p>
      <w:pPr>
        <w:ind w:right="240" w:firstLine="8"/>
        <w:spacing w:after="0" w:line="294" w:lineRule="auto"/>
        <w:tabs>
          <w:tab w:leader="none" w:pos="324"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New Accounting Pronouncement. </w:t>
      </w:r>
      <w:r>
        <w:rPr>
          <w:rFonts w:ascii="Arial" w:cs="Arial" w:eastAsia="Arial" w:hAnsi="Arial"/>
          <w:sz w:val="19"/>
          <w:szCs w:val="19"/>
          <w:color w:val="auto"/>
        </w:rPr>
        <w:t>In May 2015, the Financial Accounting Standards Board (FASB) issued Accounting</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Standards Update No. 2015-07, Disclosures for Investments in Certain Entities That Calculate Net Asset Value per Share (or Its Equivalent) (ASU 2015-07). ASU 2015-07 seeks to eliminate diversity in practice surrounding how investments measured at net asset value under the practical expedient with future redemption dates have been categorized in the fair value hierarchy. It is effective for annual reporting periods beginning after December 15, 2015. Plan management is currently evaluating the impact of the pending adoption of ASU 2015-07 on the Plan’s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Trustee and Plan Recordkeeper</w:t>
      </w:r>
    </w:p>
    <w:p>
      <w:pPr>
        <w:spacing w:after="0" w:line="266"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Fidelity Management Trust Company and Fidelity Institutional Retirement Services Company serve as trustee and recordkeeper, respectively, to the Plan.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investments represent five percent or more of the Plan’s net assets available for benefits: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2"/>
                <w:szCs w:val="22"/>
                <w:b w:val="1"/>
                <w:bCs w:val="1"/>
                <w:color w:val="auto"/>
              </w:rPr>
              <w:t>December 31,</w:t>
            </w:r>
          </w:p>
        </w:tc>
        <w:tc>
          <w:tcPr>
            <w:tcW w:w="1280" w:type="dxa"/>
            <w:vAlign w:val="bottom"/>
          </w:tcPr>
          <w:p>
            <w:pPr>
              <w:spacing w:after="0"/>
              <w:rPr>
                <w:sz w:val="24"/>
                <w:szCs w:val="24"/>
                <w:color w:val="auto"/>
              </w:rPr>
            </w:pPr>
          </w:p>
        </w:tc>
      </w:tr>
      <w:tr>
        <w:trPr>
          <w:trHeight w:val="308"/>
        </w:trPr>
        <w:tc>
          <w:tcPr>
            <w:tcW w:w="74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2014</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b w:val="1"/>
                <w:bCs w:val="1"/>
                <w:color w:val="auto"/>
              </w:rPr>
              <w:t>2013</w:t>
            </w:r>
          </w:p>
        </w:tc>
      </w:tr>
      <w:tr>
        <w:trPr>
          <w:trHeight w:val="297"/>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Spartan 500 Index Fund</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185,975,616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78,562,770</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Fidelity Institutional Money Market Fund</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660" w:type="dxa"/>
            <w:vAlign w:val="bottom"/>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spacing w:after="0"/>
              <w:rPr>
                <w:sz w:val="20"/>
                <w:szCs w:val="20"/>
                <w:color w:val="auto"/>
              </w:rPr>
            </w:pPr>
            <w:r>
              <w:rPr>
                <w:rFonts w:ascii="Arial" w:cs="Arial" w:eastAsia="Arial" w:hAnsi="Arial"/>
                <w:sz w:val="22"/>
                <w:szCs w:val="22"/>
                <w:color w:val="auto"/>
                <w:w w:val="94"/>
              </w:rPr>
              <w:t>153,092,034</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Spartan International Index Fund</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146,839,940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Fidelity Growth Company Fund</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660" w:type="dxa"/>
            <w:vAlign w:val="bottom"/>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spacing w:after="0"/>
              <w:rPr>
                <w:sz w:val="20"/>
                <w:szCs w:val="20"/>
                <w:color w:val="auto"/>
              </w:rPr>
            </w:pPr>
            <w:r>
              <w:rPr>
                <w:rFonts w:ascii="Arial" w:cs="Arial" w:eastAsia="Arial" w:hAnsi="Arial"/>
                <w:sz w:val="22"/>
                <w:szCs w:val="22"/>
                <w:color w:val="auto"/>
                <w:w w:val="94"/>
              </w:rPr>
              <w:t>120,786,163</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Spartan U.S. Bond Index Fund</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116,941,514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Dodge &amp; Cox Income Fund</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109,111,299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Analog Devices Common Stock</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92,246,502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95,059,714</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BlackRock Strategic Completion Non-Lendable Fund</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69,786,203</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Low-Priced Stock Fund</w:t>
            </w: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61,651,417</w:t>
            </w:r>
          </w:p>
        </w:tc>
      </w:tr>
      <w:tr>
        <w:trPr>
          <w:trHeight w:val="280"/>
        </w:trPr>
        <w:tc>
          <w:tcPr>
            <w:tcW w:w="7420" w:type="dxa"/>
            <w:vAlign w:val="bottom"/>
          </w:tcPr>
          <w:p>
            <w:pPr>
              <w:ind w:left="40"/>
              <w:spacing w:after="0"/>
              <w:rPr>
                <w:sz w:val="20"/>
                <w:szCs w:val="20"/>
                <w:color w:val="auto"/>
              </w:rPr>
            </w:pPr>
            <w:r>
              <w:rPr>
                <w:rFonts w:ascii="Arial" w:cs="Arial" w:eastAsia="Arial" w:hAnsi="Arial"/>
                <w:sz w:val="22"/>
                <w:szCs w:val="22"/>
                <w:color w:val="auto"/>
              </w:rPr>
              <w:t>PRIMECAP Odyssey Aggressive Growth Fund</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60,728,349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balance is less than 5% of the Plan’s net assets in the year presented.</w:t>
      </w:r>
    </w:p>
    <w:p>
      <w:pPr>
        <w:spacing w:after="0" w:line="232"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The Plan’s investments (including gains and losses on investments bought and sold, as well as held during the year) appreciated (depreciated) in value as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2014 and 2013</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2"/>
                <w:szCs w:val="22"/>
                <w:b w:val="1"/>
                <w:bCs w:val="1"/>
                <w:color w:val="auto"/>
              </w:rPr>
              <w:t>December 31,</w:t>
            </w:r>
          </w:p>
        </w:tc>
        <w:tc>
          <w:tcPr>
            <w:tcW w:w="1280" w:type="dxa"/>
            <w:vAlign w:val="bottom"/>
          </w:tcPr>
          <w:p>
            <w:pPr>
              <w:spacing w:after="0"/>
              <w:rPr>
                <w:sz w:val="24"/>
                <w:szCs w:val="24"/>
                <w:color w:val="auto"/>
              </w:rPr>
            </w:pPr>
          </w:p>
        </w:tc>
      </w:tr>
      <w:tr>
        <w:trPr>
          <w:trHeight w:val="308"/>
        </w:trPr>
        <w:tc>
          <w:tcPr>
            <w:tcW w:w="74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2014</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2013</w:t>
            </w:r>
          </w:p>
        </w:tc>
      </w:tr>
      <w:tr>
        <w:trPr>
          <w:trHeight w:val="297"/>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Common stock</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10,283,323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29,453,475</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Mutual funds</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25,832,092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w w:val="94"/>
              </w:rPr>
              <w:t>115,002,422</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Collective trust funds</w:t>
            </w: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(177,021)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1,448,837</w:t>
            </w:r>
          </w:p>
        </w:tc>
      </w:tr>
      <w:tr>
        <w:trPr>
          <w:trHeight w:val="289"/>
        </w:trPr>
        <w:tc>
          <w:tcPr>
            <w:tcW w:w="7420" w:type="dxa"/>
            <w:vAlign w:val="bottom"/>
          </w:tcPr>
          <w:p>
            <w:pPr>
              <w:ind w:left="40"/>
              <w:spacing w:after="0"/>
              <w:rPr>
                <w:sz w:val="20"/>
                <w:szCs w:val="20"/>
                <w:color w:val="auto"/>
              </w:rPr>
            </w:pPr>
            <w:r>
              <w:rPr>
                <w:rFonts w:ascii="Arial" w:cs="Arial" w:eastAsia="Arial" w:hAnsi="Arial"/>
                <w:sz w:val="22"/>
                <w:szCs w:val="22"/>
                <w:color w:val="auto"/>
              </w:rPr>
              <w:t>Commingled funds</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(128,019)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1,507,229</w:t>
            </w:r>
          </w:p>
        </w:tc>
      </w:tr>
      <w:tr>
        <w:trPr>
          <w:trHeight w:val="306"/>
        </w:trPr>
        <w:tc>
          <w:tcPr>
            <w:tcW w:w="7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Bonds</w:t>
            </w: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3,477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(130,945)</w:t>
            </w:r>
          </w:p>
        </w:tc>
      </w:tr>
      <w:tr>
        <w:trPr>
          <w:trHeight w:val="291"/>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Others</w:t>
            </w: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357,239</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48,740</w:t>
            </w:r>
          </w:p>
        </w:tc>
      </w:tr>
      <w:tr>
        <w:trPr>
          <w:trHeight w:val="29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Net appreciation in fair value of investments</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36,171,091</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22"/>
                <w:szCs w:val="22"/>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4"/>
              </w:rPr>
              <w:t>147,329,758</w:t>
            </w:r>
          </w:p>
        </w:tc>
      </w:tr>
      <w:tr>
        <w:trPr>
          <w:trHeight w:val="20"/>
        </w:trPr>
        <w:tc>
          <w:tcPr>
            <w:tcW w:w="7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Fair Value Measurement</w:t>
      </w:r>
    </w:p>
    <w:p>
      <w:pPr>
        <w:spacing w:after="0" w:line="266" w:lineRule="exact"/>
        <w:rPr>
          <w:sz w:val="20"/>
          <w:szCs w:val="20"/>
          <w:color w:val="auto"/>
        </w:rPr>
      </w:pPr>
    </w:p>
    <w:p>
      <w:pPr>
        <w:ind w:right="100"/>
        <w:spacing w:after="0" w:line="271" w:lineRule="auto"/>
        <w:rPr>
          <w:sz w:val="20"/>
          <w:szCs w:val="20"/>
          <w:color w:val="auto"/>
        </w:rPr>
      </w:pPr>
      <w:r>
        <w:rPr>
          <w:rFonts w:ascii="Arial" w:cs="Arial" w:eastAsia="Arial" w:hAnsi="Arial"/>
          <w:sz w:val="21"/>
          <w:szCs w:val="21"/>
          <w:color w:val="auto"/>
        </w:rPr>
        <w:t>Plan management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three levels of the fair value hierarchy are described below:</w:t>
      </w:r>
    </w:p>
    <w:p>
      <w:pPr>
        <w:spacing w:after="0" w:line="26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i w:val="1"/>
          <w:iCs w:val="1"/>
          <w:color w:val="auto"/>
        </w:rPr>
        <w:t xml:space="preserve">Level 1 </w:t>
      </w:r>
      <w:r>
        <w:rPr>
          <w:rFonts w:ascii="Arial" w:cs="Arial" w:eastAsia="Arial" w:hAnsi="Arial"/>
          <w:sz w:val="22"/>
          <w:szCs w:val="22"/>
          <w:color w:val="auto"/>
        </w:rPr>
        <w:t>– Level 1 inputs are quoted prices (unadjusted) in active markets for identical assets or liabilities that the reporting entity</w:t>
      </w:r>
      <w:r>
        <w:rPr>
          <w:rFonts w:ascii="Arial" w:cs="Arial" w:eastAsia="Arial" w:hAnsi="Arial"/>
          <w:sz w:val="22"/>
          <w:szCs w:val="22"/>
          <w:i w:val="1"/>
          <w:iCs w:val="1"/>
          <w:color w:val="auto"/>
        </w:rPr>
        <w:t xml:space="preserve"> </w:t>
      </w:r>
      <w:r>
        <w:rPr>
          <w:rFonts w:ascii="Arial" w:cs="Arial" w:eastAsia="Arial" w:hAnsi="Arial"/>
          <w:sz w:val="22"/>
          <w:szCs w:val="22"/>
          <w:color w:val="auto"/>
        </w:rPr>
        <w:t>has the ability to access at the measurement date.</w:t>
      </w:r>
    </w:p>
    <w:p>
      <w:pPr>
        <w:spacing w:after="0" w:line="215" w:lineRule="exact"/>
        <w:rPr>
          <w:sz w:val="20"/>
          <w:szCs w:val="20"/>
          <w:color w:val="auto"/>
        </w:rPr>
      </w:pPr>
    </w:p>
    <w:p>
      <w:pPr>
        <w:ind w:right="400"/>
        <w:spacing w:after="0" w:line="253" w:lineRule="auto"/>
        <w:rPr>
          <w:sz w:val="20"/>
          <w:szCs w:val="20"/>
          <w:color w:val="auto"/>
        </w:rPr>
      </w:pPr>
      <w:r>
        <w:rPr>
          <w:rFonts w:ascii="Arial" w:cs="Arial" w:eastAsia="Arial" w:hAnsi="Arial"/>
          <w:sz w:val="22"/>
          <w:szCs w:val="22"/>
          <w:i w:val="1"/>
          <w:iCs w:val="1"/>
          <w:color w:val="auto"/>
        </w:rPr>
        <w:t xml:space="preserve">Level 2 </w:t>
      </w:r>
      <w:r>
        <w:rPr>
          <w:rFonts w:ascii="Arial" w:cs="Arial" w:eastAsia="Arial" w:hAnsi="Arial"/>
          <w:sz w:val="22"/>
          <w:szCs w:val="22"/>
          <w:color w:val="auto"/>
        </w:rPr>
        <w:t>– Level 2 inputs are inputs other than quoted prices included within Level 1 that are observable for the asset or liability,</w:t>
      </w:r>
      <w:r>
        <w:rPr>
          <w:rFonts w:ascii="Arial" w:cs="Arial" w:eastAsia="Arial" w:hAnsi="Arial"/>
          <w:sz w:val="22"/>
          <w:szCs w:val="22"/>
          <w:i w:val="1"/>
          <w:iCs w:val="1"/>
          <w:color w:val="auto"/>
        </w:rPr>
        <w:t xml:space="preserve"> </w:t>
      </w:r>
      <w:r>
        <w:rPr>
          <w:rFonts w:ascii="Arial" w:cs="Arial" w:eastAsia="Arial" w:hAnsi="Arial"/>
          <w:sz w:val="22"/>
          <w:szCs w:val="22"/>
          <w:color w:val="auto"/>
        </w:rPr>
        <w:t>either directly or indirectly. If the asset or liability has a specified (contractual) term, a Level 2 input must be observable for substantially the full term of the asset or liability.</w:t>
      </w:r>
    </w:p>
    <w:p>
      <w:pPr>
        <w:spacing w:after="0" w:line="226" w:lineRule="exact"/>
        <w:rPr>
          <w:sz w:val="20"/>
          <w:szCs w:val="20"/>
          <w:color w:val="auto"/>
        </w:rPr>
      </w:pPr>
    </w:p>
    <w:p>
      <w:pPr>
        <w:ind w:right="120"/>
        <w:spacing w:after="0" w:line="287" w:lineRule="auto"/>
        <w:rPr>
          <w:sz w:val="20"/>
          <w:szCs w:val="20"/>
          <w:color w:val="auto"/>
        </w:rPr>
      </w:pPr>
      <w:r>
        <w:rPr>
          <w:rFonts w:ascii="Arial" w:cs="Arial" w:eastAsia="Arial" w:hAnsi="Arial"/>
          <w:sz w:val="21"/>
          <w:szCs w:val="21"/>
          <w:i w:val="1"/>
          <w:iCs w:val="1"/>
          <w:color w:val="auto"/>
        </w:rPr>
        <w:t xml:space="preserve">Level 3 </w:t>
      </w:r>
      <w:r>
        <w:rPr>
          <w:rFonts w:ascii="Arial" w:cs="Arial" w:eastAsia="Arial" w:hAnsi="Arial"/>
          <w:sz w:val="21"/>
          <w:szCs w:val="21"/>
          <w:color w:val="auto"/>
        </w:rPr>
        <w:t>– Level 3 inputs are unobservable inputs for the asset or liability in which there is little, if any, market activity for the asset</w:t>
      </w:r>
      <w:r>
        <w:rPr>
          <w:rFonts w:ascii="Arial" w:cs="Arial" w:eastAsia="Arial" w:hAnsi="Arial"/>
          <w:sz w:val="21"/>
          <w:szCs w:val="21"/>
          <w:i w:val="1"/>
          <w:iCs w:val="1"/>
          <w:color w:val="auto"/>
        </w:rPr>
        <w:t xml:space="preserve"> </w:t>
      </w:r>
      <w:r>
        <w:rPr>
          <w:rFonts w:ascii="Arial" w:cs="Arial" w:eastAsia="Arial" w:hAnsi="Arial"/>
          <w:sz w:val="21"/>
          <w:szCs w:val="21"/>
          <w:color w:val="auto"/>
        </w:rPr>
        <w:t>or liability at the measurement date. As of December 31, 2014 and 2013, the Plan held no level 3 investments.</w:t>
      </w:r>
    </w:p>
    <w:p>
      <w:pPr>
        <w:spacing w:after="0" w:line="192"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The fair values, by level within the fair value hierarchy, of the Plan’s investments at December 31, 2014 and December 31, 2013 are measured as follows: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2014 and 2013</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gridSpan w:val="5"/>
          </w:tcPr>
          <w:p>
            <w:pPr>
              <w:jc w:val="right"/>
              <w:ind w:right="632"/>
              <w:spacing w:after="0"/>
              <w:rPr>
                <w:sz w:val="20"/>
                <w:szCs w:val="20"/>
                <w:color w:val="auto"/>
              </w:rPr>
            </w:pPr>
            <w:r>
              <w:rPr>
                <w:rFonts w:ascii="Arial" w:cs="Arial" w:eastAsia="Arial" w:hAnsi="Arial"/>
                <w:sz w:val="22"/>
                <w:szCs w:val="22"/>
                <w:b w:val="1"/>
                <w:bCs w:val="1"/>
                <w:color w:val="auto"/>
                <w:w w:val="97"/>
              </w:rPr>
              <w:t>Investments at Fair Value as of December 31, 2014</w:t>
            </w:r>
          </w:p>
        </w:tc>
      </w:tr>
      <w:tr>
        <w:trPr>
          <w:trHeight w:val="308"/>
        </w:trPr>
        <w:tc>
          <w:tcPr>
            <w:tcW w:w="5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553"/>
              <w:spacing w:after="0"/>
              <w:rPr>
                <w:sz w:val="20"/>
                <w:szCs w:val="20"/>
                <w:color w:val="auto"/>
              </w:rPr>
            </w:pPr>
            <w:r>
              <w:rPr>
                <w:rFonts w:ascii="Arial" w:cs="Arial" w:eastAsia="Arial" w:hAnsi="Arial"/>
                <w:sz w:val="22"/>
                <w:szCs w:val="22"/>
                <w:b w:val="1"/>
                <w:bCs w:val="1"/>
                <w:color w:val="auto"/>
              </w:rPr>
              <w:t>Level 1</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2</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Total</w:t>
            </w:r>
          </w:p>
        </w:tc>
      </w:tr>
      <w:tr>
        <w:trPr>
          <w:trHeight w:val="284"/>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Mutual Funds: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Equity Investments:</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6"/>
        </w:trPr>
        <w:tc>
          <w:tcPr>
            <w:tcW w:w="52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Domestic</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168,672,409</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168,672,409</w:t>
            </w:r>
          </w:p>
        </w:tc>
      </w:tr>
      <w:tr>
        <w:trPr>
          <w:trHeight w:val="289"/>
        </w:trPr>
        <w:tc>
          <w:tcPr>
            <w:tcW w:w="5220" w:type="dxa"/>
            <w:vAlign w:val="bottom"/>
          </w:tcPr>
          <w:p>
            <w:pPr>
              <w:ind w:left="360"/>
              <w:spacing w:after="0"/>
              <w:rPr>
                <w:sz w:val="20"/>
                <w:szCs w:val="20"/>
                <w:color w:val="auto"/>
              </w:rPr>
            </w:pPr>
            <w:r>
              <w:rPr>
                <w:rFonts w:ascii="Arial" w:cs="Arial" w:eastAsia="Arial" w:hAnsi="Arial"/>
                <w:sz w:val="22"/>
                <w:szCs w:val="22"/>
                <w:color w:val="auto"/>
              </w:rPr>
              <w:t>International</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41,425,098</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41,425,098</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Short Term Investments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36,720,517</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36,720,517</w:t>
            </w:r>
          </w:p>
        </w:tc>
      </w:tr>
      <w:tr>
        <w:trPr>
          <w:trHeight w:val="291"/>
        </w:trPr>
        <w:tc>
          <w:tcPr>
            <w:tcW w:w="522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Bond Investments</w:t>
            </w: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35,455,219</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35,455,219</w:t>
            </w:r>
          </w:p>
        </w:tc>
      </w:tr>
      <w:tr>
        <w:trPr>
          <w:trHeight w:val="297"/>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Total Mutual Funds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282,273,243</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282,273,243</w:t>
            </w:r>
          </w:p>
        </w:tc>
      </w:tr>
      <w:tr>
        <w:trPr>
          <w:trHeight w:val="289"/>
        </w:trPr>
        <w:tc>
          <w:tcPr>
            <w:tcW w:w="5220" w:type="dxa"/>
            <w:vAlign w:val="bottom"/>
          </w:tcPr>
          <w:p>
            <w:pPr>
              <w:ind w:left="20"/>
              <w:spacing w:after="0"/>
              <w:rPr>
                <w:sz w:val="20"/>
                <w:szCs w:val="20"/>
                <w:color w:val="auto"/>
              </w:rPr>
            </w:pPr>
            <w:r>
              <w:rPr>
                <w:rFonts w:ascii="Arial" w:cs="Arial" w:eastAsia="Arial" w:hAnsi="Arial"/>
                <w:sz w:val="22"/>
                <w:szCs w:val="22"/>
                <w:color w:val="auto"/>
              </w:rPr>
              <w:t>Custom Target Retirement Date Funds:</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Mutual Funds: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89"/>
        </w:trPr>
        <w:tc>
          <w:tcPr>
            <w:tcW w:w="5220" w:type="dxa"/>
            <w:vAlign w:val="bottom"/>
          </w:tcPr>
          <w:p>
            <w:pPr>
              <w:ind w:left="360"/>
              <w:spacing w:after="0"/>
              <w:rPr>
                <w:sz w:val="20"/>
                <w:szCs w:val="20"/>
                <w:color w:val="auto"/>
              </w:rPr>
            </w:pPr>
            <w:r>
              <w:rPr>
                <w:rFonts w:ascii="Arial" w:cs="Arial" w:eastAsia="Arial" w:hAnsi="Arial"/>
                <w:sz w:val="22"/>
                <w:szCs w:val="22"/>
                <w:color w:val="auto"/>
              </w:rPr>
              <w:t>Equity Investments:</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6"/>
        </w:trPr>
        <w:tc>
          <w:tcPr>
            <w:tcW w:w="5220" w:type="dxa"/>
            <w:vAlign w:val="bottom"/>
            <w:shd w:val="clear" w:color="auto" w:fill="CCEEFF"/>
          </w:tcPr>
          <w:p>
            <w:pPr>
              <w:ind w:left="520"/>
              <w:spacing w:after="0"/>
              <w:rPr>
                <w:sz w:val="20"/>
                <w:szCs w:val="20"/>
                <w:color w:val="auto"/>
              </w:rPr>
            </w:pPr>
            <w:r>
              <w:rPr>
                <w:rFonts w:ascii="Arial" w:cs="Arial" w:eastAsia="Arial" w:hAnsi="Arial"/>
                <w:sz w:val="22"/>
                <w:szCs w:val="22"/>
                <w:color w:val="auto"/>
              </w:rPr>
              <w:t>Domestic</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188,267,587</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188,267,587</w:t>
            </w:r>
          </w:p>
        </w:tc>
      </w:tr>
      <w:tr>
        <w:trPr>
          <w:trHeight w:val="289"/>
        </w:trPr>
        <w:tc>
          <w:tcPr>
            <w:tcW w:w="5220" w:type="dxa"/>
            <w:vAlign w:val="bottom"/>
          </w:tcPr>
          <w:p>
            <w:pPr>
              <w:ind w:left="520"/>
              <w:spacing w:after="0"/>
              <w:rPr>
                <w:sz w:val="20"/>
                <w:szCs w:val="20"/>
                <w:color w:val="auto"/>
              </w:rPr>
            </w:pPr>
            <w:r>
              <w:rPr>
                <w:rFonts w:ascii="Arial" w:cs="Arial" w:eastAsia="Arial" w:hAnsi="Arial"/>
                <w:sz w:val="22"/>
                <w:szCs w:val="22"/>
                <w:color w:val="auto"/>
              </w:rPr>
              <w:t>International</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167,170,286</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167,170,286</w:t>
            </w:r>
          </w:p>
        </w:tc>
      </w:tr>
      <w:tr>
        <w:trPr>
          <w:trHeight w:val="306"/>
        </w:trPr>
        <w:tc>
          <w:tcPr>
            <w:tcW w:w="52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Bond Investments</w:t>
            </w:r>
          </w:p>
        </w:tc>
        <w:tc>
          <w:tcPr>
            <w:tcW w:w="26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190,597,594</w:t>
            </w: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190,597,594</w:t>
            </w:r>
          </w:p>
        </w:tc>
      </w:tr>
      <w:tr>
        <w:trPr>
          <w:trHeight w:val="282"/>
        </w:trPr>
        <w:tc>
          <w:tcPr>
            <w:tcW w:w="5220" w:type="dxa"/>
            <w:vAlign w:val="bottom"/>
          </w:tcPr>
          <w:p>
            <w:pPr>
              <w:ind w:left="180"/>
              <w:spacing w:after="0"/>
              <w:rPr>
                <w:sz w:val="20"/>
                <w:szCs w:val="20"/>
                <w:color w:val="auto"/>
              </w:rPr>
            </w:pPr>
            <w:r>
              <w:rPr>
                <w:rFonts w:ascii="Arial" w:cs="Arial" w:eastAsia="Arial" w:hAnsi="Arial"/>
                <w:sz w:val="22"/>
                <w:szCs w:val="22"/>
                <w:color w:val="auto"/>
              </w:rPr>
              <w:t>Total Mutual Funds</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546,035,467</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546,035,467</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Commingled Fund</w:t>
            </w:r>
          </w:p>
        </w:tc>
        <w:tc>
          <w:tcPr>
            <w:tcW w:w="26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62,639,758</w:t>
            </w:r>
          </w:p>
        </w:tc>
        <w:tc>
          <w:tcPr>
            <w:tcW w:w="4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62,639,758</w:t>
            </w:r>
          </w:p>
        </w:tc>
      </w:tr>
      <w:tr>
        <w:trPr>
          <w:trHeight w:val="282"/>
        </w:trPr>
        <w:tc>
          <w:tcPr>
            <w:tcW w:w="5220" w:type="dxa"/>
            <w:vAlign w:val="bottom"/>
          </w:tcPr>
          <w:p>
            <w:pPr>
              <w:ind w:left="20"/>
              <w:spacing w:after="0"/>
              <w:rPr>
                <w:sz w:val="20"/>
                <w:szCs w:val="20"/>
                <w:color w:val="auto"/>
              </w:rPr>
            </w:pPr>
            <w:r>
              <w:rPr>
                <w:rFonts w:ascii="Arial" w:cs="Arial" w:eastAsia="Arial" w:hAnsi="Arial"/>
                <w:sz w:val="22"/>
                <w:szCs w:val="22"/>
                <w:color w:val="auto"/>
              </w:rPr>
              <w:t>Total Custom Target Retirement Date Funds:</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546,035,467</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62,639,758</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608,675,225</w:t>
            </w:r>
          </w:p>
        </w:tc>
      </w:tr>
      <w:tr>
        <w:trPr>
          <w:trHeight w:val="306"/>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Analog Devices Stock</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92,246,502</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92,246,502</w:t>
            </w:r>
          </w:p>
        </w:tc>
      </w:tr>
      <w:tr>
        <w:trPr>
          <w:trHeight w:val="289"/>
        </w:trPr>
        <w:tc>
          <w:tcPr>
            <w:tcW w:w="5220" w:type="dxa"/>
            <w:vAlign w:val="bottom"/>
          </w:tcPr>
          <w:p>
            <w:pPr>
              <w:ind w:left="20"/>
              <w:spacing w:after="0"/>
              <w:rPr>
                <w:sz w:val="20"/>
                <w:szCs w:val="20"/>
                <w:color w:val="auto"/>
              </w:rPr>
            </w:pPr>
            <w:r>
              <w:rPr>
                <w:rFonts w:ascii="Arial" w:cs="Arial" w:eastAsia="Arial" w:hAnsi="Arial"/>
                <w:sz w:val="22"/>
                <w:szCs w:val="22"/>
                <w:color w:val="auto"/>
              </w:rPr>
              <w:t>Self-directed Brokerage Account:</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Equity Investments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68,460,730</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68,460,730</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34,777,460</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34,777,460</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Mutual Funds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27,717,888</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27,717,888</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Corporate Bonds</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523,292</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523,292</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Government Bonds</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56,276</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56,276</w:t>
            </w:r>
          </w:p>
        </w:tc>
      </w:tr>
      <w:tr>
        <w:trPr>
          <w:trHeight w:val="291"/>
        </w:trPr>
        <w:tc>
          <w:tcPr>
            <w:tcW w:w="522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Other</w:t>
            </w: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1,915,351</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1,915,351</w:t>
            </w:r>
          </w:p>
        </w:tc>
      </w:tr>
      <w:tr>
        <w:trPr>
          <w:trHeight w:val="297"/>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Total Self-directed Brokerage Account</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133,450,997</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133,450,997</w:t>
            </w:r>
          </w:p>
        </w:tc>
      </w:tr>
      <w:tr>
        <w:trPr>
          <w:trHeight w:val="29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Commingled Fund</w:t>
            </w: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7,146,444</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7,146,444</w:t>
            </w:r>
          </w:p>
        </w:tc>
      </w:tr>
      <w:tr>
        <w:trPr>
          <w:trHeight w:val="291"/>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b w:val="1"/>
                <w:bCs w:val="1"/>
                <w:color w:val="auto"/>
              </w:rPr>
              <w:t>Total Investments at Fair Value</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b w:val="1"/>
                <w:bCs w:val="1"/>
                <w:color w:val="auto"/>
                <w:w w:val="97"/>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1,054,006,209</w:t>
            </w:r>
          </w:p>
        </w:tc>
        <w:tc>
          <w:tcPr>
            <w:tcW w:w="4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69,786,202</w:t>
            </w:r>
          </w:p>
        </w:tc>
        <w:tc>
          <w:tcPr>
            <w:tcW w:w="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1,123,792,411</w:t>
            </w: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662"/>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ind w:right="1353"/>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380"/>
          </w:cols>
          <w:pgMar w:left="260" w:top="132"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Years ended December 31, 2014 and 2013</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40" w:type="dxa"/>
            <w:vAlign w:val="bottom"/>
            <w:gridSpan w:val="5"/>
          </w:tcPr>
          <w:p>
            <w:pPr>
              <w:jc w:val="right"/>
              <w:ind w:right="632"/>
              <w:spacing w:after="0"/>
              <w:rPr>
                <w:sz w:val="20"/>
                <w:szCs w:val="20"/>
                <w:color w:val="auto"/>
              </w:rPr>
            </w:pPr>
            <w:r>
              <w:rPr>
                <w:rFonts w:ascii="Arial" w:cs="Arial" w:eastAsia="Arial" w:hAnsi="Arial"/>
                <w:sz w:val="22"/>
                <w:szCs w:val="22"/>
                <w:b w:val="1"/>
                <w:bCs w:val="1"/>
                <w:color w:val="auto"/>
                <w:w w:val="94"/>
              </w:rPr>
              <w:t>Investments at Fair Value as of December 31, 2013</w:t>
            </w:r>
          </w:p>
        </w:tc>
      </w:tr>
      <w:tr>
        <w:trPr>
          <w:trHeight w:val="308"/>
        </w:trPr>
        <w:tc>
          <w:tcPr>
            <w:tcW w:w="5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1</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Level 2</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Total</w:t>
            </w:r>
          </w:p>
        </w:tc>
      </w:tr>
      <w:tr>
        <w:trPr>
          <w:trHeight w:val="284"/>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Mutual Funds: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Equity Investments: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6"/>
        </w:trPr>
        <w:tc>
          <w:tcPr>
            <w:tcW w:w="52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Domestic</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432,550,481</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432,550,481</w:t>
            </w:r>
          </w:p>
        </w:tc>
      </w:tr>
      <w:tr>
        <w:trPr>
          <w:trHeight w:val="289"/>
        </w:trPr>
        <w:tc>
          <w:tcPr>
            <w:tcW w:w="5220" w:type="dxa"/>
            <w:vAlign w:val="bottom"/>
          </w:tcPr>
          <w:p>
            <w:pPr>
              <w:ind w:left="360"/>
              <w:spacing w:after="0"/>
              <w:rPr>
                <w:sz w:val="20"/>
                <w:szCs w:val="20"/>
                <w:color w:val="auto"/>
              </w:rPr>
            </w:pPr>
            <w:r>
              <w:rPr>
                <w:rFonts w:ascii="Arial" w:cs="Arial" w:eastAsia="Arial" w:hAnsi="Arial"/>
                <w:sz w:val="22"/>
                <w:szCs w:val="22"/>
                <w:color w:val="auto"/>
              </w:rPr>
              <w:t>International</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76,971,338</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76,971,338</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Short Term Investments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153,092,034</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153,092,034</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Lifecycle Funds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129,753,400</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129,753,400</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Bond Investments</w:t>
            </w:r>
          </w:p>
        </w:tc>
        <w:tc>
          <w:tcPr>
            <w:tcW w:w="4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75,959,432</w:t>
            </w:r>
          </w:p>
        </w:tc>
        <w:tc>
          <w:tcPr>
            <w:tcW w:w="4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75,959,432</w:t>
            </w:r>
          </w:p>
        </w:tc>
      </w:tr>
      <w:tr>
        <w:trPr>
          <w:trHeight w:val="282"/>
        </w:trPr>
        <w:tc>
          <w:tcPr>
            <w:tcW w:w="5220" w:type="dxa"/>
            <w:vAlign w:val="bottom"/>
          </w:tcPr>
          <w:p>
            <w:pPr>
              <w:ind w:left="20"/>
              <w:spacing w:after="0"/>
              <w:rPr>
                <w:sz w:val="20"/>
                <w:szCs w:val="20"/>
                <w:color w:val="auto"/>
              </w:rPr>
            </w:pPr>
            <w:r>
              <w:rPr>
                <w:rFonts w:ascii="Arial" w:cs="Arial" w:eastAsia="Arial" w:hAnsi="Arial"/>
                <w:sz w:val="22"/>
                <w:szCs w:val="22"/>
                <w:color w:val="auto"/>
              </w:rPr>
              <w:t>Total Mutual Funds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868,326,685</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868,326,685</w:t>
            </w:r>
          </w:p>
        </w:tc>
      </w:tr>
      <w:tr>
        <w:trPr>
          <w:trHeight w:val="306"/>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Analog Devices Stock</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95,059,714</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95,059,714</w:t>
            </w:r>
          </w:p>
        </w:tc>
      </w:tr>
      <w:tr>
        <w:trPr>
          <w:trHeight w:val="289"/>
        </w:trPr>
        <w:tc>
          <w:tcPr>
            <w:tcW w:w="5220" w:type="dxa"/>
            <w:vAlign w:val="bottom"/>
          </w:tcPr>
          <w:p>
            <w:pPr>
              <w:ind w:left="20"/>
              <w:spacing w:after="0"/>
              <w:rPr>
                <w:sz w:val="20"/>
                <w:szCs w:val="20"/>
                <w:color w:val="auto"/>
              </w:rPr>
            </w:pPr>
            <w:r>
              <w:rPr>
                <w:rFonts w:ascii="Arial" w:cs="Arial" w:eastAsia="Arial" w:hAnsi="Arial"/>
                <w:sz w:val="22"/>
                <w:szCs w:val="22"/>
                <w:color w:val="auto"/>
              </w:rPr>
              <w:t>Self-directed Brokerage Account:</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Equity Investments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59,131,313</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59,131,313</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33,473,201</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33,473,201</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Mutual Funds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21,340,061</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21,340,061</w:t>
            </w:r>
          </w:p>
        </w:tc>
      </w:tr>
      <w:tr>
        <w:trPr>
          <w:trHeight w:val="289"/>
        </w:trPr>
        <w:tc>
          <w:tcPr>
            <w:tcW w:w="5220" w:type="dxa"/>
            <w:vAlign w:val="bottom"/>
          </w:tcPr>
          <w:p>
            <w:pPr>
              <w:ind w:left="200"/>
              <w:spacing w:after="0"/>
              <w:rPr>
                <w:sz w:val="20"/>
                <w:szCs w:val="20"/>
                <w:color w:val="auto"/>
              </w:rPr>
            </w:pPr>
            <w:r>
              <w:rPr>
                <w:rFonts w:ascii="Arial" w:cs="Arial" w:eastAsia="Arial" w:hAnsi="Arial"/>
                <w:sz w:val="22"/>
                <w:szCs w:val="22"/>
                <w:color w:val="auto"/>
              </w:rPr>
              <w:t>Corporate Bonds</w:t>
            </w: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807,873</w:t>
            </w:r>
          </w:p>
        </w:tc>
        <w:tc>
          <w:tcPr>
            <w:tcW w:w="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807,873</w:t>
            </w:r>
          </w:p>
        </w:tc>
      </w:tr>
      <w:tr>
        <w:trPr>
          <w:trHeight w:val="306"/>
        </w:trPr>
        <w:tc>
          <w:tcPr>
            <w:tcW w:w="52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Government Bonds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637,849</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637,849</w:t>
            </w:r>
          </w:p>
        </w:tc>
      </w:tr>
      <w:tr>
        <w:trPr>
          <w:trHeight w:val="291"/>
        </w:trPr>
        <w:tc>
          <w:tcPr>
            <w:tcW w:w="5220" w:type="dxa"/>
            <w:vAlign w:val="bottom"/>
            <w:tcBorders>
              <w:bottom w:val="single" w:sz="8" w:color="CCEEFF"/>
            </w:tcBorders>
          </w:tcPr>
          <w:p>
            <w:pPr>
              <w:ind w:left="200"/>
              <w:spacing w:after="0"/>
              <w:rPr>
                <w:sz w:val="20"/>
                <w:szCs w:val="20"/>
                <w:color w:val="auto"/>
              </w:rPr>
            </w:pPr>
            <w:r>
              <w:rPr>
                <w:rFonts w:ascii="Arial" w:cs="Arial" w:eastAsia="Arial" w:hAnsi="Arial"/>
                <w:sz w:val="22"/>
                <w:szCs w:val="22"/>
                <w:color w:val="auto"/>
              </w:rPr>
              <w:t>Other</w:t>
            </w: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1,741,981</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1,741,981</w:t>
            </w:r>
          </w:p>
        </w:tc>
      </w:tr>
      <w:tr>
        <w:trPr>
          <w:trHeight w:val="297"/>
        </w:trPr>
        <w:tc>
          <w:tcPr>
            <w:tcW w:w="5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Total Self-directed Brokerage Account</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117,132,278</w:t>
            </w: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117,132,278</w:t>
            </w:r>
          </w:p>
        </w:tc>
      </w:tr>
      <w:tr>
        <w:trPr>
          <w:trHeight w:val="29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Collective Trust Fund</w:t>
            </w: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6,044,780</w:t>
            </w: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6,044,780</w:t>
            </w:r>
          </w:p>
        </w:tc>
      </w:tr>
      <w:tr>
        <w:trPr>
          <w:trHeight w:val="291"/>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b w:val="1"/>
                <w:bCs w:val="1"/>
                <w:color w:val="auto"/>
              </w:rPr>
              <w:t>Total Investments at Fair Value</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b w:val="1"/>
                <w:bCs w:val="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1,080,518,677</w:t>
            </w:r>
          </w:p>
        </w:tc>
        <w:tc>
          <w:tcPr>
            <w:tcW w:w="4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6,044,780</w:t>
            </w:r>
          </w:p>
        </w:tc>
        <w:tc>
          <w:tcPr>
            <w:tcW w:w="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1,086,563,457</w:t>
            </w:r>
          </w:p>
        </w:tc>
      </w:tr>
      <w:tr>
        <w:trPr>
          <w:trHeight w:val="20"/>
        </w:trPr>
        <w:tc>
          <w:tcPr>
            <w:tcW w:w="5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Mutual Funds, Common Stocks and Bonds: </w:t>
      </w:r>
      <w:r>
        <w:rPr>
          <w:rFonts w:ascii="Arial" w:cs="Arial" w:eastAsia="Arial" w:hAnsi="Arial"/>
          <w:sz w:val="22"/>
          <w:szCs w:val="22"/>
          <w:color w:val="auto"/>
        </w:rPr>
        <w:t>valued based on quoted market price on which the securities are traded.</w:t>
      </w:r>
    </w:p>
    <w:p>
      <w:pPr>
        <w:spacing w:after="0" w:line="260"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i w:val="1"/>
          <w:iCs w:val="1"/>
          <w:color w:val="auto"/>
        </w:rPr>
        <w:t xml:space="preserve">Custom Target Retirement Date Funds: </w:t>
      </w:r>
      <w:r>
        <w:rPr>
          <w:rFonts w:ascii="Arial" w:cs="Arial" w:eastAsia="Arial" w:hAnsi="Arial"/>
          <w:sz w:val="19"/>
          <w:szCs w:val="19"/>
          <w:color w:val="auto"/>
        </w:rPr>
        <w:t>valued based on net asset value (NAV) of underlying funds which are unitized daily. These</w:t>
      </w:r>
      <w:r>
        <w:rPr>
          <w:rFonts w:ascii="Arial" w:cs="Arial" w:eastAsia="Arial" w:hAnsi="Arial"/>
          <w:sz w:val="19"/>
          <w:szCs w:val="19"/>
          <w:i w:val="1"/>
          <w:iCs w:val="1"/>
          <w:color w:val="auto"/>
        </w:rPr>
        <w:t xml:space="preserve"> </w:t>
      </w:r>
      <w:r>
        <w:rPr>
          <w:rFonts w:ascii="Arial" w:cs="Arial" w:eastAsia="Arial" w:hAnsi="Arial"/>
          <w:sz w:val="19"/>
          <w:szCs w:val="19"/>
          <w:color w:val="auto"/>
        </w:rPr>
        <w:t>funds include investments in highly diversified funds designed to remain appropriate for investors in terms of risk throughout a variety of life circumstances. These funds share the common goal of capital appreciation in the years leading up to retirement and then a mix of income and capital preservation in the years following retirement. There are no restrictions on redemption.</w:t>
      </w:r>
    </w:p>
    <w:p>
      <w:pPr>
        <w:spacing w:after="0" w:line="183"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i w:val="1"/>
          <w:iCs w:val="1"/>
          <w:color w:val="auto"/>
        </w:rPr>
        <w:t xml:space="preserve">Collective Trust Fund: </w:t>
      </w:r>
      <w:r>
        <w:rPr>
          <w:rFonts w:ascii="Arial" w:cs="Arial" w:eastAsia="Arial" w:hAnsi="Arial"/>
          <w:sz w:val="19"/>
          <w:szCs w:val="19"/>
          <w:color w:val="auto"/>
        </w:rPr>
        <w:t>The collective trust fund is stated at fair value as determined by the issuer of the collective trust fund based</w:t>
      </w:r>
      <w:r>
        <w:rPr>
          <w:rFonts w:ascii="Arial" w:cs="Arial" w:eastAsia="Arial" w:hAnsi="Arial"/>
          <w:sz w:val="19"/>
          <w:szCs w:val="19"/>
          <w:i w:val="1"/>
          <w:iCs w:val="1"/>
          <w:color w:val="auto"/>
        </w:rPr>
        <w:t xml:space="preserve"> </w:t>
      </w:r>
      <w:r>
        <w:rPr>
          <w:rFonts w:ascii="Arial" w:cs="Arial" w:eastAsia="Arial" w:hAnsi="Arial"/>
          <w:sz w:val="19"/>
          <w:szCs w:val="19"/>
          <w:color w:val="auto"/>
        </w:rPr>
        <w:t>on the fair market value of the underlying investments. As of December 31, 2014 the Plan did not have any holdings in collective trust funds. As of December 31, 2013 the AlphaSector Premium Fund was the only collective trust fund held by the Plan. The fund's strategy is to create long-term shareholder value through an investment approach designed to provide relative out-performance in rising markets and significant risk controls in declining markets. There are no restrictions on redemption.</w:t>
      </w:r>
    </w:p>
    <w:p>
      <w:pPr>
        <w:spacing w:after="0" w:line="188"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i w:val="1"/>
          <w:iCs w:val="1"/>
          <w:color w:val="auto"/>
        </w:rPr>
        <w:t xml:space="preserve">Commingled Fund: </w:t>
      </w:r>
      <w:r>
        <w:rPr>
          <w:rFonts w:ascii="Arial" w:cs="Arial" w:eastAsia="Arial" w:hAnsi="Arial"/>
          <w:sz w:val="22"/>
          <w:szCs w:val="22"/>
          <w:color w:val="auto"/>
        </w:rPr>
        <w:t>valued at redemption price on the last business day of the plan year, where value is based on the fair value of</w:t>
      </w:r>
      <w:r>
        <w:rPr>
          <w:rFonts w:ascii="Arial" w:cs="Arial" w:eastAsia="Arial" w:hAnsi="Arial"/>
          <w:sz w:val="22"/>
          <w:szCs w:val="22"/>
          <w:i w:val="1"/>
          <w:iCs w:val="1"/>
          <w:color w:val="auto"/>
        </w:rPr>
        <w:t xml:space="preserve"> </w:t>
      </w:r>
      <w:r>
        <w:rPr>
          <w:rFonts w:ascii="Arial" w:cs="Arial" w:eastAsia="Arial" w:hAnsi="Arial"/>
          <w:sz w:val="22"/>
          <w:szCs w:val="22"/>
          <w:color w:val="auto"/>
        </w:rPr>
        <w:t>the underlying assets held by the fund. As of December 31, 2014 the BlackRock Strategic Completion Non-Lendable Fund was the only commingled fund held by the Plan. As of December 31, 2013 the Plan did not have any holdings in commingled funds. The funds’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2" w:right="259" w:bottom="1440" w:gutter="0" w:footer="0" w:header="0"/>
        </w:sectPr>
      </w:pPr>
    </w:p>
    <w:bookmarkStart w:id="14" w:name="page15"/>
    <w:bookmarkEnd w:id="14"/>
    <w:p>
      <w:pPr>
        <w:jc w:val="center"/>
        <w:ind w:right="-199"/>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NOTES TO FINANCIAL STATEMENTS</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Years ended December 31, 2014 and 2013</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strategy is to allocate its investments across a mix of asset classes, such as U.S. Treasury Inflation Protected Securities, real estate investment trusts, and commodities, with the objective of complementing a diversified portfolio of more traditional asset classes. There are no restrictions on redemption.</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132" w:right="4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ANALOG DEVICES,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INVESTMENT PARTNERSHIP PLAN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SCHEDULE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1440" w:right="1440"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EIN NO: 04-2348234 PLAN NO: 003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H-LINE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540" w:type="dxa"/>
            <w:vAlign w:val="bottom"/>
          </w:tcPr>
          <w:p>
            <w:pPr>
              <w:spacing w:after="0"/>
              <w:rPr>
                <w:sz w:val="24"/>
                <w:szCs w:val="24"/>
                <w:color w:val="auto"/>
              </w:rPr>
            </w:pPr>
          </w:p>
        </w:tc>
        <w:tc>
          <w:tcPr>
            <w:tcW w:w="1820" w:type="dxa"/>
            <w:vAlign w:val="bottom"/>
            <w:gridSpan w:val="2"/>
          </w:tcPr>
          <w:p>
            <w:pPr>
              <w:ind w:left="560"/>
              <w:spacing w:after="0"/>
              <w:rPr>
                <w:sz w:val="20"/>
                <w:szCs w:val="20"/>
                <w:color w:val="auto"/>
              </w:rPr>
            </w:pPr>
            <w:r>
              <w:rPr>
                <w:rFonts w:ascii="Arial" w:cs="Arial" w:eastAsia="Arial" w:hAnsi="Arial"/>
                <w:sz w:val="22"/>
                <w:szCs w:val="22"/>
                <w:color w:val="auto"/>
              </w:rPr>
              <w:t>Shares</w:t>
            </w:r>
          </w:p>
        </w:tc>
        <w:tc>
          <w:tcPr>
            <w:tcW w:w="280" w:type="dxa"/>
            <w:vAlign w:val="bottom"/>
          </w:tcPr>
          <w:p>
            <w:pPr>
              <w:spacing w:after="0"/>
              <w:rPr>
                <w:sz w:val="24"/>
                <w:szCs w:val="24"/>
                <w:color w:val="auto"/>
              </w:rPr>
            </w:pPr>
          </w:p>
        </w:tc>
        <w:tc>
          <w:tcPr>
            <w:tcW w:w="1780" w:type="dxa"/>
            <w:vAlign w:val="bottom"/>
          </w:tcPr>
          <w:p>
            <w:pPr>
              <w:jc w:val="right"/>
              <w:ind w:right="332"/>
              <w:spacing w:after="0"/>
              <w:rPr>
                <w:sz w:val="20"/>
                <w:szCs w:val="20"/>
                <w:color w:val="auto"/>
              </w:rPr>
            </w:pPr>
            <w:r>
              <w:rPr>
                <w:rFonts w:ascii="Arial" w:cs="Arial" w:eastAsia="Arial" w:hAnsi="Arial"/>
                <w:sz w:val="22"/>
                <w:szCs w:val="22"/>
                <w:color w:val="auto"/>
                <w:w w:val="97"/>
              </w:rPr>
              <w:t>Current Value</w:t>
            </w:r>
          </w:p>
        </w:tc>
      </w:tr>
      <w:tr>
        <w:trPr>
          <w:trHeight w:val="284"/>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Description of Investment:</w:t>
            </w:r>
          </w:p>
        </w:tc>
        <w:tc>
          <w:tcPr>
            <w:tcW w:w="17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780" w:type="dxa"/>
            <w:vAlign w:val="bottom"/>
            <w:tcBorders>
              <w:top w:val="single" w:sz="8" w:color="auto"/>
            </w:tcBorders>
            <w:shd w:val="clear" w:color="auto" w:fill="CCEEFF"/>
          </w:tcPr>
          <w:p>
            <w:pPr>
              <w:spacing w:after="0"/>
              <w:rPr>
                <w:sz w:val="24"/>
                <w:szCs w:val="24"/>
                <w:color w:val="auto"/>
              </w:rPr>
            </w:pP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b w:val="1"/>
                <w:bCs w:val="1"/>
                <w:color w:val="auto"/>
              </w:rPr>
              <w:t>Mutual Funds: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05"/>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color w:val="auto"/>
              </w:rPr>
              <w:t>Dodge &amp; Cox Global Stock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1,345,333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8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15,915,289</w:t>
            </w: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color w:val="auto"/>
              </w:rPr>
              <w:t>Dodge &amp; Cox Income Fund</w:t>
            </w:r>
          </w:p>
        </w:tc>
        <w:tc>
          <w:tcPr>
            <w:tcW w:w="1700" w:type="dxa"/>
            <w:vAlign w:val="bottom"/>
          </w:tcPr>
          <w:p>
            <w:pPr>
              <w:jc w:val="right"/>
              <w:spacing w:after="0"/>
              <w:rPr>
                <w:sz w:val="20"/>
                <w:szCs w:val="20"/>
                <w:color w:val="auto"/>
              </w:rPr>
            </w:pPr>
            <w:r>
              <w:rPr>
                <w:rFonts w:ascii="Arial" w:cs="Arial" w:eastAsia="Arial" w:hAnsi="Arial"/>
                <w:sz w:val="22"/>
                <w:szCs w:val="22"/>
                <w:color w:val="auto"/>
              </w:rPr>
              <w:t>992,102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13,671,168</w:t>
            </w:r>
          </w:p>
        </w:tc>
      </w:tr>
      <w:tr>
        <w:trPr>
          <w:trHeight w:val="306"/>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Growth Company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354,540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46,699,901</w:t>
            </w: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color w:val="auto"/>
              </w:rPr>
              <w:t>Fidelity (1) Institutional Money Market Fund</w:t>
            </w:r>
          </w:p>
        </w:tc>
        <w:tc>
          <w:tcPr>
            <w:tcW w:w="1700" w:type="dxa"/>
            <w:vAlign w:val="bottom"/>
          </w:tcPr>
          <w:p>
            <w:pPr>
              <w:jc w:val="right"/>
              <w:spacing w:after="0"/>
              <w:rPr>
                <w:sz w:val="20"/>
                <w:szCs w:val="20"/>
                <w:color w:val="auto"/>
              </w:rPr>
            </w:pPr>
            <w:r>
              <w:rPr>
                <w:rFonts w:ascii="Arial" w:cs="Arial" w:eastAsia="Arial" w:hAnsi="Arial"/>
                <w:sz w:val="22"/>
                <w:szCs w:val="22"/>
                <w:color w:val="auto"/>
              </w:rPr>
              <w:t>36,720,517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36,720,517</w:t>
            </w:r>
          </w:p>
        </w:tc>
      </w:tr>
      <w:tr>
        <w:trPr>
          <w:trHeight w:val="306"/>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Fidelity (1) Low-Priced Stock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447,073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22,443,069</w:t>
            </w: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color w:val="auto"/>
              </w:rPr>
              <w:t>Oppenheimer Developing Markets Fund</w:t>
            </w:r>
          </w:p>
        </w:tc>
        <w:tc>
          <w:tcPr>
            <w:tcW w:w="1700" w:type="dxa"/>
            <w:vAlign w:val="bottom"/>
          </w:tcPr>
          <w:p>
            <w:pPr>
              <w:jc w:val="right"/>
              <w:spacing w:after="0"/>
              <w:rPr>
                <w:sz w:val="20"/>
                <w:szCs w:val="20"/>
                <w:color w:val="auto"/>
              </w:rPr>
            </w:pPr>
            <w:r>
              <w:rPr>
                <w:rFonts w:ascii="Arial" w:cs="Arial" w:eastAsia="Arial" w:hAnsi="Arial"/>
                <w:sz w:val="22"/>
                <w:szCs w:val="22"/>
                <w:color w:val="auto"/>
              </w:rPr>
              <w:t>284,772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9,983,982</w:t>
            </w:r>
          </w:p>
        </w:tc>
      </w:tr>
      <w:tr>
        <w:trPr>
          <w:trHeight w:val="306"/>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color w:val="auto"/>
              </w:rPr>
              <w:t>PRIMECAP Odyssey Aggressive Growth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757,743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24,952,359</w:t>
            </w: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color w:val="auto"/>
              </w:rPr>
              <w:t>Spartan 500 Index Fund</w:t>
            </w:r>
          </w:p>
        </w:tc>
        <w:tc>
          <w:tcPr>
            <w:tcW w:w="1700" w:type="dxa"/>
            <w:vAlign w:val="bottom"/>
          </w:tcPr>
          <w:p>
            <w:pPr>
              <w:jc w:val="right"/>
              <w:spacing w:after="0"/>
              <w:rPr>
                <w:sz w:val="20"/>
                <w:szCs w:val="20"/>
                <w:color w:val="auto"/>
              </w:rPr>
            </w:pPr>
            <w:r>
              <w:rPr>
                <w:rFonts w:ascii="Arial" w:cs="Arial" w:eastAsia="Arial" w:hAnsi="Arial"/>
                <w:sz w:val="22"/>
                <w:szCs w:val="22"/>
                <w:color w:val="auto"/>
              </w:rPr>
              <w:t>752,782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54,844,854</w:t>
            </w:r>
          </w:p>
        </w:tc>
      </w:tr>
      <w:tr>
        <w:trPr>
          <w:trHeight w:val="306"/>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color w:val="auto"/>
              </w:rPr>
              <w:t>Spartan Extended Market Index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357,727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19,732,226</w:t>
            </w: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color w:val="auto"/>
              </w:rPr>
              <w:t>Spartan International Index Fund</w:t>
            </w:r>
          </w:p>
        </w:tc>
        <w:tc>
          <w:tcPr>
            <w:tcW w:w="1700" w:type="dxa"/>
            <w:vAlign w:val="bottom"/>
          </w:tcPr>
          <w:p>
            <w:pPr>
              <w:jc w:val="right"/>
              <w:spacing w:after="0"/>
              <w:rPr>
                <w:sz w:val="20"/>
                <w:szCs w:val="20"/>
                <w:color w:val="auto"/>
              </w:rPr>
            </w:pPr>
            <w:r>
              <w:rPr>
                <w:rFonts w:ascii="Arial" w:cs="Arial" w:eastAsia="Arial" w:hAnsi="Arial"/>
                <w:sz w:val="22"/>
                <w:szCs w:val="22"/>
                <w:color w:val="auto"/>
              </w:rPr>
              <w:t>417,137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15,525,827</w:t>
            </w:r>
          </w:p>
        </w:tc>
      </w:tr>
      <w:tr>
        <w:trPr>
          <w:trHeight w:val="306"/>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color w:val="auto"/>
              </w:rPr>
              <w:t>Spartan U.S. Bond Index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1,855,541</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21,784,051</w:t>
            </w:r>
          </w:p>
        </w:tc>
      </w:tr>
      <w:tr>
        <w:trPr>
          <w:trHeight w:val="282"/>
        </w:trPr>
        <w:tc>
          <w:tcPr>
            <w:tcW w:w="7540" w:type="dxa"/>
            <w:vAlign w:val="bottom"/>
          </w:tcPr>
          <w:p>
            <w:pPr>
              <w:ind w:left="40"/>
              <w:spacing w:after="0"/>
              <w:rPr>
                <w:sz w:val="20"/>
                <w:szCs w:val="20"/>
                <w:color w:val="auto"/>
              </w:rPr>
            </w:pPr>
            <w:r>
              <w:rPr>
                <w:rFonts w:ascii="Arial" w:cs="Arial" w:eastAsia="Arial" w:hAnsi="Arial"/>
                <w:sz w:val="22"/>
                <w:szCs w:val="22"/>
                <w:color w:val="auto"/>
              </w:rPr>
              <w:t>Total Mutual Funds: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282,273,243</w:t>
            </w:r>
          </w:p>
        </w:tc>
      </w:tr>
      <w:tr>
        <w:trPr>
          <w:trHeight w:val="306"/>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Custom Target Retirement Date Funds:</w:t>
            </w: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color w:val="auto"/>
              </w:rPr>
              <w:t>TIP 2020 Fund:</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Dodge &amp; Cox Income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3,521,487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48,474,338</w:t>
            </w:r>
          </w:p>
        </w:tc>
      </w:tr>
      <w:tr>
        <w:trPr>
          <w:trHeight w:val="289"/>
        </w:trPr>
        <w:tc>
          <w:tcPr>
            <w:tcW w:w="7540" w:type="dxa"/>
            <w:vAlign w:val="bottom"/>
          </w:tcPr>
          <w:p>
            <w:pPr>
              <w:ind w:left="360"/>
              <w:spacing w:after="0"/>
              <w:rPr>
                <w:sz w:val="20"/>
                <w:szCs w:val="20"/>
                <w:color w:val="auto"/>
              </w:rPr>
            </w:pPr>
            <w:r>
              <w:rPr>
                <w:rFonts w:ascii="Arial" w:cs="Arial" w:eastAsia="Arial" w:hAnsi="Arial"/>
                <w:sz w:val="22"/>
                <w:szCs w:val="22"/>
                <w:color w:val="auto"/>
              </w:rPr>
              <w:t>Spartan International Index Fund</w:t>
            </w:r>
          </w:p>
        </w:tc>
        <w:tc>
          <w:tcPr>
            <w:tcW w:w="1700" w:type="dxa"/>
            <w:vAlign w:val="bottom"/>
          </w:tcPr>
          <w:p>
            <w:pPr>
              <w:jc w:val="right"/>
              <w:spacing w:after="0"/>
              <w:rPr>
                <w:sz w:val="20"/>
                <w:szCs w:val="20"/>
                <w:color w:val="auto"/>
              </w:rPr>
            </w:pPr>
            <w:r>
              <w:rPr>
                <w:rFonts w:ascii="Arial" w:cs="Arial" w:eastAsia="Arial" w:hAnsi="Arial"/>
                <w:sz w:val="22"/>
                <w:szCs w:val="22"/>
                <w:color w:val="auto"/>
              </w:rPr>
              <w:t>910,586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33,892,008</w:t>
            </w: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Spartan 500 Index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464,556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33,847,543</w:t>
            </w:r>
          </w:p>
        </w:tc>
      </w:tr>
      <w:tr>
        <w:trPr>
          <w:trHeight w:val="289"/>
        </w:trPr>
        <w:tc>
          <w:tcPr>
            <w:tcW w:w="7540" w:type="dxa"/>
            <w:vAlign w:val="bottom"/>
          </w:tcPr>
          <w:p>
            <w:pPr>
              <w:ind w:left="360"/>
              <w:spacing w:after="0"/>
              <w:rPr>
                <w:sz w:val="20"/>
                <w:szCs w:val="20"/>
                <w:color w:val="auto"/>
              </w:rPr>
            </w:pPr>
            <w:r>
              <w:rPr>
                <w:rFonts w:ascii="Arial" w:cs="Arial" w:eastAsia="Arial" w:hAnsi="Arial"/>
                <w:sz w:val="22"/>
                <w:szCs w:val="22"/>
                <w:color w:val="auto"/>
              </w:rPr>
              <w:t>Spartan U.S. Bond Index Fund</w:t>
            </w:r>
          </w:p>
        </w:tc>
        <w:tc>
          <w:tcPr>
            <w:tcW w:w="1700" w:type="dxa"/>
            <w:vAlign w:val="bottom"/>
          </w:tcPr>
          <w:p>
            <w:pPr>
              <w:jc w:val="right"/>
              <w:spacing w:after="0"/>
              <w:rPr>
                <w:sz w:val="20"/>
                <w:szCs w:val="20"/>
                <w:color w:val="auto"/>
              </w:rPr>
            </w:pPr>
            <w:r>
              <w:rPr>
                <w:rFonts w:ascii="Arial" w:cs="Arial" w:eastAsia="Arial" w:hAnsi="Arial"/>
                <w:sz w:val="22"/>
                <w:szCs w:val="22"/>
                <w:color w:val="auto"/>
              </w:rPr>
              <w:t>4,104,499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48,186,822</w:t>
            </w: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Fidelity (1) Low-Priced Stock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110,813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5,562,821</w:t>
            </w:r>
          </w:p>
        </w:tc>
      </w:tr>
      <w:tr>
        <w:trPr>
          <w:trHeight w:val="289"/>
        </w:trPr>
        <w:tc>
          <w:tcPr>
            <w:tcW w:w="7540" w:type="dxa"/>
            <w:vAlign w:val="bottom"/>
          </w:tcPr>
          <w:p>
            <w:pPr>
              <w:ind w:left="360"/>
              <w:spacing w:after="0"/>
              <w:rPr>
                <w:sz w:val="20"/>
                <w:szCs w:val="20"/>
                <w:color w:val="auto"/>
              </w:rPr>
            </w:pPr>
            <w:r>
              <w:rPr>
                <w:rFonts w:ascii="Arial" w:cs="Arial" w:eastAsia="Arial" w:hAnsi="Arial"/>
                <w:sz w:val="22"/>
                <w:szCs w:val="22"/>
                <w:color w:val="auto"/>
              </w:rPr>
              <w:t>BlackRock Strategic Completion Non-Lendable Fund</w:t>
            </w:r>
          </w:p>
        </w:tc>
        <w:tc>
          <w:tcPr>
            <w:tcW w:w="1700" w:type="dxa"/>
            <w:vAlign w:val="bottom"/>
          </w:tcPr>
          <w:p>
            <w:pPr>
              <w:jc w:val="right"/>
              <w:spacing w:after="0"/>
              <w:rPr>
                <w:sz w:val="20"/>
                <w:szCs w:val="20"/>
                <w:color w:val="auto"/>
              </w:rPr>
            </w:pPr>
            <w:r>
              <w:rPr>
                <w:rFonts w:ascii="Arial" w:cs="Arial" w:eastAsia="Arial" w:hAnsi="Arial"/>
                <w:sz w:val="22"/>
                <w:szCs w:val="22"/>
                <w:color w:val="auto"/>
              </w:rPr>
              <w:t>3,096,103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31,691,092</w:t>
            </w: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Oppenheimer Developing Markets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265,837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9,320,241</w:t>
            </w:r>
          </w:p>
        </w:tc>
      </w:tr>
      <w:tr>
        <w:trPr>
          <w:trHeight w:val="291"/>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PRIMECAP Odyssey Aggressive Growth Fund</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281,861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9,281,677</w:t>
            </w:r>
          </w:p>
        </w:tc>
      </w:tr>
      <w:tr>
        <w:trPr>
          <w:trHeight w:val="297"/>
        </w:trPr>
        <w:tc>
          <w:tcPr>
            <w:tcW w:w="7540" w:type="dxa"/>
            <w:vAlign w:val="bottom"/>
            <w:shd w:val="clear" w:color="auto" w:fill="CCEEFF"/>
          </w:tcPr>
          <w:p>
            <w:pPr>
              <w:ind w:left="200"/>
              <w:spacing w:after="0"/>
              <w:rPr>
                <w:sz w:val="20"/>
                <w:szCs w:val="20"/>
                <w:color w:val="auto"/>
              </w:rPr>
            </w:pPr>
            <w:r>
              <w:rPr>
                <w:rFonts w:ascii="Arial" w:cs="Arial" w:eastAsia="Arial" w:hAnsi="Arial"/>
                <w:sz w:val="22"/>
                <w:szCs w:val="22"/>
                <w:color w:val="auto"/>
              </w:rPr>
              <w:t>Total TIP 2020 Fund:</w:t>
            </w: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220,256,542</w:t>
            </w: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color w:val="auto"/>
              </w:rPr>
              <w:t>TIP 2030 Fund:</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Dodge &amp; Cox Income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2,179,240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30,029,924</w:t>
            </w:r>
          </w:p>
        </w:tc>
      </w:tr>
      <w:tr>
        <w:trPr>
          <w:trHeight w:val="289"/>
        </w:trPr>
        <w:tc>
          <w:tcPr>
            <w:tcW w:w="7540" w:type="dxa"/>
            <w:vAlign w:val="bottom"/>
          </w:tcPr>
          <w:p>
            <w:pPr>
              <w:ind w:left="360"/>
              <w:spacing w:after="0"/>
              <w:rPr>
                <w:sz w:val="20"/>
                <w:szCs w:val="20"/>
                <w:color w:val="auto"/>
              </w:rPr>
            </w:pPr>
            <w:r>
              <w:rPr>
                <w:rFonts w:ascii="Arial" w:cs="Arial" w:eastAsia="Arial" w:hAnsi="Arial"/>
                <w:sz w:val="22"/>
                <w:szCs w:val="22"/>
                <w:color w:val="auto"/>
              </w:rPr>
              <w:t>Spartan International Index Fund</w:t>
            </w:r>
          </w:p>
        </w:tc>
        <w:tc>
          <w:tcPr>
            <w:tcW w:w="1700" w:type="dxa"/>
            <w:vAlign w:val="bottom"/>
          </w:tcPr>
          <w:p>
            <w:pPr>
              <w:jc w:val="right"/>
              <w:spacing w:after="0"/>
              <w:rPr>
                <w:sz w:val="20"/>
                <w:szCs w:val="20"/>
                <w:color w:val="auto"/>
              </w:rPr>
            </w:pPr>
            <w:r>
              <w:rPr>
                <w:rFonts w:ascii="Arial" w:cs="Arial" w:eastAsia="Arial" w:hAnsi="Arial"/>
                <w:sz w:val="22"/>
                <w:szCs w:val="22"/>
                <w:color w:val="auto"/>
              </w:rPr>
              <w:t>1,405,216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52,302,138</w:t>
            </w: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Spartan 500 Index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715,415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52,205,765</w:t>
            </w:r>
          </w:p>
        </w:tc>
      </w:tr>
      <w:tr>
        <w:trPr>
          <w:trHeight w:val="289"/>
        </w:trPr>
        <w:tc>
          <w:tcPr>
            <w:tcW w:w="7540" w:type="dxa"/>
            <w:vAlign w:val="bottom"/>
          </w:tcPr>
          <w:p>
            <w:pPr>
              <w:ind w:left="360"/>
              <w:spacing w:after="0"/>
              <w:rPr>
                <w:sz w:val="20"/>
                <w:szCs w:val="20"/>
                <w:color w:val="auto"/>
              </w:rPr>
            </w:pPr>
            <w:r>
              <w:rPr>
                <w:rFonts w:ascii="Arial" w:cs="Arial" w:eastAsia="Arial" w:hAnsi="Arial"/>
                <w:sz w:val="22"/>
                <w:szCs w:val="22"/>
                <w:color w:val="auto"/>
              </w:rPr>
              <w:t>Spartan U.S. Bond Index Fund</w:t>
            </w:r>
          </w:p>
        </w:tc>
        <w:tc>
          <w:tcPr>
            <w:tcW w:w="1700" w:type="dxa"/>
            <w:vAlign w:val="bottom"/>
          </w:tcPr>
          <w:p>
            <w:pPr>
              <w:jc w:val="right"/>
              <w:spacing w:after="0"/>
              <w:rPr>
                <w:sz w:val="20"/>
                <w:szCs w:val="20"/>
                <w:color w:val="auto"/>
              </w:rPr>
            </w:pPr>
            <w:r>
              <w:rPr>
                <w:rFonts w:ascii="Arial" w:cs="Arial" w:eastAsia="Arial" w:hAnsi="Arial"/>
                <w:sz w:val="22"/>
                <w:szCs w:val="22"/>
                <w:color w:val="auto"/>
              </w:rPr>
              <w:t>2,560,421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30,059,341</w:t>
            </w: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Fidelity (1) Low-Priced Stock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167,822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8,424,652</w:t>
            </w:r>
          </w:p>
        </w:tc>
      </w:tr>
      <w:tr>
        <w:trPr>
          <w:trHeight w:val="289"/>
        </w:trPr>
        <w:tc>
          <w:tcPr>
            <w:tcW w:w="7540" w:type="dxa"/>
            <w:vAlign w:val="bottom"/>
          </w:tcPr>
          <w:p>
            <w:pPr>
              <w:ind w:left="360"/>
              <w:spacing w:after="0"/>
              <w:rPr>
                <w:sz w:val="20"/>
                <w:szCs w:val="20"/>
                <w:color w:val="auto"/>
              </w:rPr>
            </w:pPr>
            <w:r>
              <w:rPr>
                <w:rFonts w:ascii="Arial" w:cs="Arial" w:eastAsia="Arial" w:hAnsi="Arial"/>
                <w:sz w:val="22"/>
                <w:szCs w:val="22"/>
                <w:color w:val="auto"/>
              </w:rPr>
              <w:t>BlackRock Strategic Completion Non-Lendable Fund</w:t>
            </w:r>
          </w:p>
        </w:tc>
        <w:tc>
          <w:tcPr>
            <w:tcW w:w="1700" w:type="dxa"/>
            <w:vAlign w:val="bottom"/>
          </w:tcPr>
          <w:p>
            <w:pPr>
              <w:jc w:val="right"/>
              <w:spacing w:after="0"/>
              <w:rPr>
                <w:sz w:val="20"/>
                <w:szCs w:val="20"/>
                <w:color w:val="auto"/>
              </w:rPr>
            </w:pPr>
            <w:r>
              <w:rPr>
                <w:rFonts w:ascii="Arial" w:cs="Arial" w:eastAsia="Arial" w:hAnsi="Arial"/>
                <w:sz w:val="22"/>
                <w:szCs w:val="22"/>
                <w:color w:val="auto"/>
              </w:rPr>
              <w:t>1,939,477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19,852,099</w:t>
            </w: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Oppenheimer Developing Markets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405,194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14,206,119</w:t>
            </w:r>
          </w:p>
        </w:tc>
      </w:tr>
      <w:tr>
        <w:trPr>
          <w:trHeight w:val="291"/>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PRIMECAP Odyssey Aggressive Growth Fund</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431,217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14,199,985</w:t>
            </w:r>
          </w:p>
        </w:tc>
      </w:tr>
      <w:tr>
        <w:trPr>
          <w:trHeight w:val="297"/>
        </w:trPr>
        <w:tc>
          <w:tcPr>
            <w:tcW w:w="7540" w:type="dxa"/>
            <w:vAlign w:val="bottom"/>
            <w:shd w:val="clear" w:color="auto" w:fill="CCEEFF"/>
          </w:tcPr>
          <w:p>
            <w:pPr>
              <w:ind w:left="200"/>
              <w:spacing w:after="0"/>
              <w:rPr>
                <w:sz w:val="20"/>
                <w:szCs w:val="20"/>
                <w:color w:val="auto"/>
              </w:rPr>
            </w:pPr>
            <w:r>
              <w:rPr>
                <w:rFonts w:ascii="Arial" w:cs="Arial" w:eastAsia="Arial" w:hAnsi="Arial"/>
                <w:sz w:val="22"/>
                <w:szCs w:val="22"/>
                <w:color w:val="auto"/>
              </w:rPr>
              <w:t>Total TIP 2030 Fund:</w:t>
            </w: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221,280,023</w:t>
            </w:r>
          </w:p>
        </w:tc>
      </w:tr>
    </w:tbl>
    <w:p>
      <w:pPr>
        <w:spacing w:after="0" w:line="200" w:lineRule="exact"/>
        <w:rPr>
          <w:sz w:val="20"/>
          <w:szCs w:val="20"/>
          <w:color w:val="auto"/>
        </w:rPr>
      </w:pP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91"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EIN NO: 04-2348234 PLAN NO: 003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H-LINE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20" w:type="dxa"/>
            <w:vAlign w:val="bottom"/>
            <w:gridSpan w:val="2"/>
          </w:tcPr>
          <w:p>
            <w:pPr>
              <w:ind w:left="560"/>
              <w:spacing w:after="0"/>
              <w:rPr>
                <w:sz w:val="20"/>
                <w:szCs w:val="20"/>
                <w:color w:val="auto"/>
              </w:rPr>
            </w:pPr>
            <w:r>
              <w:rPr>
                <w:rFonts w:ascii="Arial" w:cs="Arial" w:eastAsia="Arial" w:hAnsi="Arial"/>
                <w:sz w:val="22"/>
                <w:szCs w:val="22"/>
                <w:color w:val="auto"/>
              </w:rPr>
              <w:t>Shares</w:t>
            </w:r>
          </w:p>
        </w:tc>
        <w:tc>
          <w:tcPr>
            <w:tcW w:w="2040" w:type="dxa"/>
            <w:vAlign w:val="bottom"/>
          </w:tcPr>
          <w:p>
            <w:pPr>
              <w:jc w:val="right"/>
              <w:ind w:right="312"/>
              <w:spacing w:after="0"/>
              <w:rPr>
                <w:sz w:val="20"/>
                <w:szCs w:val="20"/>
                <w:color w:val="auto"/>
              </w:rPr>
            </w:pPr>
            <w:r>
              <w:rPr>
                <w:rFonts w:ascii="Arial" w:cs="Arial" w:eastAsia="Arial" w:hAnsi="Arial"/>
                <w:sz w:val="22"/>
                <w:szCs w:val="22"/>
                <w:color w:val="auto"/>
              </w:rPr>
              <w:t>Current Value</w:t>
            </w:r>
          </w:p>
        </w:tc>
      </w:tr>
      <w:tr>
        <w:trPr>
          <w:trHeight w:val="284"/>
        </w:trPr>
        <w:tc>
          <w:tcPr>
            <w:tcW w:w="5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Description of Investment (Continued):</w:t>
            </w:r>
          </w:p>
        </w:tc>
        <w:tc>
          <w:tcPr>
            <w:tcW w:w="2240" w:type="dxa"/>
            <w:vAlign w:val="bottom"/>
            <w:tcBorders>
              <w:top w:val="single" w:sz="8" w:color="CCEEFF"/>
            </w:tcBorders>
            <w:shd w:val="clear" w:color="auto" w:fill="CCEEFF"/>
          </w:tcPr>
          <w:p>
            <w:pPr>
              <w:spacing w:after="0"/>
              <w:rPr>
                <w:sz w:val="24"/>
                <w:szCs w:val="24"/>
                <w:color w:val="auto"/>
              </w:rPr>
            </w:pPr>
          </w:p>
        </w:tc>
        <w:tc>
          <w:tcPr>
            <w:tcW w:w="17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40" w:type="dxa"/>
            <w:vAlign w:val="bottom"/>
            <w:tcBorders>
              <w:top w:val="single" w:sz="8" w:color="auto"/>
            </w:tcBorders>
            <w:shd w:val="clear" w:color="auto" w:fill="CCEEFF"/>
          </w:tcPr>
          <w:p>
            <w:pPr>
              <w:spacing w:after="0"/>
              <w:rPr>
                <w:sz w:val="24"/>
                <w:szCs w:val="24"/>
                <w:color w:val="auto"/>
              </w:rPr>
            </w:pPr>
          </w:p>
        </w:tc>
      </w:tr>
      <w:tr>
        <w:trPr>
          <w:trHeight w:val="289"/>
        </w:trPr>
        <w:tc>
          <w:tcPr>
            <w:tcW w:w="5320" w:type="dxa"/>
            <w:vAlign w:val="bottom"/>
          </w:tcPr>
          <w:p>
            <w:pPr>
              <w:ind w:left="40"/>
              <w:spacing w:after="0"/>
              <w:rPr>
                <w:sz w:val="20"/>
                <w:szCs w:val="20"/>
                <w:color w:val="auto"/>
              </w:rPr>
            </w:pPr>
            <w:r>
              <w:rPr>
                <w:rFonts w:ascii="Arial" w:cs="Arial" w:eastAsia="Arial" w:hAnsi="Arial"/>
                <w:sz w:val="22"/>
                <w:szCs w:val="22"/>
                <w:color w:val="auto"/>
              </w:rPr>
              <w:t>TIP 2040 Fund:</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Dodge &amp; Cox Income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279,360</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3,849,574</w:t>
            </w:r>
          </w:p>
        </w:tc>
      </w:tr>
      <w:tr>
        <w:trPr>
          <w:trHeight w:val="289"/>
        </w:trPr>
        <w:tc>
          <w:tcPr>
            <w:tcW w:w="5320" w:type="dxa"/>
            <w:vAlign w:val="bottom"/>
          </w:tcPr>
          <w:p>
            <w:pPr>
              <w:ind w:left="360"/>
              <w:spacing w:after="0"/>
              <w:rPr>
                <w:sz w:val="20"/>
                <w:szCs w:val="20"/>
                <w:color w:val="auto"/>
              </w:rPr>
            </w:pPr>
            <w:r>
              <w:rPr>
                <w:rFonts w:ascii="Arial" w:cs="Arial" w:eastAsia="Arial" w:hAnsi="Arial"/>
                <w:sz w:val="22"/>
                <w:szCs w:val="22"/>
                <w:color w:val="auto"/>
              </w:rPr>
              <w:t>Spartan International Index Fund</w:t>
            </w:r>
          </w:p>
        </w:tc>
        <w:tc>
          <w:tcPr>
            <w:tcW w:w="3960" w:type="dxa"/>
            <w:vAlign w:val="bottom"/>
            <w:gridSpan w:val="2"/>
          </w:tcPr>
          <w:p>
            <w:pPr>
              <w:jc w:val="right"/>
              <w:ind w:right="12"/>
              <w:spacing w:after="0"/>
              <w:rPr>
                <w:sz w:val="20"/>
                <w:szCs w:val="20"/>
                <w:color w:val="auto"/>
              </w:rPr>
            </w:pPr>
            <w:r>
              <w:rPr>
                <w:rFonts w:ascii="Arial" w:cs="Arial" w:eastAsia="Arial" w:hAnsi="Arial"/>
                <w:sz w:val="22"/>
                <w:szCs w:val="22"/>
                <w:color w:val="auto"/>
              </w:rPr>
              <w:t>916,201</w:t>
            </w:r>
          </w:p>
        </w:tc>
        <w:tc>
          <w:tcPr>
            <w:tcW w:w="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34,019,737</w:t>
            </w: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Spartan 500 Index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467,533</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34,064,468</w:t>
            </w:r>
          </w:p>
        </w:tc>
      </w:tr>
      <w:tr>
        <w:trPr>
          <w:trHeight w:val="289"/>
        </w:trPr>
        <w:tc>
          <w:tcPr>
            <w:tcW w:w="5320" w:type="dxa"/>
            <w:vAlign w:val="bottom"/>
          </w:tcPr>
          <w:p>
            <w:pPr>
              <w:ind w:left="360"/>
              <w:spacing w:after="0"/>
              <w:rPr>
                <w:sz w:val="20"/>
                <w:szCs w:val="20"/>
                <w:color w:val="auto"/>
              </w:rPr>
            </w:pPr>
            <w:r>
              <w:rPr>
                <w:rFonts w:ascii="Arial" w:cs="Arial" w:eastAsia="Arial" w:hAnsi="Arial"/>
                <w:sz w:val="22"/>
                <w:szCs w:val="22"/>
                <w:color w:val="auto"/>
              </w:rPr>
              <w:t>Spartan U.S. Bond Index Fund</w:t>
            </w:r>
          </w:p>
        </w:tc>
        <w:tc>
          <w:tcPr>
            <w:tcW w:w="3960" w:type="dxa"/>
            <w:vAlign w:val="bottom"/>
            <w:gridSpan w:val="2"/>
          </w:tcPr>
          <w:p>
            <w:pPr>
              <w:jc w:val="right"/>
              <w:ind w:right="12"/>
              <w:spacing w:after="0"/>
              <w:rPr>
                <w:sz w:val="20"/>
                <w:szCs w:val="20"/>
                <w:color w:val="auto"/>
              </w:rPr>
            </w:pPr>
            <w:r>
              <w:rPr>
                <w:rFonts w:ascii="Arial" w:cs="Arial" w:eastAsia="Arial" w:hAnsi="Arial"/>
                <w:sz w:val="22"/>
                <w:szCs w:val="22"/>
                <w:color w:val="auto"/>
              </w:rPr>
              <w:t>337,134</w:t>
            </w:r>
          </w:p>
        </w:tc>
        <w:tc>
          <w:tcPr>
            <w:tcW w:w="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3,957,951</w:t>
            </w: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Fidelity (1) Low-Priced Stock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111,210</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5,582,738</w:t>
            </w:r>
          </w:p>
        </w:tc>
      </w:tr>
      <w:tr>
        <w:trPr>
          <w:trHeight w:val="289"/>
        </w:trPr>
        <w:tc>
          <w:tcPr>
            <w:tcW w:w="5320" w:type="dxa"/>
            <w:vAlign w:val="bottom"/>
          </w:tcPr>
          <w:p>
            <w:pPr>
              <w:ind w:left="360"/>
              <w:spacing w:after="0"/>
              <w:rPr>
                <w:sz w:val="20"/>
                <w:szCs w:val="20"/>
                <w:color w:val="auto"/>
              </w:rPr>
            </w:pPr>
            <w:r>
              <w:rPr>
                <w:rFonts w:ascii="Arial" w:cs="Arial" w:eastAsia="Arial" w:hAnsi="Arial"/>
                <w:sz w:val="22"/>
                <w:szCs w:val="22"/>
                <w:color w:val="auto"/>
                <w:w w:val="95"/>
              </w:rPr>
              <w:t>BlackRock Strategic Completion Non-Lendable Fund</w:t>
            </w:r>
          </w:p>
        </w:tc>
        <w:tc>
          <w:tcPr>
            <w:tcW w:w="3960" w:type="dxa"/>
            <w:vAlign w:val="bottom"/>
            <w:gridSpan w:val="2"/>
          </w:tcPr>
          <w:p>
            <w:pPr>
              <w:jc w:val="right"/>
              <w:ind w:right="12"/>
              <w:spacing w:after="0"/>
              <w:rPr>
                <w:sz w:val="20"/>
                <w:szCs w:val="20"/>
                <w:color w:val="auto"/>
              </w:rPr>
            </w:pPr>
            <w:r>
              <w:rPr>
                <w:rFonts w:ascii="Arial" w:cs="Arial" w:eastAsia="Arial" w:hAnsi="Arial"/>
                <w:sz w:val="22"/>
                <w:szCs w:val="22"/>
                <w:color w:val="auto"/>
              </w:rPr>
              <w:t>251,146</w:t>
            </w:r>
          </w:p>
        </w:tc>
        <w:tc>
          <w:tcPr>
            <w:tcW w:w="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2,570,680</w:t>
            </w: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Oppenheimer Developing Markets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265,550</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9,310,172</w:t>
            </w:r>
          </w:p>
        </w:tc>
      </w:tr>
      <w:tr>
        <w:trPr>
          <w:trHeight w:val="291"/>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PRIMECAP Odyssey Aggressive Growth Fund</w:t>
            </w:r>
          </w:p>
        </w:tc>
        <w:tc>
          <w:tcPr>
            <w:tcW w:w="3960" w:type="dxa"/>
            <w:vAlign w:val="bottom"/>
            <w:tcBorders>
              <w:bottom w:val="single" w:sz="8" w:color="CCEEFF"/>
            </w:tcBorders>
            <w:gridSpan w:val="2"/>
          </w:tcPr>
          <w:p>
            <w:pPr>
              <w:jc w:val="right"/>
              <w:ind w:right="12"/>
              <w:spacing w:after="0"/>
              <w:rPr>
                <w:sz w:val="20"/>
                <w:szCs w:val="20"/>
                <w:color w:val="auto"/>
              </w:rPr>
            </w:pPr>
            <w:r>
              <w:rPr>
                <w:rFonts w:ascii="Arial" w:cs="Arial" w:eastAsia="Arial" w:hAnsi="Arial"/>
                <w:sz w:val="22"/>
                <w:szCs w:val="22"/>
                <w:color w:val="auto"/>
              </w:rPr>
              <w:t>281,736</w:t>
            </w:r>
          </w:p>
        </w:tc>
        <w:tc>
          <w:tcPr>
            <w:tcW w:w="1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9,277,575</w:t>
            </w:r>
          </w:p>
        </w:tc>
      </w:tr>
      <w:tr>
        <w:trPr>
          <w:trHeight w:val="297"/>
        </w:trPr>
        <w:tc>
          <w:tcPr>
            <w:tcW w:w="53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Total TIP 2040 Fund:</w:t>
            </w:r>
          </w:p>
        </w:tc>
        <w:tc>
          <w:tcPr>
            <w:tcW w:w="2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102,632,895</w:t>
            </w:r>
          </w:p>
        </w:tc>
      </w:tr>
      <w:tr>
        <w:trPr>
          <w:trHeight w:val="289"/>
        </w:trPr>
        <w:tc>
          <w:tcPr>
            <w:tcW w:w="5320" w:type="dxa"/>
            <w:vAlign w:val="bottom"/>
          </w:tcPr>
          <w:p>
            <w:pPr>
              <w:ind w:left="40"/>
              <w:spacing w:after="0"/>
              <w:rPr>
                <w:sz w:val="20"/>
                <w:szCs w:val="20"/>
                <w:color w:val="auto"/>
              </w:rPr>
            </w:pPr>
            <w:r>
              <w:rPr>
                <w:rFonts w:ascii="Arial" w:cs="Arial" w:eastAsia="Arial" w:hAnsi="Arial"/>
                <w:sz w:val="22"/>
                <w:szCs w:val="22"/>
                <w:color w:val="auto"/>
              </w:rPr>
              <w:t>TIP 2050 Fund:</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Dodge &amp; Cox Income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49,292</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679,237</w:t>
            </w:r>
          </w:p>
        </w:tc>
      </w:tr>
      <w:tr>
        <w:trPr>
          <w:trHeight w:val="289"/>
        </w:trPr>
        <w:tc>
          <w:tcPr>
            <w:tcW w:w="5320" w:type="dxa"/>
            <w:vAlign w:val="bottom"/>
          </w:tcPr>
          <w:p>
            <w:pPr>
              <w:ind w:left="360"/>
              <w:spacing w:after="0"/>
              <w:rPr>
                <w:sz w:val="20"/>
                <w:szCs w:val="20"/>
                <w:color w:val="auto"/>
              </w:rPr>
            </w:pPr>
            <w:r>
              <w:rPr>
                <w:rFonts w:ascii="Arial" w:cs="Arial" w:eastAsia="Arial" w:hAnsi="Arial"/>
                <w:sz w:val="22"/>
                <w:szCs w:val="22"/>
                <w:color w:val="auto"/>
              </w:rPr>
              <w:t>Spartan International Index Fund</w:t>
            </w:r>
          </w:p>
        </w:tc>
        <w:tc>
          <w:tcPr>
            <w:tcW w:w="3960" w:type="dxa"/>
            <w:vAlign w:val="bottom"/>
            <w:gridSpan w:val="2"/>
          </w:tcPr>
          <w:p>
            <w:pPr>
              <w:jc w:val="right"/>
              <w:ind w:right="12"/>
              <w:spacing w:after="0"/>
              <w:rPr>
                <w:sz w:val="20"/>
                <w:szCs w:val="20"/>
                <w:color w:val="auto"/>
              </w:rPr>
            </w:pPr>
            <w:r>
              <w:rPr>
                <w:rFonts w:ascii="Arial" w:cs="Arial" w:eastAsia="Arial" w:hAnsi="Arial"/>
                <w:sz w:val="22"/>
                <w:szCs w:val="22"/>
                <w:color w:val="auto"/>
              </w:rPr>
              <w:t>162,155</w:t>
            </w:r>
          </w:p>
        </w:tc>
        <w:tc>
          <w:tcPr>
            <w:tcW w:w="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6,072,571</w:t>
            </w: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Spartan 500 Index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82,662</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6,022,734</w:t>
            </w:r>
          </w:p>
        </w:tc>
      </w:tr>
      <w:tr>
        <w:trPr>
          <w:trHeight w:val="289"/>
        </w:trPr>
        <w:tc>
          <w:tcPr>
            <w:tcW w:w="5320" w:type="dxa"/>
            <w:vAlign w:val="bottom"/>
          </w:tcPr>
          <w:p>
            <w:pPr>
              <w:ind w:left="360"/>
              <w:spacing w:after="0"/>
              <w:rPr>
                <w:sz w:val="20"/>
                <w:szCs w:val="20"/>
                <w:color w:val="auto"/>
              </w:rPr>
            </w:pPr>
            <w:r>
              <w:rPr>
                <w:rFonts w:ascii="Arial" w:cs="Arial" w:eastAsia="Arial" w:hAnsi="Arial"/>
                <w:sz w:val="22"/>
                <w:szCs w:val="22"/>
                <w:color w:val="auto"/>
              </w:rPr>
              <w:t>Spartan U.S. Bond Index Fund</w:t>
            </w:r>
          </w:p>
        </w:tc>
        <w:tc>
          <w:tcPr>
            <w:tcW w:w="3960" w:type="dxa"/>
            <w:vAlign w:val="bottom"/>
            <w:gridSpan w:val="2"/>
          </w:tcPr>
          <w:p>
            <w:pPr>
              <w:jc w:val="right"/>
              <w:ind w:right="12"/>
              <w:spacing w:after="0"/>
              <w:rPr>
                <w:sz w:val="20"/>
                <w:szCs w:val="20"/>
                <w:color w:val="auto"/>
              </w:rPr>
            </w:pPr>
            <w:r>
              <w:rPr>
                <w:rFonts w:ascii="Arial" w:cs="Arial" w:eastAsia="Arial" w:hAnsi="Arial"/>
                <w:sz w:val="22"/>
                <w:szCs w:val="22"/>
                <w:color w:val="auto"/>
              </w:rPr>
              <w:t>59,472</w:t>
            </w:r>
          </w:p>
        </w:tc>
        <w:tc>
          <w:tcPr>
            <w:tcW w:w="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698,201</w:t>
            </w: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Fidelity (1) Low-Priced Stock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19,628</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985,346</w:t>
            </w:r>
          </w:p>
        </w:tc>
      </w:tr>
      <w:tr>
        <w:trPr>
          <w:trHeight w:val="289"/>
        </w:trPr>
        <w:tc>
          <w:tcPr>
            <w:tcW w:w="5320" w:type="dxa"/>
            <w:vAlign w:val="bottom"/>
          </w:tcPr>
          <w:p>
            <w:pPr>
              <w:ind w:left="360"/>
              <w:spacing w:after="0"/>
              <w:rPr>
                <w:sz w:val="20"/>
                <w:szCs w:val="20"/>
                <w:color w:val="auto"/>
              </w:rPr>
            </w:pPr>
            <w:r>
              <w:rPr>
                <w:rFonts w:ascii="Arial" w:cs="Arial" w:eastAsia="Arial" w:hAnsi="Arial"/>
                <w:sz w:val="22"/>
                <w:szCs w:val="22"/>
                <w:color w:val="auto"/>
                <w:w w:val="95"/>
              </w:rPr>
              <w:t>BlackRock Strategic Completion Non-Lendable Fund</w:t>
            </w:r>
          </w:p>
        </w:tc>
        <w:tc>
          <w:tcPr>
            <w:tcW w:w="3960" w:type="dxa"/>
            <w:vAlign w:val="bottom"/>
            <w:gridSpan w:val="2"/>
          </w:tcPr>
          <w:p>
            <w:pPr>
              <w:jc w:val="right"/>
              <w:ind w:right="12"/>
              <w:spacing w:after="0"/>
              <w:rPr>
                <w:sz w:val="20"/>
                <w:szCs w:val="20"/>
                <w:color w:val="auto"/>
              </w:rPr>
            </w:pPr>
            <w:r>
              <w:rPr>
                <w:rFonts w:ascii="Arial" w:cs="Arial" w:eastAsia="Arial" w:hAnsi="Arial"/>
                <w:sz w:val="22"/>
                <w:szCs w:val="22"/>
                <w:color w:val="auto"/>
              </w:rPr>
              <w:t>44,487</w:t>
            </w:r>
          </w:p>
        </w:tc>
        <w:tc>
          <w:tcPr>
            <w:tcW w:w="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455,362</w:t>
            </w: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Oppenheimer Developing Markets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46,879</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1,643,575</w:t>
            </w:r>
          </w:p>
        </w:tc>
      </w:tr>
      <w:tr>
        <w:trPr>
          <w:trHeight w:val="291"/>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PRIMECAP Odyssey Aggressive Growth Fund</w:t>
            </w:r>
          </w:p>
        </w:tc>
        <w:tc>
          <w:tcPr>
            <w:tcW w:w="3960" w:type="dxa"/>
            <w:vAlign w:val="bottom"/>
            <w:tcBorders>
              <w:bottom w:val="single" w:sz="8" w:color="CCEEFF"/>
            </w:tcBorders>
            <w:gridSpan w:val="2"/>
          </w:tcPr>
          <w:p>
            <w:pPr>
              <w:jc w:val="right"/>
              <w:ind w:right="12"/>
              <w:spacing w:after="0"/>
              <w:rPr>
                <w:sz w:val="20"/>
                <w:szCs w:val="20"/>
                <w:color w:val="auto"/>
              </w:rPr>
            </w:pPr>
            <w:r>
              <w:rPr>
                <w:rFonts w:ascii="Arial" w:cs="Arial" w:eastAsia="Arial" w:hAnsi="Arial"/>
                <w:sz w:val="22"/>
                <w:szCs w:val="22"/>
                <w:color w:val="auto"/>
              </w:rPr>
              <w:t>49,890</w:t>
            </w:r>
          </w:p>
        </w:tc>
        <w:tc>
          <w:tcPr>
            <w:tcW w:w="1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1,642,865</w:t>
            </w:r>
          </w:p>
        </w:tc>
      </w:tr>
      <w:tr>
        <w:trPr>
          <w:trHeight w:val="297"/>
        </w:trPr>
        <w:tc>
          <w:tcPr>
            <w:tcW w:w="53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Total TIP 2050 Fund:</w:t>
            </w:r>
          </w:p>
        </w:tc>
        <w:tc>
          <w:tcPr>
            <w:tcW w:w="2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18,199,891</w:t>
            </w:r>
          </w:p>
        </w:tc>
      </w:tr>
      <w:tr>
        <w:trPr>
          <w:trHeight w:val="289"/>
        </w:trPr>
        <w:tc>
          <w:tcPr>
            <w:tcW w:w="5320" w:type="dxa"/>
            <w:vAlign w:val="bottom"/>
          </w:tcPr>
          <w:p>
            <w:pPr>
              <w:ind w:left="40"/>
              <w:spacing w:after="0"/>
              <w:rPr>
                <w:sz w:val="20"/>
                <w:szCs w:val="20"/>
                <w:color w:val="auto"/>
              </w:rPr>
            </w:pPr>
            <w:r>
              <w:rPr>
                <w:rFonts w:ascii="Arial" w:cs="Arial" w:eastAsia="Arial" w:hAnsi="Arial"/>
                <w:sz w:val="22"/>
                <w:szCs w:val="22"/>
                <w:color w:val="auto"/>
              </w:rPr>
              <w:t>TIP 2060 Fund:</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Dodge &amp; Cox Income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1,264</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17,425</w:t>
            </w:r>
          </w:p>
        </w:tc>
      </w:tr>
      <w:tr>
        <w:trPr>
          <w:trHeight w:val="289"/>
        </w:trPr>
        <w:tc>
          <w:tcPr>
            <w:tcW w:w="5320" w:type="dxa"/>
            <w:vAlign w:val="bottom"/>
          </w:tcPr>
          <w:p>
            <w:pPr>
              <w:ind w:left="360"/>
              <w:spacing w:after="0"/>
              <w:rPr>
                <w:sz w:val="20"/>
                <w:szCs w:val="20"/>
                <w:color w:val="auto"/>
              </w:rPr>
            </w:pPr>
            <w:r>
              <w:rPr>
                <w:rFonts w:ascii="Arial" w:cs="Arial" w:eastAsia="Arial" w:hAnsi="Arial"/>
                <w:sz w:val="22"/>
                <w:szCs w:val="22"/>
                <w:color w:val="auto"/>
              </w:rPr>
              <w:t>Spartan International Index Fund</w:t>
            </w:r>
          </w:p>
        </w:tc>
        <w:tc>
          <w:tcPr>
            <w:tcW w:w="3960" w:type="dxa"/>
            <w:vAlign w:val="bottom"/>
            <w:gridSpan w:val="2"/>
          </w:tcPr>
          <w:p>
            <w:pPr>
              <w:jc w:val="right"/>
              <w:ind w:right="12"/>
              <w:spacing w:after="0"/>
              <w:rPr>
                <w:sz w:val="20"/>
                <w:szCs w:val="20"/>
                <w:color w:val="auto"/>
              </w:rPr>
            </w:pPr>
            <w:r>
              <w:rPr>
                <w:rFonts w:ascii="Arial" w:cs="Arial" w:eastAsia="Arial" w:hAnsi="Arial"/>
                <w:sz w:val="22"/>
                <w:szCs w:val="22"/>
                <w:color w:val="auto"/>
              </w:rPr>
              <w:t>4,273</w:t>
            </w:r>
          </w:p>
        </w:tc>
        <w:tc>
          <w:tcPr>
            <w:tcW w:w="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203,342</w:t>
            </w: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Spartan 500 Index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2,165</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157,777</w:t>
            </w:r>
          </w:p>
        </w:tc>
      </w:tr>
      <w:tr>
        <w:trPr>
          <w:trHeight w:val="289"/>
        </w:trPr>
        <w:tc>
          <w:tcPr>
            <w:tcW w:w="5320" w:type="dxa"/>
            <w:vAlign w:val="bottom"/>
          </w:tcPr>
          <w:p>
            <w:pPr>
              <w:ind w:left="360"/>
              <w:spacing w:after="0"/>
              <w:rPr>
                <w:sz w:val="20"/>
                <w:szCs w:val="20"/>
                <w:color w:val="auto"/>
              </w:rPr>
            </w:pPr>
            <w:r>
              <w:rPr>
                <w:rFonts w:ascii="Arial" w:cs="Arial" w:eastAsia="Arial" w:hAnsi="Arial"/>
                <w:sz w:val="22"/>
                <w:szCs w:val="22"/>
                <w:color w:val="auto"/>
              </w:rPr>
              <w:t>Spartan U.S. Bond Index Fund</w:t>
            </w:r>
          </w:p>
        </w:tc>
        <w:tc>
          <w:tcPr>
            <w:tcW w:w="3960" w:type="dxa"/>
            <w:vAlign w:val="bottom"/>
            <w:gridSpan w:val="2"/>
          </w:tcPr>
          <w:p>
            <w:pPr>
              <w:jc w:val="right"/>
              <w:ind w:right="12"/>
              <w:spacing w:after="0"/>
              <w:rPr>
                <w:sz w:val="20"/>
                <w:szCs w:val="20"/>
                <w:color w:val="auto"/>
              </w:rPr>
            </w:pPr>
            <w:r>
              <w:rPr>
                <w:rFonts w:ascii="Arial" w:cs="Arial" w:eastAsia="Arial" w:hAnsi="Arial"/>
                <w:sz w:val="22"/>
                <w:szCs w:val="22"/>
                <w:color w:val="auto"/>
              </w:rPr>
              <w:t>1,527</w:t>
            </w:r>
          </w:p>
        </w:tc>
        <w:tc>
          <w:tcPr>
            <w:tcW w:w="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17,930</w:t>
            </w: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Fidelity (1) Low-Priced Stock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507</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25,442</w:t>
            </w:r>
          </w:p>
        </w:tc>
      </w:tr>
      <w:tr>
        <w:trPr>
          <w:trHeight w:val="289"/>
        </w:trPr>
        <w:tc>
          <w:tcPr>
            <w:tcW w:w="5320" w:type="dxa"/>
            <w:vAlign w:val="bottom"/>
          </w:tcPr>
          <w:p>
            <w:pPr>
              <w:ind w:left="360"/>
              <w:spacing w:after="0"/>
              <w:rPr>
                <w:sz w:val="20"/>
                <w:szCs w:val="20"/>
                <w:color w:val="auto"/>
              </w:rPr>
            </w:pPr>
            <w:r>
              <w:rPr>
                <w:rFonts w:ascii="Arial" w:cs="Arial" w:eastAsia="Arial" w:hAnsi="Arial"/>
                <w:sz w:val="22"/>
                <w:szCs w:val="22"/>
                <w:color w:val="auto"/>
                <w:w w:val="95"/>
              </w:rPr>
              <w:t>BlackRock Strategic Completion Non-Lendable Fund</w:t>
            </w:r>
          </w:p>
        </w:tc>
        <w:tc>
          <w:tcPr>
            <w:tcW w:w="3960" w:type="dxa"/>
            <w:vAlign w:val="bottom"/>
            <w:gridSpan w:val="2"/>
          </w:tcPr>
          <w:p>
            <w:pPr>
              <w:jc w:val="right"/>
              <w:ind w:right="12"/>
              <w:spacing w:after="0"/>
              <w:rPr>
                <w:sz w:val="20"/>
                <w:szCs w:val="20"/>
                <w:color w:val="auto"/>
              </w:rPr>
            </w:pPr>
            <w:r>
              <w:rPr>
                <w:rFonts w:ascii="Arial" w:cs="Arial" w:eastAsia="Arial" w:hAnsi="Arial"/>
                <w:sz w:val="22"/>
                <w:szCs w:val="22"/>
                <w:color w:val="auto"/>
              </w:rPr>
              <w:t>1,124</w:t>
            </w:r>
          </w:p>
        </w:tc>
        <w:tc>
          <w:tcPr>
            <w:tcW w:w="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11,507</w:t>
            </w:r>
          </w:p>
        </w:tc>
      </w:tr>
      <w:tr>
        <w:trPr>
          <w:trHeight w:val="306"/>
        </w:trPr>
        <w:tc>
          <w:tcPr>
            <w:tcW w:w="53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Oppenheimer Developing Markets Fund</w:t>
            </w:r>
          </w:p>
        </w:tc>
        <w:tc>
          <w:tcPr>
            <w:tcW w:w="39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1,220</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42,777</w:t>
            </w:r>
          </w:p>
        </w:tc>
      </w:tr>
      <w:tr>
        <w:trPr>
          <w:trHeight w:val="291"/>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PRIMECAP Odyssey Aggressive Growth Fund</w:t>
            </w:r>
          </w:p>
        </w:tc>
        <w:tc>
          <w:tcPr>
            <w:tcW w:w="3960" w:type="dxa"/>
            <w:vAlign w:val="bottom"/>
            <w:tcBorders>
              <w:bottom w:val="single" w:sz="8" w:color="CCEEFF"/>
            </w:tcBorders>
            <w:gridSpan w:val="2"/>
          </w:tcPr>
          <w:p>
            <w:pPr>
              <w:jc w:val="right"/>
              <w:ind w:right="12"/>
              <w:spacing w:after="0"/>
              <w:rPr>
                <w:sz w:val="20"/>
                <w:szCs w:val="20"/>
                <w:color w:val="auto"/>
              </w:rPr>
            </w:pPr>
            <w:r>
              <w:rPr>
                <w:rFonts w:ascii="Arial" w:cs="Arial" w:eastAsia="Arial" w:hAnsi="Arial"/>
                <w:sz w:val="22"/>
                <w:szCs w:val="22"/>
                <w:color w:val="auto"/>
              </w:rPr>
              <w:t>1,355</w:t>
            </w:r>
          </w:p>
        </w:tc>
        <w:tc>
          <w:tcPr>
            <w:tcW w:w="1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44,618</w:t>
            </w:r>
          </w:p>
        </w:tc>
      </w:tr>
      <w:tr>
        <w:trPr>
          <w:trHeight w:val="297"/>
        </w:trPr>
        <w:tc>
          <w:tcPr>
            <w:tcW w:w="53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Total TIP 2060 Fund:</w:t>
            </w:r>
          </w:p>
        </w:tc>
        <w:tc>
          <w:tcPr>
            <w:tcW w:w="2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520,818</w:t>
            </w:r>
          </w:p>
        </w:tc>
      </w:tr>
      <w:tr>
        <w:trPr>
          <w:trHeight w:val="675"/>
        </w:trPr>
        <w:tc>
          <w:tcPr>
            <w:tcW w:w="5320" w:type="dxa"/>
            <w:vAlign w:val="bottom"/>
          </w:tcPr>
          <w:p>
            <w:pPr>
              <w:spacing w:after="0"/>
              <w:rPr>
                <w:sz w:val="24"/>
                <w:szCs w:val="24"/>
                <w:color w:val="auto"/>
              </w:rPr>
            </w:pPr>
          </w:p>
        </w:tc>
        <w:tc>
          <w:tcPr>
            <w:tcW w:w="2240" w:type="dxa"/>
            <w:vAlign w:val="bottom"/>
          </w:tcPr>
          <w:p>
            <w:pPr>
              <w:jc w:val="right"/>
              <w:ind w:right="1653"/>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37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INVESTMENT PARTNERSHIP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EIN NO: 04-2348234 PLAN NO: 003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H-LINE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540" w:type="dxa"/>
            <w:vAlign w:val="bottom"/>
          </w:tcPr>
          <w:p>
            <w:pPr>
              <w:spacing w:after="0"/>
              <w:rPr>
                <w:sz w:val="24"/>
                <w:szCs w:val="24"/>
                <w:color w:val="auto"/>
              </w:rPr>
            </w:pPr>
          </w:p>
        </w:tc>
        <w:tc>
          <w:tcPr>
            <w:tcW w:w="1820" w:type="dxa"/>
            <w:vAlign w:val="bottom"/>
            <w:gridSpan w:val="2"/>
          </w:tcPr>
          <w:p>
            <w:pPr>
              <w:ind w:left="560"/>
              <w:spacing w:after="0"/>
              <w:rPr>
                <w:sz w:val="20"/>
                <w:szCs w:val="20"/>
                <w:color w:val="auto"/>
              </w:rPr>
            </w:pPr>
            <w:r>
              <w:rPr>
                <w:rFonts w:ascii="Arial" w:cs="Arial" w:eastAsia="Arial" w:hAnsi="Arial"/>
                <w:sz w:val="22"/>
                <w:szCs w:val="22"/>
                <w:color w:val="auto"/>
              </w:rPr>
              <w:t>Shares</w:t>
            </w:r>
          </w:p>
        </w:tc>
        <w:tc>
          <w:tcPr>
            <w:tcW w:w="280" w:type="dxa"/>
            <w:vAlign w:val="bottom"/>
          </w:tcPr>
          <w:p>
            <w:pPr>
              <w:spacing w:after="0"/>
              <w:rPr>
                <w:sz w:val="24"/>
                <w:szCs w:val="24"/>
                <w:color w:val="auto"/>
              </w:rPr>
            </w:pPr>
          </w:p>
        </w:tc>
        <w:tc>
          <w:tcPr>
            <w:tcW w:w="1780" w:type="dxa"/>
            <w:vAlign w:val="bottom"/>
          </w:tcPr>
          <w:p>
            <w:pPr>
              <w:jc w:val="right"/>
              <w:ind w:right="332"/>
              <w:spacing w:after="0"/>
              <w:rPr>
                <w:sz w:val="20"/>
                <w:szCs w:val="20"/>
                <w:color w:val="auto"/>
              </w:rPr>
            </w:pPr>
            <w:r>
              <w:rPr>
                <w:rFonts w:ascii="Arial" w:cs="Arial" w:eastAsia="Arial" w:hAnsi="Arial"/>
                <w:sz w:val="22"/>
                <w:szCs w:val="22"/>
                <w:color w:val="auto"/>
                <w:w w:val="97"/>
              </w:rPr>
              <w:t>Current Value</w:t>
            </w:r>
          </w:p>
        </w:tc>
      </w:tr>
      <w:tr>
        <w:trPr>
          <w:trHeight w:val="284"/>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Description of Investment (Continued):</w:t>
            </w:r>
          </w:p>
        </w:tc>
        <w:tc>
          <w:tcPr>
            <w:tcW w:w="17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780" w:type="dxa"/>
            <w:vAlign w:val="bottom"/>
            <w:tcBorders>
              <w:top w:val="single" w:sz="8" w:color="auto"/>
            </w:tcBorders>
            <w:shd w:val="clear" w:color="auto" w:fill="CCEEFF"/>
          </w:tcPr>
          <w:p>
            <w:pPr>
              <w:spacing w:after="0"/>
              <w:rPr>
                <w:sz w:val="24"/>
                <w:szCs w:val="24"/>
                <w:color w:val="auto"/>
              </w:rPr>
            </w:pP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color w:val="auto"/>
              </w:rPr>
              <w:t>TIP Income Fund:</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Dodge &amp; Cox Income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897,851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12,389,633</w:t>
            </w:r>
          </w:p>
        </w:tc>
      </w:tr>
      <w:tr>
        <w:trPr>
          <w:trHeight w:val="289"/>
        </w:trPr>
        <w:tc>
          <w:tcPr>
            <w:tcW w:w="7540" w:type="dxa"/>
            <w:vAlign w:val="bottom"/>
          </w:tcPr>
          <w:p>
            <w:pPr>
              <w:ind w:left="360"/>
              <w:spacing w:after="0"/>
              <w:rPr>
                <w:sz w:val="20"/>
                <w:szCs w:val="20"/>
                <w:color w:val="auto"/>
              </w:rPr>
            </w:pPr>
            <w:r>
              <w:rPr>
                <w:rFonts w:ascii="Arial" w:cs="Arial" w:eastAsia="Arial" w:hAnsi="Arial"/>
                <w:sz w:val="22"/>
                <w:szCs w:val="22"/>
                <w:color w:val="auto"/>
              </w:rPr>
              <w:t>Spartan International Index Fund</w:t>
            </w:r>
          </w:p>
        </w:tc>
        <w:tc>
          <w:tcPr>
            <w:tcW w:w="1700" w:type="dxa"/>
            <w:vAlign w:val="bottom"/>
          </w:tcPr>
          <w:p>
            <w:pPr>
              <w:jc w:val="right"/>
              <w:spacing w:after="0"/>
              <w:rPr>
                <w:sz w:val="20"/>
                <w:szCs w:val="20"/>
                <w:color w:val="auto"/>
              </w:rPr>
            </w:pPr>
            <w:r>
              <w:rPr>
                <w:rFonts w:ascii="Arial" w:cs="Arial" w:eastAsia="Arial" w:hAnsi="Arial"/>
                <w:sz w:val="22"/>
                <w:szCs w:val="22"/>
                <w:color w:val="auto"/>
              </w:rPr>
              <w:t>129,616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4,824,317</w:t>
            </w: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Spartan 500 Index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66,325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4,832,475</w:t>
            </w:r>
          </w:p>
        </w:tc>
      </w:tr>
      <w:tr>
        <w:trPr>
          <w:trHeight w:val="289"/>
        </w:trPr>
        <w:tc>
          <w:tcPr>
            <w:tcW w:w="7540" w:type="dxa"/>
            <w:vAlign w:val="bottom"/>
          </w:tcPr>
          <w:p>
            <w:pPr>
              <w:ind w:left="360"/>
              <w:spacing w:after="0"/>
              <w:rPr>
                <w:sz w:val="20"/>
                <w:szCs w:val="20"/>
                <w:color w:val="auto"/>
              </w:rPr>
            </w:pPr>
            <w:r>
              <w:rPr>
                <w:rFonts w:ascii="Arial" w:cs="Arial" w:eastAsia="Arial" w:hAnsi="Arial"/>
                <w:sz w:val="22"/>
                <w:szCs w:val="22"/>
                <w:color w:val="auto"/>
              </w:rPr>
              <w:t>Spartan U.S. Bond Index Fund</w:t>
            </w:r>
          </w:p>
        </w:tc>
        <w:tc>
          <w:tcPr>
            <w:tcW w:w="1700" w:type="dxa"/>
            <w:vAlign w:val="bottom"/>
          </w:tcPr>
          <w:p>
            <w:pPr>
              <w:jc w:val="right"/>
              <w:spacing w:after="0"/>
              <w:rPr>
                <w:sz w:val="20"/>
                <w:szCs w:val="20"/>
                <w:color w:val="auto"/>
              </w:rPr>
            </w:pPr>
            <w:r>
              <w:rPr>
                <w:rFonts w:ascii="Arial" w:cs="Arial" w:eastAsia="Arial" w:hAnsi="Arial"/>
                <w:sz w:val="22"/>
                <w:szCs w:val="22"/>
                <w:color w:val="auto"/>
              </w:rPr>
              <w:t>1,042,352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12,237,218</w:t>
            </w: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Fidelity (1) Low-Priced Stock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15,535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779,835</w:t>
            </w:r>
          </w:p>
        </w:tc>
      </w:tr>
      <w:tr>
        <w:trPr>
          <w:trHeight w:val="289"/>
        </w:trPr>
        <w:tc>
          <w:tcPr>
            <w:tcW w:w="7540" w:type="dxa"/>
            <w:vAlign w:val="bottom"/>
          </w:tcPr>
          <w:p>
            <w:pPr>
              <w:ind w:left="360"/>
              <w:spacing w:after="0"/>
              <w:rPr>
                <w:sz w:val="20"/>
                <w:szCs w:val="20"/>
                <w:color w:val="auto"/>
              </w:rPr>
            </w:pPr>
            <w:r>
              <w:rPr>
                <w:rFonts w:ascii="Arial" w:cs="Arial" w:eastAsia="Arial" w:hAnsi="Arial"/>
                <w:sz w:val="22"/>
                <w:szCs w:val="22"/>
                <w:color w:val="auto"/>
              </w:rPr>
              <w:t>BlackRock Strategic Completion Non-Lendable Fund</w:t>
            </w:r>
          </w:p>
        </w:tc>
        <w:tc>
          <w:tcPr>
            <w:tcW w:w="1700" w:type="dxa"/>
            <w:vAlign w:val="bottom"/>
          </w:tcPr>
          <w:p>
            <w:pPr>
              <w:jc w:val="right"/>
              <w:spacing w:after="0"/>
              <w:rPr>
                <w:sz w:val="20"/>
                <w:szCs w:val="20"/>
                <w:color w:val="auto"/>
              </w:rPr>
            </w:pPr>
            <w:r>
              <w:rPr>
                <w:rFonts w:ascii="Arial" w:cs="Arial" w:eastAsia="Arial" w:hAnsi="Arial"/>
                <w:sz w:val="22"/>
                <w:szCs w:val="22"/>
                <w:color w:val="auto"/>
              </w:rPr>
              <w:t>787,336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8,059,019</w:t>
            </w:r>
          </w:p>
        </w:tc>
      </w:tr>
      <w:tr>
        <w:trPr>
          <w:trHeight w:val="306"/>
        </w:trPr>
        <w:tc>
          <w:tcPr>
            <w:tcW w:w="75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Oppenheimer Developing Markets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38,029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1,333,289</w:t>
            </w:r>
          </w:p>
        </w:tc>
      </w:tr>
      <w:tr>
        <w:trPr>
          <w:trHeight w:val="291"/>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PRIMECAP Odyssey Aggressive Growth Fund</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40,367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1,329,270</w:t>
            </w:r>
          </w:p>
        </w:tc>
      </w:tr>
      <w:tr>
        <w:trPr>
          <w:trHeight w:val="297"/>
        </w:trPr>
        <w:tc>
          <w:tcPr>
            <w:tcW w:w="7540" w:type="dxa"/>
            <w:vAlign w:val="bottom"/>
            <w:shd w:val="clear" w:color="auto" w:fill="CCEEFF"/>
          </w:tcPr>
          <w:p>
            <w:pPr>
              <w:ind w:left="200"/>
              <w:spacing w:after="0"/>
              <w:rPr>
                <w:sz w:val="20"/>
                <w:szCs w:val="20"/>
                <w:color w:val="auto"/>
              </w:rPr>
            </w:pPr>
            <w:r>
              <w:rPr>
                <w:rFonts w:ascii="Arial" w:cs="Arial" w:eastAsia="Arial" w:hAnsi="Arial"/>
                <w:sz w:val="22"/>
                <w:szCs w:val="22"/>
                <w:color w:val="auto"/>
              </w:rPr>
              <w:t>Total TIP Income Fund:</w:t>
            </w: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45,785,056</w:t>
            </w:r>
          </w:p>
        </w:tc>
      </w:tr>
      <w:tr>
        <w:trPr>
          <w:trHeight w:val="282"/>
        </w:trPr>
        <w:tc>
          <w:tcPr>
            <w:tcW w:w="7540" w:type="dxa"/>
            <w:vAlign w:val="bottom"/>
          </w:tcPr>
          <w:p>
            <w:pPr>
              <w:ind w:left="40"/>
              <w:spacing w:after="0"/>
              <w:rPr>
                <w:sz w:val="20"/>
                <w:szCs w:val="20"/>
                <w:color w:val="auto"/>
              </w:rPr>
            </w:pPr>
            <w:r>
              <w:rPr>
                <w:rFonts w:ascii="Arial" w:cs="Arial" w:eastAsia="Arial" w:hAnsi="Arial"/>
                <w:sz w:val="22"/>
                <w:szCs w:val="22"/>
                <w:color w:val="auto"/>
              </w:rPr>
              <w:t>Total Custom Target Retirement Date Funds: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780" w:type="dxa"/>
            <w:vAlign w:val="bottom"/>
          </w:tcPr>
          <w:p>
            <w:pPr>
              <w:jc w:val="right"/>
              <w:spacing w:after="0"/>
              <w:rPr>
                <w:sz w:val="20"/>
                <w:szCs w:val="20"/>
                <w:color w:val="auto"/>
              </w:rPr>
            </w:pPr>
            <w:r>
              <w:rPr>
                <w:rFonts w:ascii="Arial" w:cs="Arial" w:eastAsia="Arial" w:hAnsi="Arial"/>
                <w:sz w:val="22"/>
                <w:szCs w:val="22"/>
                <w:color w:val="auto"/>
              </w:rPr>
              <w:t>608,675,225</w:t>
            </w:r>
          </w:p>
        </w:tc>
      </w:tr>
      <w:tr>
        <w:trPr>
          <w:trHeight w:val="306"/>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Common Stock:</w:t>
            </w: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color w:val="auto"/>
              </w:rPr>
              <w:t>Analog Devices (1) (2)</w:t>
            </w:r>
          </w:p>
        </w:tc>
        <w:tc>
          <w:tcPr>
            <w:tcW w:w="1700" w:type="dxa"/>
            <w:vAlign w:val="bottom"/>
          </w:tcPr>
          <w:p>
            <w:pPr>
              <w:jc w:val="right"/>
              <w:spacing w:after="0"/>
              <w:rPr>
                <w:sz w:val="20"/>
                <w:szCs w:val="20"/>
                <w:color w:val="auto"/>
              </w:rPr>
            </w:pPr>
            <w:r>
              <w:rPr>
                <w:rFonts w:ascii="Arial" w:cs="Arial" w:eastAsia="Arial" w:hAnsi="Arial"/>
                <w:sz w:val="22"/>
                <w:szCs w:val="22"/>
                <w:color w:val="auto"/>
              </w:rPr>
              <w:t>1,661,458</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780" w:type="dxa"/>
            <w:vAlign w:val="bottom"/>
          </w:tcPr>
          <w:p>
            <w:pPr>
              <w:jc w:val="right"/>
              <w:spacing w:after="0"/>
              <w:rPr>
                <w:sz w:val="20"/>
                <w:szCs w:val="20"/>
                <w:color w:val="auto"/>
              </w:rPr>
            </w:pPr>
            <w:r>
              <w:rPr>
                <w:rFonts w:ascii="Arial" w:cs="Arial" w:eastAsia="Arial" w:hAnsi="Arial"/>
                <w:sz w:val="22"/>
                <w:szCs w:val="22"/>
                <w:color w:val="auto"/>
              </w:rPr>
              <w:t>92,246,502</w:t>
            </w:r>
          </w:p>
        </w:tc>
      </w:tr>
      <w:tr>
        <w:trPr>
          <w:trHeight w:val="333"/>
        </w:trPr>
        <w:tc>
          <w:tcPr>
            <w:tcW w:w="75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b w:val="1"/>
                <w:bCs w:val="1"/>
                <w:color w:val="auto"/>
              </w:rPr>
              <w:t>Participants Self-Directed Brokerage Accounts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133,450,997</w:t>
            </w:r>
          </w:p>
        </w:tc>
      </w:tr>
      <w:tr>
        <w:trPr>
          <w:trHeight w:val="332"/>
        </w:trPr>
        <w:tc>
          <w:tcPr>
            <w:tcW w:w="75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89"/>
        </w:trPr>
        <w:tc>
          <w:tcPr>
            <w:tcW w:w="7540" w:type="dxa"/>
            <w:vAlign w:val="bottom"/>
          </w:tcPr>
          <w:p>
            <w:pPr>
              <w:ind w:left="40"/>
              <w:spacing w:after="0"/>
              <w:rPr>
                <w:sz w:val="20"/>
                <w:szCs w:val="20"/>
                <w:color w:val="auto"/>
              </w:rPr>
            </w:pPr>
            <w:r>
              <w:rPr>
                <w:rFonts w:ascii="Arial" w:cs="Arial" w:eastAsia="Arial" w:hAnsi="Arial"/>
                <w:sz w:val="22"/>
                <w:szCs w:val="22"/>
                <w:b w:val="1"/>
                <w:bCs w:val="1"/>
                <w:color w:val="auto"/>
              </w:rPr>
              <w:t>Commingled Funds: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05"/>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color w:val="auto"/>
              </w:rPr>
              <w:t>BlackRock Strategic Completion Non-Lendable Fund</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698,181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7,146,444</w:t>
            </w:r>
          </w:p>
        </w:tc>
      </w:tr>
      <w:tr>
        <w:trPr>
          <w:trHeight w:val="324"/>
        </w:trPr>
        <w:tc>
          <w:tcPr>
            <w:tcW w:w="7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97"/>
        </w:trPr>
        <w:tc>
          <w:tcPr>
            <w:tcW w:w="754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auto"/>
              </w:rPr>
              <w:t>Notes Receivable from Participants (1) (3)</w:t>
            </w: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9,096,275</w:t>
            </w:r>
          </w:p>
        </w:tc>
      </w:tr>
      <w:tr>
        <w:trPr>
          <w:trHeight w:val="324"/>
        </w:trPr>
        <w:tc>
          <w:tcPr>
            <w:tcW w:w="754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284"/>
        </w:trPr>
        <w:tc>
          <w:tcPr>
            <w:tcW w:w="754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w w:val="8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1,132,888,686</w:t>
            </w:r>
          </w:p>
        </w:tc>
      </w:tr>
      <w:tr>
        <w:trPr>
          <w:trHeight w:val="20"/>
        </w:trPr>
        <w:tc>
          <w:tcPr>
            <w:tcW w:w="7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26"/>
          <w:szCs w:val="26"/>
          <w:color w:val="auto"/>
          <w:vertAlign w:val="superscript"/>
        </w:rPr>
      </w:pPr>
      <w:r>
        <w:rPr>
          <w:rFonts w:ascii="Arial" w:cs="Arial" w:eastAsia="Arial" w:hAnsi="Arial"/>
          <w:sz w:val="19"/>
          <w:szCs w:val="19"/>
          <w:color w:val="auto"/>
        </w:rPr>
        <w:t>Indicates party-in-interest to the Plan.</w:t>
      </w:r>
    </w:p>
    <w:p>
      <w:pPr>
        <w:ind w:left="240" w:hanging="232"/>
        <w:spacing w:after="0" w:line="191" w:lineRule="auto"/>
        <w:tabs>
          <w:tab w:leader="none" w:pos="240" w:val="left"/>
        </w:tabs>
        <w:numPr>
          <w:ilvl w:val="0"/>
          <w:numId w:val="17"/>
        </w:numPr>
        <w:rPr>
          <w:rFonts w:ascii="Arial" w:cs="Arial" w:eastAsia="Arial" w:hAnsi="Arial"/>
          <w:sz w:val="28"/>
          <w:szCs w:val="28"/>
          <w:color w:val="auto"/>
          <w:vertAlign w:val="superscript"/>
        </w:rPr>
      </w:pPr>
      <w:r>
        <w:rPr>
          <w:rFonts w:ascii="Arial" w:cs="Arial" w:eastAsia="Arial" w:hAnsi="Arial"/>
          <w:sz w:val="21"/>
          <w:szCs w:val="21"/>
          <w:color w:val="auto"/>
        </w:rPr>
        <w:t>Frozen to new contributions in 2014.</w:t>
      </w:r>
    </w:p>
    <w:p>
      <w:pPr>
        <w:ind w:left="260" w:right="520" w:hanging="252"/>
        <w:spacing w:after="0" w:line="218" w:lineRule="auto"/>
        <w:tabs>
          <w:tab w:leader="none" w:pos="242" w:val="left"/>
        </w:tabs>
        <w:numPr>
          <w:ilvl w:val="0"/>
          <w:numId w:val="17"/>
        </w:numPr>
        <w:rPr>
          <w:rFonts w:ascii="Arial" w:cs="Arial" w:eastAsia="Arial" w:hAnsi="Arial"/>
          <w:sz w:val="28"/>
          <w:szCs w:val="28"/>
          <w:color w:val="auto"/>
          <w:vertAlign w:val="superscript"/>
        </w:rPr>
      </w:pPr>
      <w:r>
        <w:rPr>
          <w:rFonts w:ascii="Arial" w:cs="Arial" w:eastAsia="Arial" w:hAnsi="Arial"/>
          <w:sz w:val="21"/>
          <w:szCs w:val="21"/>
          <w:color w:val="auto"/>
        </w:rPr>
        <w:t>The loan account at December 31, 2014 bears interest at rates ranging from 3.3% to 10.0%, with terms ranging 1 year to 20 years.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Note: Cost information has not been included because all investments are participant-directed.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75" w:right="239" w:bottom="1440" w:gutter="0" w:footer="0" w:header="0"/>
        </w:sectPr>
      </w:pPr>
    </w:p>
    <w:bookmarkStart w:id="19" w:name="page20"/>
    <w:bookmarkEnd w:id="19"/>
    <w:p>
      <w:pPr>
        <w:ind w:left="5060"/>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31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294"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auto"/>
        </w:rPr>
        <w:t>ANALOG DEVICES, INC.</w:t>
      </w:r>
    </w:p>
    <w:p>
      <w:pPr>
        <w:spacing w:after="0" w:line="44"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auto"/>
        </w:rPr>
        <w:t>THE INVESTMENT PARTNERSHIP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24765</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auto"/>
        </w:rPr>
        <w:t>(the Plan)</w:t>
      </w:r>
    </w:p>
    <w:p>
      <w:pPr>
        <w:spacing w:after="0" w:line="368" w:lineRule="exact"/>
        <w:rPr>
          <w:sz w:val="20"/>
          <w:szCs w:val="20"/>
          <w:color w:val="auto"/>
        </w:rPr>
      </w:pPr>
    </w:p>
    <w:p>
      <w:pPr>
        <w:ind w:left="4960"/>
        <w:spacing w:after="0"/>
        <w:tabs>
          <w:tab w:leader="none" w:pos="5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24765</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David A. Zinsner</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Senior Vice President, Finance and Chief</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Financial Officer of Analog Devices, Inc.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June 17, 2015</w:t>
      </w:r>
    </w:p>
    <w:p>
      <w:pPr>
        <w:spacing w:after="0" w:line="200" w:lineRule="exact"/>
        <w:rPr>
          <w:sz w:val="20"/>
          <w:szCs w:val="20"/>
          <w:color w:val="auto"/>
        </w:rPr>
      </w:pPr>
    </w:p>
    <w:p>
      <w:pPr>
        <w:spacing w:after="0" w:line="28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240" w:top="375" w:right="75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color w:val="auto"/>
        </w:rPr>
        <w:t>Exhibit 23.1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398"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We consent to the incorporation by reference in the Registration Statements (Form S-8 Nos. 33-2502, 2-95495, 33-43128, and 333-08493) pertaining to Analog Devices, Inc. The Investment Partnership Plan of our report dated June 17, 2015, with respect to the financial statements and schedule of Analog Devices, Inc. The Investment Partnership Plan included in this Annual Report (Form 11-K) for the year ended December 31, 2014.</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17, 2015</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Ÿ"/>
      <w:numFmt w:val="bullet"/>
      <w:start w:val="1"/>
    </w:lvl>
  </w:abstractNum>
  <w:abstractNum w:abstractNumId="3">
    <w:nsid w:val="216231B"/>
    <w:multiLevelType w:val="hybridMultilevel"/>
    <w:lvl w:ilvl="0">
      <w:lvlJc w:val="left"/>
      <w:lvlText w:val="Ÿ"/>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Roman"/>
      <w:start w:val="3"/>
    </w:lvl>
  </w:abstractNum>
  <w:abstractNum w:abstractNumId="9">
    <w:nsid w:val="109CF92E"/>
    <w:multiLevelType w:val="hybridMultilevel"/>
    <w:lvl w:ilvl="0">
      <w:lvlJc w:val="left"/>
      <w:lvlText w:val="%1."/>
      <w:numFmt w:val="decimal"/>
      <w:start w:val="6"/>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7"/>
    </w:lvl>
  </w:abstractNum>
  <w:abstractNum w:abstractNumId="13">
    <w:nsid w:val="41A7C4C9"/>
    <w:multiLevelType w:val="hybridMultilevel"/>
    <w:lvl w:ilvl="0">
      <w:lvlJc w:val="left"/>
      <w:lvlText w:val="%1."/>
      <w:numFmt w:val="decimal"/>
      <w:start w:val="8"/>
    </w:lvl>
  </w:abstractNum>
  <w:abstractNum w:abstractNumId="14">
    <w:nsid w:val="6B68079A"/>
    <w:multiLevelType w:val="hybridMultilevel"/>
    <w:lvl w:ilvl="0">
      <w:lvlJc w:val="left"/>
      <w:lvlText w:val="%1."/>
      <w:numFmt w:val="decimal"/>
      <w:start w:val="9"/>
    </w:lvl>
  </w:abstractNum>
  <w:abstractNum w:abstractNumId="15">
    <w:nsid w:val="4E6AFB66"/>
    <w:multiLevelType w:val="hybridMultilevel"/>
    <w:lvl w:ilvl="0">
      <w:lvlJc w:val="left"/>
      <w:lvlText w:val="%1."/>
      <w:numFmt w:val="decimal"/>
      <w:start w:val="1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2019-12-05T02:22:55Z</dcterms:created>
  <dcterms:modified xsi:type="dcterms:W3CDTF">2019-12-05T02:22:55Z</dcterms:modified>
</cp:coreProperties>
</file>