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5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2"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FORM 10-Q</w:t>
      </w:r>
    </w:p>
    <w:p>
      <w:pPr>
        <w:spacing w:after="0" w:line="18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(MARK ONE)</w:t>
      </w:r>
    </w:p>
    <w:p>
      <w:pPr>
        <w:spacing w:after="0" w:line="34" w:lineRule="exact"/>
        <w:rPr>
          <w:sz w:val="24"/>
          <w:szCs w:val="24"/>
          <w:color w:val="auto"/>
        </w:rPr>
      </w:pPr>
    </w:p>
    <w:p>
      <w:pPr>
        <w:ind w:left="2380" w:right="3639" w:hanging="2020"/>
        <w:spacing w:after="0" w:line="248" w:lineRule="auto"/>
        <w:tabs>
          <w:tab w:leader="none" w:pos="13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FOR THE QUARTERLY PERIOD ENDED JANUARY 29, 2000</w:t>
      </w:r>
    </w:p>
    <w:p>
      <w:pPr>
        <w:spacing w:after="0" w:line="154" w:lineRule="exact"/>
        <w:rPr>
          <w:sz w:val="24"/>
          <w:szCs w:val="24"/>
          <w:color w:val="auto"/>
        </w:rPr>
      </w:pPr>
    </w:p>
    <w:p>
      <w:pPr>
        <w:ind w:left="3740"/>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1360" w:right="3559" w:hanging="1000"/>
        <w:spacing w:after="0" w:line="268" w:lineRule="auto"/>
        <w:tabs>
          <w:tab w:leader="none" w:pos="-47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FOR THE TRANSITION PERIOD FROM_______________ TO ________________</w:t>
      </w:r>
    </w:p>
    <w:p>
      <w:pPr>
        <w:spacing w:after="0" w:line="154" w:lineRule="exact"/>
        <w:rPr>
          <w:sz w:val="24"/>
          <w:szCs w:val="24"/>
          <w:color w:val="auto"/>
        </w:rPr>
      </w:pPr>
    </w:p>
    <w:tbl>
      <w:tblPr>
        <w:tblLayout w:type="fixed"/>
        <w:tblInd w:w="360" w:type="dxa"/>
        <w:tblCellMar>
          <w:top w:w="0" w:type="dxa"/>
          <w:left w:w="0" w:type="dxa"/>
          <w:bottom w:w="0" w:type="dxa"/>
          <w:right w:w="0" w:type="dxa"/>
        </w:tblCellMar>
      </w:tblPr>
      <w:tr>
        <w:trPr>
          <w:trHeight w:val="257"/>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COMMISSION</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FILE NO. 1-7819</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4580" w:type="dxa"/>
            <w:vAlign w:val="bottom"/>
            <w:gridSpan w:val="2"/>
          </w:tcPr>
          <w:p>
            <w:pPr>
              <w:jc w:val="center"/>
              <w:ind w:left="1944"/>
              <w:spacing w:after="0"/>
              <w:rPr>
                <w:sz w:val="20"/>
                <w:szCs w:val="20"/>
                <w:color w:val="auto"/>
              </w:rPr>
            </w:pPr>
            <w:r>
              <w:rPr>
                <w:rFonts w:ascii="Courier New" w:cs="Courier New" w:eastAsia="Courier New" w:hAnsi="Courier New"/>
                <w:sz w:val="15"/>
                <w:szCs w:val="15"/>
                <w:color w:val="auto"/>
              </w:rPr>
              <w:t>ANALOG DEVICES, INC.</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gridSpan w:val="3"/>
          </w:tcPr>
          <w:p>
            <w:pPr>
              <w:jc w:val="center"/>
              <w:ind w:left="104"/>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0" w:type="dxa"/>
            <w:vAlign w:val="bottom"/>
          </w:tcPr>
          <w:p>
            <w:pPr>
              <w:spacing w:after="0"/>
              <w:rPr>
                <w:sz w:val="1"/>
                <w:szCs w:val="1"/>
                <w:color w:val="auto"/>
              </w:rPr>
            </w:pPr>
          </w:p>
        </w:tc>
      </w:tr>
      <w:tr>
        <w:trPr>
          <w:trHeight w:val="447"/>
        </w:trPr>
        <w:tc>
          <w:tcPr>
            <w:tcW w:w="30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MASSACHUSETTS</w:t>
            </w:r>
          </w:p>
        </w:tc>
        <w:tc>
          <w:tcPr>
            <w:tcW w:w="152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of</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rPr>
              <w:t>04-2348234</w:t>
            </w:r>
          </w:p>
        </w:tc>
        <w:tc>
          <w:tcPr>
            <w:tcW w:w="0" w:type="dxa"/>
            <w:vAlign w:val="bottom"/>
          </w:tcPr>
          <w:p>
            <w:pPr>
              <w:spacing w:after="0"/>
              <w:rPr>
                <w:sz w:val="1"/>
                <w:szCs w:val="1"/>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(State or other jurisdiction</w:t>
            </w:r>
          </w:p>
        </w:tc>
        <w:tc>
          <w:tcPr>
            <w:tcW w:w="1520" w:type="dxa"/>
            <w:vAlign w:val="bottom"/>
            <w:vMerge w:val="continue"/>
          </w:tcPr>
          <w:p>
            <w:pPr>
              <w:spacing w:after="0"/>
              <w:rPr>
                <w:sz w:val="15"/>
                <w:szCs w:val="15"/>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7"/>
        </w:trPr>
        <w:tc>
          <w:tcPr>
            <w:tcW w:w="4580" w:type="dxa"/>
            <w:vAlign w:val="bottom"/>
            <w:gridSpan w:val="2"/>
          </w:tcPr>
          <w:p>
            <w:pPr>
              <w:jc w:val="center"/>
              <w:ind w:right="844"/>
              <w:spacing w:after="0"/>
              <w:rPr>
                <w:sz w:val="20"/>
                <w:szCs w:val="20"/>
                <w:color w:val="auto"/>
              </w:rPr>
            </w:pPr>
            <w:r>
              <w:rPr>
                <w:rFonts w:ascii="Courier New" w:cs="Courier New" w:eastAsia="Courier New" w:hAnsi="Courier New"/>
                <w:sz w:val="15"/>
                <w:szCs w:val="15"/>
                <w:color w:val="auto"/>
              </w:rPr>
              <w:t>incorporation or organization)</w:t>
            </w:r>
          </w:p>
        </w:tc>
        <w:tc>
          <w:tcPr>
            <w:tcW w:w="1840" w:type="dxa"/>
            <w:vAlign w:val="bottom"/>
          </w:tcPr>
          <w:p>
            <w:pPr>
              <w:ind w:left="100"/>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447"/>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ONE TECHNOLOGY WAY, NORWOOD,</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MA</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rPr>
              <w:t>02062-9106</w:t>
            </w:r>
          </w:p>
        </w:tc>
        <w:tc>
          <w:tcPr>
            <w:tcW w:w="0" w:type="dxa"/>
            <w:vAlign w:val="bottom"/>
          </w:tcPr>
          <w:p>
            <w:pPr>
              <w:spacing w:after="0"/>
              <w:rPr>
                <w:sz w:val="1"/>
                <w:szCs w:val="1"/>
                <w:color w:val="auto"/>
              </w:rPr>
            </w:pPr>
          </w:p>
        </w:tc>
      </w:tr>
      <w:tr>
        <w:trPr>
          <w:trHeight w:val="257"/>
        </w:trPr>
        <w:tc>
          <w:tcPr>
            <w:tcW w:w="4580" w:type="dxa"/>
            <w:vAlign w:val="bottom"/>
            <w:gridSpan w:val="2"/>
          </w:tcPr>
          <w:p>
            <w:pPr>
              <w:jc w:val="center"/>
              <w:ind w:right="844"/>
              <w:spacing w:after="0"/>
              <w:rPr>
                <w:sz w:val="20"/>
                <w:szCs w:val="20"/>
                <w:color w:val="auto"/>
              </w:rPr>
            </w:pPr>
            <w:r>
              <w:rPr>
                <w:rFonts w:ascii="Courier New" w:cs="Courier New" w:eastAsia="Courier New" w:hAnsi="Courier New"/>
                <w:sz w:val="15"/>
                <w:szCs w:val="15"/>
                <w:color w:val="auto"/>
              </w:rPr>
              <w:t>(Address of principal executive offices)</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447"/>
        </w:trPr>
        <w:tc>
          <w:tcPr>
            <w:tcW w:w="45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(781) 329-4700</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(Registrant's telephone</w:t>
            </w:r>
          </w:p>
        </w:tc>
        <w:tc>
          <w:tcPr>
            <w:tcW w:w="33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number, including area code)</w:t>
            </w:r>
          </w:p>
        </w:tc>
        <w:tc>
          <w:tcPr>
            <w:tcW w:w="0" w:type="dxa"/>
            <w:vAlign w:val="bottom"/>
          </w:tcPr>
          <w:p>
            <w:pPr>
              <w:spacing w:after="0"/>
              <w:rPr>
                <w:sz w:val="1"/>
                <w:szCs w:val="1"/>
                <w:color w:val="auto"/>
              </w:rPr>
            </w:pPr>
          </w:p>
        </w:tc>
      </w:tr>
      <w:tr>
        <w:trPr>
          <w:trHeight w:val="257"/>
        </w:trPr>
        <w:tc>
          <w:tcPr>
            <w:tcW w:w="45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7" w:lineRule="exact"/>
        <w:rPr>
          <w:sz w:val="24"/>
          <w:szCs w:val="24"/>
          <w:color w:val="auto"/>
        </w:rPr>
      </w:pPr>
    </w:p>
    <w:p>
      <w:pPr>
        <w:ind w:right="2919" w:firstLine="458"/>
        <w:spacing w:after="0" w:line="27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69" w:lineRule="exact"/>
        <w:rPr>
          <w:sz w:val="24"/>
          <w:szCs w:val="24"/>
          <w:color w:val="auto"/>
        </w:rPr>
      </w:pPr>
    </w:p>
    <w:p>
      <w:pPr>
        <w:ind w:right="2919" w:firstLine="458"/>
        <w:spacing w:after="0" w:line="371" w:lineRule="auto"/>
        <w:rPr>
          <w:sz w:val="20"/>
          <w:szCs w:val="20"/>
          <w:color w:val="auto"/>
        </w:rPr>
      </w:pPr>
      <w:r>
        <w:rPr>
          <w:rFonts w:ascii="Courier New" w:cs="Courier New" w:eastAsia="Courier New" w:hAnsi="Courier New"/>
          <w:sz w:val="15"/>
          <w:szCs w:val="15"/>
          <w:color w:val="auto"/>
        </w:rPr>
        <w:t>The number of shares outstanding of each of the issuer's classes of Common Stock as of February 28, 2000 was 176,908,583 shares of Common Stock.</w:t>
      </w: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20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3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1100" w:type="dxa"/>
            <w:vAlign w:val="bottom"/>
          </w:tcPr>
          <w:p>
            <w:pPr>
              <w:spacing w:after="0"/>
              <w:rPr>
                <w:sz w:val="24"/>
                <w:szCs w:val="24"/>
                <w:color w:val="auto"/>
              </w:rPr>
            </w:pPr>
          </w:p>
        </w:tc>
        <w:tc>
          <w:tcPr>
            <w:tcW w:w="3940" w:type="dxa"/>
            <w:vAlign w:val="bottom"/>
          </w:tcPr>
          <w:p>
            <w:pPr>
              <w:ind w:left="2280"/>
              <w:spacing w:after="0"/>
              <w:rPr>
                <w:sz w:val="20"/>
                <w:szCs w:val="20"/>
                <w:color w:val="auto"/>
              </w:rPr>
            </w:pPr>
            <w:r>
              <w:rPr>
                <w:rFonts w:ascii="Courier New" w:cs="Courier New" w:eastAsia="Courier New" w:hAnsi="Courier New"/>
                <w:sz w:val="15"/>
                <w:szCs w:val="15"/>
                <w:color w:val="auto"/>
              </w:rPr>
              <w:t>PART I</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ind w:left="1640"/>
              <w:spacing w:after="0"/>
              <w:rPr>
                <w:sz w:val="20"/>
                <w:szCs w:val="20"/>
                <w:color w:val="auto"/>
              </w:rPr>
            </w:pPr>
            <w:r>
              <w:rPr>
                <w:rFonts w:ascii="Courier New" w:cs="Courier New" w:eastAsia="Courier New" w:hAnsi="Courier New"/>
                <w:sz w:val="15"/>
                <w:szCs w:val="15"/>
                <w:color w:val="auto"/>
              </w:rPr>
              <w:t>FINANCIAL INFORMATION</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4"/>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ANALOG DEVICES, INC.</w:t>
            </w: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INCOME</w:t>
            </w: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(thousands except per share amounts)</w:t>
            </w: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0"/>
        </w:trPr>
        <w:tc>
          <w:tcPr>
            <w:tcW w:w="1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January 29, 2000</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 1999</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8"/>
        </w:trPr>
        <w:tc>
          <w:tcPr>
            <w:tcW w:w="1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940" w:type="dxa"/>
            <w:vAlign w:val="bottom"/>
          </w:tcPr>
          <w:p>
            <w:pPr>
              <w:spacing w:after="0"/>
              <w:rPr>
                <w:sz w:val="24"/>
                <w:szCs w:val="24"/>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490,277</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300,500</w:t>
            </w:r>
          </w:p>
        </w:tc>
        <w:tc>
          <w:tcPr>
            <w:tcW w:w="0" w:type="dxa"/>
            <w:vAlign w:val="bottom"/>
          </w:tcPr>
          <w:p>
            <w:pPr>
              <w:spacing w:after="0"/>
              <w:rPr>
                <w:sz w:val="1"/>
                <w:szCs w:val="1"/>
                <w:color w:val="auto"/>
              </w:rPr>
            </w:pPr>
          </w:p>
        </w:tc>
      </w:tr>
      <w:tr>
        <w:trPr>
          <w:trHeight w:val="2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Cost of sales</w:t>
            </w:r>
          </w:p>
        </w:tc>
        <w:tc>
          <w:tcPr>
            <w:tcW w:w="860" w:type="dxa"/>
            <w:vAlign w:val="bottom"/>
          </w:tcPr>
          <w:p>
            <w:pPr>
              <w:spacing w:after="0"/>
              <w:rPr>
                <w:sz w:val="23"/>
                <w:szCs w:val="23"/>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225,087</w:t>
            </w:r>
          </w:p>
        </w:tc>
        <w:tc>
          <w:tcPr>
            <w:tcW w:w="820" w:type="dxa"/>
            <w:vAlign w:val="bottom"/>
          </w:tcPr>
          <w:p>
            <w:pPr>
              <w:spacing w:after="0"/>
              <w:rPr>
                <w:sz w:val="23"/>
                <w:szCs w:val="23"/>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162,805</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3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265,190</w:t>
            </w:r>
          </w:p>
        </w:tc>
        <w:tc>
          <w:tcPr>
            <w:tcW w:w="8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137,695</w:t>
            </w:r>
          </w:p>
        </w:tc>
        <w:tc>
          <w:tcPr>
            <w:tcW w:w="0" w:type="dxa"/>
            <w:vAlign w:val="bottom"/>
          </w:tcPr>
          <w:p>
            <w:pPr>
              <w:spacing w:after="0"/>
              <w:rPr>
                <w:sz w:val="1"/>
                <w:szCs w:val="1"/>
                <w:color w:val="auto"/>
              </w:rPr>
            </w:pPr>
          </w:p>
        </w:tc>
      </w:tr>
      <w:tr>
        <w:trPr>
          <w:trHeight w:val="2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860" w:type="dxa"/>
            <w:vAlign w:val="bottom"/>
          </w:tcPr>
          <w:p>
            <w:pPr>
              <w:spacing w:after="0"/>
              <w:rPr>
                <w:sz w:val="23"/>
                <w:szCs w:val="23"/>
                <w:color w:val="auto"/>
              </w:rPr>
            </w:pPr>
          </w:p>
        </w:tc>
        <w:tc>
          <w:tcPr>
            <w:tcW w:w="12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83,012</w:t>
            </w:r>
          </w:p>
        </w:tc>
        <w:tc>
          <w:tcPr>
            <w:tcW w:w="820" w:type="dxa"/>
            <w:vAlign w:val="bottom"/>
          </w:tcPr>
          <w:p>
            <w:pPr>
              <w:spacing w:after="0"/>
              <w:rPr>
                <w:sz w:val="23"/>
                <w:szCs w:val="23"/>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52,584</w:t>
            </w:r>
          </w:p>
        </w:tc>
        <w:tc>
          <w:tcPr>
            <w:tcW w:w="0" w:type="dxa"/>
            <w:vAlign w:val="bottom"/>
          </w:tcPr>
          <w:p>
            <w:pPr>
              <w:spacing w:after="0"/>
              <w:rPr>
                <w:sz w:val="1"/>
                <w:szCs w:val="1"/>
                <w:color w:val="auto"/>
              </w:rPr>
            </w:pPr>
          </w:p>
        </w:tc>
      </w:tr>
      <w:tr>
        <w:trPr>
          <w:trHeight w:val="176"/>
        </w:trPr>
        <w:tc>
          <w:tcPr>
            <w:tcW w:w="50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8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Selling, marketing, general and</w:t>
            </w:r>
          </w:p>
        </w:tc>
        <w:tc>
          <w:tcPr>
            <w:tcW w:w="860" w:type="dxa"/>
            <w:vAlign w:val="bottom"/>
          </w:tcPr>
          <w:p>
            <w:pPr>
              <w:spacing w:after="0"/>
              <w:rPr>
                <w:sz w:val="15"/>
                <w:szCs w:val="15"/>
                <w:color w:val="auto"/>
              </w:rPr>
            </w:pPr>
          </w:p>
        </w:tc>
        <w:tc>
          <w:tcPr>
            <w:tcW w:w="12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64,524</w:t>
            </w:r>
          </w:p>
        </w:tc>
        <w:tc>
          <w:tcPr>
            <w:tcW w:w="8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46,181</w:t>
            </w:r>
          </w:p>
        </w:tc>
        <w:tc>
          <w:tcPr>
            <w:tcW w:w="0" w:type="dxa"/>
            <w:vAlign w:val="bottom"/>
          </w:tcPr>
          <w:p>
            <w:pPr>
              <w:spacing w:after="0"/>
              <w:rPr>
                <w:sz w:val="1"/>
                <w:szCs w:val="1"/>
                <w:color w:val="auto"/>
              </w:rPr>
            </w:pPr>
          </w:p>
        </w:tc>
      </w:tr>
      <w:tr>
        <w:trPr>
          <w:trHeight w:val="176"/>
        </w:trPr>
        <w:tc>
          <w:tcPr>
            <w:tcW w:w="50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administrative</w:t>
            </w:r>
          </w:p>
        </w:tc>
        <w:tc>
          <w:tcPr>
            <w:tcW w:w="8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spacing w:after="0"/>
              <w:rPr>
                <w:sz w:val="24"/>
                <w:szCs w:val="24"/>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117,654</w:t>
            </w:r>
          </w:p>
        </w:tc>
        <w:tc>
          <w:tcPr>
            <w:tcW w:w="8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38,930</w:t>
            </w:r>
          </w:p>
        </w:tc>
        <w:tc>
          <w:tcPr>
            <w:tcW w:w="0" w:type="dxa"/>
            <w:vAlign w:val="bottom"/>
          </w:tcPr>
          <w:p>
            <w:pPr>
              <w:spacing w:after="0"/>
              <w:rPr>
                <w:sz w:val="1"/>
                <w:szCs w:val="1"/>
                <w:color w:val="auto"/>
              </w:rPr>
            </w:pPr>
          </w:p>
        </w:tc>
      </w:tr>
      <w:tr>
        <w:trPr>
          <w:trHeight w:val="352"/>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Equity in loss of WaferTech</w:t>
            </w:r>
          </w:p>
        </w:tc>
        <w:tc>
          <w:tcPr>
            <w:tcW w:w="860" w:type="dxa"/>
            <w:vAlign w:val="bottom"/>
          </w:tcPr>
          <w:p>
            <w:pPr>
              <w:spacing w:after="0"/>
              <w:rPr>
                <w:sz w:val="24"/>
                <w:szCs w:val="24"/>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1,149</w:t>
            </w:r>
          </w:p>
        </w:tc>
        <w:tc>
          <w:tcPr>
            <w:tcW w:w="0" w:type="dxa"/>
            <w:vAlign w:val="bottom"/>
          </w:tcPr>
          <w:p>
            <w:pPr>
              <w:spacing w:after="0"/>
              <w:rPr>
                <w:sz w:val="1"/>
                <w:szCs w:val="1"/>
                <w:color w:val="auto"/>
              </w:rPr>
            </w:pPr>
          </w:p>
        </w:tc>
      </w:tr>
      <w:tr>
        <w:trPr>
          <w:trHeight w:val="2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Nonoperating (income) expense, net</w:t>
            </w:r>
          </w:p>
        </w:tc>
        <w:tc>
          <w:tcPr>
            <w:tcW w:w="860" w:type="dxa"/>
            <w:vAlign w:val="bottom"/>
          </w:tcPr>
          <w:p>
            <w:pPr>
              <w:spacing w:after="0"/>
              <w:rPr>
                <w:sz w:val="23"/>
                <w:szCs w:val="23"/>
                <w:color w:val="auto"/>
              </w:rPr>
            </w:pP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(9,411)</w:t>
            </w:r>
          </w:p>
        </w:tc>
        <w:tc>
          <w:tcPr>
            <w:tcW w:w="820" w:type="dxa"/>
            <w:vAlign w:val="bottom"/>
          </w:tcPr>
          <w:p>
            <w:pPr>
              <w:spacing w:after="0"/>
              <w:rPr>
                <w:sz w:val="23"/>
                <w:szCs w:val="23"/>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420</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860" w:type="dxa"/>
            <w:vAlign w:val="bottom"/>
          </w:tcPr>
          <w:p>
            <w:pPr>
              <w:spacing w:after="0"/>
              <w:rPr>
                <w:sz w:val="24"/>
                <w:szCs w:val="24"/>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127,065</w:t>
            </w:r>
          </w:p>
        </w:tc>
        <w:tc>
          <w:tcPr>
            <w:tcW w:w="820" w:type="dxa"/>
            <w:vAlign w:val="bottom"/>
          </w:tcPr>
          <w:p>
            <w:pPr>
              <w:spacing w:after="0"/>
              <w:rPr>
                <w:sz w:val="24"/>
                <w:szCs w:val="24"/>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37,361</w:t>
            </w:r>
          </w:p>
        </w:tc>
        <w:tc>
          <w:tcPr>
            <w:tcW w:w="0" w:type="dxa"/>
            <w:vAlign w:val="bottom"/>
          </w:tcPr>
          <w:p>
            <w:pPr>
              <w:spacing w:after="0"/>
              <w:rPr>
                <w:sz w:val="1"/>
                <w:szCs w:val="1"/>
                <w:color w:val="auto"/>
              </w:rPr>
            </w:pPr>
          </w:p>
        </w:tc>
      </w:tr>
      <w:tr>
        <w:trPr>
          <w:trHeight w:val="2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860" w:type="dxa"/>
            <w:vAlign w:val="bottom"/>
          </w:tcPr>
          <w:p>
            <w:pPr>
              <w:spacing w:after="0"/>
              <w:rPr>
                <w:sz w:val="23"/>
                <w:szCs w:val="23"/>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34,058</w:t>
            </w:r>
          </w:p>
        </w:tc>
        <w:tc>
          <w:tcPr>
            <w:tcW w:w="820" w:type="dxa"/>
            <w:vAlign w:val="bottom"/>
          </w:tcPr>
          <w:p>
            <w:pPr>
              <w:spacing w:after="0"/>
              <w:rPr>
                <w:sz w:val="23"/>
                <w:szCs w:val="23"/>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7,467</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940" w:type="dxa"/>
            <w:vAlign w:val="bottom"/>
          </w:tcPr>
          <w:p>
            <w:pPr>
              <w:spacing w:after="0"/>
              <w:rPr>
                <w:sz w:val="23"/>
                <w:szCs w:val="23"/>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93,007</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29,894</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Shares used to compute earnings per share - basic</w:t>
            </w:r>
          </w:p>
        </w:tc>
        <w:tc>
          <w:tcPr>
            <w:tcW w:w="860" w:type="dxa"/>
            <w:vAlign w:val="bottom"/>
          </w:tcPr>
          <w:p>
            <w:pPr>
              <w:spacing w:after="0"/>
              <w:rPr>
                <w:sz w:val="23"/>
                <w:szCs w:val="23"/>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174,676</w:t>
            </w:r>
          </w:p>
        </w:tc>
        <w:tc>
          <w:tcPr>
            <w:tcW w:w="820" w:type="dxa"/>
            <w:vAlign w:val="bottom"/>
          </w:tcPr>
          <w:p>
            <w:pPr>
              <w:spacing w:after="0"/>
              <w:rPr>
                <w:sz w:val="23"/>
                <w:szCs w:val="23"/>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159,572</w:t>
            </w:r>
          </w:p>
        </w:tc>
        <w:tc>
          <w:tcPr>
            <w:tcW w:w="0" w:type="dxa"/>
            <w:vAlign w:val="bottom"/>
          </w:tcPr>
          <w:p>
            <w:pPr>
              <w:spacing w:after="0"/>
              <w:rPr>
                <w:sz w:val="1"/>
                <w:szCs w:val="1"/>
                <w:color w:val="auto"/>
              </w:rPr>
            </w:pPr>
          </w:p>
        </w:tc>
      </w:tr>
      <w:tr>
        <w:trPr>
          <w:trHeight w:val="176"/>
        </w:trPr>
        <w:tc>
          <w:tcPr>
            <w:tcW w:w="50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Shares used to compute earnings per share - diluted</w:t>
            </w: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0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187,229</w:t>
            </w:r>
          </w:p>
        </w:tc>
        <w:tc>
          <w:tcPr>
            <w:tcW w:w="8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176,857</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 - basic</w:t>
            </w:r>
          </w:p>
        </w:tc>
        <w:tc>
          <w:tcPr>
            <w:tcW w:w="860" w:type="dxa"/>
            <w:vAlign w:val="bottom"/>
          </w:tcPr>
          <w:p>
            <w:pPr>
              <w:spacing w:after="0"/>
              <w:rPr>
                <w:sz w:val="23"/>
                <w:szCs w:val="23"/>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$0.53</w:t>
            </w:r>
          </w:p>
        </w:tc>
        <w:tc>
          <w:tcPr>
            <w:tcW w:w="820" w:type="dxa"/>
            <w:vAlign w:val="bottom"/>
          </w:tcPr>
          <w:p>
            <w:pPr>
              <w:spacing w:after="0"/>
              <w:rPr>
                <w:sz w:val="23"/>
                <w:szCs w:val="23"/>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$0.19</w:t>
            </w:r>
          </w:p>
        </w:tc>
        <w:tc>
          <w:tcPr>
            <w:tcW w:w="0" w:type="dxa"/>
            <w:vAlign w:val="bottom"/>
          </w:tcPr>
          <w:p>
            <w:pPr>
              <w:spacing w:after="0"/>
              <w:rPr>
                <w:sz w:val="1"/>
                <w:szCs w:val="1"/>
                <w:color w:val="auto"/>
              </w:rPr>
            </w:pPr>
          </w:p>
        </w:tc>
      </w:tr>
      <w:tr>
        <w:trPr>
          <w:trHeight w:val="176"/>
        </w:trPr>
        <w:tc>
          <w:tcPr>
            <w:tcW w:w="50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Earnings per share - diluted</w:t>
            </w: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0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$0.50</w:t>
            </w:r>
          </w:p>
        </w:tc>
        <w:tc>
          <w:tcPr>
            <w:tcW w:w="8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$0.18</w:t>
            </w:r>
          </w:p>
        </w:tc>
        <w:tc>
          <w:tcPr>
            <w:tcW w:w="0" w:type="dxa"/>
            <w:vAlign w:val="bottom"/>
          </w:tcPr>
          <w:p>
            <w:pPr>
              <w:spacing w:after="0"/>
              <w:rPr>
                <w:sz w:val="1"/>
                <w:szCs w:val="1"/>
                <w:color w:val="auto"/>
              </w:rPr>
            </w:pPr>
          </w:p>
        </w:tc>
      </w:tr>
      <w:tr>
        <w:trPr>
          <w:trHeight w:val="257"/>
        </w:trPr>
        <w:tc>
          <w:tcPr>
            <w:tcW w:w="1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6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January 29, 2000</w:t>
            </w:r>
          </w:p>
        </w:tc>
        <w:tc>
          <w:tcPr>
            <w:tcW w:w="19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October 30, 1999</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 1999</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7"/>
        </w:trPr>
        <w:tc>
          <w:tcPr>
            <w:tcW w:w="51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409,516</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355,891</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332,403</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485,706</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406,553</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129,670</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301,972</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267,127</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213,727</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6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13,176</w:t>
            </w:r>
          </w:p>
        </w:tc>
        <w:tc>
          <w:tcPr>
            <w:tcW w:w="640" w:type="dxa"/>
            <w:vAlign w:val="bottom"/>
          </w:tcPr>
          <w:p>
            <w:pPr>
              <w:spacing w:after="0"/>
              <w:rPr>
                <w:sz w:val="15"/>
                <w:szCs w:val="15"/>
                <w:color w:val="auto"/>
              </w:rPr>
            </w:pPr>
          </w:p>
        </w:tc>
        <w:tc>
          <w:tcPr>
            <w:tcW w:w="13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13,735</w:t>
            </w:r>
          </w:p>
        </w:tc>
        <w:tc>
          <w:tcPr>
            <w:tcW w:w="540" w:type="dxa"/>
            <w:vAlign w:val="bottom"/>
          </w:tcPr>
          <w:p>
            <w:pPr>
              <w:spacing w:after="0"/>
              <w:rPr>
                <w:sz w:val="15"/>
                <w:szCs w:val="15"/>
                <w:color w:val="auto"/>
              </w:rPr>
            </w:pP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24,964</w:t>
            </w: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Raw materials</w:t>
            </w:r>
          </w:p>
        </w:tc>
        <w:tc>
          <w:tcPr>
            <w:tcW w:w="14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Work in process</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157,655</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150,427</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148,897</w:t>
            </w: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Finished goods</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79,353</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84,774</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96,475</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 assets</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250,184</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248,936</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270,336</w:t>
            </w:r>
          </w:p>
        </w:tc>
        <w:tc>
          <w:tcPr>
            <w:tcW w:w="0" w:type="dxa"/>
            <w:vAlign w:val="bottom"/>
          </w:tcPr>
          <w:p>
            <w:pPr>
              <w:spacing w:after="0"/>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99,300</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89,780</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98,000</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12,283</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10,823</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14,638</w:t>
            </w:r>
          </w:p>
        </w:tc>
        <w:tc>
          <w:tcPr>
            <w:tcW w:w="0" w:type="dxa"/>
            <w:vAlign w:val="bottom"/>
          </w:tcPr>
          <w:p>
            <w:pPr>
              <w:spacing w:after="0"/>
              <w:rPr>
                <w:sz w:val="1"/>
                <w:szCs w:val="1"/>
                <w:color w:val="auto"/>
              </w:rPr>
            </w:pPr>
          </w:p>
        </w:tc>
      </w:tr>
      <w:tr>
        <w:trPr>
          <w:trHeight w:val="176"/>
        </w:trPr>
        <w:tc>
          <w:tcPr>
            <w:tcW w:w="51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1,558,961</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1,379,110</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1,058,774</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460" w:type="dxa"/>
            <w:vAlign w:val="bottom"/>
          </w:tcPr>
          <w:p>
            <w:pPr>
              <w:spacing w:after="0"/>
              <w:rPr>
                <w:sz w:val="23"/>
                <w:szCs w:val="23"/>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171,977</w:t>
            </w:r>
          </w:p>
        </w:tc>
        <w:tc>
          <w:tcPr>
            <w:tcW w:w="640" w:type="dxa"/>
            <w:vAlign w:val="bottom"/>
          </w:tcPr>
          <w:p>
            <w:pPr>
              <w:spacing w:after="0"/>
              <w:rPr>
                <w:sz w:val="23"/>
                <w:szCs w:val="23"/>
                <w:color w:val="auto"/>
              </w:rPr>
            </w:pPr>
          </w:p>
        </w:tc>
        <w:tc>
          <w:tcPr>
            <w:tcW w:w="13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166,130</w:t>
            </w:r>
          </w:p>
        </w:tc>
        <w:tc>
          <w:tcPr>
            <w:tcW w:w="540" w:type="dxa"/>
            <w:vAlign w:val="bottom"/>
          </w:tcPr>
          <w:p>
            <w:pPr>
              <w:spacing w:after="0"/>
              <w:rPr>
                <w:sz w:val="23"/>
                <w:szCs w:val="23"/>
                <w:color w:val="auto"/>
              </w:rPr>
            </w:pP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159,617</w:t>
            </w: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Land and buildings</w:t>
            </w:r>
          </w:p>
        </w:tc>
        <w:tc>
          <w:tcPr>
            <w:tcW w:w="14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Machinery and equipment</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1,116,344</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1,088,939</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1,043,087</w:t>
            </w: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Office equipment</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76,355</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74,530</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71,033</w:t>
            </w:r>
          </w:p>
        </w:tc>
        <w:tc>
          <w:tcPr>
            <w:tcW w:w="0" w:type="dxa"/>
            <w:vAlign w:val="bottom"/>
          </w:tcPr>
          <w:p>
            <w:pPr>
              <w:spacing w:after="0"/>
              <w:rPr>
                <w:sz w:val="1"/>
                <w:szCs w:val="1"/>
                <w:color w:val="auto"/>
              </w:rPr>
            </w:pPr>
          </w:p>
        </w:tc>
      </w:tr>
      <w:tr>
        <w:trPr>
          <w:trHeight w:val="176"/>
        </w:trPr>
        <w:tc>
          <w:tcPr>
            <w:tcW w:w="5120" w:type="dxa"/>
            <w:vAlign w:val="bottom"/>
          </w:tcPr>
          <w:p>
            <w:pPr>
              <w:ind w:left="360"/>
              <w:spacing w:after="0"/>
              <w:rPr>
                <w:sz w:val="20"/>
                <w:szCs w:val="20"/>
                <w:color w:val="auto"/>
              </w:rPr>
            </w:pPr>
            <w:r>
              <w:rPr>
                <w:rFonts w:ascii="Courier New" w:cs="Courier New" w:eastAsia="Courier New" w:hAnsi="Courier New"/>
                <w:sz w:val="15"/>
                <w:szCs w:val="15"/>
                <w:color w:val="auto"/>
              </w:rPr>
              <w:t>Leasehold improvements</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110,953</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108,530</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103,989</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1,475,629</w:t>
            </w:r>
          </w:p>
        </w:tc>
        <w:tc>
          <w:tcPr>
            <w:tcW w:w="640" w:type="dxa"/>
            <w:vAlign w:val="bottom"/>
          </w:tcPr>
          <w:p>
            <w:pPr>
              <w:spacing w:after="0"/>
              <w:rPr>
                <w:sz w:val="22"/>
                <w:szCs w:val="22"/>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1,438,129</w:t>
            </w:r>
          </w:p>
        </w:tc>
        <w:tc>
          <w:tcPr>
            <w:tcW w:w="540" w:type="dxa"/>
            <w:vAlign w:val="bottom"/>
          </w:tcPr>
          <w:p>
            <w:pPr>
              <w:spacing w:after="0"/>
              <w:rPr>
                <w:sz w:val="22"/>
                <w:szCs w:val="22"/>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1,377,726</w:t>
            </w:r>
          </w:p>
        </w:tc>
        <w:tc>
          <w:tcPr>
            <w:tcW w:w="0" w:type="dxa"/>
            <w:vAlign w:val="bottom"/>
          </w:tcPr>
          <w:p>
            <w:pPr>
              <w:spacing w:after="0"/>
              <w:rPr>
                <w:sz w:val="1"/>
                <w:szCs w:val="1"/>
                <w:color w:val="auto"/>
              </w:rPr>
            </w:pPr>
          </w:p>
        </w:tc>
      </w:tr>
      <w:tr>
        <w:trPr>
          <w:trHeight w:val="271"/>
        </w:trPr>
        <w:tc>
          <w:tcPr>
            <w:tcW w:w="51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460" w:type="dxa"/>
            <w:vAlign w:val="bottom"/>
          </w:tcPr>
          <w:p>
            <w:pPr>
              <w:spacing w:after="0"/>
              <w:rPr>
                <w:sz w:val="23"/>
                <w:szCs w:val="23"/>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826,844</w:t>
            </w:r>
          </w:p>
        </w:tc>
        <w:tc>
          <w:tcPr>
            <w:tcW w:w="640" w:type="dxa"/>
            <w:vAlign w:val="bottom"/>
          </w:tcPr>
          <w:p>
            <w:pPr>
              <w:spacing w:after="0"/>
              <w:rPr>
                <w:sz w:val="23"/>
                <w:szCs w:val="23"/>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795,323</w:t>
            </w:r>
          </w:p>
        </w:tc>
        <w:tc>
          <w:tcPr>
            <w:tcW w:w="540" w:type="dxa"/>
            <w:vAlign w:val="bottom"/>
          </w:tcPr>
          <w:p>
            <w:pPr>
              <w:spacing w:after="0"/>
              <w:rPr>
                <w:sz w:val="23"/>
                <w:szCs w:val="23"/>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696,475</w:t>
            </w:r>
          </w:p>
        </w:tc>
        <w:tc>
          <w:tcPr>
            <w:tcW w:w="0" w:type="dxa"/>
            <w:vAlign w:val="bottom"/>
          </w:tcPr>
          <w:p>
            <w:pPr>
              <w:spacing w:after="0"/>
              <w:rPr>
                <w:sz w:val="1"/>
                <w:szCs w:val="1"/>
                <w:color w:val="auto"/>
              </w:rPr>
            </w:pPr>
          </w:p>
        </w:tc>
      </w:tr>
      <w:tr>
        <w:trPr>
          <w:trHeight w:val="176"/>
        </w:trPr>
        <w:tc>
          <w:tcPr>
            <w:tcW w:w="51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 property, plant and equipment</w:t>
            </w: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648,785</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642,806</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681,251</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460" w:type="dxa"/>
            <w:vAlign w:val="bottom"/>
          </w:tcPr>
          <w:p>
            <w:pPr>
              <w:spacing w:after="0"/>
              <w:rPr>
                <w:sz w:val="23"/>
                <w:szCs w:val="23"/>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199,070</w:t>
            </w:r>
          </w:p>
        </w:tc>
        <w:tc>
          <w:tcPr>
            <w:tcW w:w="640" w:type="dxa"/>
            <w:vAlign w:val="bottom"/>
          </w:tcPr>
          <w:p>
            <w:pPr>
              <w:spacing w:after="0"/>
              <w:rPr>
                <w:sz w:val="23"/>
                <w:szCs w:val="23"/>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119,301</w:t>
            </w:r>
          </w:p>
        </w:tc>
        <w:tc>
          <w:tcPr>
            <w:tcW w:w="540" w:type="dxa"/>
            <w:vAlign w:val="bottom"/>
          </w:tcPr>
          <w:p>
            <w:pPr>
              <w:spacing w:after="0"/>
              <w:rPr>
                <w:sz w:val="23"/>
                <w:szCs w:val="23"/>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88,511</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35,337</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30,563</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15,115</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47,180</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46,574</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50,902</w:t>
            </w:r>
          </w:p>
        </w:tc>
        <w:tc>
          <w:tcPr>
            <w:tcW w:w="0" w:type="dxa"/>
            <w:vAlign w:val="bottom"/>
          </w:tcPr>
          <w:p>
            <w:pPr>
              <w:spacing w:after="0"/>
              <w:rPr>
                <w:sz w:val="1"/>
                <w:szCs w:val="1"/>
                <w:color w:val="auto"/>
              </w:rPr>
            </w:pPr>
          </w:p>
        </w:tc>
      </w:tr>
      <w:tr>
        <w:trPr>
          <w:trHeight w:val="176"/>
        </w:trPr>
        <w:tc>
          <w:tcPr>
            <w:tcW w:w="51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other assets</w:t>
            </w: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281,587</w:t>
            </w:r>
          </w:p>
        </w:tc>
        <w:tc>
          <w:tcPr>
            <w:tcW w:w="640" w:type="dxa"/>
            <w:vAlign w:val="bottom"/>
          </w:tcPr>
          <w:p>
            <w:pPr>
              <w:spacing w:after="0"/>
              <w:rPr>
                <w:sz w:val="15"/>
                <w:szCs w:val="15"/>
                <w:color w:val="auto"/>
              </w:rPr>
            </w:pP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196,438</w:t>
            </w:r>
          </w:p>
        </w:tc>
        <w:tc>
          <w:tcPr>
            <w:tcW w:w="5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154,528</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2,489,333</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2,218,354</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1,894,553</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40"/>
          </w:cols>
          <w:pgMar w:left="320" w:top="266" w:right="2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January 29, 2000</w:t>
            </w: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October 30, 1999</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 1999</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Short-term borrowings and current</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84,810</w:t>
            </w:r>
          </w:p>
        </w:tc>
        <w:tc>
          <w:tcPr>
            <w:tcW w:w="5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82,344</w:t>
            </w:r>
          </w:p>
        </w:tc>
        <w:tc>
          <w:tcPr>
            <w:tcW w:w="5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2,333</w:t>
            </w:r>
          </w:p>
        </w:tc>
        <w:tc>
          <w:tcPr>
            <w:tcW w:w="0" w:type="dxa"/>
            <w:vAlign w:val="bottom"/>
          </w:tcPr>
          <w:p>
            <w:pPr>
              <w:spacing w:after="0"/>
              <w:rPr>
                <w:sz w:val="1"/>
                <w:szCs w:val="1"/>
                <w:color w:val="auto"/>
              </w:rPr>
            </w:pPr>
          </w:p>
        </w:tc>
      </w:tr>
      <w:tr>
        <w:trPr>
          <w:trHeight w:val="176"/>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portion of long-term debt</w:t>
            </w:r>
          </w:p>
        </w:tc>
        <w:tc>
          <w:tcPr>
            <w:tcW w:w="6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14,089</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14,717</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14,386</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125,027</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103,368</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58,000</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Deferred income on shipments to distributors</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113,523</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100,788</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101,797</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106,319</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66,761</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57,373</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121,864</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111,285</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79,369</w:t>
            </w:r>
          </w:p>
        </w:tc>
        <w:tc>
          <w:tcPr>
            <w:tcW w:w="0" w:type="dxa"/>
            <w:vAlign w:val="bottom"/>
          </w:tcPr>
          <w:p>
            <w:pPr>
              <w:spacing w:after="0"/>
              <w:rPr>
                <w:sz w:val="1"/>
                <w:szCs w:val="1"/>
                <w:color w:val="auto"/>
              </w:rPr>
            </w:pPr>
          </w:p>
        </w:tc>
      </w:tr>
      <w:tr>
        <w:trPr>
          <w:trHeight w:val="176"/>
        </w:trPr>
        <w:tc>
          <w:tcPr>
            <w:tcW w:w="59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565,632</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479,263</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313,258</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640" w:type="dxa"/>
            <w:vAlign w:val="bottom"/>
          </w:tcPr>
          <w:p>
            <w:pPr>
              <w:spacing w:after="0"/>
              <w:rPr>
                <w:sz w:val="23"/>
                <w:szCs w:val="23"/>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3"/>
                <w:szCs w:val="23"/>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3"/>
                <w:szCs w:val="23"/>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309,871</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Non-current obligations under capital leases</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13,218</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16,214</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27,150</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62,600</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40,002</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33,000</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101,538</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66,844</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45,119</w:t>
            </w:r>
          </w:p>
        </w:tc>
        <w:tc>
          <w:tcPr>
            <w:tcW w:w="0" w:type="dxa"/>
            <w:vAlign w:val="bottom"/>
          </w:tcPr>
          <w:p>
            <w:pPr>
              <w:spacing w:after="0"/>
              <w:rPr>
                <w:sz w:val="1"/>
                <w:szCs w:val="1"/>
                <w:color w:val="auto"/>
              </w:rPr>
            </w:pPr>
          </w:p>
        </w:tc>
      </w:tr>
      <w:tr>
        <w:trPr>
          <w:trHeight w:val="176"/>
        </w:trPr>
        <w:tc>
          <w:tcPr>
            <w:tcW w:w="59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non-current liabilities</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177,356</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123,060</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415,140</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 $1.00 par value, 471,934 shares authorized,</w:t>
            </w:r>
          </w:p>
        </w:tc>
        <w:tc>
          <w:tcPr>
            <w:tcW w:w="64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3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none outstanding</w:t>
            </w:r>
          </w:p>
        </w:tc>
        <w:tc>
          <w:tcPr>
            <w:tcW w:w="6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Common stock, $.16 2/3 par value, 600,000,000 shares</w:t>
            </w: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authorized, 179,361,743 shares issued</w:t>
            </w: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(178,049,189 in October 1999 and 164,684,927</w:t>
            </w:r>
          </w:p>
        </w:tc>
        <w:tc>
          <w:tcPr>
            <w:tcW w:w="64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29,893</w:t>
            </w:r>
          </w:p>
        </w:tc>
        <w:tc>
          <w:tcPr>
            <w:tcW w:w="580" w:type="dxa"/>
            <w:vAlign w:val="bottom"/>
          </w:tcPr>
          <w:p>
            <w:pPr>
              <w:spacing w:after="0"/>
              <w:rPr>
                <w:sz w:val="15"/>
                <w:szCs w:val="15"/>
                <w:color w:val="auto"/>
              </w:rPr>
            </w:pPr>
          </w:p>
        </w:tc>
        <w:tc>
          <w:tcPr>
            <w:tcW w:w="13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29,675</w:t>
            </w:r>
          </w:p>
        </w:tc>
        <w:tc>
          <w:tcPr>
            <w:tcW w:w="500" w:type="dxa"/>
            <w:vAlign w:val="bottom"/>
          </w:tcPr>
          <w:p>
            <w:pPr>
              <w:spacing w:after="0"/>
              <w:rPr>
                <w:sz w:val="15"/>
                <w:szCs w:val="15"/>
                <w:color w:val="auto"/>
              </w:rPr>
            </w:pP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27,448</w:t>
            </w:r>
          </w:p>
        </w:tc>
        <w:tc>
          <w:tcPr>
            <w:tcW w:w="0" w:type="dxa"/>
            <w:vAlign w:val="bottom"/>
          </w:tcPr>
          <w:p>
            <w:pPr>
              <w:spacing w:after="0"/>
              <w:rPr>
                <w:sz w:val="1"/>
                <w:szCs w:val="1"/>
                <w:color w:val="auto"/>
              </w:rPr>
            </w:pPr>
          </w:p>
        </w:tc>
      </w:tr>
      <w:tr>
        <w:trPr>
          <w:trHeight w:val="176"/>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in January 1999)</w:t>
            </w:r>
          </w:p>
        </w:tc>
        <w:tc>
          <w:tcPr>
            <w:tcW w:w="6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538,274</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523,106</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254,788</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1,203,818</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1,110,811</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944,265</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38,488</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12,209</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7,397</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Less 3,213,403 shares in treasury, at cost (3,161,774</w:t>
            </w:r>
          </w:p>
        </w:tc>
        <w:tc>
          <w:tcPr>
            <w:tcW w:w="640" w:type="dxa"/>
            <w:vAlign w:val="bottom"/>
          </w:tcPr>
          <w:p>
            <w:pPr>
              <w:spacing w:after="0"/>
              <w:rPr>
                <w:sz w:val="22"/>
                <w:szCs w:val="22"/>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1,810,473</w:t>
            </w:r>
          </w:p>
        </w:tc>
        <w:tc>
          <w:tcPr>
            <w:tcW w:w="580" w:type="dxa"/>
            <w:vAlign w:val="bottom"/>
          </w:tcPr>
          <w:p>
            <w:pPr>
              <w:spacing w:after="0"/>
              <w:rPr>
                <w:sz w:val="22"/>
                <w:szCs w:val="22"/>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1,675,801</w:t>
            </w:r>
          </w:p>
        </w:tc>
        <w:tc>
          <w:tcPr>
            <w:tcW w:w="500" w:type="dxa"/>
            <w:vAlign w:val="bottom"/>
          </w:tcPr>
          <w:p>
            <w:pPr>
              <w:spacing w:after="0"/>
              <w:rPr>
                <w:sz w:val="22"/>
                <w:szCs w:val="22"/>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1,233,898</w:t>
            </w:r>
          </w:p>
        </w:tc>
        <w:tc>
          <w:tcPr>
            <w:tcW w:w="0" w:type="dxa"/>
            <w:vAlign w:val="bottom"/>
          </w:tcPr>
          <w:p>
            <w:pPr>
              <w:spacing w:after="0"/>
              <w:rPr>
                <w:sz w:val="1"/>
                <w:szCs w:val="1"/>
                <w:color w:val="auto"/>
              </w:rPr>
            </w:pPr>
          </w:p>
        </w:tc>
      </w:tr>
      <w:tr>
        <w:trPr>
          <w:trHeight w:val="95"/>
        </w:trPr>
        <w:tc>
          <w:tcPr>
            <w:tcW w:w="59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64,128</w:t>
            </w:r>
          </w:p>
        </w:tc>
        <w:tc>
          <w:tcPr>
            <w:tcW w:w="580" w:type="dxa"/>
            <w:vAlign w:val="bottom"/>
          </w:tcPr>
          <w:p>
            <w:pPr>
              <w:spacing w:after="0"/>
              <w:rPr>
                <w:sz w:val="8"/>
                <w:szCs w:val="8"/>
                <w:color w:val="auto"/>
              </w:rPr>
            </w:pPr>
          </w:p>
        </w:tc>
        <w:tc>
          <w:tcPr>
            <w:tcW w:w="13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59,770</w:t>
            </w:r>
          </w:p>
        </w:tc>
        <w:tc>
          <w:tcPr>
            <w:tcW w:w="500" w:type="dxa"/>
            <w:vAlign w:val="bottom"/>
          </w:tcPr>
          <w:p>
            <w:pPr>
              <w:spacing w:after="0"/>
              <w:rPr>
                <w:sz w:val="8"/>
                <w:szCs w:val="8"/>
                <w:color w:val="auto"/>
              </w:rPr>
            </w:pP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67,743</w:t>
            </w:r>
          </w:p>
        </w:tc>
        <w:tc>
          <w:tcPr>
            <w:tcW w:w="0" w:type="dxa"/>
            <w:vAlign w:val="bottom"/>
          </w:tcPr>
          <w:p>
            <w:pPr>
              <w:spacing w:after="0"/>
              <w:rPr>
                <w:sz w:val="1"/>
                <w:szCs w:val="1"/>
                <w:color w:val="auto"/>
              </w:rPr>
            </w:pPr>
          </w:p>
        </w:tc>
      </w:tr>
      <w:tr>
        <w:trPr>
          <w:trHeight w:val="176"/>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in October 1999 and 3,763,903 in January 1999)</w:t>
            </w:r>
          </w:p>
        </w:tc>
        <w:tc>
          <w:tcPr>
            <w:tcW w:w="6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stockholders' equity</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1,746,345</w:t>
            </w:r>
          </w:p>
        </w:tc>
        <w:tc>
          <w:tcPr>
            <w:tcW w:w="580" w:type="dxa"/>
            <w:vAlign w:val="bottom"/>
          </w:tcPr>
          <w:p>
            <w:pPr>
              <w:spacing w:after="0"/>
              <w:rPr>
                <w:sz w:val="15"/>
                <w:szCs w:val="15"/>
                <w:color w:val="auto"/>
              </w:rPr>
            </w:pP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1,616,031</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1,166,155</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2,489,333</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2,218,354</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1,894,553</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340"/>
          </w:cols>
          <w:pgMar w:left="320" w:top="26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1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6220" w:type="dxa"/>
            <w:vAlign w:val="bottom"/>
          </w:tcPr>
          <w:p>
            <w:pPr>
              <w:spacing w:after="0"/>
              <w:rPr>
                <w:sz w:val="20"/>
                <w:szCs w:val="20"/>
                <w:color w:val="auto"/>
              </w:rPr>
            </w:pPr>
            <w:r>
              <w:rPr>
                <w:rFonts w:ascii="Courier New" w:cs="Courier New" w:eastAsia="Courier New" w:hAnsi="Courier New"/>
                <w:sz w:val="15"/>
                <w:szCs w:val="15"/>
                <w:color w:val="auto"/>
              </w:rPr>
              <w:t>ANALOG DEVICES, INC.</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22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1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6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15"/>
                <w:szCs w:val="15"/>
                <w:color w:val="auto"/>
              </w:rPr>
            </w:pPr>
          </w:p>
        </w:tc>
        <w:tc>
          <w:tcPr>
            <w:tcW w:w="30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January 29, 2000</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 1999</w:t>
            </w:r>
          </w:p>
        </w:tc>
        <w:tc>
          <w:tcPr>
            <w:tcW w:w="0" w:type="dxa"/>
            <w:vAlign w:val="bottom"/>
          </w:tcPr>
          <w:p>
            <w:pPr>
              <w:spacing w:after="0"/>
              <w:rPr>
                <w:sz w:val="1"/>
                <w:szCs w:val="1"/>
                <w:color w:val="auto"/>
              </w:rPr>
            </w:pPr>
          </w:p>
        </w:tc>
      </w:tr>
      <w:tr>
        <w:trPr>
          <w:trHeight w:val="257"/>
        </w:trPr>
        <w:tc>
          <w:tcPr>
            <w:tcW w:w="6220" w:type="dxa"/>
            <w:vAlign w:val="bottom"/>
            <w:vMerge w:val="restart"/>
          </w:tcPr>
          <w:p>
            <w:pPr>
              <w:spacing w:after="0"/>
              <w:rPr>
                <w:sz w:val="20"/>
                <w:szCs w:val="20"/>
                <w:color w:val="auto"/>
              </w:rPr>
            </w:pPr>
            <w:r>
              <w:rPr>
                <w:rFonts w:ascii="Courier New" w:cs="Courier New" w:eastAsia="Courier New" w:hAnsi="Courier New"/>
                <w:sz w:val="15"/>
                <w:szCs w:val="15"/>
                <w:color w:val="auto"/>
              </w:rPr>
              <w:t>OPERATIONS</w:t>
            </w:r>
          </w:p>
        </w:tc>
        <w:tc>
          <w:tcPr>
            <w:tcW w:w="30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flows from operations:</w:t>
            </w:r>
          </w:p>
        </w:tc>
        <w:tc>
          <w:tcPr>
            <w:tcW w:w="1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93,007</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29,894</w:t>
            </w: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income</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to net cash provided by operations:</w:t>
            </w:r>
          </w:p>
        </w:tc>
        <w:tc>
          <w:tcPr>
            <w:tcW w:w="1840" w:type="dxa"/>
            <w:vAlign w:val="bottom"/>
          </w:tcPr>
          <w:p>
            <w:pPr>
              <w:spacing w:after="0"/>
              <w:rPr>
                <w:sz w:val="15"/>
                <w:szCs w:val="15"/>
                <w:color w:val="auto"/>
              </w:rPr>
            </w:pPr>
          </w:p>
        </w:tc>
        <w:tc>
          <w:tcPr>
            <w:tcW w:w="12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35,872</w:t>
            </w:r>
          </w:p>
        </w:tc>
        <w:tc>
          <w:tcPr>
            <w:tcW w:w="78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35,156</w:t>
            </w:r>
          </w:p>
        </w:tc>
        <w:tc>
          <w:tcPr>
            <w:tcW w:w="0" w:type="dxa"/>
            <w:vAlign w:val="bottom"/>
          </w:tcPr>
          <w:p>
            <w:pPr>
              <w:spacing w:after="0"/>
              <w:rPr>
                <w:sz w:val="1"/>
                <w:szCs w:val="1"/>
                <w:color w:val="auto"/>
              </w:rPr>
            </w:pPr>
          </w:p>
        </w:tc>
      </w:tr>
      <w:tr>
        <w:trPr>
          <w:trHeight w:val="176"/>
        </w:trPr>
        <w:tc>
          <w:tcPr>
            <w:tcW w:w="6220" w:type="dxa"/>
            <w:vAlign w:val="bottom"/>
          </w:tcPr>
          <w:p>
            <w:pPr>
              <w:ind w:left="720"/>
              <w:spacing w:after="0"/>
              <w:rPr>
                <w:sz w:val="20"/>
                <w:szCs w:val="20"/>
                <w:color w:val="auto"/>
              </w:rPr>
            </w:pPr>
            <w:r>
              <w:rPr>
                <w:rFonts w:ascii="Courier New" w:cs="Courier New" w:eastAsia="Courier New" w:hAnsi="Courier New"/>
                <w:sz w:val="15"/>
                <w:szCs w:val="15"/>
                <w:color w:val="auto"/>
              </w:rPr>
              <w:t>Depreciation and amortization</w:t>
            </w:r>
          </w:p>
        </w:tc>
        <w:tc>
          <w:tcPr>
            <w:tcW w:w="18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720"/>
              <w:spacing w:after="0"/>
              <w:rPr>
                <w:sz w:val="20"/>
                <w:szCs w:val="20"/>
                <w:color w:val="auto"/>
              </w:rPr>
            </w:pPr>
            <w:r>
              <w:rPr>
                <w:rFonts w:ascii="Courier New" w:cs="Courier New" w:eastAsia="Courier New" w:hAnsi="Courier New"/>
                <w:sz w:val="15"/>
                <w:szCs w:val="15"/>
                <w:color w:val="auto"/>
              </w:rPr>
              <w:t>Equity in loss of WaferTech, net of dividends</w:t>
            </w: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1,149</w:t>
            </w:r>
          </w:p>
        </w:tc>
        <w:tc>
          <w:tcPr>
            <w:tcW w:w="0" w:type="dxa"/>
            <w:vAlign w:val="bottom"/>
          </w:tcPr>
          <w:p>
            <w:pPr>
              <w:spacing w:after="0"/>
              <w:rPr>
                <w:sz w:val="1"/>
                <w:szCs w:val="1"/>
                <w:color w:val="auto"/>
              </w:rPr>
            </w:pPr>
          </w:p>
        </w:tc>
      </w:tr>
      <w:tr>
        <w:trPr>
          <w:trHeight w:val="176"/>
        </w:trPr>
        <w:tc>
          <w:tcPr>
            <w:tcW w:w="6220" w:type="dxa"/>
            <w:vAlign w:val="bottom"/>
          </w:tcPr>
          <w:p>
            <w:pPr>
              <w:ind w:left="720"/>
              <w:spacing w:after="0"/>
              <w:rPr>
                <w:sz w:val="20"/>
                <w:szCs w:val="20"/>
                <w:color w:val="auto"/>
              </w:rPr>
            </w:pPr>
            <w:r>
              <w:rPr>
                <w:rFonts w:ascii="Courier New" w:cs="Courier New" w:eastAsia="Courier New" w:hAnsi="Courier New"/>
                <w:sz w:val="15"/>
                <w:szCs w:val="15"/>
                <w:color w:val="auto"/>
              </w:rPr>
              <w:t>Deferred income taxes</w:t>
            </w:r>
          </w:p>
        </w:tc>
        <w:tc>
          <w:tcPr>
            <w:tcW w:w="184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(10,011)</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1,335</w:t>
            </w:r>
          </w:p>
        </w:tc>
        <w:tc>
          <w:tcPr>
            <w:tcW w:w="0" w:type="dxa"/>
            <w:vAlign w:val="bottom"/>
          </w:tcPr>
          <w:p>
            <w:pPr>
              <w:spacing w:after="0"/>
              <w:rPr>
                <w:sz w:val="1"/>
                <w:szCs w:val="1"/>
                <w:color w:val="auto"/>
              </w:rPr>
            </w:pPr>
          </w:p>
        </w:tc>
      </w:tr>
      <w:tr>
        <w:trPr>
          <w:trHeight w:val="176"/>
        </w:trPr>
        <w:tc>
          <w:tcPr>
            <w:tcW w:w="6220" w:type="dxa"/>
            <w:vAlign w:val="bottom"/>
          </w:tcPr>
          <w:p>
            <w:pPr>
              <w:ind w:left="720"/>
              <w:spacing w:after="0"/>
              <w:rPr>
                <w:sz w:val="20"/>
                <w:szCs w:val="20"/>
                <w:color w:val="auto"/>
              </w:rPr>
            </w:pPr>
            <w:r>
              <w:rPr>
                <w:rFonts w:ascii="Courier New" w:cs="Courier New" w:eastAsia="Courier New" w:hAnsi="Courier New"/>
                <w:sz w:val="15"/>
                <w:szCs w:val="15"/>
                <w:color w:val="auto"/>
              </w:rPr>
              <w:t>Other non-cash expense</w:t>
            </w: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440</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1,165</w:t>
            </w:r>
          </w:p>
        </w:tc>
        <w:tc>
          <w:tcPr>
            <w:tcW w:w="0" w:type="dxa"/>
            <w:vAlign w:val="bottom"/>
          </w:tcPr>
          <w:p>
            <w:pPr>
              <w:spacing w:after="0"/>
              <w:rPr>
                <w:sz w:val="1"/>
                <w:szCs w:val="1"/>
                <w:color w:val="auto"/>
              </w:rPr>
            </w:pPr>
          </w:p>
        </w:tc>
      </w:tr>
      <w:tr>
        <w:trPr>
          <w:trHeight w:val="176"/>
        </w:trPr>
        <w:tc>
          <w:tcPr>
            <w:tcW w:w="6220" w:type="dxa"/>
            <w:vAlign w:val="bottom"/>
          </w:tcPr>
          <w:p>
            <w:pPr>
              <w:ind w:left="7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45,199</w:t>
            </w:r>
          </w:p>
        </w:tc>
        <w:tc>
          <w:tcPr>
            <w:tcW w:w="7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(10,342)</w:t>
            </w:r>
          </w:p>
        </w:tc>
        <w:tc>
          <w:tcPr>
            <w:tcW w:w="0" w:type="dxa"/>
            <w:vAlign w:val="bottom"/>
          </w:tcPr>
          <w:p>
            <w:pPr>
              <w:spacing w:after="0"/>
              <w:rPr>
                <w:sz w:val="1"/>
                <w:szCs w:val="1"/>
                <w:color w:val="auto"/>
              </w:rPr>
            </w:pPr>
          </w:p>
        </w:tc>
      </w:tr>
      <w:tr>
        <w:trPr>
          <w:trHeight w:val="176"/>
        </w:trPr>
        <w:tc>
          <w:tcPr>
            <w:tcW w:w="62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adjustments</w:t>
            </w: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71,500</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28,463</w:t>
            </w:r>
          </w:p>
        </w:tc>
        <w:tc>
          <w:tcPr>
            <w:tcW w:w="0" w:type="dxa"/>
            <w:vAlign w:val="bottom"/>
          </w:tcPr>
          <w:p>
            <w:pPr>
              <w:spacing w:after="0"/>
              <w:rPr>
                <w:sz w:val="1"/>
                <w:szCs w:val="1"/>
                <w:color w:val="auto"/>
              </w:rPr>
            </w:pPr>
          </w:p>
        </w:tc>
      </w:tr>
      <w:tr>
        <w:trPr>
          <w:trHeight w:val="176"/>
        </w:trPr>
        <w:tc>
          <w:tcPr>
            <w:tcW w:w="62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operations</w:t>
            </w: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164,507</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58,357</w:t>
            </w:r>
          </w:p>
        </w:tc>
        <w:tc>
          <w:tcPr>
            <w:tcW w:w="0" w:type="dxa"/>
            <w:vAlign w:val="bottom"/>
          </w:tcPr>
          <w:p>
            <w:pPr>
              <w:spacing w:after="0"/>
              <w:rPr>
                <w:sz w:val="1"/>
                <w:szCs w:val="1"/>
                <w:color w:val="auto"/>
              </w:rPr>
            </w:pPr>
          </w:p>
        </w:tc>
      </w:tr>
      <w:tr>
        <w:trPr>
          <w:trHeight w:val="257"/>
        </w:trPr>
        <w:tc>
          <w:tcPr>
            <w:tcW w:w="6220" w:type="dxa"/>
            <w:vAlign w:val="bottom"/>
          </w:tcPr>
          <w:p>
            <w:pPr>
              <w:spacing w:after="0"/>
              <w:rPr>
                <w:sz w:val="22"/>
                <w:szCs w:val="22"/>
                <w:color w:val="auto"/>
              </w:rPr>
            </w:pP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flows from investments:</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Purchase of short-term investments</w:t>
            </w:r>
          </w:p>
        </w:tc>
        <w:tc>
          <w:tcPr>
            <w:tcW w:w="1840" w:type="dxa"/>
            <w:vAlign w:val="bottom"/>
          </w:tcPr>
          <w:p>
            <w:pPr>
              <w:spacing w:after="0"/>
              <w:rPr>
                <w:sz w:val="15"/>
                <w:szCs w:val="15"/>
                <w:color w:val="auto"/>
              </w:rPr>
            </w:pPr>
          </w:p>
        </w:tc>
        <w:tc>
          <w:tcPr>
            <w:tcW w:w="12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(207,486)</w:t>
            </w:r>
          </w:p>
        </w:tc>
        <w:tc>
          <w:tcPr>
            <w:tcW w:w="780" w:type="dxa"/>
            <w:vAlign w:val="bottom"/>
          </w:tcPr>
          <w:p>
            <w:pPr>
              <w:spacing w:after="0"/>
              <w:rPr>
                <w:sz w:val="15"/>
                <w:szCs w:val="15"/>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(110,659)</w:t>
            </w:r>
          </w:p>
        </w:tc>
        <w:tc>
          <w:tcPr>
            <w:tcW w:w="0" w:type="dxa"/>
            <w:vAlign w:val="bottom"/>
          </w:tcPr>
          <w:p>
            <w:pPr>
              <w:spacing w:after="0"/>
              <w:rPr>
                <w:sz w:val="1"/>
                <w:szCs w:val="1"/>
                <w:color w:val="auto"/>
              </w:rPr>
            </w:pPr>
          </w:p>
        </w:tc>
      </w:tr>
      <w:tr>
        <w:trPr>
          <w:trHeight w:val="176"/>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available for sale</w:t>
            </w:r>
          </w:p>
        </w:tc>
        <w:tc>
          <w:tcPr>
            <w:tcW w:w="18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Maturities of short-term investments</w:t>
            </w:r>
          </w:p>
        </w:tc>
        <w:tc>
          <w:tcPr>
            <w:tcW w:w="1840" w:type="dxa"/>
            <w:vAlign w:val="bottom"/>
          </w:tcPr>
          <w:p>
            <w:pPr>
              <w:spacing w:after="0"/>
              <w:rPr>
                <w:sz w:val="15"/>
                <w:szCs w:val="15"/>
                <w:color w:val="auto"/>
              </w:rPr>
            </w:pPr>
          </w:p>
        </w:tc>
        <w:tc>
          <w:tcPr>
            <w:tcW w:w="12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128,333</w:t>
            </w:r>
          </w:p>
        </w:tc>
        <w:tc>
          <w:tcPr>
            <w:tcW w:w="78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22,564</w:t>
            </w:r>
          </w:p>
        </w:tc>
        <w:tc>
          <w:tcPr>
            <w:tcW w:w="0" w:type="dxa"/>
            <w:vAlign w:val="bottom"/>
          </w:tcPr>
          <w:p>
            <w:pPr>
              <w:spacing w:after="0"/>
              <w:rPr>
                <w:sz w:val="1"/>
                <w:szCs w:val="1"/>
                <w:color w:val="auto"/>
              </w:rPr>
            </w:pPr>
          </w:p>
        </w:tc>
      </w:tr>
      <w:tr>
        <w:trPr>
          <w:trHeight w:val="176"/>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available for sale</w:t>
            </w:r>
          </w:p>
        </w:tc>
        <w:tc>
          <w:tcPr>
            <w:tcW w:w="18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Payments for acquisitions, net of cash acquired</w:t>
            </w:r>
          </w:p>
        </w:tc>
        <w:tc>
          <w:tcPr>
            <w:tcW w:w="184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(1,176)</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Change in long-term investments</w:t>
            </w: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348</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105,601</w:t>
            </w: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Additions to property, plant and equipment, net</w:t>
            </w:r>
          </w:p>
        </w:tc>
        <w:tc>
          <w:tcPr>
            <w:tcW w:w="184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(40,677)</w:t>
            </w:r>
          </w:p>
        </w:tc>
        <w:tc>
          <w:tcPr>
            <w:tcW w:w="7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(12,293)</w:t>
            </w: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(Increase) decrease in other assets</w:t>
            </w:r>
          </w:p>
        </w:tc>
        <w:tc>
          <w:tcPr>
            <w:tcW w:w="184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(1,713)</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2,403</w:t>
            </w:r>
          </w:p>
        </w:tc>
        <w:tc>
          <w:tcPr>
            <w:tcW w:w="0" w:type="dxa"/>
            <w:vAlign w:val="bottom"/>
          </w:tcPr>
          <w:p>
            <w:pPr>
              <w:spacing w:after="0"/>
              <w:rPr>
                <w:sz w:val="1"/>
                <w:szCs w:val="1"/>
                <w:color w:val="auto"/>
              </w:rPr>
            </w:pPr>
          </w:p>
        </w:tc>
      </w:tr>
      <w:tr>
        <w:trPr>
          <w:trHeight w:val="176"/>
        </w:trPr>
        <w:tc>
          <w:tcPr>
            <w:tcW w:w="62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for) provided by investments</w:t>
            </w: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(122,371)</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7,616</w:t>
            </w:r>
          </w:p>
        </w:tc>
        <w:tc>
          <w:tcPr>
            <w:tcW w:w="0" w:type="dxa"/>
            <w:vAlign w:val="bottom"/>
          </w:tcPr>
          <w:p>
            <w:pPr>
              <w:spacing w:after="0"/>
              <w:rPr>
                <w:sz w:val="1"/>
                <w:szCs w:val="1"/>
                <w:color w:val="auto"/>
              </w:rPr>
            </w:pPr>
          </w:p>
        </w:tc>
      </w:tr>
      <w:tr>
        <w:trPr>
          <w:trHeight w:val="257"/>
        </w:trPr>
        <w:tc>
          <w:tcPr>
            <w:tcW w:w="6220" w:type="dxa"/>
            <w:vAlign w:val="bottom"/>
          </w:tcPr>
          <w:p>
            <w:pPr>
              <w:spacing w:after="0"/>
              <w:rPr>
                <w:sz w:val="22"/>
                <w:szCs w:val="22"/>
                <w:color w:val="auto"/>
              </w:rPr>
            </w:pP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40" w:type="dxa"/>
            <w:vAlign w:val="bottom"/>
          </w:tcPr>
          <w:p>
            <w:pPr>
              <w:spacing w:after="0"/>
              <w:rPr>
                <w:sz w:val="15"/>
                <w:szCs w:val="15"/>
                <w:color w:val="auto"/>
              </w:rPr>
            </w:pPr>
          </w:p>
        </w:tc>
        <w:tc>
          <w:tcPr>
            <w:tcW w:w="12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9,981</w:t>
            </w:r>
          </w:p>
        </w:tc>
        <w:tc>
          <w:tcPr>
            <w:tcW w:w="78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4,820</w:t>
            </w: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employee stock plans</w:t>
            </w:r>
          </w:p>
        </w:tc>
        <w:tc>
          <w:tcPr>
            <w:tcW w:w="18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Payments on capital lease obligations</w:t>
            </w:r>
          </w:p>
        </w:tc>
        <w:tc>
          <w:tcPr>
            <w:tcW w:w="184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(3,622)</w:t>
            </w:r>
          </w:p>
        </w:tc>
        <w:tc>
          <w:tcPr>
            <w:tcW w:w="7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(3,503)</w:t>
            </w: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Net increase in variable rate borrowings</w:t>
            </w: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2,488</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2,030</w:t>
            </w:r>
          </w:p>
        </w:tc>
        <w:tc>
          <w:tcPr>
            <w:tcW w:w="0" w:type="dxa"/>
            <w:vAlign w:val="bottom"/>
          </w:tcPr>
          <w:p>
            <w:pPr>
              <w:spacing w:after="0"/>
              <w:rPr>
                <w:sz w:val="1"/>
                <w:szCs w:val="1"/>
                <w:color w:val="auto"/>
              </w:rPr>
            </w:pPr>
          </w:p>
        </w:tc>
      </w:tr>
      <w:tr>
        <w:trPr>
          <w:trHeight w:val="176"/>
        </w:trPr>
        <w:tc>
          <w:tcPr>
            <w:tcW w:w="62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8,847</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3,347</w:t>
            </w:r>
          </w:p>
        </w:tc>
        <w:tc>
          <w:tcPr>
            <w:tcW w:w="0" w:type="dxa"/>
            <w:vAlign w:val="bottom"/>
          </w:tcPr>
          <w:p>
            <w:pPr>
              <w:spacing w:after="0"/>
              <w:rPr>
                <w:sz w:val="1"/>
                <w:szCs w:val="1"/>
                <w:color w:val="auto"/>
              </w:rPr>
            </w:pPr>
          </w:p>
        </w:tc>
      </w:tr>
      <w:tr>
        <w:trPr>
          <w:trHeight w:val="176"/>
        </w:trPr>
        <w:tc>
          <w:tcPr>
            <w:tcW w:w="6220" w:type="dxa"/>
            <w:vAlign w:val="bottom"/>
            <w:vMerge w:val="restart"/>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2,642</w:t>
            </w:r>
          </w:p>
        </w:tc>
        <w:tc>
          <w:tcPr>
            <w:tcW w:w="7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w:t>
            </w:r>
          </w:p>
        </w:tc>
        <w:tc>
          <w:tcPr>
            <w:tcW w:w="0" w:type="dxa"/>
            <w:vAlign w:val="bottom"/>
          </w:tcPr>
          <w:p>
            <w:pPr>
              <w:spacing w:after="0"/>
              <w:rPr>
                <w:sz w:val="1"/>
                <w:szCs w:val="1"/>
                <w:color w:val="auto"/>
              </w:rPr>
            </w:pPr>
          </w:p>
        </w:tc>
      </w:tr>
      <w:tr>
        <w:trPr>
          <w:trHeight w:val="257"/>
        </w:trPr>
        <w:tc>
          <w:tcPr>
            <w:tcW w:w="6220" w:type="dxa"/>
            <w:vAlign w:val="bottom"/>
          </w:tcPr>
          <w:p>
            <w:pPr>
              <w:spacing w:after="0"/>
              <w:rPr>
                <w:sz w:val="22"/>
                <w:szCs w:val="22"/>
                <w:color w:val="auto"/>
              </w:rPr>
            </w:pP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840" w:type="dxa"/>
            <w:vAlign w:val="bottom"/>
          </w:tcPr>
          <w:p>
            <w:pPr>
              <w:spacing w:after="0"/>
              <w:rPr>
                <w:sz w:val="23"/>
                <w:szCs w:val="23"/>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53,625</w:t>
            </w:r>
          </w:p>
        </w:tc>
        <w:tc>
          <w:tcPr>
            <w:tcW w:w="780" w:type="dxa"/>
            <w:vAlign w:val="bottom"/>
          </w:tcPr>
          <w:p>
            <w:pPr>
              <w:spacing w:after="0"/>
              <w:rPr>
                <w:sz w:val="23"/>
                <w:szCs w:val="23"/>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69,072</w:t>
            </w:r>
          </w:p>
        </w:tc>
        <w:tc>
          <w:tcPr>
            <w:tcW w:w="0" w:type="dxa"/>
            <w:vAlign w:val="bottom"/>
          </w:tcPr>
          <w:p>
            <w:pPr>
              <w:spacing w:after="0"/>
              <w:rPr>
                <w:sz w:val="1"/>
                <w:szCs w:val="1"/>
                <w:color w:val="auto"/>
              </w:rPr>
            </w:pPr>
          </w:p>
        </w:tc>
      </w:tr>
      <w:tr>
        <w:trPr>
          <w:trHeight w:val="176"/>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355,891</w:t>
            </w:r>
          </w:p>
        </w:tc>
        <w:tc>
          <w:tcPr>
            <w:tcW w:w="7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263,331</w:t>
            </w:r>
          </w:p>
        </w:tc>
        <w:tc>
          <w:tcPr>
            <w:tcW w:w="0" w:type="dxa"/>
            <w:vAlign w:val="bottom"/>
          </w:tcPr>
          <w:p>
            <w:pPr>
              <w:spacing w:after="0"/>
              <w:rPr>
                <w:sz w:val="1"/>
                <w:szCs w:val="1"/>
                <w:color w:val="auto"/>
              </w:rPr>
            </w:pPr>
          </w:p>
        </w:tc>
      </w:tr>
      <w:tr>
        <w:trPr>
          <w:trHeight w:val="176"/>
        </w:trPr>
        <w:tc>
          <w:tcPr>
            <w:tcW w:w="622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1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409,516</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332,403</w:t>
            </w:r>
          </w:p>
        </w:tc>
        <w:tc>
          <w:tcPr>
            <w:tcW w:w="0" w:type="dxa"/>
            <w:vAlign w:val="bottom"/>
          </w:tcPr>
          <w:p>
            <w:pPr>
              <w:spacing w:after="0"/>
              <w:rPr>
                <w:sz w:val="1"/>
                <w:szCs w:val="1"/>
                <w:color w:val="auto"/>
              </w:rPr>
            </w:pPr>
          </w:p>
        </w:tc>
      </w:tr>
      <w:tr>
        <w:trPr>
          <w:trHeight w:val="257"/>
        </w:trPr>
        <w:tc>
          <w:tcPr>
            <w:tcW w:w="6220" w:type="dxa"/>
            <w:vAlign w:val="bottom"/>
          </w:tcPr>
          <w:p>
            <w:pPr>
              <w:spacing w:after="0"/>
              <w:rPr>
                <w:sz w:val="22"/>
                <w:szCs w:val="22"/>
                <w:color w:val="auto"/>
              </w:rPr>
            </w:pPr>
          </w:p>
        </w:tc>
        <w:tc>
          <w:tcPr>
            <w:tcW w:w="30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980"/>
          </w:cols>
          <w:pgMar w:left="320" w:top="266"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7500" w:type="dxa"/>
            <w:vAlign w:val="bottom"/>
          </w:tcPr>
          <w:p>
            <w:pPr>
              <w:spacing w:after="0"/>
              <w:rPr>
                <w:sz w:val="20"/>
                <w:szCs w:val="20"/>
                <w:color w:val="auto"/>
              </w:rPr>
            </w:pPr>
            <w:r>
              <w:rPr>
                <w:rFonts w:ascii="Courier New" w:cs="Courier New" w:eastAsia="Courier New" w:hAnsi="Courier New"/>
                <w:sz w:val="15"/>
                <w:szCs w:val="15"/>
                <w:color w:val="auto"/>
              </w:rPr>
              <w:t>Analog Devices, Inc.</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For the three months ended January 29, 2000</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Courier New" w:cs="Courier New" w:eastAsia="Courier New" w:hAnsi="Courier New"/>
                <w:sz w:val="15"/>
                <w:szCs w:val="15"/>
                <w:color w:val="auto"/>
              </w:rPr>
              <w:t>(all tabular amounts in thousands except per share amounts)</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7"/>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Note 1 - In the opinion of management, the information furnished in the</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accompanying condensed consolidated financial statements reflects all normal</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recurring adjustments that are necessary to fairly state the results for this</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interim period and should be read in conjunction with the Company's Annual</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Report to Stockholders on Form 10-K for the fiscal year ended October 30, 1999</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Courier New" w:cs="Courier New" w:eastAsia="Courier New" w:hAnsi="Courier New"/>
                <w:sz w:val="15"/>
                <w:szCs w:val="15"/>
                <w:color w:val="auto"/>
              </w:rPr>
              <w:t>(1999 Annual Report).</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Note 2 - Certain amounts reported in the previous year have been reclassified to</w:t>
            </w:r>
          </w:p>
        </w:tc>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Courier New" w:cs="Courier New" w:eastAsia="Courier New" w:hAnsi="Courier New"/>
                <w:sz w:val="15"/>
                <w:szCs w:val="15"/>
                <w:color w:val="auto"/>
              </w:rPr>
              <w:t>conform to the 2000 presentation.</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Note 3 - Additional Cash Flow Statement Information</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During the first quarter of fiscal 2000, the Company's non-cash investing</w:t>
            </w:r>
          </w:p>
        </w:tc>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activities consisted of approximately $46 million of unrealized gains on</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Courier New" w:cs="Courier New" w:eastAsia="Courier New" w:hAnsi="Courier New"/>
                <w:sz w:val="15"/>
                <w:szCs w:val="15"/>
                <w:color w:val="auto"/>
              </w:rPr>
              <w:t>available-for-sale securities.</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Note 4 - Comprehensive Income</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Total comprehensive income, i.e., net income plus available-for-sale securities</w:t>
            </w:r>
          </w:p>
        </w:tc>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valuation adjustments and currency translation adjustments to stockholders'</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equity, for the first quarters of fiscal 2000 and fiscal 1999 was $119 million</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Courier New" w:cs="Courier New" w:eastAsia="Courier New" w:hAnsi="Courier New"/>
                <w:sz w:val="15"/>
                <w:szCs w:val="15"/>
                <w:color w:val="auto"/>
              </w:rPr>
              <w:t>and $31 million, respectively.</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Note 5 - Earnings Per Share</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Basic earnings per share is computed based only on the weighted average number</w:t>
            </w:r>
          </w:p>
        </w:tc>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of common shares outstanding during the period. Diluted earnings per share is</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computed using the weighted average number of common shares outstanding during</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the period, plus the dilutive effect of future issues of common stock relating</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to stock option programs and convertible debt financing. In calculating diluted</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earnings per share, the dilutive effect of stock options is computed using the</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20"/>
                <w:szCs w:val="20"/>
                <w:color w:val="auto"/>
              </w:rPr>
            </w:pPr>
            <w:r>
              <w:rPr>
                <w:rFonts w:ascii="Courier New" w:cs="Courier New" w:eastAsia="Courier New" w:hAnsi="Courier New"/>
                <w:sz w:val="15"/>
                <w:szCs w:val="15"/>
                <w:color w:val="auto"/>
              </w:rPr>
              <w:t>average market price for the period. The following table sets forth the</w:t>
            </w: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0"/>
                <w:szCs w:val="20"/>
                <w:color w:val="auto"/>
              </w:rPr>
            </w:pPr>
            <w:r>
              <w:rPr>
                <w:rFonts w:ascii="Courier New" w:cs="Courier New" w:eastAsia="Courier New" w:hAnsi="Courier New"/>
                <w:sz w:val="15"/>
                <w:szCs w:val="15"/>
                <w:color w:val="auto"/>
              </w:rPr>
              <w:t>computation of basic and diluted earnings per share:</w:t>
            </w: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3"/>
        </w:trPr>
        <w:tc>
          <w:tcPr>
            <w:tcW w:w="7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9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January 29, 2000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 1999</w:t>
            </w:r>
          </w:p>
        </w:tc>
        <w:tc>
          <w:tcPr>
            <w:tcW w:w="0" w:type="dxa"/>
            <w:vAlign w:val="bottom"/>
          </w:tcPr>
          <w:p>
            <w:pPr>
              <w:spacing w:after="0"/>
              <w:rPr>
                <w:sz w:val="1"/>
                <w:szCs w:val="1"/>
                <w:color w:val="auto"/>
              </w:rPr>
            </w:pPr>
          </w:p>
        </w:tc>
      </w:tr>
      <w:tr>
        <w:trPr>
          <w:trHeight w:val="257"/>
        </w:trPr>
        <w:tc>
          <w:tcPr>
            <w:tcW w:w="7500" w:type="dxa"/>
            <w:vAlign w:val="bottom"/>
            <w:vMerge w:val="restart"/>
          </w:tcPr>
          <w:p>
            <w:pPr>
              <w:spacing w:after="0"/>
              <w:rPr>
                <w:sz w:val="20"/>
                <w:szCs w:val="20"/>
                <w:color w:val="auto"/>
              </w:rPr>
            </w:pPr>
            <w:r>
              <w:rPr>
                <w:rFonts w:ascii="Courier New" w:cs="Courier New" w:eastAsia="Courier New" w:hAnsi="Courier New"/>
                <w:sz w:val="15"/>
                <w:szCs w:val="15"/>
                <w:color w:val="auto"/>
              </w:rPr>
              <w:t>Basic:</w:t>
            </w:r>
          </w:p>
        </w:tc>
        <w:tc>
          <w:tcPr>
            <w:tcW w:w="19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50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93,007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29,894</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Weighted shares outstanding</w:t>
            </w: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174,676</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159,572</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Earnings per share</w:t>
            </w: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$0.53</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$0.19</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93,007</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29,894</w:t>
            </w:r>
          </w:p>
        </w:tc>
        <w:tc>
          <w:tcPr>
            <w:tcW w:w="0" w:type="dxa"/>
            <w:vAlign w:val="bottom"/>
          </w:tcPr>
          <w:p>
            <w:pPr>
              <w:spacing w:after="0"/>
              <w:rPr>
                <w:sz w:val="1"/>
                <w:szCs w:val="1"/>
                <w:color w:val="auto"/>
              </w:rPr>
            </w:pPr>
          </w:p>
        </w:tc>
      </w:tr>
      <w:tr>
        <w:trPr>
          <w:trHeight w:val="176"/>
        </w:trPr>
        <w:tc>
          <w:tcPr>
            <w:tcW w:w="750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tcPr>
          <w:p>
            <w:pPr>
              <w:ind w:left="360"/>
              <w:spacing w:after="0"/>
              <w:rPr>
                <w:sz w:val="20"/>
                <w:szCs w:val="20"/>
                <w:color w:val="auto"/>
              </w:rPr>
            </w:pPr>
            <w:r>
              <w:rPr>
                <w:rFonts w:ascii="Courier New" w:cs="Courier New" w:eastAsia="Courier New" w:hAnsi="Courier New"/>
                <w:sz w:val="15"/>
                <w:szCs w:val="15"/>
                <w:color w:val="auto"/>
              </w:rPr>
              <w:t>Interest related to convertible subordinated notes, net of tax</w:t>
            </w: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1,425</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Earnings available for common stock</w:t>
            </w: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93,007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31,319</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Weighted shares outstanding</w:t>
            </w: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174,676</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159,572</w:t>
            </w:r>
          </w:p>
        </w:tc>
        <w:tc>
          <w:tcPr>
            <w:tcW w:w="0" w:type="dxa"/>
            <w:vAlign w:val="bottom"/>
          </w:tcPr>
          <w:p>
            <w:pPr>
              <w:spacing w:after="0"/>
              <w:rPr>
                <w:sz w:val="1"/>
                <w:szCs w:val="1"/>
                <w:color w:val="auto"/>
              </w:rPr>
            </w:pPr>
          </w:p>
        </w:tc>
      </w:tr>
      <w:tr>
        <w:trPr>
          <w:trHeight w:val="176"/>
        </w:trPr>
        <w:tc>
          <w:tcPr>
            <w:tcW w:w="7500" w:type="dxa"/>
            <w:vAlign w:val="bottom"/>
          </w:tcPr>
          <w:p>
            <w:pPr>
              <w:ind w:left="360"/>
              <w:spacing w:after="0"/>
              <w:rPr>
                <w:sz w:val="20"/>
                <w:szCs w:val="20"/>
                <w:color w:val="auto"/>
              </w:rPr>
            </w:pPr>
            <w:r>
              <w:rPr>
                <w:rFonts w:ascii="Courier New" w:cs="Courier New" w:eastAsia="Courier New" w:hAnsi="Courier New"/>
                <w:sz w:val="15"/>
                <w:szCs w:val="15"/>
                <w:color w:val="auto"/>
              </w:rPr>
              <w:t>Assumed exercise of common stock equivalents</w:t>
            </w: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12,553</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6,307</w:t>
            </w:r>
          </w:p>
        </w:tc>
        <w:tc>
          <w:tcPr>
            <w:tcW w:w="0" w:type="dxa"/>
            <w:vAlign w:val="bottom"/>
          </w:tcPr>
          <w:p>
            <w:pPr>
              <w:spacing w:after="0"/>
              <w:rPr>
                <w:sz w:val="1"/>
                <w:szCs w:val="1"/>
                <w:color w:val="auto"/>
              </w:rPr>
            </w:pPr>
          </w:p>
        </w:tc>
      </w:tr>
      <w:tr>
        <w:trPr>
          <w:trHeight w:val="176"/>
        </w:trPr>
        <w:tc>
          <w:tcPr>
            <w:tcW w:w="7500" w:type="dxa"/>
            <w:vAlign w:val="bottom"/>
          </w:tcPr>
          <w:p>
            <w:pPr>
              <w:ind w:left="360"/>
              <w:spacing w:after="0"/>
              <w:rPr>
                <w:sz w:val="20"/>
                <w:szCs w:val="20"/>
                <w:color w:val="auto"/>
              </w:rPr>
            </w:pPr>
            <w:r>
              <w:rPr>
                <w:rFonts w:ascii="Courier New" w:cs="Courier New" w:eastAsia="Courier New" w:hAnsi="Courier New"/>
                <w:sz w:val="15"/>
                <w:szCs w:val="15"/>
                <w:color w:val="auto"/>
              </w:rPr>
              <w:t>Assumed conversion of subordinated notes</w:t>
            </w: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10,978</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Weighted average common and common equivalent shares</w:t>
            </w: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187,229</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176,857</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Earnings per share</w:t>
            </w: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$0.50</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$0.18</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1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7500" w:type="dxa"/>
            <w:vAlign w:val="bottom"/>
          </w:tcPr>
          <w:p>
            <w:pPr>
              <w:ind w:left="3560"/>
              <w:spacing w:after="0"/>
              <w:rPr>
                <w:sz w:val="20"/>
                <w:szCs w:val="20"/>
                <w:color w:val="auto"/>
              </w:rPr>
            </w:pPr>
            <w:r>
              <w:rPr>
                <w:rFonts w:ascii="Courier New" w:cs="Courier New" w:eastAsia="Courier New" w:hAnsi="Courier New"/>
                <w:sz w:val="15"/>
                <w:szCs w:val="15"/>
                <w:color w:val="auto"/>
              </w:rPr>
              <w:t>6</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266" w:right="419"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Investments</w:t>
      </w:r>
    </w:p>
    <w:p>
      <w:pPr>
        <w:spacing w:after="0" w:line="182" w:lineRule="exact"/>
        <w:rPr>
          <w:sz w:val="20"/>
          <w:szCs w:val="20"/>
          <w:color w:val="auto"/>
        </w:rPr>
      </w:pPr>
    </w:p>
    <w:p>
      <w:pPr>
        <w:ind w:right="2819"/>
        <w:spacing w:after="0" w:line="269" w:lineRule="auto"/>
        <w:rPr>
          <w:sz w:val="20"/>
          <w:szCs w:val="20"/>
          <w:color w:val="auto"/>
        </w:rPr>
      </w:pPr>
      <w:r>
        <w:rPr>
          <w:rFonts w:ascii="Courier New" w:cs="Courier New" w:eastAsia="Courier New" w:hAnsi="Courier New"/>
          <w:sz w:val="15"/>
          <w:szCs w:val="15"/>
          <w:color w:val="auto"/>
        </w:rPr>
        <w:t>During the first quarter of fiscal 1999 Analog Devices Inc., (the Company), completed the sale of approximately 78% of its equity ownership in WaferTech, LLC, its joint venture with Taiwan Semiconductor Manufacturing Company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Convertible Debt</w:t>
      </w:r>
    </w:p>
    <w:p>
      <w:pPr>
        <w:spacing w:after="0" w:line="182" w:lineRule="exact"/>
        <w:rPr>
          <w:sz w:val="20"/>
          <w:szCs w:val="20"/>
          <w:color w:val="auto"/>
        </w:rPr>
      </w:pPr>
    </w:p>
    <w:p>
      <w:pPr>
        <w:ind w:right="2919"/>
        <w:spacing w:after="0" w:line="279" w:lineRule="auto"/>
        <w:rPr>
          <w:sz w:val="20"/>
          <w:szCs w:val="20"/>
          <w:color w:val="auto"/>
        </w:rPr>
      </w:pPr>
      <w:r>
        <w:rPr>
          <w:rFonts w:ascii="Courier New" w:cs="Courier New" w:eastAsia="Courier New" w:hAnsi="Courier New"/>
          <w:sz w:val="15"/>
          <w:szCs w:val="15"/>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This conversion did not have an impact on diluted earnings per share.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Acquisitions</w:t>
      </w:r>
    </w:p>
    <w:p>
      <w:pPr>
        <w:spacing w:after="0" w:line="182"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During the second quarter of fiscal 1999, the Company acquired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up to a maximum of $10 million (to be accounted for as additional goodwill) payable if the acquired companies achieve certain revenue and operational objectives. As of January 29, 2000, approximately $3 million of contingent consideration had been paid. These acquisitions were accounted for as purchases. The excess of the purchase price over the fair value of assets acquired was allocated to existing technology, workforce in place, and tradenames, which are being amortized over periods ranging from six to ten years and goodwill which is being amortized on the straight-line basis over ten years. In connection with these acquisitions, the Company recorded a charge of $5.1 million for the write-off of in-process research and development.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Segment Information</w:t>
      </w:r>
    </w:p>
    <w:p>
      <w:pPr>
        <w:spacing w:after="0" w:line="182" w:lineRule="exact"/>
        <w:rPr>
          <w:sz w:val="20"/>
          <w:szCs w:val="20"/>
          <w:color w:val="auto"/>
        </w:rPr>
      </w:pPr>
    </w:p>
    <w:p>
      <w:pPr>
        <w:ind w:right="2819"/>
        <w:spacing w:after="0" w:line="279" w:lineRule="auto"/>
        <w:rPr>
          <w:sz w:val="20"/>
          <w:szCs w:val="20"/>
          <w:color w:val="auto"/>
        </w:rPr>
      </w:pPr>
      <w:r>
        <w:rPr>
          <w:rFonts w:ascii="Courier New" w:cs="Courier New" w:eastAsia="Courier New" w:hAnsi="Courier New"/>
          <w:sz w:val="15"/>
          <w:szCs w:val="15"/>
          <w:color w:val="auto"/>
        </w:rPr>
        <w:t>The Company operates in two segments: the design, manufacture and marketing of a broad range of integrated circuits, which comprises approximately 97% of the Company's revenue, and the design, manufacture and marketing of a range of assembled products, which accounts for the remaining 3% of the Company's revenue. Effectively, the Company operates in one reportable segment.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New Accounting Standard</w:t>
      </w:r>
    </w:p>
    <w:p>
      <w:pPr>
        <w:spacing w:after="0" w:line="182" w:lineRule="exact"/>
        <w:rPr>
          <w:sz w:val="20"/>
          <w:szCs w:val="20"/>
          <w:color w:val="auto"/>
        </w:rPr>
      </w:pPr>
    </w:p>
    <w:p>
      <w:pPr>
        <w:ind w:right="2819"/>
        <w:spacing w:after="0" w:line="289" w:lineRule="auto"/>
        <w:rPr>
          <w:sz w:val="20"/>
          <w:szCs w:val="20"/>
          <w:color w:val="auto"/>
        </w:rPr>
      </w:pPr>
      <w:r>
        <w:rPr>
          <w:rFonts w:ascii="Courier New" w:cs="Courier New" w:eastAsia="Courier New" w:hAnsi="Courier New"/>
          <w:sz w:val="15"/>
          <w:szCs w:val="15"/>
          <w:color w:val="auto"/>
        </w:rPr>
        <w:t>Effective October 31, 1999, the Company adopted Statement of Position 98-1, (SOP 98-1), "Accounting for the Cost of Computer Software Developed for or Obtained for Internal Use." The adoption of SOP 98-1 did not have a material impact on the results of operations or financial position.</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Subsequent Event</w:t>
      </w:r>
    </w:p>
    <w:p>
      <w:pPr>
        <w:spacing w:after="0" w:line="182" w:lineRule="exact"/>
        <w:rPr>
          <w:sz w:val="20"/>
          <w:szCs w:val="20"/>
          <w:color w:val="auto"/>
        </w:rPr>
      </w:pPr>
    </w:p>
    <w:p>
      <w:pPr>
        <w:ind w:right="2919"/>
        <w:spacing w:after="0" w:line="279" w:lineRule="auto"/>
        <w:rPr>
          <w:sz w:val="20"/>
          <w:szCs w:val="20"/>
          <w:color w:val="auto"/>
        </w:rPr>
      </w:pPr>
      <w:r>
        <w:rPr>
          <w:rFonts w:ascii="Courier New" w:cs="Courier New" w:eastAsia="Courier New" w:hAnsi="Courier New"/>
          <w:sz w:val="15"/>
          <w:szCs w:val="15"/>
          <w:color w:val="auto"/>
        </w:rPr>
        <w:t>On February 15, 2000, the Company's Board of Directors approved a 2-for-1 split of the Company's common stock. Stockholders will receive one additional share for every share held on the record date of February 28, 2000. The split will take effect on March 15, 2000, and accordingly has not been reflected in the accompanying condensed consolidated financial statements.</w:t>
      </w:r>
    </w:p>
    <w:p>
      <w:pPr>
        <w:spacing w:after="0" w:line="24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6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58" w:lineRule="exact"/>
        <w:rPr>
          <w:sz w:val="20"/>
          <w:szCs w:val="20"/>
          <w:color w:val="auto"/>
        </w:rPr>
      </w:pPr>
    </w:p>
    <w:p>
      <w:pPr>
        <w:ind w:right="2919"/>
        <w:spacing w:after="0" w:line="371"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 w:lineRule="exact"/>
        <w:rPr>
          <w:sz w:val="20"/>
          <w:szCs w:val="20"/>
          <w:color w:val="auto"/>
        </w:rPr>
      </w:pPr>
    </w:p>
    <w:p>
      <w:pPr>
        <w:ind w:right="3099"/>
        <w:spacing w:after="0" w:line="279" w:lineRule="auto"/>
        <w:rPr>
          <w:sz w:val="20"/>
          <w:szCs w:val="20"/>
          <w:color w:val="auto"/>
        </w:rPr>
      </w:pPr>
      <w:r>
        <w:rPr>
          <w:rFonts w:ascii="Courier New" w:cs="Courier New" w:eastAsia="Courier New" w:hAnsi="Courier New"/>
          <w:sz w:val="15"/>
          <w:szCs w:val="15"/>
          <w:color w:val="auto"/>
        </w:rPr>
        <w:t>This information should be read in conjunction with the unaudited condensed consolidated financial statements and the notes thereto included in Item 1 of this Quarterly Report and the audited consolidated financial statements and notes thereto and Management Analysis for the fiscal year ended October 30, 1999, contained in the Company's 1999 Annual Report.</w:t>
      </w:r>
    </w:p>
    <w:p>
      <w:pPr>
        <w:spacing w:after="0" w:line="69" w:lineRule="exact"/>
        <w:rPr>
          <w:sz w:val="20"/>
          <w:szCs w:val="20"/>
          <w:color w:val="auto"/>
        </w:rPr>
      </w:pPr>
    </w:p>
    <w:p>
      <w:pPr>
        <w:ind w:right="2819"/>
        <w:spacing w:after="0" w:line="264" w:lineRule="auto"/>
        <w:rPr>
          <w:sz w:val="20"/>
          <w:szCs w:val="20"/>
          <w:color w:val="auto"/>
        </w:rPr>
      </w:pPr>
      <w:r>
        <w:rPr>
          <w:rFonts w:ascii="Courier New" w:cs="Courier New" w:eastAsia="Courier New" w:hAnsi="Courier New"/>
          <w:sz w:val="15"/>
          <w:szCs w:val="15"/>
          <w:color w:val="auto"/>
        </w:rPr>
        <w:t>The following discussion and analysis may contain forward-looking statements. Such statements are subject to certain risks and uncertainties, including those discussed below or in the Company's 1999 Annual Report, which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that may be made to reflect events or circumstances after the date hereof or to reflect the occurrence of unanticipated events.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5"/>
          <w:szCs w:val="15"/>
          <w:color w:val="auto"/>
        </w:rPr>
        <w:t>Net sales for the first quarter of fiscal 2000 were $490 million, an increase of $190 million, or 63%, over the first quarter of fiscal 1999. Analog IC product sales grew by 58% and DSP IC product sales grew by 87% over the same quarter last year. Sales to OEM customers increased 72% over the first quarter of fiscal 1999. Sales into the distribution channel increased 50% over the same quarter last year. Sales increased in all end-markets with particularly strong growth in communications and computing markets. Sales increases in these markets were driven by growth in demand for high-speed access to the Internet and wireless communications as well as increased demand for the Company's power management and imaging products.</w:t>
      </w:r>
    </w:p>
    <w:p>
      <w:pPr>
        <w:spacing w:after="0" w:line="82" w:lineRule="exact"/>
        <w:rPr>
          <w:sz w:val="20"/>
          <w:szCs w:val="20"/>
          <w:color w:val="auto"/>
        </w:rPr>
      </w:pPr>
    </w:p>
    <w:p>
      <w:pPr>
        <w:ind w:right="2819"/>
        <w:spacing w:after="0" w:line="289" w:lineRule="auto"/>
        <w:rPr>
          <w:sz w:val="20"/>
          <w:szCs w:val="20"/>
          <w:color w:val="auto"/>
        </w:rPr>
      </w:pPr>
      <w:r>
        <w:rPr>
          <w:rFonts w:ascii="Courier New" w:cs="Courier New" w:eastAsia="Courier New" w:hAnsi="Courier New"/>
          <w:sz w:val="15"/>
          <w:szCs w:val="15"/>
          <w:color w:val="auto"/>
        </w:rPr>
        <w:t>Sales increased in all geographic regions with the largest increases occurring in North America and Europe. International sales for the first quarter of fiscal 2000 were 56% of sales compared with 53% of sales in the same period of fiscal 1999.</w:t>
      </w:r>
    </w:p>
    <w:p>
      <w:pPr>
        <w:spacing w:after="0" w:line="62"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5"/>
          <w:szCs w:val="15"/>
          <w:color w:val="auto"/>
        </w:rPr>
        <w:t>The gross margin for the first quarter of fiscal 2000 was 54.1%, an improvement of 830 basis points from the 45.8% gross margin realized in the first quarter of fiscal 1999. The improvement in gross margin was primarily due to the favorable effect of fixed costs allocated across a higher sales base and improved manufacturing efficiencies at the Company's fabrication, assembly and test facilities.</w:t>
      </w:r>
    </w:p>
    <w:p>
      <w:pPr>
        <w:spacing w:after="0" w:line="73" w:lineRule="exact"/>
        <w:rPr>
          <w:sz w:val="20"/>
          <w:szCs w:val="20"/>
          <w:color w:val="auto"/>
        </w:rPr>
      </w:pPr>
    </w:p>
    <w:p>
      <w:pPr>
        <w:ind w:right="2919"/>
        <w:spacing w:after="0" w:line="262" w:lineRule="auto"/>
        <w:rPr>
          <w:sz w:val="20"/>
          <w:szCs w:val="20"/>
          <w:color w:val="auto"/>
        </w:rPr>
      </w:pPr>
      <w:r>
        <w:rPr>
          <w:rFonts w:ascii="Courier New" w:cs="Courier New" w:eastAsia="Courier New" w:hAnsi="Courier New"/>
          <w:sz w:val="15"/>
          <w:szCs w:val="15"/>
          <w:color w:val="auto"/>
        </w:rPr>
        <w:t>Research and development (R&amp;D) expenses were $83 million for the three months ended January 29, 2000 compared to $53 million for the corresponding period of fiscal 1999. As a percentage of sales, R&amp;D spending decreased during the first quarter of fiscal 2000 to 16.9%, down from 17.5% in the first quarter of fiscal 1999. The percentage decline came about despite increases in absolute dollar terms of investments in communications products to respond to opportunities in expanding markets. The Company believes that a continued commitment to research and development is essential in order to further exploit existing product offerings and to provide innovative new product offerings. As a result, the Company expects to continue to make significant R&amp;D investments in the future.</w:t>
      </w:r>
    </w:p>
    <w:p>
      <w:pPr>
        <w:spacing w:after="0" w:line="82" w:lineRule="exact"/>
        <w:rPr>
          <w:sz w:val="20"/>
          <w:szCs w:val="20"/>
          <w:color w:val="auto"/>
        </w:rPr>
      </w:pPr>
    </w:p>
    <w:p>
      <w:pPr>
        <w:ind w:right="2819"/>
        <w:spacing w:after="0" w:line="269" w:lineRule="auto"/>
        <w:rPr>
          <w:sz w:val="20"/>
          <w:szCs w:val="20"/>
          <w:color w:val="auto"/>
        </w:rPr>
      </w:pPr>
      <w:r>
        <w:rPr>
          <w:rFonts w:ascii="Courier New" w:cs="Courier New" w:eastAsia="Courier New" w:hAnsi="Courier New"/>
          <w:sz w:val="15"/>
          <w:szCs w:val="15"/>
          <w:color w:val="auto"/>
        </w:rPr>
        <w:t>Selling, marketing, general and administrative (SMG&amp;A) expenses for the first quarter of fiscal 2000 were $65 million, an increase of $19 million from the $46 million reported for the first quarter of fiscal 1999. As a percentage of sales, SMG&amp;A decreased from 15.4% for the first quarter of fiscal 1999 to 13.2% for the first quarter of fiscal 2000 as a result of continued spending constraints partially offset by provisions for increased bonus payments due to improved operating results.</w:t>
      </w:r>
    </w:p>
    <w:p>
      <w:pPr>
        <w:spacing w:after="0" w:line="76" w:lineRule="exact"/>
        <w:rPr>
          <w:sz w:val="20"/>
          <w:szCs w:val="20"/>
          <w:color w:val="auto"/>
        </w:rPr>
      </w:pPr>
    </w:p>
    <w:p>
      <w:pPr>
        <w:ind w:right="2819"/>
        <w:spacing w:after="0" w:line="289" w:lineRule="auto"/>
        <w:rPr>
          <w:sz w:val="20"/>
          <w:szCs w:val="20"/>
          <w:color w:val="auto"/>
        </w:rPr>
      </w:pPr>
      <w:r>
        <w:rPr>
          <w:rFonts w:ascii="Courier New" w:cs="Courier New" w:eastAsia="Courier New" w:hAnsi="Courier New"/>
          <w:sz w:val="15"/>
          <w:szCs w:val="15"/>
          <w:color w:val="auto"/>
        </w:rPr>
        <w:t>The combination of higher sales, higher gross margins and a reduction in operating expense ratios provided strong operating leverage which improved the operating margin to 24% of sales, compared to 13% in the first quarter of fiscal 1999.</w:t>
      </w:r>
    </w:p>
    <w:p>
      <w:pPr>
        <w:spacing w:after="0" w:line="62" w:lineRule="exact"/>
        <w:rPr>
          <w:sz w:val="20"/>
          <w:szCs w:val="20"/>
          <w:color w:val="auto"/>
        </w:rPr>
      </w:pPr>
    </w:p>
    <w:p>
      <w:pPr>
        <w:jc w:val="both"/>
        <w:ind w:right="2999"/>
        <w:spacing w:after="0" w:line="310" w:lineRule="auto"/>
        <w:rPr>
          <w:sz w:val="20"/>
          <w:szCs w:val="20"/>
          <w:color w:val="auto"/>
        </w:rPr>
      </w:pPr>
      <w:r>
        <w:rPr>
          <w:rFonts w:ascii="Courier New" w:cs="Courier New" w:eastAsia="Courier New" w:hAnsi="Courier New"/>
          <w:sz w:val="15"/>
          <w:szCs w:val="15"/>
          <w:color w:val="auto"/>
        </w:rPr>
        <w:t>The effective income tax rate increased to 27% for the first quarter of fiscal 2000 from 20% for the first quarter of fiscal 1999 primarily due to a shift in the mix of worldwide profits.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999"/>
        <w:spacing w:after="0" w:line="279" w:lineRule="auto"/>
        <w:rPr>
          <w:sz w:val="20"/>
          <w:szCs w:val="20"/>
          <w:color w:val="auto"/>
        </w:rPr>
      </w:pPr>
      <w:r>
        <w:rPr>
          <w:rFonts w:ascii="Courier New" w:cs="Courier New" w:eastAsia="Courier New" w:hAnsi="Courier New"/>
          <w:sz w:val="15"/>
          <w:szCs w:val="15"/>
          <w:color w:val="auto"/>
        </w:rPr>
        <w:t>At January 29, 2000, cash, cash equivalents and short-term investments totaled $895 million, an increase of $133 million from the fourth quarter of 1999 and $433 million from the first quarter of fiscal 1999. The increase in cash, cash equivalents and short-term investments was primarily due to operating cash inflows of $165 million, partially offset by increased capital expenditures.</w:t>
      </w:r>
    </w:p>
    <w:p>
      <w:pPr>
        <w:sectPr>
          <w:pgSz w:w="11900" w:h="16838" w:orient="portrait"/>
          <w:cols w:equalWidth="0" w:num="1">
            <w:col w:w="10139"/>
          </w:cols>
          <w:pgMar w:left="320" w:top="266" w:right="1440" w:bottom="1043" w:gutter="0" w:footer="0" w:header="0"/>
        </w:sectPr>
      </w:pPr>
    </w:p>
    <w:p>
      <w:pPr>
        <w:spacing w:after="0" w:line="24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66" w:right="1440" w:bottom="1043"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35" w:lineRule="exact"/>
        <w:rPr>
          <w:sz w:val="20"/>
          <w:szCs w:val="20"/>
          <w:color w:val="auto"/>
        </w:rPr>
      </w:pPr>
    </w:p>
    <w:p>
      <w:pPr>
        <w:ind w:right="2999"/>
        <w:spacing w:after="0" w:line="279" w:lineRule="auto"/>
        <w:rPr>
          <w:sz w:val="20"/>
          <w:szCs w:val="20"/>
          <w:color w:val="auto"/>
        </w:rPr>
      </w:pPr>
      <w:r>
        <w:rPr>
          <w:rFonts w:ascii="Courier New" w:cs="Courier New" w:eastAsia="Courier New" w:hAnsi="Courier New"/>
          <w:sz w:val="15"/>
          <w:szCs w:val="15"/>
          <w:color w:val="auto"/>
        </w:rPr>
        <w:t>Accounts receivable totaled $302 million at the end of the first quarter of fiscal 2000, an increase of $35 million from the fourth quarter of fiscal 1999 and $88 million from the first quarter of fiscal 1999 due to higher sales levels. The Company's days sales outstanding improved from 65 days at January 30, 1999 to 56 days at January 29, 2000.</w:t>
      </w:r>
    </w:p>
    <w:p>
      <w:pPr>
        <w:spacing w:after="0" w:line="69" w:lineRule="exact"/>
        <w:rPr>
          <w:sz w:val="20"/>
          <w:szCs w:val="20"/>
          <w:color w:val="auto"/>
        </w:rPr>
      </w:pPr>
    </w:p>
    <w:p>
      <w:pPr>
        <w:ind w:right="2819"/>
        <w:spacing w:after="0" w:line="289" w:lineRule="auto"/>
        <w:rPr>
          <w:sz w:val="20"/>
          <w:szCs w:val="20"/>
          <w:color w:val="auto"/>
        </w:rPr>
      </w:pPr>
      <w:r>
        <w:rPr>
          <w:rFonts w:ascii="Courier New" w:cs="Courier New" w:eastAsia="Courier New" w:hAnsi="Courier New"/>
          <w:sz w:val="15"/>
          <w:szCs w:val="15"/>
          <w:color w:val="auto"/>
        </w:rPr>
        <w:t>Inventories of $250 million at January 29, 2000 were relatively flat compared to the fourth quarter of fiscal 1999 and $20 million lower than the end of the first quarter of fiscal 1999. The decrease in year over year inventory levels is due to increased levels of demand in the first quarter of fiscal 2000.</w:t>
      </w:r>
    </w:p>
    <w:p>
      <w:pPr>
        <w:spacing w:after="0" w:line="62" w:lineRule="exact"/>
        <w:rPr>
          <w:sz w:val="20"/>
          <w:szCs w:val="20"/>
          <w:color w:val="auto"/>
        </w:rPr>
      </w:pPr>
    </w:p>
    <w:p>
      <w:pPr>
        <w:ind w:right="2819"/>
        <w:spacing w:after="0" w:line="269" w:lineRule="auto"/>
        <w:rPr>
          <w:sz w:val="20"/>
          <w:szCs w:val="20"/>
          <w:color w:val="auto"/>
        </w:rPr>
      </w:pPr>
      <w:r>
        <w:rPr>
          <w:rFonts w:ascii="Courier New" w:cs="Courier New" w:eastAsia="Courier New" w:hAnsi="Courier New"/>
          <w:sz w:val="15"/>
          <w:szCs w:val="15"/>
          <w:color w:val="auto"/>
        </w:rPr>
        <w:t>During the first quarter of fiscal 1999 the Company completed the sale of approximately 78% of its equity ownership in WaferTech, LLC, its joint venture with Taiwan Semiconductor Manufacturing Company (TSMC)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76"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5"/>
          <w:szCs w:val="15"/>
          <w:color w:val="auto"/>
        </w:rPr>
        <w:t>Net additions to property, plant and equipment of $41 million for the first quarter of fiscal 2000 were funded with a combination of cash on hand and cash generated from operations. Capital spending in the first quarter of fiscal 2000 increased significantly over the $12 million spent in the first quarter of fiscal 1999, and was primarily attributable to the expansion of manufacturing capability to meet current sales growth. The Company currently expects that total capital expenditures for fiscal 2000 will be between $250 million and $275 million.</w:t>
      </w:r>
    </w:p>
    <w:p>
      <w:pPr>
        <w:spacing w:after="0" w:line="267" w:lineRule="exact"/>
        <w:rPr>
          <w:sz w:val="20"/>
          <w:szCs w:val="20"/>
          <w:color w:val="auto"/>
        </w:rPr>
      </w:pPr>
    </w:p>
    <w:p>
      <w:pPr>
        <w:ind w:right="2819"/>
        <w:spacing w:after="0" w:line="279" w:lineRule="auto"/>
        <w:rPr>
          <w:sz w:val="20"/>
          <w:szCs w:val="20"/>
          <w:color w:val="auto"/>
        </w:rPr>
      </w:pPr>
      <w:r>
        <w:rPr>
          <w:rFonts w:ascii="Courier New" w:cs="Courier New" w:eastAsia="Courier New" w:hAnsi="Courier New"/>
          <w:sz w:val="15"/>
          <w:szCs w:val="15"/>
          <w:color w:val="auto"/>
        </w:rPr>
        <w:t>At January 29, 2000, the Company's principal sources of liquidity were $895 million of cash and cash equivalents and short-term investments. In addition, the Company has various lines of credit both in the U.S. and overseas, including a $60 million credit facility in the U.S., which expires in October 2000, all of which were substantially unused at January 29, 2000.</w:t>
      </w:r>
    </w:p>
    <w:p>
      <w:pPr>
        <w:spacing w:after="0" w:line="69" w:lineRule="exact"/>
        <w:rPr>
          <w:sz w:val="20"/>
          <w:szCs w:val="20"/>
          <w:color w:val="auto"/>
        </w:rPr>
      </w:pPr>
    </w:p>
    <w:p>
      <w:pPr>
        <w:ind w:right="2819"/>
        <w:spacing w:after="0" w:line="289" w:lineRule="auto"/>
        <w:rPr>
          <w:sz w:val="20"/>
          <w:szCs w:val="20"/>
          <w:color w:val="auto"/>
        </w:rPr>
      </w:pPr>
      <w:r>
        <w:rPr>
          <w:rFonts w:ascii="Courier New" w:cs="Courier New" w:eastAsia="Courier New" w:hAnsi="Courier New"/>
          <w:sz w:val="15"/>
          <w:szCs w:val="15"/>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82"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The Company's business is subject to rapid technological changes and there can be no assurance, depending on the mix of future business, that products stocked in inventory will not be rendered obsolete before they are shipped by the Company. As a result of these and other factors, there can be no assurance that the Company will not experience material fluctuations in future operating results on a quarterly or annual basis.</w:t>
      </w:r>
    </w:p>
    <w:p>
      <w:pPr>
        <w:spacing w:after="0" w:line="82" w:lineRule="exact"/>
        <w:rPr>
          <w:sz w:val="20"/>
          <w:szCs w:val="20"/>
          <w:color w:val="auto"/>
        </w:rPr>
      </w:pPr>
    </w:p>
    <w:p>
      <w:pPr>
        <w:ind w:right="2819"/>
        <w:spacing w:after="0" w:line="258" w:lineRule="auto"/>
        <w:rPr>
          <w:sz w:val="20"/>
          <w:szCs w:val="20"/>
          <w:color w:val="auto"/>
        </w:rPr>
      </w:pPr>
      <w:r>
        <w:rPr>
          <w:rFonts w:ascii="Courier New" w:cs="Courier New" w:eastAsia="Courier New" w:hAnsi="Courier New"/>
          <w:sz w:val="15"/>
          <w:szCs w:val="15"/>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Company's customers in these markets are less well established which could subject the Company to increased credit risk.</w:t>
      </w:r>
    </w:p>
    <w:p>
      <w:pPr>
        <w:sectPr>
          <w:pgSz w:w="11900" w:h="16838" w:orient="portrait"/>
          <w:cols w:equalWidth="0" w:num="1">
            <w:col w:w="10139"/>
          </w:cols>
          <w:pgMar w:left="320" w:top="266"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66"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58"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5"/>
          <w:szCs w:val="15"/>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82"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5"/>
          <w:szCs w:val="15"/>
          <w:color w:val="auto"/>
        </w:rPr>
        <w:t>The cyclical nature of the industry has resulted in sustained or short-term periods when demand for the Company's products has increased or decreased rapidly. The semiconductor industry and the Company have experienced a period of rapid increases in demand during fiscal 1999 and the first quarter of fiscal 2000. The Company has increased its manufacturing capacity over the past three years through both expansion of its production facilities and increased access to third-party foundries. However, the Company cannot be sure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Such reliance involves several risks, including reduced control over delivery schedules, manufacturing yields and costs. In addition, the Company's capacity additions resulted in a significant increase in operating expenses. If revenue levels are not sufficient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 In addition, the Company and many companies in the semiconductor industry, rely on internal manufacturing capacity located in California and Taiwan as well as wafer fabrication foundries in Taiwan and other subcontractors in geologically unstable locations around the world. Such reliance involves risks associated with the impact of earthquakes on the Company and the semiconductor industry including temporary loss of capacity, availability and cost of key raw materials and equipment, and availability of key services including transport.</w:t>
      </w:r>
    </w:p>
    <w:p>
      <w:pPr>
        <w:spacing w:after="0" w:line="103"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In the first quarter of fiscal 2000, 56% of the Company's revenues were derived from customers in international markets. The Company has manufacturing facilities outside the U.S. in Ireland, the Philippines and Taiwan. The Company also has a supply agreement that includes "take or pay" covenants with a supplier located in Southeast Asia (SEA) and as part of this arrangement, the Company has $18 million on deposit as well as a $73 million investment in the common stock of the supplier. In addition to being exposed to the ongoing economic cycles in the semiconductor industry, the Company is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270"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1999 Annual Report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ectPr>
          <w:pgSz w:w="11900" w:h="16838" w:orient="portrait"/>
          <w:cols w:equalWidth="0" w:num="1">
            <w:col w:w="10139"/>
          </w:cols>
          <w:pgMar w:left="320" w:top="266" w:right="1440" w:bottom="1440" w:gutter="0" w:footer="0" w:header="0"/>
        </w:sectPr>
      </w:pPr>
    </w:p>
    <w:p>
      <w:pPr>
        <w:spacing w:after="0" w:line="2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66"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58" w:lineRule="exact"/>
        <w:rPr>
          <w:sz w:val="20"/>
          <w:szCs w:val="20"/>
          <w:color w:val="auto"/>
        </w:rPr>
      </w:pPr>
    </w:p>
    <w:p>
      <w:pPr>
        <w:ind w:right="2919"/>
        <w:spacing w:after="0" w:line="269" w:lineRule="auto"/>
        <w:rPr>
          <w:sz w:val="20"/>
          <w:szCs w:val="20"/>
          <w:color w:val="auto"/>
        </w:rPr>
      </w:pPr>
      <w:r>
        <w:rPr>
          <w:rFonts w:ascii="Courier New" w:cs="Courier New" w:eastAsia="Courier New" w:hAnsi="Courier New"/>
          <w:sz w:val="15"/>
          <w:szCs w:val="15"/>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82" w:lineRule="exact"/>
        <w:rPr>
          <w:sz w:val="20"/>
          <w:szCs w:val="20"/>
          <w:color w:val="auto"/>
        </w:rPr>
      </w:pPr>
    </w:p>
    <w:p>
      <w:pPr>
        <w:ind w:right="2819"/>
        <w:spacing w:after="0" w:line="264" w:lineRule="auto"/>
        <w:rPr>
          <w:sz w:val="20"/>
          <w:szCs w:val="20"/>
          <w:color w:val="auto"/>
        </w:rPr>
      </w:pPr>
      <w:r>
        <w:rPr>
          <w:rFonts w:ascii="Courier New" w:cs="Courier New" w:eastAsia="Courier New" w:hAnsi="Courier New"/>
          <w:sz w:val="15"/>
          <w:szCs w:val="15"/>
          <w:color w:val="auto"/>
        </w:rPr>
        <w:t>Over the past several years the Company made significant investments in new manufacturing, financial and operating hardware and software. These investments were made to support the growth of its operations; however, the by-product of this effort was that the Company had Year 2000 compliant hardware and software running on many of its major platforms. The Company established a task force to evaluate the remaining systems and equipment and upgrade or replace systems that were not Year 2000 compliant. The cost of this effort, which commenced at the beginning of fiscal 1998 and continued through fiscal 1999, was approximately $10 million.</w:t>
      </w:r>
    </w:p>
    <w:p>
      <w:pPr>
        <w:spacing w:after="0" w:line="79"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5"/>
          <w:szCs w:val="15"/>
          <w:color w:val="auto"/>
        </w:rPr>
        <w:t>The Company's computer systems and equipment did not experience any significant disruptions as a result of the advent of the Year 2000. However, there may be latent problems that surface at key dates or events in the future. The Company has not experienced, and does not anticipate, any significant problems related to the transition to the Year 2000. Furthermore, the Company does not anticipate any significant expenditure in the future related to Year 2000 compliance.</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82" w:lineRule="exact"/>
        <w:rPr>
          <w:sz w:val="20"/>
          <w:szCs w:val="20"/>
          <w:color w:val="auto"/>
        </w:rPr>
      </w:pPr>
    </w:p>
    <w:p>
      <w:pPr>
        <w:ind w:right="2819"/>
        <w:spacing w:after="0" w:line="310" w:lineRule="auto"/>
        <w:rPr>
          <w:sz w:val="20"/>
          <w:szCs w:val="20"/>
          <w:color w:val="auto"/>
        </w:rPr>
      </w:pPr>
      <w:r>
        <w:rPr>
          <w:rFonts w:ascii="Courier New" w:cs="Courier New" w:eastAsia="Courier New" w:hAnsi="Courier New"/>
          <w:sz w:val="15"/>
          <w:szCs w:val="15"/>
          <w:color w:val="auto"/>
        </w:rPr>
        <w:t>The information required by this item is incorporated herein by reference to the "Management Analysis" set forth on pages 1 through 7 of the 1999 Annual Report to Shareholders.</w:t>
      </w:r>
    </w:p>
    <w:p>
      <w:pPr>
        <w:spacing w:after="0" w:line="39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6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5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PART II - OTHER INFORMATION</w:t>
      </w:r>
    </w:p>
    <w:p>
      <w:pPr>
        <w:spacing w:after="0" w:line="34"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ANALOG DEVICES, INC.</w:t>
      </w:r>
    </w:p>
    <w:p>
      <w:pPr>
        <w:spacing w:after="0" w:line="33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2" w:lineRule="exact"/>
        <w:rPr>
          <w:sz w:val="20"/>
          <w:szCs w:val="20"/>
          <w:color w:val="auto"/>
        </w:rPr>
      </w:pPr>
    </w:p>
    <w:p>
      <w:pPr>
        <w:ind w:left="720" w:hanging="360"/>
        <w:spacing w:after="0"/>
        <w:tabs>
          <w:tab w:leader="none" w:pos="7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Index.</w:t>
      </w:r>
    </w:p>
    <w:p>
      <w:pPr>
        <w:spacing w:after="0" w:line="34" w:lineRule="exact"/>
        <w:rPr>
          <w:rFonts w:ascii="Courier New" w:cs="Courier New" w:eastAsia="Courier New" w:hAnsi="Courier New"/>
          <w:sz w:val="15"/>
          <w:szCs w:val="15"/>
          <w:color w:val="auto"/>
        </w:rPr>
      </w:pPr>
    </w:p>
    <w:p>
      <w:pPr>
        <w:ind w:left="720" w:hanging="360"/>
        <w:spacing w:after="0"/>
        <w:tabs>
          <w:tab w:leader="none" w:pos="7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Form 8-K</w:t>
      </w:r>
    </w:p>
    <w:p>
      <w:pPr>
        <w:spacing w:after="0" w:line="6" w:lineRule="exact"/>
        <w:rPr>
          <w:rFonts w:ascii="Courier New" w:cs="Courier New" w:eastAsia="Courier New" w:hAnsi="Courier New"/>
          <w:sz w:val="15"/>
          <w:szCs w:val="15"/>
          <w:color w:val="auto"/>
        </w:rPr>
      </w:pPr>
    </w:p>
    <w:p>
      <w:pPr>
        <w:ind w:left="720" w:right="317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Form 8-K/A, dated November 19, 1999, reporting Amendment No. 1 to a Rights Agreement between the Company and BankBoston, N.A., as Rights Agent.</w:t>
      </w:r>
    </w:p>
    <w:p>
      <w:pPr>
        <w:spacing w:after="0" w:line="6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Items 1, 2, 3, 4 and 5 of PART II are not applicable and have been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omitted.</w:t>
      </w:r>
    </w:p>
    <w:p>
      <w:pPr>
        <w:spacing w:after="0" w:line="33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6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5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358" w:lineRule="exact"/>
        <w:rPr>
          <w:sz w:val="20"/>
          <w:szCs w:val="20"/>
          <w:color w:val="auto"/>
        </w:rPr>
      </w:pPr>
    </w:p>
    <w:p>
      <w:pPr>
        <w:jc w:val="both"/>
        <w:ind w:right="3559"/>
        <w:spacing w:after="0" w:line="31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98"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ANALOG DEVICES, INC.</w:t>
      </w:r>
    </w:p>
    <w:p>
      <w:pPr>
        <w:spacing w:after="0" w:line="34"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139"/>
          </w:cols>
          <w:pgMar w:left="320" w:top="266"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13,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Jerald G. Fishman</w:t>
      </w:r>
    </w:p>
    <w:p>
      <w:pPr>
        <w:spacing w:after="0" w:line="3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Jerald G. Fishman</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President and</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Chief Executive Officer</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60" w:space="260"/>
            <w:col w:w="2220" w:space="720"/>
            <w:col w:w="6479"/>
          </w:cols>
          <w:pgMar w:left="320" w:top="266"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13, 2000</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E. McDonough</w:t>
      </w:r>
    </w:p>
    <w:p>
      <w:pPr>
        <w:spacing w:after="0" w:line="3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Joseph E. McDonough</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Vice President-Finance</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and Chief Financial Officer</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(Principal Financial and</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3">
            <w:col w:w="460" w:space="260"/>
            <w:col w:w="2220" w:space="720"/>
            <w:col w:w="6479"/>
          </w:cols>
          <w:pgMar w:left="320" w:top="26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66"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5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INDEX</w:t>
      </w:r>
    </w:p>
    <w:p>
      <w:pPr>
        <w:spacing w:after="0" w:line="34" w:lineRule="exact"/>
        <w:rPr>
          <w:sz w:val="20"/>
          <w:szCs w:val="20"/>
          <w:color w:val="auto"/>
        </w:rPr>
      </w:pPr>
    </w:p>
    <w:p>
      <w:pPr>
        <w:jc w:val="right"/>
        <w:ind w:right="5559"/>
        <w:spacing w:after="0"/>
        <w:rPr>
          <w:sz w:val="20"/>
          <w:szCs w:val="20"/>
          <w:color w:val="auto"/>
        </w:rPr>
      </w:pPr>
      <w:r>
        <w:rPr>
          <w:rFonts w:ascii="Courier New" w:cs="Courier New" w:eastAsia="Courier New" w:hAnsi="Courier New"/>
          <w:sz w:val="15"/>
          <w:szCs w:val="15"/>
          <w:color w:val="auto"/>
        </w:rPr>
        <w:t>ANALOG DEVICES, INC.</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66" w:right="1440" w:bottom="1440"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5"/>
          <w:szCs w:val="15"/>
          <w:color w:val="auto"/>
        </w:rPr>
        <w:t>5</w:t>
      </w:r>
    </w:p>
    <w:p>
      <w:pPr>
        <w:spacing w:after="0" w:line="3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U.S. DOLLARS</w:t>
      </w:r>
    </w:p>
    <w:p>
      <w:pPr>
        <w:spacing w:after="0" w:line="33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3-MOS</w:t>
      </w:r>
    </w:p>
    <w:p>
      <w:pPr>
        <w:spacing w:after="0" w:line="3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OCT-28-2000</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OCT-31-1999</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JAN-29-2000</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409,516</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485,706</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301,972</w:t>
      </w:r>
    </w:p>
    <w:p>
      <w:pPr>
        <w:spacing w:after="0" w:line="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250,184</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1,558,961</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1,475,629</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826,844</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2,489,333</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565,632</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29,893</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1,716,452</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2,489,333</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490,277</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490,277</w:t>
      </w:r>
    </w:p>
    <w:p>
      <w:pPr>
        <w:spacing w:after="0" w:line="6"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5"/>
          <w:szCs w:val="15"/>
          <w:color w:val="auto"/>
        </w:rPr>
        <w:t>225,087</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225,087</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147,536</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1,030</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127,065</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34,058</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93,007</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93,007</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.53</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VALUE REPRESENTS NET AMOUNT.</w:t>
      </w:r>
    </w:p>
    <w:sectPr>
      <w:pgSz w:w="11900" w:h="16838" w:orient="portrait"/>
      <w:cols w:equalWidth="0" w:num="1">
        <w:col w:w="10139"/>
      </w:cols>
      <w:pgMar w:left="320" w:top="4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2020-10-07T11:17:10Z</dcterms:created>
  <dcterms:modified xsi:type="dcterms:W3CDTF">2020-10-07T11:17:10Z</dcterms:modified>
</cp:coreProperties>
</file>