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March 22, 2001</w:t>
      </w:r>
    </w:p>
    <w:p>
      <w:pPr>
        <w:spacing w:after="0" w:line="173"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Registration No. 333-</w:t>
      </w:r>
    </w:p>
    <w:p>
      <w:pPr>
        <w:spacing w:after="0" w:line="173"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FORM S-8</w:t>
      </w:r>
    </w:p>
    <w:p>
      <w:pPr>
        <w:spacing w:after="0" w:line="173"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REGISTRATION STATEMENT UNDER</w:t>
      </w:r>
    </w:p>
    <w:p>
      <w:pPr>
        <w:spacing w:after="0" w:line="7"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THE SECURITIES ACT OF 1933</w:t>
      </w:r>
    </w:p>
    <w:p>
      <w:pPr>
        <w:spacing w:after="0" w:line="173"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4"/>
          <w:szCs w:val="24"/>
          <w:color w:val="auto"/>
        </w:rPr>
      </w:pPr>
    </w:p>
    <w:p>
      <w:pPr>
        <w:jc w:val="center"/>
        <w:ind w:right="46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230" w:right="139"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MASSACHUSETTS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04-2348234</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540" w:space="720"/>
            <w:col w:w="6280"/>
          </w:cols>
          <w:pgMar w:left="220" w:top="230" w:right="139"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ONE TECHNOLOGY WAY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NORWOOD, MASSACHUSETTS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02062-9106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720" w:space="720"/>
            <w:col w:w="6100"/>
          </w:cols>
          <w:pgMar w:left="220" w:top="230" w:right="139" w:bottom="1440" w:gutter="0" w:footer="0" w:header="0"/>
          <w:type w:val="continuous"/>
        </w:sectPr>
      </w:pPr>
    </w:p>
    <w:p>
      <w:pPr>
        <w:ind w:left="1900"/>
        <w:spacing w:after="0"/>
        <w:rPr>
          <w:sz w:val="20"/>
          <w:szCs w:val="20"/>
          <w:color w:val="auto"/>
        </w:rPr>
      </w:pPr>
      <w:r>
        <w:rPr>
          <w:rFonts w:ascii="Courier New" w:cs="Courier New" w:eastAsia="Courier New" w:hAnsi="Courier New"/>
          <w:sz w:val="14"/>
          <w:szCs w:val="14"/>
          <w:color w:val="auto"/>
        </w:rPr>
        <w:t>VARIOUS INDIVIDUAL STOCK RESTRICTION</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AND SIMILAR AGREEMENTS BETWEEN THE</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REGISTRANT AND EMPLOYEES THEREOF</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RELATING TO CHIPLOGIC, INC.</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(Full title of the Plan)</w:t>
      </w:r>
    </w:p>
    <w:p>
      <w:pPr>
        <w:sectPr>
          <w:pgSz w:w="11900" w:h="16838" w:orient="portrait"/>
          <w:cols w:equalWidth="0" w:num="1">
            <w:col w:w="11540"/>
          </w:cols>
          <w:pgMar w:left="220" w:top="230" w:right="139" w:bottom="1440" w:gutter="0" w:footer="0" w:header="0"/>
          <w:type w:val="continuous"/>
        </w:sectPr>
      </w:pP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Paul P. Brountas, Esq.</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Hale and Dorr LLP</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60 State Street</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Boston, Massachusetts 02109</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(Name and address of agent for service)</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(617) 526-6000</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(Telephone number, including area code, of agent for service)</w:t>
      </w:r>
    </w:p>
    <w:p>
      <w:pPr>
        <w:spacing w:after="0" w:line="33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80"/>
        <w:spacing w:after="0"/>
        <w:tabs>
          <w:tab w:leader="none" w:pos="3080" w:val="left"/>
          <w:tab w:leader="none" w:pos="5080" w:val="left"/>
          <w:tab w:leader="none" w:pos="7300" w:val="left"/>
          <w:tab w:leader="none" w:pos="9900" w:val="left"/>
        </w:tabs>
        <w:rPr>
          <w:sz w:val="20"/>
          <w:szCs w:val="20"/>
          <w:color w:val="auto"/>
        </w:rPr>
      </w:pPr>
      <w:r>
        <w:rPr>
          <w:rFonts w:ascii="Courier New" w:cs="Courier New" w:eastAsia="Courier New" w:hAnsi="Courier New"/>
          <w:sz w:val="14"/>
          <w:szCs w:val="14"/>
          <w:color w:val="auto"/>
        </w:rPr>
        <w:t>Title of Securities to be</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7" w:lineRule="exact"/>
        <w:rPr>
          <w:sz w:val="24"/>
          <w:szCs w:val="24"/>
          <w:color w:val="auto"/>
        </w:rPr>
      </w:pPr>
    </w:p>
    <w:p>
      <w:pPr>
        <w:ind w:left="780"/>
        <w:spacing w:after="0"/>
        <w:tabs>
          <w:tab w:leader="none" w:pos="3180" w:val="left"/>
          <w:tab w:leader="none" w:pos="4720" w:val="left"/>
          <w:tab w:leader="none" w:pos="7060" w:val="left"/>
          <w:tab w:leader="none" w:pos="9640" w:val="left"/>
        </w:tabs>
        <w:rPr>
          <w:sz w:val="20"/>
          <w:szCs w:val="20"/>
          <w:color w:val="auto"/>
        </w:rPr>
      </w:pP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Offering Price Per Share</w:t>
      </w:r>
      <w:r>
        <w:rPr>
          <w:sz w:val="20"/>
          <w:szCs w:val="20"/>
          <w:color w:val="auto"/>
        </w:rPr>
        <w:tab/>
      </w:r>
      <w:r>
        <w:rPr>
          <w:rFonts w:ascii="Courier New" w:cs="Courier New" w:eastAsia="Courier New" w:hAnsi="Courier New"/>
          <w:sz w:val="14"/>
          <w:szCs w:val="14"/>
          <w:color w:val="auto"/>
        </w:rPr>
        <w:t>Aggregate Offering Price</w:t>
      </w:r>
      <w:r>
        <w:rPr>
          <w:sz w:val="20"/>
          <w:szCs w:val="20"/>
          <w:color w:val="auto"/>
        </w:rPr>
        <w:tab/>
      </w:r>
      <w:r>
        <w:rPr>
          <w:rFonts w:ascii="Courier New" w:cs="Courier New" w:eastAsia="Courier New" w:hAnsi="Courier New"/>
          <w:sz w:val="14"/>
          <w:szCs w:val="14"/>
          <w:color w:val="auto"/>
        </w:rPr>
        <w:t>Registration Fee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$.16 2/3 par</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value per share</w:t>
            </w:r>
          </w:p>
        </w:tc>
        <w:tc>
          <w:tcPr>
            <w:tcW w:w="2240" w:type="dxa"/>
            <w:vAlign w:val="bottom"/>
          </w:tcPr>
          <w:p>
            <w:pPr>
              <w:ind w:left="380"/>
              <w:spacing w:after="0"/>
              <w:rPr>
                <w:sz w:val="20"/>
                <w:szCs w:val="20"/>
                <w:color w:val="auto"/>
              </w:rPr>
            </w:pPr>
            <w:r>
              <w:rPr>
                <w:rFonts w:ascii="Courier New" w:cs="Courier New" w:eastAsia="Courier New" w:hAnsi="Courier New"/>
                <w:sz w:val="14"/>
                <w:szCs w:val="14"/>
                <w:color w:val="auto"/>
              </w:rPr>
              <w:t>120,000 shares</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$38.43(1)</w:t>
            </w:r>
          </w:p>
        </w:tc>
        <w:tc>
          <w:tcPr>
            <w:tcW w:w="2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$4,611,600(1)</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$1,153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4"/>
          <w:szCs w:val="24"/>
          <w:color w:val="auto"/>
        </w:rPr>
      </w:pPr>
    </w:p>
    <w:p>
      <w:pPr>
        <w:ind w:left="440" w:right="4640" w:hanging="432"/>
        <w:spacing w:after="0" w:line="251"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amount of the registration fee, and based upon the average of the high and low prices of the Registrant's Common Stock as reported by the New York Stock Exchange on March 21, 2001 in accordance with Rules 457(c) and 457(h) of the Securities Act of 1933.</w:t>
      </w:r>
    </w:p>
    <w:p>
      <w:pPr>
        <w:sectPr>
          <w:pgSz w:w="11900" w:h="16838" w:orient="portrait"/>
          <w:cols w:equalWidth="0" w:num="1">
            <w:col w:w="11540"/>
          </w:cols>
          <w:pgMar w:left="220" w:top="230" w:right="13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INFORMATION REQUIRED IN THE SECTION 10(a) PROSPECTUS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information required by Part I of Form S-8 is included in documents distributed or to be distributed to the holders of the Registrant's Common Stock, $.16 2/3 par value per share (the "Common Stock"), issued or issuable pursuant to individual stock restriction agreements and other written compensation contracts in accordance with Rule 428(b)(1) of the Securities Act of 1933, as amended (the "Securities Act").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II.</w:t>
        <w:tab/>
        <w:t>INFORMATION REQUIRED IN THE REGISTRATION STATEMENT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INCORPORATION OF CERTAIN DOCUMENTS BY REFERENCE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164" w:lineRule="exact"/>
        <w:rPr>
          <w:sz w:val="20"/>
          <w:szCs w:val="20"/>
          <w:color w:val="auto"/>
        </w:rPr>
      </w:pPr>
    </w:p>
    <w:p>
      <w:pPr>
        <w:ind w:left="440" w:right="3519" w:hanging="1"/>
        <w:spacing w:after="0" w:line="251" w:lineRule="auto"/>
        <w:tabs>
          <w:tab w:leader="none" w:pos="7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64" w:lineRule="exact"/>
        <w:rPr>
          <w:rFonts w:ascii="Courier New" w:cs="Courier New" w:eastAsia="Courier New" w:hAnsi="Courier New"/>
          <w:sz w:val="14"/>
          <w:szCs w:val="14"/>
          <w:color w:val="auto"/>
        </w:rPr>
      </w:pPr>
    </w:p>
    <w:p>
      <w:pPr>
        <w:jc w:val="both"/>
        <w:ind w:left="440" w:right="3859" w:hanging="1"/>
        <w:spacing w:after="0" w:line="252" w:lineRule="auto"/>
        <w:tabs>
          <w:tab w:leader="none" w:pos="7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reports filed pursuant to Section 13(a) or 15(d) of the Exchange Act since the end of the fiscal year covered by the document referred to in (1) above.</w:t>
      </w:r>
    </w:p>
    <w:p>
      <w:pPr>
        <w:spacing w:after="0" w:line="162" w:lineRule="exact"/>
        <w:rPr>
          <w:rFonts w:ascii="Courier New" w:cs="Courier New" w:eastAsia="Courier New" w:hAnsi="Courier New"/>
          <w:sz w:val="14"/>
          <w:szCs w:val="14"/>
          <w:color w:val="auto"/>
        </w:rPr>
      </w:pPr>
    </w:p>
    <w:p>
      <w:pPr>
        <w:ind w:left="440" w:right="3939" w:hanging="1"/>
        <w:spacing w:after="0" w:line="252" w:lineRule="auto"/>
        <w:tabs>
          <w:tab w:leader="none" w:pos="7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Registrant's Common Stock contained in a registration statement filed under the Exchange Act, including any amendment or report filed for purposes of updating such description.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documents subsequently filed by the Registrant pursuant to Sections 13(a), 13(c), 14 and 15(d) of the Exchange Act, prior to the filing of a post-effective amendment which indicates that all shares of Common Stock offered hereby have been sold or which deregisters all shares of Common Stock then remaining unsold, shall be deemed to be incorporated by reference herein and to be part hereof from the date of the filing of such documents. 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validity of the securities hereby registered will be passed upon by Hale and Dorr LLP, Boston, Massachusetts. Paul P. Brountas, Esq., a partner of Hale and Dorr LLP, serves as Clerk to the Registrant.</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Article 6A of the Registrant's Restated Articles of Organization (the "Articles of Organization") provides for indemnification of directors and officers to the fullest extent permitted by Chapter 156B of the Massachusetts General Laws. Section 67 of Chapter 156B of the Massachusetts General Laws provides that a corporation has the power to indemnify directors, officers, employees or other agents of the corporation, and persons who serve at its request as directors, officers, employees or other agents of another organization, or who serve at its request in any capacity with respect to any employee benefit plan, against amounts paid and expenses incurred in connection with</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 action or proceeding to which such person is a party or is threatened to be made a party by reason of such position; provided, however, that such person acted in good faith in the reasonable belief that his action was in the best interests of the corporation or, in the case of service with respect to an employee benefit plan, in the best interests of the participants or beneficiaries of such employee benefit plan.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Article 6A of the Registrant's Articles of Organization provides for indemnification of directors and officers of the Registrant, and directors or employees of the Registrant now serving at the request of the Registrant as a director or officer of another organization or in any capacity with respect to an employee benefit plan of the Registrant, against all liabilities and expenses imposed upon or incurred by any such person in connection with any legal proceedings in which he may be a defendant or with which he may be threatened or involved, directly or indirectly, by reason of his position as a director or officer or as a result of his service with respect to an employee benefit plan; provided, however, that the Registrant shall provide no indemnification if the director or officer has been adjudicated not to have acted in good faith in the reasonable belief that his action was in the best interests of the Registrant or in the best interests of the participants or beneficiaries of the applicable employee benefit plan. The Registrant shall further indemnify the officer or director for the expenses, judgments, fines and amounts paid in settlement and compromise of such proceedings. However, no indemnification will be made to cover costs of settlements and compromises if the Board determines by a majority vote of a quorum consisting of disinterested directors (or, if such quorum is not obtainable, by a majority of the disinterested directors of the Registrant then in office), that such settlement or compromise is not in the best interests of the Registrant or in the best interests of the participants or beneficiaries of the applicable employee benefit plan.</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Chapter 156B of the Massachusetts General Laws, as it may be amended from time to time, and Article 6A of the Registrant's Articles of Organization permit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then in office), that such person did not act in good faith in the reasonable belief that his action was in the best interest of the Registrant or in the best interests of the participants or beneficiaries of the applicable employee benefit plan.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Article 6D of the Registrant's Articles of Organization provides that to the fullest extent permitted by Chapter 156B of the Massachusetts General Laws, as it may be amended from time to time, no director shall be liable to the Registrant or its stockholders for monetary damages for breach of fiduciary duty as a director, except for liability (i) for any breach of a director's duty of loyalty to the Registrant or its stockholders, (ii) for acts or omissions not in good faith or which involve intentional misconduct or a knowing violation of law, (iii) for unauthorized distributions or loans under Section 61 or 62 of Chapter 156B, or (iv) for any transaction from which the director derived an improper personal benefit.</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Registrant has directors and officers liability insurance for the benefit of its directors and officers.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EXHIBITS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Exhibit Index immediately preceding the exhibits is incorporated herein by reference.</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UNDERTAKINGS</w:t>
      </w:r>
    </w:p>
    <w:p>
      <w:pPr>
        <w:spacing w:after="0" w:line="173" w:lineRule="exact"/>
        <w:rPr>
          <w:sz w:val="20"/>
          <w:szCs w:val="20"/>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left="860" w:right="341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1300" w:right="3419"/>
        <w:spacing w:after="0" w:line="255" w:lineRule="auto"/>
        <w:tabs>
          <w:tab w:leader="none" w:pos="190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1300" w:right="3339"/>
        <w:spacing w:after="0" w:line="250" w:lineRule="auto"/>
        <w:tabs>
          <w:tab w:leader="none" w:pos="190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Rule 424(b) if, in the aggregate, the changes in volume and price represent no more than 20% change in the maximum aggregate offering price set forth in the "Calculation of Registration Fee" table in the effective Registration Statement; and</w:t>
      </w:r>
    </w:p>
    <w:p>
      <w:pPr>
        <w:spacing w:after="0" w:line="172" w:lineRule="exact"/>
        <w:rPr>
          <w:rFonts w:ascii="Courier New" w:cs="Courier New" w:eastAsia="Courier New" w:hAnsi="Courier New"/>
          <w:sz w:val="14"/>
          <w:szCs w:val="14"/>
          <w:color w:val="auto"/>
        </w:rPr>
      </w:pPr>
    </w:p>
    <w:p>
      <w:pPr>
        <w:ind w:left="1300" w:right="3339"/>
        <w:spacing w:after="0" w:line="252" w:lineRule="auto"/>
        <w:tabs>
          <w:tab w:leader="none" w:pos="190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provided, however, that paragraphs 1(a)(i) and 1(a)(ii)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Exchange Act that are incorporated by reference in the Registration Statement.</w:t>
      </w:r>
    </w:p>
    <w:p>
      <w:pPr>
        <w:spacing w:after="0" w:line="164" w:lineRule="exact"/>
        <w:rPr>
          <w:sz w:val="20"/>
          <w:szCs w:val="20"/>
          <w:color w:val="auto"/>
        </w:rPr>
      </w:pPr>
    </w:p>
    <w:p>
      <w:pPr>
        <w:ind w:left="860" w:right="3419" w:firstLine="10"/>
        <w:spacing w:after="0" w:line="251" w:lineRule="auto"/>
        <w:tabs>
          <w:tab w:leader="none" w:pos="129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860" w:right="3519" w:firstLine="10"/>
        <w:spacing w:after="0" w:line="252" w:lineRule="auto"/>
        <w:tabs>
          <w:tab w:leader="none" w:pos="129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March 22, 2001.</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ANALOG DEVICES, INC.</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Jerald G. Fishman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Jerald G. Fishman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SIGNATURES AND POWER OF ATTORNEY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the undersigned officers and directors of Analog Devices, Inc., hereby severally constitute and appoint Jerald G. Fishman and Joseph E. McDonough and Paul P. Brountas, and each of them singly, our true and lawful attorneys with full power to them, and each of them singly, to sign for us and in our names, in the capacities indicated below, the Registration Statement on Form S-8 filed herewith, and any and all amendments to said Registration Statement, and generally to do all such things in our names and behalf in our capacities as officers and directors to enable Analog Devices, Inc.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SIGNATURE</w:t>
            </w: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1580" w:type="dxa"/>
            <w:vAlign w:val="bottom"/>
          </w:tcPr>
          <w:p>
            <w:pPr>
              <w:ind w:left="480"/>
              <w:spacing w:after="0"/>
              <w:rPr>
                <w:sz w:val="20"/>
                <w:szCs w:val="20"/>
                <w:color w:val="auto"/>
              </w:rPr>
            </w:pPr>
            <w:r>
              <w:rPr>
                <w:rFonts w:ascii="Courier New" w:cs="Courier New" w:eastAsia="Courier New" w:hAnsi="Courier New"/>
                <w:sz w:val="14"/>
                <w:szCs w:val="14"/>
                <w:color w:val="auto"/>
              </w:rPr>
              <w:t>DATE</w:t>
            </w:r>
          </w:p>
        </w:tc>
      </w:tr>
      <w:tr>
        <w:trPr>
          <w:trHeight w:val="497"/>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Jerald G. Fishman</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President, Chief Executive</w:t>
            </w:r>
          </w:p>
        </w:tc>
        <w:tc>
          <w:tcPr>
            <w:tcW w:w="158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Officer and Director</w:t>
            </w:r>
          </w:p>
        </w:tc>
        <w:tc>
          <w:tcPr>
            <w:tcW w:w="15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JERALD G. FISHMAN</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(Principal Executive Officer)</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March 22, 2001</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Ray Stata</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Chairman of the Board</w:t>
            </w:r>
          </w:p>
        </w:tc>
        <w:tc>
          <w:tcPr>
            <w:tcW w:w="158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and Director</w:t>
            </w:r>
          </w:p>
        </w:tc>
        <w:tc>
          <w:tcPr>
            <w:tcW w:w="1580" w:type="dxa"/>
            <w:vAlign w:val="bottom"/>
          </w:tcPr>
          <w:p>
            <w:pPr>
              <w:ind w:left="380"/>
              <w:spacing w:after="0"/>
              <w:rPr>
                <w:sz w:val="20"/>
                <w:szCs w:val="20"/>
                <w:color w:val="auto"/>
              </w:rPr>
            </w:pPr>
            <w:r>
              <w:rPr>
                <w:rFonts w:ascii="Courier New" w:cs="Courier New" w:eastAsia="Courier New" w:hAnsi="Courier New"/>
                <w:sz w:val="14"/>
                <w:szCs w:val="14"/>
                <w:color w:val="auto"/>
              </w:rPr>
              <w:t>March 22, 2001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RAY STATA</w:t>
            </w:r>
          </w:p>
        </w:tc>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Joseph E. McDonough</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Vice President-Finance</w:t>
            </w:r>
          </w:p>
        </w:tc>
        <w:tc>
          <w:tcPr>
            <w:tcW w:w="158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and Chief Financial</w:t>
            </w:r>
          </w:p>
        </w:tc>
        <w:tc>
          <w:tcPr>
            <w:tcW w:w="15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JOSEPH E. MCDONOUGH</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Officer (Principal Financial</w:t>
            </w:r>
          </w:p>
        </w:tc>
        <w:tc>
          <w:tcPr>
            <w:tcW w:w="15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and Accounting Officer)</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March 22, 2001</w:t>
            </w:r>
          </w:p>
        </w:tc>
      </w:tr>
      <w:tr>
        <w:trPr>
          <w:trHeight w:val="497"/>
        </w:trPr>
        <w:tc>
          <w:tcPr>
            <w:tcW w:w="2940" w:type="dxa"/>
            <w:vAlign w:val="bottom"/>
          </w:tcPr>
          <w:p>
            <w:pPr>
              <w:spacing w:after="0"/>
              <w:rPr>
                <w:sz w:val="20"/>
                <w:szCs w:val="20"/>
                <w:color w:val="auto"/>
              </w:rPr>
            </w:pPr>
            <w:r>
              <w:rPr>
                <w:rFonts w:ascii="Courier New" w:cs="Courier New" w:eastAsia="Courier New" w:hAnsi="Courier New"/>
                <w:sz w:val="14"/>
                <w:szCs w:val="14"/>
                <w:color w:val="auto"/>
              </w:rPr>
              <w:t>/s/ John L. Doyle</w:t>
            </w:r>
          </w:p>
        </w:tc>
        <w:tc>
          <w:tcPr>
            <w:tcW w:w="280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March 22, 2001</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L. DOYLE</w:t>
      </w:r>
    </w:p>
    <w:p>
      <w:pPr>
        <w:spacing w:after="0" w:line="338" w:lineRule="exact"/>
        <w:rPr>
          <w:sz w:val="20"/>
          <w:szCs w:val="20"/>
          <w:color w:val="auto"/>
        </w:rPr>
      </w:pPr>
    </w:p>
    <w:p>
      <w:pPr>
        <w:spacing w:after="0"/>
        <w:tabs>
          <w:tab w:leader="none" w:pos="3000" w:val="left"/>
          <w:tab w:leader="none" w:pos="5940" w:val="left"/>
        </w:tabs>
        <w:rPr>
          <w:sz w:val="20"/>
          <w:szCs w:val="20"/>
          <w:color w:val="auto"/>
        </w:rPr>
      </w:pPr>
      <w:r>
        <w:rPr>
          <w:rFonts w:ascii="Courier New" w:cs="Courier New" w:eastAsia="Courier New" w:hAnsi="Courier New"/>
          <w:sz w:val="14"/>
          <w:szCs w:val="14"/>
          <w:color w:val="auto"/>
        </w:rPr>
        <w:t>/s/ Charles O. Holliday, Jr.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22, 2001</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O. HOLLIDAY, JR.</w:t>
      </w:r>
    </w:p>
    <w:p>
      <w:pPr>
        <w:spacing w:after="0" w:line="338" w:lineRule="exact"/>
        <w:rPr>
          <w:sz w:val="20"/>
          <w:szCs w:val="20"/>
          <w:color w:val="auto"/>
        </w:rPr>
      </w:pPr>
    </w:p>
    <w:p>
      <w:pPr>
        <w:spacing w:after="0"/>
        <w:tabs>
          <w:tab w:leader="none" w:pos="3000" w:val="left"/>
          <w:tab w:leader="none" w:pos="5940" w:val="left"/>
        </w:tabs>
        <w:rPr>
          <w:sz w:val="20"/>
          <w:szCs w:val="20"/>
          <w:color w:val="auto"/>
        </w:rPr>
      </w:pPr>
      <w:r>
        <w:rPr>
          <w:rFonts w:ascii="Courier New" w:cs="Courier New" w:eastAsia="Courier New" w:hAnsi="Courier New"/>
          <w:sz w:val="14"/>
          <w:szCs w:val="14"/>
          <w:color w:val="auto"/>
        </w:rPr>
        <w:t>/s/ Joel Moses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22, 2001</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JOEL MOSES</w:t>
      </w:r>
    </w:p>
    <w:p>
      <w:pPr>
        <w:spacing w:after="0" w:line="338" w:lineRule="exact"/>
        <w:rPr>
          <w:sz w:val="20"/>
          <w:szCs w:val="20"/>
          <w:color w:val="auto"/>
        </w:rPr>
      </w:pPr>
    </w:p>
    <w:p>
      <w:pPr>
        <w:spacing w:after="0"/>
        <w:tabs>
          <w:tab w:leader="none" w:pos="3000" w:val="left"/>
          <w:tab w:leader="none" w:pos="5940" w:val="left"/>
        </w:tabs>
        <w:rPr>
          <w:sz w:val="20"/>
          <w:szCs w:val="20"/>
          <w:color w:val="auto"/>
        </w:rPr>
      </w:pPr>
      <w:r>
        <w:rPr>
          <w:rFonts w:ascii="Courier New" w:cs="Courier New" w:eastAsia="Courier New" w:hAnsi="Courier New"/>
          <w:sz w:val="14"/>
          <w:szCs w:val="14"/>
          <w:color w:val="auto"/>
        </w:rPr>
        <w:t>/s/ F. Grant Saviers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22, 2001</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 GRANT SAVIERS</w:t>
      </w:r>
    </w:p>
    <w:p>
      <w:pPr>
        <w:spacing w:after="0" w:line="338" w:lineRule="exact"/>
        <w:rPr>
          <w:sz w:val="20"/>
          <w:szCs w:val="20"/>
          <w:color w:val="auto"/>
        </w:rPr>
      </w:pPr>
    </w:p>
    <w:p>
      <w:pPr>
        <w:spacing w:after="0"/>
        <w:tabs>
          <w:tab w:leader="none" w:pos="3000" w:val="left"/>
          <w:tab w:leader="none" w:pos="5940" w:val="left"/>
        </w:tabs>
        <w:rPr>
          <w:sz w:val="20"/>
          <w:szCs w:val="20"/>
          <w:color w:val="auto"/>
        </w:rPr>
      </w:pPr>
      <w:r>
        <w:rPr>
          <w:rFonts w:ascii="Courier New" w:cs="Courier New" w:eastAsia="Courier New" w:hAnsi="Courier New"/>
          <w:sz w:val="14"/>
          <w:szCs w:val="14"/>
          <w:color w:val="auto"/>
        </w:rPr>
        <w:t>/s/ Lester C. Thurow</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22, 2001</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LESTER C. THUROW</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4"/>
              </w:rPr>
              <w:t>7</w:t>
            </w:r>
          </w:p>
        </w:tc>
        <w:tc>
          <w:tcPr>
            <w:tcW w:w="580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0" w:type="dxa"/>
            <w:vAlign w:val="bottom"/>
          </w:tcPr>
          <w:p>
            <w:pPr>
              <w:ind w:left="2020"/>
              <w:spacing w:after="0"/>
              <w:rPr>
                <w:sz w:val="20"/>
                <w:szCs w:val="20"/>
                <w:color w:val="auto"/>
              </w:rPr>
            </w:pPr>
            <w:r>
              <w:rPr>
                <w:rFonts w:ascii="Courier New" w:cs="Courier New" w:eastAsia="Courier New" w:hAnsi="Courier New"/>
                <w:sz w:val="14"/>
                <w:szCs w:val="14"/>
                <w:color w:val="auto"/>
              </w:rPr>
              <w:t>EXHIBIT INDEX</w:t>
            </w:r>
          </w:p>
        </w:tc>
      </w:tr>
      <w:tr>
        <w:trPr>
          <w:trHeight w:val="331"/>
        </w:trPr>
        <w:tc>
          <w:tcPr>
            <w:tcW w:w="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EXHIBIT</w:t>
            </w:r>
          </w:p>
        </w:tc>
        <w:tc>
          <w:tcPr>
            <w:tcW w:w="5800" w:type="dxa"/>
            <w:vAlign w:val="bottom"/>
          </w:tcPr>
          <w:p>
            <w:pPr>
              <w:spacing w:after="0"/>
              <w:rPr>
                <w:sz w:val="24"/>
                <w:szCs w:val="24"/>
                <w:color w:val="auto"/>
              </w:rPr>
            </w:pP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NUMBER</w:t>
            </w:r>
          </w:p>
        </w:tc>
        <w:tc>
          <w:tcPr>
            <w:tcW w:w="5800" w:type="dxa"/>
            <w:vAlign w:val="bottom"/>
          </w:tcPr>
          <w:p>
            <w:pPr>
              <w:ind w:left="1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58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4.1</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5800" w:type="dxa"/>
            <w:vAlign w:val="bottom"/>
          </w:tcPr>
          <w:p>
            <w:pPr>
              <w:ind w:left="120"/>
              <w:spacing w:after="0"/>
              <w:rPr>
                <w:sz w:val="20"/>
                <w:szCs w:val="20"/>
                <w:color w:val="auto"/>
              </w:rPr>
            </w:pPr>
            <w:r>
              <w:rPr>
                <w:rFonts w:ascii="Courier New" w:cs="Courier New" w:eastAsia="Courier New" w:hAnsi="Courier New"/>
                <w:sz w:val="14"/>
                <w:szCs w:val="14"/>
                <w:color w:val="auto"/>
              </w:rPr>
              <w:t>Restated Articles of Organization of the Registrant</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4.2</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5800" w:type="dxa"/>
            <w:vAlign w:val="bottom"/>
          </w:tcPr>
          <w:p>
            <w:pPr>
              <w:ind w:left="120"/>
              <w:spacing w:after="0"/>
              <w:rPr>
                <w:sz w:val="20"/>
                <w:szCs w:val="20"/>
                <w:color w:val="auto"/>
              </w:rPr>
            </w:pPr>
            <w:r>
              <w:rPr>
                <w:rFonts w:ascii="Courier New" w:cs="Courier New" w:eastAsia="Courier New" w:hAnsi="Courier New"/>
                <w:sz w:val="14"/>
                <w:szCs w:val="14"/>
                <w:color w:val="auto"/>
              </w:rPr>
              <w:t>By-Laws of the Registrant</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4.3</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5800" w:type="dxa"/>
            <w:vAlign w:val="bottom"/>
          </w:tcPr>
          <w:p>
            <w:pPr>
              <w:ind w:left="120"/>
              <w:spacing w:after="0"/>
              <w:rPr>
                <w:sz w:val="20"/>
                <w:szCs w:val="20"/>
                <w:color w:val="auto"/>
              </w:rPr>
            </w:pPr>
            <w:r>
              <w:rPr>
                <w:rFonts w:ascii="Courier New" w:cs="Courier New" w:eastAsia="Courier New" w:hAnsi="Courier New"/>
                <w:sz w:val="14"/>
                <w:szCs w:val="14"/>
                <w:color w:val="auto"/>
              </w:rPr>
              <w:t>Rights Agreement dated as of March 18, 1998 between the Registrant</w:t>
            </w:r>
          </w:p>
        </w:tc>
      </w:tr>
      <w:tr>
        <w:trPr>
          <w:trHeight w:val="166"/>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0" w:type="dxa"/>
            <w:vAlign w:val="bottom"/>
          </w:tcPr>
          <w:p>
            <w:pPr>
              <w:ind w:left="120"/>
              <w:spacing w:after="0"/>
              <w:rPr>
                <w:sz w:val="20"/>
                <w:szCs w:val="20"/>
                <w:color w:val="auto"/>
              </w:rPr>
            </w:pPr>
            <w:r>
              <w:rPr>
                <w:rFonts w:ascii="Courier New" w:cs="Courier New" w:eastAsia="Courier New" w:hAnsi="Courier New"/>
                <w:sz w:val="14"/>
                <w:szCs w:val="14"/>
                <w:color w:val="auto"/>
              </w:rPr>
              <w:t>and BankBoston, N.A. as Rights Agent</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4.4</w:t>
            </w:r>
          </w:p>
        </w:tc>
        <w:tc>
          <w:tcPr>
            <w:tcW w:w="660" w:type="dxa"/>
            <w:vAlign w:val="bottom"/>
          </w:tcPr>
          <w:p>
            <w:pPr>
              <w:spacing w:after="0"/>
              <w:rPr>
                <w:sz w:val="24"/>
                <w:szCs w:val="24"/>
                <w:color w:val="auto"/>
              </w:rPr>
            </w:pPr>
          </w:p>
        </w:tc>
        <w:tc>
          <w:tcPr>
            <w:tcW w:w="5800" w:type="dxa"/>
            <w:vAlign w:val="bottom"/>
          </w:tcPr>
          <w:p>
            <w:pPr>
              <w:ind w:left="120"/>
              <w:spacing w:after="0"/>
              <w:rPr>
                <w:sz w:val="20"/>
                <w:szCs w:val="20"/>
                <w:color w:val="auto"/>
              </w:rPr>
            </w:pPr>
            <w:r>
              <w:rPr>
                <w:rFonts w:ascii="Courier New" w:cs="Courier New" w:eastAsia="Courier New" w:hAnsi="Courier New"/>
                <w:sz w:val="14"/>
                <w:szCs w:val="14"/>
                <w:color w:val="auto"/>
              </w:rPr>
              <w:t>Form of Stock Restriction Agreement</w:t>
            </w:r>
          </w:p>
        </w:tc>
      </w:tr>
    </w:tbl>
    <w:p>
      <w:pPr>
        <w:spacing w:after="0" w:line="170" w:lineRule="exact"/>
        <w:rPr>
          <w:sz w:val="20"/>
          <w:szCs w:val="20"/>
          <w:color w:val="auto"/>
        </w:rPr>
      </w:pPr>
    </w:p>
    <w:p>
      <w:pPr>
        <w:ind w:left="1040" w:hanging="1032"/>
        <w:spacing w:after="0"/>
        <w:tabs>
          <w:tab w:leader="none" w:pos="1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Hale and Dorr LLP</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Hale and Dorr LLP (included in Exhibit 5)</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left="1040" w:right="4279" w:hanging="1032"/>
        <w:spacing w:after="0" w:line="250" w:lineRule="auto"/>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(included on the signature page to this Registration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99" w:hanging="352"/>
        <w:spacing w:after="0" w:line="250"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Registrant's Quarterly Report on Form 10-Q for the quarterly period ended January 30, 1999, filed on March 15, 1999.</w:t>
      </w:r>
    </w:p>
    <w:p>
      <w:pPr>
        <w:spacing w:after="0" w:line="1" w:lineRule="exact"/>
        <w:rPr>
          <w:rFonts w:ascii="Courier New" w:cs="Courier New" w:eastAsia="Courier New" w:hAnsi="Courier New"/>
          <w:sz w:val="14"/>
          <w:szCs w:val="14"/>
          <w:color w:val="auto"/>
        </w:rPr>
      </w:pPr>
    </w:p>
    <w:p>
      <w:pPr>
        <w:ind w:left="360" w:right="3419" w:hanging="352"/>
        <w:spacing w:after="0" w:line="250"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Registrant's Annual Report on Form 10-K for the fiscal year ended October 31, 1998, filed on January 28, 1999.</w:t>
      </w:r>
    </w:p>
    <w:p>
      <w:pPr>
        <w:ind w:left="360" w:right="3339" w:hanging="352"/>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to the Registrant's Registration Statement on Form 8-K (File No. 001-07819) filed on March 19, 1998, as amended by Amendment No. 1 to Rights Agreement, entered into as of October 14, 1999 (incorporated herein by reference to the Registrant's Registration Statement on Form 8-K/A (File No. 001-07819) filed on November 19, 1999).</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4.4</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ANALOG DEVICES,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Stock Restriction Agreement</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AGREEMENT made this ____ day of ____________, 2001, between Analog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Devices, Inc., a Massachusetts corporation, and ____________________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Reference is made to Section 1.10 of that certain Agreement and Plan of Reorganization, dated as of October 25, 2000 (the "Merger Agreement"), entered into by and among the Company, CAD, Inc. ("ChipLogic Subsidiary"), a Massachusetts corporation, ChipLogic, Inc., a California corporation ("ChipLogic"), Roshan B. Gudapati and Hari R. Surapeneni, pursuant to which the Employee will receive the Shares (as defined below). For purposes of this Agreement, "Company" shall mean Analog Devices, Inc. and its subsidiaries, including ChipLogic, Inc. Capitalized terms used but not defined herein shall have the respective meanings assigned to them in the Merger Agreement.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Employee agrees that the Shares (as defined below) shall be subject to the forfeiture provisions set forth in Section 2 of this Agreement and the restrictions on transfer set forth in Section 3 of this Agreement. For valuable consideration, receipt of which is acknowledged, the parties hereto agree as follows:</w:t>
      </w:r>
    </w:p>
    <w:p>
      <w:pPr>
        <w:spacing w:after="0" w:line="165" w:lineRule="exact"/>
        <w:rPr>
          <w:sz w:val="20"/>
          <w:szCs w:val="20"/>
          <w:color w:val="auto"/>
        </w:rPr>
      </w:pPr>
    </w:p>
    <w:p>
      <w:pPr>
        <w:ind w:left="780" w:hanging="772"/>
        <w:spacing w:after="0"/>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SHARES.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3"/>
          </w:tcPr>
          <w:p>
            <w:pPr>
              <w:jc w:val="center"/>
              <w:ind w:left="668"/>
              <w:spacing w:after="0"/>
              <w:rPr>
                <w:sz w:val="20"/>
                <w:szCs w:val="20"/>
                <w:color w:val="auto"/>
              </w:rPr>
            </w:pPr>
            <w:r>
              <w:rPr>
                <w:rFonts w:ascii="Courier New" w:cs="Courier New" w:eastAsia="Courier New" w:hAnsi="Courier New"/>
                <w:sz w:val="14"/>
                <w:szCs w:val="14"/>
                <w:color w:val="auto"/>
              </w:rPr>
              <w:t>Pursuant to Section</w:t>
            </w: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Merger</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Agreement,</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has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issued to the</w:t>
            </w:r>
          </w:p>
        </w:tc>
        <w:tc>
          <w:tcPr>
            <w:tcW w:w="1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Employee subject to</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terms</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and</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conditions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set</w:t>
            </w:r>
          </w:p>
        </w:tc>
        <w:tc>
          <w:tcPr>
            <w:tcW w:w="1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forth in this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Agreement, an</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______</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of</w:t>
            </w:r>
          </w:p>
        </w:tc>
        <w:tc>
          <w:tcPr>
            <w:tcW w:w="23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Milestone Restricted Stock</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"Shares"). The Employee</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has paid</w:t>
            </w:r>
          </w:p>
        </w:tc>
        <w:tc>
          <w:tcPr>
            <w:tcW w:w="9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an amount</w:t>
            </w:r>
          </w:p>
        </w:tc>
        <w:tc>
          <w:tcPr>
            <w:tcW w:w="23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equal to $.16 2/3 per share</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for the</w:t>
            </w:r>
          </w:p>
        </w:tc>
      </w:tr>
      <w:tr>
        <w:trPr>
          <w:trHeight w:val="16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Shares which is equal to the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par</w:t>
            </w:r>
          </w:p>
        </w:tc>
        <w:tc>
          <w:tcPr>
            <w:tcW w:w="9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value per</w:t>
            </w:r>
          </w:p>
        </w:tc>
        <w:tc>
          <w:tcPr>
            <w:tcW w:w="2360" w:type="dxa"/>
            <w:vAlign w:val="bottom"/>
            <w:gridSpan w:val="4"/>
          </w:tcPr>
          <w:p>
            <w:pPr>
              <w:jc w:val="center"/>
              <w:ind w:right="568"/>
              <w:spacing w:after="0"/>
              <w:rPr>
                <w:sz w:val="20"/>
                <w:szCs w:val="20"/>
                <w:color w:val="auto"/>
              </w:rPr>
            </w:pPr>
            <w:r>
              <w:rPr>
                <w:rFonts w:ascii="Courier New" w:cs="Courier New" w:eastAsia="Courier New" w:hAnsi="Courier New"/>
                <w:sz w:val="14"/>
                <w:szCs w:val="14"/>
                <w:color w:val="auto"/>
              </w:rPr>
              <w:t>share of the Shares.</w:t>
            </w:r>
          </w:p>
        </w:tc>
        <w:tc>
          <w:tcPr>
            <w:tcW w:w="640" w:type="dxa"/>
            <w:vAlign w:val="bottom"/>
          </w:tcPr>
          <w:p>
            <w:pPr>
              <w:spacing w:after="0"/>
              <w:rPr>
                <w:sz w:val="14"/>
                <w:szCs w:val="14"/>
                <w:color w:val="auto"/>
              </w:rPr>
            </w:pPr>
          </w:p>
        </w:tc>
      </w:tr>
    </w:tbl>
    <w:p>
      <w:pPr>
        <w:spacing w:after="0" w:line="170" w:lineRule="exact"/>
        <w:rPr>
          <w:sz w:val="20"/>
          <w:szCs w:val="20"/>
          <w:color w:val="auto"/>
        </w:rPr>
      </w:pPr>
    </w:p>
    <w:p>
      <w:pPr>
        <w:ind w:left="780" w:hanging="772"/>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w:t>
      </w:r>
    </w:p>
    <w:p>
      <w:pPr>
        <w:spacing w:after="0" w:line="172"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ChipLogic, Inc. or such successor division or subsidiary of the Company which is engaged in the development of the "Falcon" project in which ChipLogic is engaged as of the date hereof fails to satisfy a Technology Development Milestone (as defined below) by the required Target Date (as defined below) set forth below, then the percentage set forth in column 4 below of the number of Shares set forth in column 3 below opposite each respective Technology Development Milestone shall immediately and automatically be forfeited in favor of the Company, for no consideration paid by the Company ("Forfeiture"). For the avoidance of doubt, the parties hereto agree that the Employee shall have forfeited 15% of the shares associated with a Technology Development Milestone listed in the following table (e.g., 15% of the Milestone 4 shares) if the Technology Development Milestone is not met by the second Target Date for such Technology Development Milestone (e.g., Target Date 4-II), and shall have forfeited all of the shares associated with such Technology Development Milestone (e.g., all of the Milestone 4 shares) if the Technology Development is not met by the third Target Date for such Technology Development Milestone (e.g., Target Date 4-III), as set forth in EXHIBIT B.</w:t>
      </w:r>
    </w:p>
    <w:p>
      <w:pPr>
        <w:sectPr>
          <w:pgSz w:w="11900" w:h="16838" w:orient="portrait"/>
          <w:cols w:equalWidth="0" w:num="1">
            <w:col w:w="10239"/>
          </w:cols>
          <w:pgMar w:left="220" w:top="14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5</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HALE AND DORR LLP</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COUNSELLORS AT LAW</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60 STATE STREET, BOSTON, MASSACHUSETTS 02109</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617-526-6000 * FAX 617-526-5000</w:t>
      </w:r>
    </w:p>
    <w:p>
      <w:pPr>
        <w:spacing w:after="0" w:line="338"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March 22,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Technology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Norwood, Massachusetts 02062</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VARIOUS INDIVIDUAL STOCK RESTRICTION AND SIMILAR AGREEMENTS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BETWEEN THE REGISTRANT AND EMPLOYEES THEREOF RELATING TO CHIPLOGIC,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opinion is furnished to you in connection with a Registration Statement on Form S-8 (the "Registration Statement") to be filed with the Securities and Exchange Commission (the "Commission") under the Securities Act of 1933, as amended (the "Securities Act"), for the registration of 120,000 shares of Common Stock, $.16 2/3 par value per share (the "Shares"), of Analog Devices, Inc., a Massachusetts corporation (the "Company"), issued or issuable pursuant to various individual stock restriction and similar agreements between the Registrant and employees thereof relating to ChipLogic, Inc. (collectively, the "Plan").</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have examined the Articles of Organization and By-laws of the Company each as restated and/or amended to date, and originals, or copies certified to our satisfaction, of minutes of meetings of the Board of Directors of the Company as provided to us by the Company, the Registration Statement and such other documents relating to the Company as we have deemed material for the purposes of this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examination of the foregoing documents, we have assumed the genuineness of all signatures and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express no opinion herein as to the laws of any state or jurisdiction other than the state laws of the Commonwealth of Massachusetts and the federal laws of the United States of America.</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Based upon and subject to the foregoing, we are of the opinion that the Company has duly authorized for issuance the Shares, and the Shares, when issued and paid for in accordance with the terms of the Plan and at a price per share in excess of the par value per share for such Shares, will be validly issued, fully-paid and nonassessable.</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It is understood that this opinion is to be used only in connection with the offer and sale of the Shares while the Registration Statement is in effect.</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Please note that we are opining only as to the matters expressly set forth herein, and no opinion should be inferred as to any other matters.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Hale and Dorr LLP</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HALE AND DORR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of Analog Devices, Inc. pertaining to various individual stock restriction and similar agreements between the Registrant and employees thereof relating to ChipLogic, Inc. of our report dated November 13, 2000 (except for Note 15, as to which the date is January 17, 2001), with respect to the consolidated financial statements of Analog Devices, Inc. incorporated by reference in its Annual Report (Form 10-K) for the year ended October 28, 2000, and our report dated January 19, 2001 with respect to the related financial statement schedule included therein, filed with the Securities and Exchange Commission.</w:t>
      </w: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1"/>
      <w:numFmt w:val="decimal"/>
      <w:start w:val="1"/>
    </w:lvl>
    <w:lvl w:ilvl="1">
      <w:lvlJc w:val="left"/>
      <w:lvlText w:val="(%2)"/>
      <w:numFmt w:val="lowerLetter"/>
      <w:start w:val="2"/>
    </w:lvl>
  </w:abstractNum>
  <w:abstractNum w:abstractNumId="6">
    <w:nsid w:val="66EF438D"/>
    <w:multiLevelType w:val="hybridMultilevel"/>
    <w:lvl w:ilvl="0">
      <w:lvlJc w:val="left"/>
      <w:lvlText w:val="%1."/>
      <w:numFmt w:val="decimal"/>
      <w:start w:val="2"/>
    </w:lvl>
    <w:lvl w:ilvl="1">
      <w:lvlJc w:val="left"/>
      <w:lvlText w:val="%2"/>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5"/>
      <w:numFmt w:val="bullet"/>
      <w:start w:val="1"/>
    </w:lvl>
  </w:abstractNum>
  <w:abstractNum w:abstractNumId="13">
    <w:nsid w:val="41A7C4C9"/>
    <w:multiLevelType w:val="hybridMultilevel"/>
    <w:lvl w:ilvl="0">
      <w:lvlJc w:val="left"/>
      <w:lvlText w:val="%1"/>
      <w:numFmt w:val="decimal"/>
      <w:start w:val="24"/>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2019-12-20T05:22:53Z</dcterms:created>
  <dcterms:modified xsi:type="dcterms:W3CDTF">2019-12-20T05:22:53Z</dcterms:modified>
</cp:coreProperties>
</file>