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2026</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6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January 31, 2026 there were 488,204,157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3,160,263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2,423,174</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1,115,287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992,871</w:t>
            </w:r>
          </w:p>
        </w:tc>
      </w:tr>
      <w:tr>
        <w:trPr>
          <w:trHeight w:val="223"/>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1,430,303</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402,892</w:t>
            </w:r>
          </w:p>
        </w:tc>
      </w:tr>
      <w:tr>
        <w:trPr>
          <w:trHeight w:val="230"/>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284,796</w:t>
            </w: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187,415</w:t>
            </w:r>
          </w:p>
        </w:tc>
      </w:tr>
      <w:tr>
        <w:trPr>
          <w:trHeight w:val="229"/>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63,887</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938,990</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491,313</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75,264</w:t>
            </w:r>
          </w:p>
        </w:tc>
      </w:tr>
      <w:tr>
        <w:trPr>
          <w:trHeight w:val="230"/>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w:t>
            </w:r>
          </w:p>
        </w:tc>
      </w:tr>
      <w:tr>
        <w:trPr>
          <w:trHeight w:val="230"/>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55,737</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435,576</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830,826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391,316</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7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496,116</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498,668</w:t>
            </w:r>
          </w:p>
        </w:tc>
      </w:tr>
      <w:tr>
        <w:trPr>
          <w:trHeight w:val="270"/>
        </w:trPr>
        <w:tc>
          <w:tcPr>
            <w:tcW w:w="7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240"/>
          </w:cols>
          <w:pgMar w:left="340" w:top="1008" w:right="13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40" w:top="1008" w:right="131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391,316</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instruments designated as cash flow hedges,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391,603</w:t>
            </w:r>
          </w:p>
        </w:tc>
      </w:tr>
      <w:tr>
        <w:trPr>
          <w:trHeight w:val="20"/>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Pr>
          <w:p>
            <w:pPr>
              <w:spacing w:after="0"/>
              <w:rPr>
                <w:sz w:val="16"/>
                <w:szCs w:val="16"/>
                <w:color w:val="auto"/>
              </w:rPr>
            </w:pP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2,905,860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2,499,406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1,142,987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1,152,915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1,436,075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1,656,323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363,342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7,602,526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7,108,061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3,248,983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7,629,200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8,013,815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1,867,102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805,655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742,858</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40,388,664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40,884,651</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47,991,190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543,760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1,583,794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1,645,032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4,330,623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3,245,801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8,145,066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1,995,833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2,163,281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9,873,308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10,931,156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488,204,157 shares outstanding</w:t>
            </w:r>
          </w:p>
        </w:tc>
        <w:tc>
          <w:tcPr>
            <w:tcW w:w="2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(489,654,097 on November 1, 2025)</w:t>
            </w:r>
          </w:p>
        </w:tc>
        <w:tc>
          <w:tcPr>
            <w:tcW w:w="2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22,968,224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23,349,185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10,886,107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10,539,541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(154,582)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33,787,259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33,815,755</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47,991,190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1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Three Months Ended January 31, 2026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1,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489,654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23,349,185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10,539,541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(154,582)</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$0.99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(484,260)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(516,180)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22,968,224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10,886,107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(148,441)</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12"/>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February 1,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2, 2024</w:t>
            </w: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496,297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25,082,243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10,196,612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$0.92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25,041,250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10,131,590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20" w:type="dxa"/>
            <w:vAlign w:val="bottom"/>
          </w:tcPr>
          <w:p>
            <w:pPr>
              <w:spacing w:after="0"/>
              <w:rPr>
                <w:sz w:val="16"/>
                <w:szCs w:val="16"/>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830,826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391,316</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98,447</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417,156</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77,574</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(59,454)</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202,569</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537,689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735,493</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1,368,515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1,126,809</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Maturities of short-term available-for-sale investments</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 net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(148,978)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(45,652)</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(107,029)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(194,301)</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3,046,825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1,969,276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(2,950,422)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(1,968,611)</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(160,368)</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(456,338)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41,747</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(855,032)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(573,856)</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406,454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358,652</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2,499,406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2,905,860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2,349,994</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both"/>
        <w:ind w:left="2660" w:right="2640" w:firstLine="25"/>
        <w:spacing w:after="0" w:line="277" w:lineRule="auto"/>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FOR THE THREE MONTHS ENDED JANUARY 31, 2026 (UNAUDITED) (all tabular amounts in thousands except per share amounts and percentages)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6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1, 2025 (fiscal 2025) and related notes. The results of operations for the interim periods shown in this report are not necessarily indicative of the results that may be expected for the fiscal year ending October 31, 2026 (fiscal 2026) or any future period.</w:t>
      </w:r>
    </w:p>
    <w:p>
      <w:pPr>
        <w:spacing w:after="0" w:line="129" w:lineRule="exact"/>
        <w:rPr>
          <w:sz w:val="20"/>
          <w:szCs w:val="20"/>
          <w:color w:val="auto"/>
        </w:rPr>
      </w:pPr>
    </w:p>
    <w:p>
      <w:pPr>
        <w:ind w:right="820" w:firstLine="243"/>
        <w:spacing w:after="0" w:line="282"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Certain prior-year amounts have been reclassified to conform to the fiscal 2026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January 31, 2026, the Company’s Board of Directors had authorized the repurchase of an aggregate of $26.7 billion of its common stock under its common stock repurchase program and $9.1 billion remained available for repurchases under the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three months of fiscal 2026.</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gains/losses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Component</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Pr>
          <w:p>
            <w:pPr>
              <w:spacing w:after="0"/>
              <w:rPr>
                <w:sz w:val="18"/>
                <w:szCs w:val="18"/>
                <w:color w:val="auto"/>
              </w:rPr>
            </w:pPr>
          </w:p>
        </w:tc>
        <w:tc>
          <w:tcPr>
            <w:tcW w:w="4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gains/losses on derivatives: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amounts reclassified out of AOCI, net of 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0" w:type="dxa"/>
            <w:vAlign w:val="bottom"/>
          </w:tcPr>
          <w:p>
            <w:pPr>
              <w:spacing w:after="0"/>
              <w:rPr>
                <w:sz w:val="16"/>
                <w:szCs w:val="16"/>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0" w:type="dxa"/>
            <w:vAlign w:val="bottom"/>
          </w:tcPr>
          <w:p>
            <w:pPr>
              <w:spacing w:after="0"/>
              <w:rPr>
                <w:sz w:val="1"/>
                <w:szCs w:val="1"/>
                <w:color w:val="auto"/>
              </w:rPr>
            </w:pPr>
          </w:p>
        </w:tc>
      </w:tr>
      <w:tr>
        <w:trPr>
          <w:trHeight w:val="229"/>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391,316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496,116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491,656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926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1, 2025</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4,115</w:t>
            </w:r>
          </w:p>
        </w:tc>
      </w:tr>
      <w:tr>
        <w:trPr>
          <w:trHeight w:val="229"/>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29,085</w:t>
            </w:r>
          </w:p>
        </w:tc>
      </w:tr>
      <w:tr>
        <w:trPr>
          <w:trHeight w:val="230"/>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January 31, 2026</w:t>
            </w: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31,248</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recorded net special charges of $32.4 million as part of its Global Repositioning Actions in the three months ended January 31, 2026. The Global Repositioning Actions were part of a transformation initiative aimed at aligning the Company’s enterprise strategy and organizational design and streamlining its operations to achieve its long-term strategic plan. The special charges include severance costs, in accordance with the Company’s ongoing benefit plan or statutory requirements at foreign locations, related to the termination of certain employees in manufacturing, engineering and selling, marketing, general and administrative roles.</w:t>
      </w:r>
    </w:p>
    <w:p>
      <w:pPr>
        <w:spacing w:after="0" w:line="12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the Company entered into a sublease agreement for its leased property in San Jose, California. As a result of the sublease transaction, the Company recorded an impairment charge of $15.6 million in net special charges, which represented the excess carrying value of the associated asset group over its estimated fair value. The Company estimated fair value using cash flows from the estimated net sublease rental income discounted at a market rate.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6 – Industry and Segment Information</w:t>
      </w:r>
    </w:p>
    <w:p>
      <w:pPr>
        <w:spacing w:after="0" w:line="135" w:lineRule="exact"/>
        <w:rPr>
          <w:sz w:val="20"/>
          <w:szCs w:val="20"/>
          <w:color w:val="auto"/>
        </w:rPr>
      </w:pPr>
    </w:p>
    <w:p>
      <w:pPr>
        <w:ind w:right="60" w:firstLine="445"/>
        <w:spacing w:after="0" w:line="262" w:lineRule="auto"/>
        <w:rPr>
          <w:sz w:val="20"/>
          <w:szCs w:val="20"/>
          <w:color w:val="auto"/>
        </w:rPr>
      </w:pPr>
      <w:r>
        <w:rPr>
          <w:rFonts w:ascii="Times New Roman" w:cs="Times New Roman" w:eastAsia="Times New Roman" w:hAnsi="Times New Roman"/>
          <w:sz w:val="18"/>
          <w:szCs w:val="18"/>
          <w:color w:val="auto"/>
        </w:rPr>
        <w:t>The Company’s Chair and Chief Executive Officer has been identified as its Chief Operating Decision Maker (CODM). The following table presents a summary of consolidated net income inclusive of significant segment expenses and other expense information provided to the CODM: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0" w:type="dxa"/>
            <w:vAlign w:val="bottom"/>
          </w:tcPr>
          <w:p>
            <w:pPr>
              <w:spacing w:after="0"/>
              <w:rPr>
                <w:sz w:val="16"/>
                <w:szCs w:val="16"/>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29"/>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2,423,174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including human capital expenses therein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992,871</w:t>
            </w: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Employee compensation costs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467,597</w:t>
            </w:r>
          </w:p>
        </w:tc>
      </w:tr>
      <w:tr>
        <w:trPr>
          <w:trHeight w:val="229"/>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187,415</w:t>
            </w:r>
          </w:p>
        </w:tc>
      </w:tr>
      <w:tr>
        <w:trPr>
          <w:trHeight w:val="230"/>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 related costs (excluding employee compensation costs)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131,482</w:t>
            </w:r>
          </w:p>
        </w:tc>
      </w:tr>
      <w:tr>
        <w:trPr>
          <w:trHeight w:val="229"/>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63,887</w:t>
            </w:r>
          </w:p>
        </w:tc>
      </w:tr>
      <w:tr>
        <w:trPr>
          <w:trHeight w:val="229"/>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operating expense (excluding employee compensation costs)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88,609</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55,737</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w:t>
            </w:r>
          </w:p>
        </w:tc>
      </w:tr>
      <w:tr>
        <w:trPr>
          <w:trHeight w:val="22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830,826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391,316</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4"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Includes depreciation and amortization expenses, facilities expenses, legal expenses and other discretionary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The assignment of products to end markets may change over time. When this occurs, the Company reclassifies revenue by end market for prior periods. Such reclassifications typically do not materially change the sizing of, or the underlying trends of results within, each end market.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1,489,256</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1,080,650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794,402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735,646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292,186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399,808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314,692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3,160,263</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2,423,174</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hanging="134"/>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may not equal the total due to rounding.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14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sales channel. The Company sells its products globally through a direct sales force, third-party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Borders>
              <w:bottom w:val="single" w:sz="8" w:color="auto"/>
            </w:tcBorders>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1,742,294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1,375,464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1,377,131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1,019,872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4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3,160,263</w:t>
            </w: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2,423,174</w:t>
            </w: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280" w:firstLine="445"/>
        <w:spacing w:after="0" w:line="260"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January 31, 2026 and November 1, 2025. The tables exclude cash on hand and assets and liabilities that are measured at historical cost or any basis other than fair value. As of January 31, 2026 and November 1, 2025, the Company held $1.5 billion and $1.4 billion, respectively, of cash that is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5"/>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7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1,028,132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397,987</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647,335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114,245</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2,692,090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580" w:right="1840" w:hanging="5248"/>
        <w:spacing w:after="0" w:line="923" w:lineRule="auto"/>
        <w:tabs>
          <w:tab w:leader="none" w:pos="6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January 31, 2026 was $1.5 billion.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0" w:name="page11"/>
    <w:bookmarkEnd w:id="10"/>
    <w:p>
      <w:pPr>
        <w:ind w:left="660" w:right="340" w:hanging="328"/>
        <w:spacing w:after="0" w:line="26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740,730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 (2):</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656,839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105,188</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2,403,248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(4)</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1, 2025 was $1.6 billion.</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current assets on the Condensed Consolidated Balance Sheets if the securities are available to be converted into cash to fund current operations.</w:t>
      </w:r>
    </w:p>
    <w:p>
      <w:pPr>
        <w:ind w:left="660" w:right="340" w:hanging="328"/>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San Jose, California leased property asset group — </w:t>
      </w:r>
      <w:r>
        <w:rPr>
          <w:rFonts w:ascii="Times New Roman" w:cs="Times New Roman" w:eastAsia="Times New Roman" w:hAnsi="Times New Roman"/>
          <w:sz w:val="18"/>
          <w:szCs w:val="18"/>
          <w:color w:val="auto"/>
        </w:rPr>
        <w:t>As a result of a sublease transaction involving a leased property</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in San Jose, California, the Company estimated the fair value of the sublease assets using discounted cash flows from the estimated net sublease rental income discounted at a market rate and recorded an impairment charge which represented the excess carrying value of the asset group associated with the leased property over its estimated fair value. These assets are considered a Level 2 fair value measurement. 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in these Notes to Condensed Consolidated Financial Statements for additional information.</w:t>
      </w:r>
    </w:p>
    <w:p>
      <w:pPr>
        <w:spacing w:after="0" w:line="104" w:lineRule="exact"/>
        <w:rPr>
          <w:sz w:val="20"/>
          <w:szCs w:val="20"/>
          <w:color w:val="auto"/>
        </w:rPr>
      </w:pPr>
    </w:p>
    <w:p>
      <w:pPr>
        <w:ind w:right="20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 </w:t>
      </w: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 tenure of the Company’s commercial paper notes, the carrying value of the outstanding commercial paper notes approximates the fair values, and therefore, are excluded from the table below ($543.0 million and $446.6 million as of January 31, 2026 and November 1, 2025, respectively). The fair values of the senior unsecured notes are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obtained from broker prices and are classified as Level 1 measurements according to the fair value hierarchy.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0" w:type="dxa"/>
            <w:vAlign w:val="bottom"/>
          </w:tcPr>
          <w:p>
            <w:pPr>
              <w:spacing w:after="0"/>
              <w:rPr>
                <w:sz w:val="16"/>
                <w:szCs w:val="16"/>
                <w:color w:val="auto"/>
              </w:rPr>
            </w:pPr>
          </w:p>
        </w:tc>
        <w:tc>
          <w:tcPr>
            <w:tcW w:w="302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895,623</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436,916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856,345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704,186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659,834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884,390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571,370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555,925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327,992</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541,087</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8,217,077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7,515,894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8,217,077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7,536,579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w:t>
      </w:r>
    </w:p>
    <w:p>
      <w:pPr>
        <w:spacing w:after="0" w:line="173" w:lineRule="exact"/>
        <w:rPr>
          <w:sz w:val="20"/>
          <w:szCs w:val="20"/>
          <w:color w:val="auto"/>
        </w:rPr>
      </w:pPr>
    </w:p>
    <w:p>
      <w:pPr>
        <w:ind w:right="10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total notional amounts of forward foreign currency derivative instruments designated as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of cash flow hedges as of January 31, 2026 and November 1, 2025 were $311.4 million and $297.0 million, respectively, and the fair values of these instruments in the Company’s Condensed Consolidated Balance Sheets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420" w:firstLine="445"/>
        <w:spacing w:after="0" w:line="263" w:lineRule="auto"/>
        <w:rPr>
          <w:sz w:val="20"/>
          <w:szCs w:val="20"/>
          <w:color w:val="auto"/>
        </w:rPr>
      </w:pPr>
      <w:r>
        <w:rPr>
          <w:rFonts w:ascii="Times New Roman" w:cs="Times New Roman" w:eastAsia="Times New Roman" w:hAnsi="Times New Roman"/>
          <w:sz w:val="18"/>
          <w:szCs w:val="18"/>
          <w:color w:val="auto"/>
        </w:rPr>
        <w:t>As of January 31, 2026 and November 1, 2025, the total notional amounts of undesignated hedges related to forward foreign currency exchange contracts were $218.9 million and $207.3 million, respectively, and the fair values of undesignated hedges in the Company’s Condensed Consolidated Balance Sheets were as follows:</w:t>
      </w:r>
    </w:p>
    <w:p>
      <w:pPr>
        <w:spacing w:after="0" w:line="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Fair Value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33655</wp:posOffset>
            </wp:positionV>
            <wp:extent cx="2057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p>
      <w:pPr>
        <w:ind w:left="5300"/>
        <w:spacing w:after="0"/>
        <w:tabs>
          <w:tab w:leader="none" w:pos="8240" w:val="left"/>
          <w:tab w:leader="none" w:pos="9880" w:val="left"/>
        </w:tabs>
        <w:rPr>
          <w:sz w:val="20"/>
          <w:szCs w:val="20"/>
          <w:color w:val="auto"/>
        </w:rPr>
      </w:pPr>
      <w:r>
        <w:rPr>
          <w:rFonts w:ascii="Times New Roman" w:cs="Times New Roman" w:eastAsia="Times New Roman" w:hAnsi="Times New Roman"/>
          <w:sz w:val="14"/>
          <w:szCs w:val="14"/>
          <w:b w:val="1"/>
          <w:bCs w:val="1"/>
          <w:color w:val="auto"/>
        </w:rPr>
        <w:t>Balance Sheet Location</w:t>
      </w:r>
      <w:r>
        <w:rPr>
          <w:sz w:val="20"/>
          <w:szCs w:val="20"/>
          <w:color w:val="auto"/>
        </w:rPr>
        <w:tab/>
      </w:r>
      <w:r>
        <w:rPr>
          <w:rFonts w:ascii="Times New Roman" w:cs="Times New Roman" w:eastAsia="Times New Roman" w:hAnsi="Times New Roman"/>
          <w:sz w:val="14"/>
          <w:szCs w:val="14"/>
          <w:b w:val="1"/>
          <w:bCs w:val="1"/>
          <w:color w:val="auto"/>
        </w:rPr>
        <w:t>January 31, 2026</w:t>
      </w:r>
      <w:r>
        <w:rPr>
          <w:sz w:val="20"/>
          <w:szCs w:val="20"/>
          <w:color w:val="auto"/>
        </w:rPr>
        <w:tab/>
      </w:r>
      <w:r>
        <w:rPr>
          <w:rFonts w:ascii="Times New Roman" w:cs="Times New Roman" w:eastAsia="Times New Roman" w:hAnsi="Times New Roman"/>
          <w:sz w:val="14"/>
          <w:szCs w:val="14"/>
          <w:b w:val="1"/>
          <w:bCs w:val="1"/>
          <w:color w:val="auto"/>
        </w:rPr>
        <w:t>November 1, 2025</w:t>
      </w:r>
    </w:p>
    <w:p>
      <w:pPr>
        <w:sectPr>
          <w:pgSz w:w="11900" w:h="16838" w:orient="portrait"/>
          <w:cols w:equalWidth="0" w:num="1">
            <w:col w:w="11240"/>
          </w:cols>
          <w:pgMar w:left="320" w:top="1134" w:right="339" w:bottom="1440" w:gutter="0" w:footer="0" w:header="0"/>
        </w:sectPr>
      </w:pPr>
    </w:p>
    <w:p>
      <w:pPr>
        <w:spacing w:after="0" w:line="4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4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-530860</wp:posOffset>
            </wp:positionV>
            <wp:extent cx="713232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140" w:space="40"/>
            <w:col w:w="7060"/>
          </w:cols>
          <w:pgMar w:left="320" w:top="1134" w:right="339" w:bottom="1440" w:gutter="0" w:footer="0" w:header="0"/>
          <w:type w:val="continuous"/>
        </w:sectPr>
      </w:pPr>
    </w:p>
    <w:p>
      <w:pPr>
        <w:ind w:right="18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r>
    </w:tbl>
    <w:p>
      <w:pPr>
        <w:spacing w:after="0" w:line="238"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further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9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January 31, 2026 and November 1, 2025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40" w:type="dxa"/>
            <w:vAlign w:val="bottom"/>
          </w:tcPr>
          <w:p>
            <w:pPr>
              <w:spacing w:after="0"/>
              <w:rPr>
                <w:sz w:val="16"/>
                <w:szCs w:val="16"/>
                <w:color w:val="auto"/>
              </w:rPr>
            </w:pPr>
          </w:p>
        </w:tc>
        <w:tc>
          <w:tcPr>
            <w:tcW w:w="16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November 1, 2025</w:t>
            </w: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1,218,625</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367,515</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1,767,104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1,656,323</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08" w:lineRule="exact"/>
        <w:rPr>
          <w:sz w:val="20"/>
          <w:szCs w:val="20"/>
          <w:color w:val="auto"/>
        </w:rPr>
      </w:pPr>
    </w:p>
    <w:p>
      <w:pPr>
        <w:jc w:val="both"/>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three-month periods ended January 31, 2026, and February 1, 2025, were below the U.S. statutory tax rate of 21%, due to lower statutory tax rates applicable to the Company's operations in the foreign jurisdictions in which it earns income.</w:t>
      </w:r>
    </w:p>
    <w:p>
      <w:pPr>
        <w:spacing w:after="0" w:line="27"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During fiscal 2025, the Company received an assessment from the U.S. Internal Revenue Service (IRS) for fiscal 2018 and fiscal 2019, totaling approximately $267.0 million. The assessment excludes any penalties and interest. The assessment pertains to transfer pricing arrangements between the Company and one of its wholly-owned foreign subsidiaries. The Company firmly disagrees with this assessment and maintains that its transfer pricing is appropriate. Consequently, the Company has not recorded any additional tax liability related to fiscal 2018 and fiscal 2019 in relation to this issue, nor to any other periods. The Company intends to vigorously defend its original tax return position and is currently preparing for an appeal with the IRS. Should the IRS ultimately prevail regarding its assessments for fiscal 2018 and fiscal 2019, such a resolution, along with any potential impact on subsequent fiscal years, could have a material adverse effect on the Company’s income tax expense and net earnings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adopted this ASU in fiscal 2026 and will include required financial statement disclosures in its Annual Report on Form 10-K for the fiscal year ending October 31,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2026, and interim periods within fiscal years beginning after December 15, 2027, with early adoption permitted. The Company is currently evaluating the impact, if any, adoption will have on its financial statement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75"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On February 17, 2026, the Board of Directors of the Company declared a cash dividend of $1.10 per outstanding share of common stock. The dividend will be paid on March 17, 2026 to all shareholders of record at the close of business on March 3, 2026 and is expected to total approximately $537.0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1, 2025 (fiscal 2025).</w:t>
      </w:r>
    </w:p>
    <w:p>
      <w:pPr>
        <w:spacing w:after="0" w:line="12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w:t>
      </w:r>
    </w:p>
    <w:p>
      <w:pPr>
        <w:spacing w:after="0" w:line="138" w:lineRule="exact"/>
        <w:rPr>
          <w:sz w:val="20"/>
          <w:szCs w:val="20"/>
          <w:color w:val="auto"/>
        </w:rPr>
      </w:pPr>
    </w:p>
    <w:p>
      <w:pPr>
        <w:ind w:right="100" w:firstLine="445"/>
        <w:spacing w:after="0" w:line="252"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that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and regulatory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 Item 1A, “Risk Factors” of our Annual Report on Form 10-K for fiscal 2025. Forward-looking statements represent management’s current expectations and are inherently uncertain. We undertake no obligation to revise or update any forward-looking statements, including to reflect events or circumstances occurring after the date of the filing of this report, except to the extent required by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the table below are reflected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3,160,263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2,423,174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737,089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830,826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391,316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439,510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The assignment of products to end markets may change over time. When this occurs, we reclassify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left="10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498"/>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right"/>
              <w:ind w:right="49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1,489,256</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1,080,650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794,402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735,646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399,808</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314,692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3,160,263</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2,423,174</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8" w:lineRule="exact"/>
        <w:rPr>
          <w:sz w:val="20"/>
          <w:szCs w:val="20"/>
          <w:color w:val="auto"/>
        </w:rPr>
      </w:pPr>
    </w:p>
    <w:p>
      <w:pPr>
        <w:jc w:val="both"/>
        <w:ind w:right="380" w:firstLine="445"/>
        <w:spacing w:after="0" w:line="261" w:lineRule="auto"/>
        <w:rPr>
          <w:sz w:val="20"/>
          <w:szCs w:val="20"/>
          <w:color w:val="auto"/>
        </w:rPr>
      </w:pPr>
      <w:r>
        <w:rPr>
          <w:rFonts w:ascii="Times New Roman" w:cs="Times New Roman" w:eastAsia="Times New Roman" w:hAnsi="Times New Roman"/>
          <w:sz w:val="18"/>
          <w:szCs w:val="18"/>
          <w:color w:val="auto"/>
        </w:rPr>
        <w:t>Revenue increased 30% in the three-month period ended January 31, 2026 as compared to the same period of the prior fiscal year as a result of a broad-based increase in demand for our products, notably within the wireline sub-markets of the Communications end market that supports datacenter expansion, within the test equipment sub-market of the Industrial end market and within portable consumer products sub-market of the Consumer end market.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00" w:type="dxa"/>
            <w:vAlign w:val="bottom"/>
          </w:tcPr>
          <w:p>
            <w:pPr>
              <w:spacing w:after="0"/>
              <w:rPr>
                <w:sz w:val="16"/>
                <w:szCs w:val="16"/>
                <w:color w:val="auto"/>
              </w:rPr>
            </w:pPr>
          </w:p>
        </w:tc>
        <w:tc>
          <w:tcPr>
            <w:tcW w:w="3020" w:type="dxa"/>
            <w:vAlign w:val="bottom"/>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1,742,294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1,375,464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1,377,131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1,019,872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1"/>
        </w:trPr>
        <w:tc>
          <w:tcPr>
            <w:tcW w:w="45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3,160,263</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2,423,174</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66"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market revenue trends.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2,044,976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1,430,303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614,673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20"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Gross margin percentage increased by 570 basis points in the three-month period ended January 31, 2026 as compared to the same period of the prior fiscal year, primarily due to higher utilization of our factories as a result of increased customer demand and favorable mix of products sold into our end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3"/>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2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402,892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expenses as a % of revenue</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859"/>
        </w:trPr>
        <w:tc>
          <w:tcPr>
            <w:tcW w:w="3980" w:type="dxa"/>
            <w:vAlign w:val="bottom"/>
          </w:tcPr>
          <w:p>
            <w:pPr>
              <w:spacing w:after="0"/>
              <w:rPr>
                <w:sz w:val="24"/>
                <w:szCs w:val="24"/>
                <w:color w:val="auto"/>
              </w:rPr>
            </w:pPr>
          </w:p>
        </w:tc>
        <w:tc>
          <w:tcPr>
            <w:tcW w:w="2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5" w:name="page16"/>
    <w:bookmarkEnd w:id="15"/>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R&amp;D expenses increased in the three-month period ended January 31, 2026, as compared to the same period of the prior fiscal year, primarily as a result of higher R&amp;D employee-related variable compensation expenses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345,253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284,796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60,457</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SMG&amp;A expenses as a % of revenue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33"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SMG&amp;A expenses increased in the three-month period ended January 31, 2026, as compared to the same period of the prior fiscal year, primarily as a result of higher SMG&amp;A employee-related variable compensation expenses and higher salary and benefit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20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2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Special charges, net decreased in the three-month period ended January 31, 2026, as compared to the same period of the prior fiscal year, primarily due to decreased charges related to our Global Repositioning Actions, partially offset by a $15.6 million impairment charge related to our asset group in our leased facilities in San Jose, California.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r>
    </w:tbl>
    <w:p>
      <w:pPr>
        <w:spacing w:after="0" w:line="23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year-over-year decrease in nonoperating expense (income) in the three-month period ended January 31, 2026, as compared to the same period of the prior fiscal year, was primarily due to gains on our other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8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115,045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44,260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70,785</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3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primary driver for our increased tax rate is the increase in taxes paid on our international profits. This results in higher non-deductible foreign tax expense under the global intangible low-taxed income (GILTI) regime, which has the effect of increasing our effective tax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38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830,826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391,316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439,510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850"/>
        </w:trPr>
        <w:tc>
          <w:tcPr>
            <w:tcW w:w="3860" w:type="dxa"/>
            <w:vAlign w:val="bottom"/>
          </w:tcPr>
          <w:p>
            <w:pPr>
              <w:spacing w:after="0"/>
              <w:rPr>
                <w:sz w:val="24"/>
                <w:szCs w:val="24"/>
                <w:color w:val="auto"/>
              </w:rPr>
            </w:pPr>
          </w:p>
        </w:tc>
        <w:tc>
          <w:tcPr>
            <w:tcW w:w="2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three-month period ended January 31, 2026, as compared to the same period of the prior fiscal year, as the result of a $505.7 million increase in operating income and a $4.6 million decrease in nonoperating expense (income), partially offset by a $70.8 million increase in provision for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At January 31, 2026, our principal source of liquidity was $4.0 billion of cash, cash equivalents and short-term investments, of which approximately $2.3 billion was held in the United States, and the balance of which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spacing w:after="0" w:line="81" w:lineRule="exact"/>
        <w:rPr>
          <w:sz w:val="20"/>
          <w:szCs w:val="20"/>
          <w:color w:val="auto"/>
        </w:rPr>
      </w:pPr>
    </w:p>
    <w:p>
      <w:pPr>
        <w:ind w:right="36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60" w:type="dxa"/>
            <w:vAlign w:val="bottom"/>
          </w:tcPr>
          <w:p>
            <w:pPr>
              <w:spacing w:after="0"/>
              <w:rPr>
                <w:sz w:val="16"/>
                <w:szCs w:val="16"/>
                <w:color w:val="auto"/>
              </w:rPr>
            </w:pPr>
          </w:p>
        </w:tc>
        <w:tc>
          <w:tcPr>
            <w:tcW w:w="16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1,368,515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1,126,809</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(107,029)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(194,301)</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(855,032)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(573,856)</w:t>
            </w:r>
          </w:p>
        </w:tc>
      </w:tr>
    </w:tbl>
    <w:p>
      <w:pPr>
        <w:spacing w:after="0" w:line="17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three-month period ended January 31, 2026 as compared to the same period in fiscal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increase in cash provided by operating activities during the three-month period ended January 31, 2026, as compared to the same period of the prior fiscal year, was mainly the result of higher net income adjusted for non-cash items.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Investing cash flows generally consist of purchases of property, plant and equipment, available-for-sale investments and acquisitions of other businesses. The change in investing cash flows during the three-month period ended January 31, 2026, as compared to the same period of the prior fiscal year, was primarily the result of a decrease in cash used for capital expenditures. The change in investing cash flows also included cash paid for an acquisition in the first quarter of fiscal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issuances and repayments of debt and proceeds from the sale of shares of common stock pursuant to employee equity incentive plans. The change in cash used for financing activities during the three-month period ended January 31, 2026, as compared to the same period of the prior fiscal year, was primarily the result of higher common stock repurchases.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(75,891)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110,781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20" w:hanging="332"/>
        <w:spacing w:after="0" w:line="293"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color w:val="auto"/>
        </w:rPr>
        <w:t>The decrease in accounts receivable in dollars was primarily the result of variations in the timing of collections and billings.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Inventory increased primarily as a result of building inventory levels to support increased demand.</w:t>
      </w:r>
    </w:p>
    <w:p>
      <w:pPr>
        <w:spacing w:after="0" w:line="117" w:lineRule="exact"/>
        <w:rPr>
          <w:sz w:val="20"/>
          <w:szCs w:val="20"/>
          <w:color w:val="auto"/>
        </w:rPr>
      </w:pPr>
    </w:p>
    <w:p>
      <w:pPr>
        <w:ind w:right="102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increased to $4.3 billion at January 31, 2026 as compared to $3.2 billion at the end of fiscal 2025 primarily due to the reclassification of $0.9 billion of debt due in December 2026 to current liabilities as well as an increase in income taxes payable.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January 31, 2026,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543,042</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2030</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8,760,119</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January 31, 2026, we were in compliance with these covenants.</w:t>
      </w:r>
    </w:p>
    <w:p>
      <w:pPr>
        <w:spacing w:after="0" w:line="7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$3.0 billion outstanding at any time, with maturities of up to 397 days from the date of issuance. As of January 31, 2026, we had $543.0 million of outstanding borrowings under the commercial paper program recorded in the Condensed Consolidated Balance Sheet. We intend to use the net proceeds of the commercial paper program for general corporate purposes, including without limitation, repayment of indebtedness, stock repurchases, acquisitions, capital expenditures and working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Our Fourth Amended and Restated Revolving Credit Agreement, dated as of April 11, 2025, with Bank of America N.A. as administrative agent and the other banks identified therein as lenders (the Revolving Credit Agreement) provides for a five-year unsecured revolving credit facility in an aggregate principal amount not to exceed $3.0 billion (subject to certain terms and conditions).</w:t>
      </w:r>
    </w:p>
    <w:p>
      <w:pPr>
        <w:spacing w:after="0" w:line="68" w:lineRule="exact"/>
        <w:rPr>
          <w:sz w:val="20"/>
          <w:szCs w:val="20"/>
          <w:color w:val="auto"/>
        </w:rPr>
      </w:pPr>
    </w:p>
    <w:p>
      <w:pPr>
        <w:ind w:right="60" w:firstLine="445"/>
        <w:spacing w:after="0" w:line="277" w:lineRule="auto"/>
        <w:rPr>
          <w:sz w:val="20"/>
          <w:szCs w:val="20"/>
          <w:color w:val="auto"/>
        </w:rPr>
      </w:pPr>
      <w:r>
        <w:rPr>
          <w:rFonts w:ascii="Times New Roman" w:cs="Times New Roman" w:eastAsia="Times New Roman" w:hAnsi="Times New Roman"/>
          <w:sz w:val="17"/>
          <w:szCs w:val="17"/>
          <w:color w:val="auto"/>
        </w:rPr>
        <w:t>We may borrow under the Revolving Credit Agreement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an interest coverage covenant which requires the ratio of consolidated earnings before interest, taxes, depreciation and amortization (EBITDA) to consolidated interest charges to be greater than 3.0 to 1.0. As of January 31, 2026, we were in compliance with these covenants.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As of January 31, 2026, our Board of Directors had authorized us to repurchase an aggregate of $26.7 billion of our common stock under our common stock repurchase program and $9.1 billion remained available for repurchases under the current authorized program. Repurchased shares are held as authorized but unissued shares of common stock. Unless terminated earlier by resolution of our Board of Directors, the repurchase program will expire when the full dollar amount of the authorization has been used to repurchase shares under the program. Future repurchases of common stock will be dependent upon our financial position, results of operations, outlook, liquidity and other factors we deem relevant.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9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Net additions to property, plant and equipment were $109.3 million in the first three months of fiscal 2026. We expect capital expenditures for fiscal 2026 to be between approximately 4% and 6% of fiscal 2026 revenue. These capital expenditures will be funded with a combination of cash on hand and cash expected to be generated from future operations, together with existing and anticipated available short- and long-term financing.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February 17, 2026, our Board of Directors declared a cash dividend of $1.10 per outstanding share of common stock. The dividend will be paid on March 17, 2026 to all shareholders of record at the close of business on March 3, 2026 and is expected to total approximately $537.0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results of operations, and disclosures. See Note 11,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results of operations, and disclosures.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8" w:right="379" w:bottom="1440" w:gutter="0" w:footer="0" w:header="0"/>
        </w:sectPr>
      </w:pPr>
    </w:p>
    <w:bookmarkStart w:id="19" w:name="page20"/>
    <w:bookmarkEnd w:id="19"/>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market risks related to our financial instruments, including those identified in Part II, Item 7A, “Quantitative and Qualitative Disclosures about Market Risk” of our Annual Report on Form 10-K for the fiscal year ended November 1, 2025, which was filed with the Securities and Exchange Commission on November 25, 2025. There were no material changes in the three-month period ended January 31, 2026 to the information identified in the Annual Report on Form 10-K for the fiscal year ended November 1, 2025.</w:t>
      </w:r>
    </w:p>
    <w:p>
      <w:pPr>
        <w:spacing w:after="0" w:line="12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January 31, 2026.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31, 2026, our Chief Executive Officer and Chief Financial Officer concluded that, as of such date, our disclosure controls and procedures were effective at the reasonable assurance level.</w:t>
      </w:r>
    </w:p>
    <w:p>
      <w:pPr>
        <w:spacing w:after="0" w:line="10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January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November 1, 2025, which was filed with the Securities and Exchange Commission on November 25, 2025.</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37"/>
        </w:trPr>
        <w:tc>
          <w:tcPr>
            <w:tcW w:w="444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 2025 through November 29, 2025</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9,498,807,744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30, 2025 through December 27,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9,318,868,023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2025 through January 31,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9,148,258,473</w:t>
            </w:r>
          </w:p>
        </w:tc>
        <w:tc>
          <w:tcPr>
            <w:tcW w:w="0" w:type="dxa"/>
            <w:vAlign w:val="bottom"/>
          </w:tcPr>
          <w:p>
            <w:pPr>
              <w:spacing w:after="0"/>
              <w:rPr>
                <w:sz w:val="1"/>
                <w:szCs w:val="1"/>
                <w:color w:val="auto"/>
              </w:rPr>
            </w:pPr>
          </w:p>
        </w:tc>
      </w:tr>
      <w:tr>
        <w:trPr>
          <w:trHeight w:val="223"/>
        </w:trPr>
        <w:tc>
          <w:tcPr>
            <w:tcW w:w="44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1,910,878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1,877,916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9,148,258,473</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620" w:hanging="328"/>
        <w:spacing w:after="0" w:line="261"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32,961 shares withheld by us from employees to satisfy employee tax obligations upon vesting of restricted stock units/awards granted to our employees under our equity compensation plans.</w:t>
      </w:r>
    </w:p>
    <w:p>
      <w:pPr>
        <w:ind w:left="660" w:right="16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20" w:hanging="328"/>
        <w:spacing w:after="0" w:line="255"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w:t>
      </w:r>
    </w:p>
    <w:p>
      <w:pPr>
        <w:spacing w:after="0" w:line="16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or terminated by our directors or officers during the first quarter of fiscal 2026 that are intended to satisfy the affirmative defense conditions of Rule 10b5-1(c) under the Exchange Act (Rule 10b5-1 trading arrangement).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6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5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0" w:type="dxa"/>
            <w:vAlign w:val="bottom"/>
          </w:tcPr>
          <w:p>
            <w:pPr>
              <w:spacing w:after="0"/>
              <w:rPr>
                <w:sz w:val="1"/>
                <w:szCs w:val="1"/>
                <w:color w:val="auto"/>
              </w:rPr>
            </w:pPr>
          </w:p>
        </w:tc>
      </w:tr>
      <w:tr>
        <w:trPr>
          <w:trHeight w:val="146"/>
        </w:trPr>
        <w:tc>
          <w:tcPr>
            <w:tcW w:w="31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660" w:type="dxa"/>
            <w:vAlign w:val="bottom"/>
            <w:vMerge w:val="continue"/>
          </w:tcPr>
          <w:p>
            <w:pPr>
              <w:spacing w:after="0"/>
              <w:rPr>
                <w:sz w:val="12"/>
                <w:szCs w:val="12"/>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1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 Purchased or</w:t>
            </w:r>
          </w:p>
        </w:tc>
        <w:tc>
          <w:tcPr>
            <w:tcW w:w="0" w:type="dxa"/>
            <w:vAlign w:val="bottom"/>
          </w:tcPr>
          <w:p>
            <w:pPr>
              <w:spacing w:after="0"/>
              <w:rPr>
                <w:sz w:val="1"/>
                <w:szCs w:val="1"/>
                <w:color w:val="auto"/>
              </w:rPr>
            </w:pPr>
          </w:p>
        </w:tc>
      </w:tr>
      <w:tr>
        <w:trPr>
          <w:trHeight w:val="198"/>
        </w:trPr>
        <w:tc>
          <w:tcPr>
            <w:tcW w:w="31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6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520" w:type="dxa"/>
            <w:vAlign w:val="bottom"/>
            <w:vMerge w:val="continue"/>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jc w:val="center"/>
              <w:ind w:right="35"/>
              <w:spacing w:after="0" w:line="181" w:lineRule="exact"/>
              <w:rPr>
                <w:sz w:val="20"/>
                <w:szCs w:val="20"/>
                <w:color w:val="auto"/>
              </w:rPr>
            </w:pPr>
            <w:r>
              <w:rPr>
                <w:rFonts w:ascii="Times New Roman" w:cs="Times New Roman" w:eastAsia="Times New Roman" w:hAnsi="Times New Roman"/>
                <w:sz w:val="18"/>
                <w:szCs w:val="18"/>
                <w:color w:val="auto"/>
                <w:w w:val="98"/>
              </w:rPr>
              <w:t>Vincent Roche</w:t>
            </w:r>
          </w:p>
        </w:tc>
        <w:tc>
          <w:tcPr>
            <w:tcW w:w="10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5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Until May 3, 2027, or such earlier date upon</w:t>
            </w: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Sale of up to</w:t>
            </w:r>
          </w:p>
        </w:tc>
        <w:tc>
          <w:tcPr>
            <w:tcW w:w="0" w:type="dxa"/>
            <w:vAlign w:val="bottom"/>
          </w:tcPr>
          <w:p>
            <w:pPr>
              <w:spacing w:after="0"/>
              <w:rPr>
                <w:sz w:val="1"/>
                <w:szCs w:val="1"/>
                <w:color w:val="auto"/>
              </w:rPr>
            </w:pPr>
          </w:p>
        </w:tc>
      </w:tr>
      <w:tr>
        <w:trPr>
          <w:trHeight w:val="81"/>
        </w:trPr>
        <w:tc>
          <w:tcPr>
            <w:tcW w:w="3100" w:type="dxa"/>
            <w:vAlign w:val="bottom"/>
            <w:vMerge w:val="restart"/>
            <w:shd w:val="clear" w:color="auto" w:fill="CCEEFF"/>
          </w:tcPr>
          <w:p>
            <w:pPr>
              <w:jc w:val="center"/>
              <w:ind w:right="35"/>
              <w:spacing w:after="0" w:line="184" w:lineRule="exact"/>
              <w:rPr>
                <w:sz w:val="20"/>
                <w:szCs w:val="20"/>
                <w:color w:val="auto"/>
              </w:rPr>
            </w:pPr>
            <w:r>
              <w:rPr>
                <w:rFonts w:ascii="Times New Roman" w:cs="Times New Roman" w:eastAsia="Times New Roman" w:hAnsi="Times New Roman"/>
                <w:sz w:val="18"/>
                <w:szCs w:val="18"/>
                <w:color w:val="auto"/>
              </w:rPr>
              <w:t>Chief Executive Officer and Chair of the</w:t>
            </w:r>
          </w:p>
        </w:tc>
        <w:tc>
          <w:tcPr>
            <w:tcW w:w="104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vMerge w:val="restart"/>
            <w:shd w:val="clear" w:color="auto" w:fill="CCEEFF"/>
          </w:tcPr>
          <w:p>
            <w:pPr>
              <w:jc w:val="center"/>
              <w:ind w:left="2"/>
              <w:spacing w:after="0" w:line="184" w:lineRule="exact"/>
              <w:rPr>
                <w:sz w:val="20"/>
                <w:szCs w:val="20"/>
                <w:color w:val="auto"/>
              </w:rPr>
            </w:pPr>
            <w:r>
              <w:rPr>
                <w:rFonts w:ascii="Times New Roman" w:cs="Times New Roman" w:eastAsia="Times New Roman" w:hAnsi="Times New Roman"/>
                <w:sz w:val="18"/>
                <w:szCs w:val="18"/>
                <w:color w:val="auto"/>
              </w:rPr>
              <w:t>December 3, 2025</w:t>
            </w:r>
          </w:p>
        </w:tc>
        <w:tc>
          <w:tcPr>
            <w:tcW w:w="352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which all transactions are completed or expire</w:t>
            </w:r>
          </w:p>
        </w:tc>
        <w:tc>
          <w:tcPr>
            <w:tcW w:w="19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10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660" w:type="dxa"/>
            <w:vAlign w:val="bottom"/>
            <w:vMerge w:val="continue"/>
            <w:shd w:val="clear" w:color="auto" w:fill="CCEEFF"/>
          </w:tcPr>
          <w:p>
            <w:pPr>
              <w:spacing w:after="0"/>
              <w:rPr>
                <w:sz w:val="8"/>
                <w:szCs w:val="8"/>
                <w:color w:val="auto"/>
              </w:rPr>
            </w:pPr>
          </w:p>
        </w:tc>
        <w:tc>
          <w:tcPr>
            <w:tcW w:w="3520" w:type="dxa"/>
            <w:vAlign w:val="bottom"/>
            <w:vMerge w:val="continue"/>
            <w:shd w:val="clear" w:color="auto" w:fill="CCEEFF"/>
          </w:tcPr>
          <w:p>
            <w:pPr>
              <w:spacing w:after="0"/>
              <w:rPr>
                <w:sz w:val="8"/>
                <w:szCs w:val="8"/>
                <w:color w:val="auto"/>
              </w:rPr>
            </w:pP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120,000 shares</w:t>
            </w:r>
          </w:p>
        </w:tc>
        <w:tc>
          <w:tcPr>
            <w:tcW w:w="0" w:type="dxa"/>
            <w:vAlign w:val="bottom"/>
          </w:tcPr>
          <w:p>
            <w:pPr>
              <w:spacing w:after="0"/>
              <w:rPr>
                <w:sz w:val="1"/>
                <w:szCs w:val="1"/>
                <w:color w:val="auto"/>
              </w:rPr>
            </w:pPr>
          </w:p>
        </w:tc>
      </w:tr>
      <w:tr>
        <w:trPr>
          <w:trHeight w:val="131"/>
        </w:trPr>
        <w:tc>
          <w:tcPr>
            <w:tcW w:w="3100" w:type="dxa"/>
            <w:vAlign w:val="bottom"/>
            <w:vMerge w:val="restart"/>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10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1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100" w:type="dxa"/>
            <w:vAlign w:val="bottom"/>
            <w:vMerge w:val="continue"/>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3520" w:type="dxa"/>
            <w:vAlign w:val="bottom"/>
            <w:vMerge w:val="continue"/>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adopted or terminated a non-Rule 10b5-1 trading arrangement (as defined in Item 408(c) of Regulation S-K) during the first quarter of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6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46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Global Non-Qualified Stock Option Agreement for Employees for usage under the Company’s 2020 Equity Incentive Plan</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6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December 9, 2025.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60" w:type="dxa"/>
            <w:vAlign w:val="bottom"/>
          </w:tcPr>
          <w:p>
            <w:pPr>
              <w:spacing w:after="0"/>
              <w:rPr>
                <w:sz w:val="18"/>
                <w:szCs w:val="18"/>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Form of Global Restricted Stock Unit Agreement for Employees for usage under the Company’s 2020 Equity Incentive Plan adopted</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December 9, 2025.</w:t>
            </w:r>
          </w:p>
        </w:tc>
        <w:tc>
          <w:tcPr>
            <w:tcW w:w="82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460" w:type="dxa"/>
            <w:vAlign w:val="bottom"/>
          </w:tcPr>
          <w:p>
            <w:pPr>
              <w:spacing w:after="0"/>
              <w:rPr>
                <w:sz w:val="18"/>
                <w:szCs w:val="18"/>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for Non-Employee Directors for usage under the Company’s 2020 Equity Incentive Plan</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adopted December 9, 2025.</w:t>
            </w: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460" w:type="dxa"/>
            <w:vAlign w:val="bottom"/>
          </w:tcPr>
          <w:p>
            <w:pPr>
              <w:spacing w:after="0"/>
              <w:rPr>
                <w:sz w:val="18"/>
                <w:szCs w:val="18"/>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Financial Metric Performance Restricted Stock Unit Agreement for Employees for usage under the Company's 2020 Equity</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54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Incentive Plan adopted December 9, 2025.</w:t>
            </w:r>
          </w:p>
        </w:tc>
        <w:tc>
          <w:tcPr>
            <w:tcW w:w="60" w:type="dxa"/>
            <w:vAlign w:val="bottom"/>
            <w:gridSpan w:val="2"/>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460" w:type="dxa"/>
            <w:vAlign w:val="bottom"/>
          </w:tcPr>
          <w:p>
            <w:pPr>
              <w:spacing w:after="0"/>
              <w:rPr>
                <w:sz w:val="18"/>
                <w:szCs w:val="18"/>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Relative Total Shareholder Return Performance Restricted Stock Unit Agreement for Employees for usage under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Company's 2020 Equity Incentive Plan adopted December 9, 2025.</w:t>
            </w:r>
          </w:p>
        </w:tc>
        <w:tc>
          <w:tcPr>
            <w:tcW w:w="34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460" w:type="dxa"/>
            <w:vAlign w:val="bottom"/>
          </w:tcPr>
          <w:p>
            <w:pPr>
              <w:spacing w:after="0"/>
              <w:rPr>
                <w:sz w:val="18"/>
                <w:szCs w:val="18"/>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5"/>
          </w:tcPr>
          <w:p>
            <w:pPr>
              <w:spacing w:after="0"/>
              <w:rPr>
                <w:sz w:val="14"/>
                <w:szCs w:val="14"/>
                <w:color w:val="auto"/>
              </w:rPr>
            </w:pPr>
          </w:p>
        </w:tc>
        <w:tc>
          <w:tcPr>
            <w:tcW w:w="240" w:type="dxa"/>
            <w:vAlign w:val="bottom"/>
            <w:gridSpan w:val="5"/>
          </w:tcPr>
          <w:p>
            <w:pPr>
              <w:spacing w:after="0"/>
              <w:rPr>
                <w:sz w:val="14"/>
                <w:szCs w:val="14"/>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60" w:type="dxa"/>
            <w:vAlign w:val="bottom"/>
          </w:tcPr>
          <w:p>
            <w:pPr>
              <w:spacing w:after="0"/>
              <w:rPr>
                <w:sz w:val="18"/>
                <w:szCs w:val="18"/>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36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40" w:type="dxa"/>
            <w:vAlign w:val="bottom"/>
            <w:gridSpan w:val="5"/>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460" w:type="dxa"/>
            <w:vAlign w:val="bottom"/>
          </w:tcPr>
          <w:p>
            <w:pPr>
              <w:spacing w:after="0"/>
              <w:rPr>
                <w:sz w:val="18"/>
                <w:szCs w:val="18"/>
                <w:color w:val="auto"/>
              </w:rPr>
            </w:pPr>
          </w:p>
        </w:tc>
        <w:tc>
          <w:tcPr>
            <w:tcW w:w="5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140" w:type="dxa"/>
            <w:vAlign w:val="bottom"/>
            <w:gridSpan w:val="7"/>
          </w:tcPr>
          <w:p>
            <w:pPr>
              <w:spacing w:after="0"/>
              <w:rPr>
                <w:sz w:val="18"/>
                <w:szCs w:val="18"/>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460" w:type="dxa"/>
            <w:vAlign w:val="bottom"/>
          </w:tcPr>
          <w:p>
            <w:pPr>
              <w:spacing w:after="0"/>
              <w:rPr>
                <w:sz w:val="18"/>
                <w:szCs w:val="18"/>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gridSpan w:val="7"/>
            <w:shd w:val="clear" w:color="auto" w:fill="0000FF"/>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r>
      <w:tr>
        <w:trPr>
          <w:trHeight w:val="205"/>
        </w:trPr>
        <w:tc>
          <w:tcPr>
            <w:tcW w:w="1080" w:type="dxa"/>
            <w:vAlign w:val="bottom"/>
            <w:gridSpan w:val="2"/>
          </w:tcPr>
          <w:p>
            <w:pPr>
              <w:jc w:val="center"/>
              <w:ind w:right="20"/>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17"/>
                <w:szCs w:val="17"/>
                <w:color w:val="auto"/>
              </w:rPr>
            </w:pPr>
          </w:p>
        </w:tc>
        <w:tc>
          <w:tcPr>
            <w:tcW w:w="960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0"/>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46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46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29"/>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0"/>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101.DEF†</w:t>
            </w:r>
          </w:p>
        </w:tc>
        <w:tc>
          <w:tcPr>
            <w:tcW w:w="46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189"/>
        </w:trPr>
        <w:tc>
          <w:tcPr>
            <w:tcW w:w="10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460" w:type="dxa"/>
            <w:vAlign w:val="bottom"/>
          </w:tcPr>
          <w:p>
            <w:pPr>
              <w:spacing w:after="0"/>
              <w:rPr>
                <w:sz w:val="16"/>
                <w:szCs w:val="16"/>
                <w:color w:val="auto"/>
              </w:rPr>
            </w:pPr>
          </w:p>
        </w:tc>
        <w:tc>
          <w:tcPr>
            <w:tcW w:w="96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1540" w:hanging="1050"/>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540" w:hanging="1050"/>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49" w:right="439" w:bottom="1440" w:gutter="0" w:footer="0" w:header="0"/>
        </w:sectPr>
      </w:pPr>
    </w:p>
    <w:bookmarkStart w:id="22" w:name="page23"/>
    <w:bookmarkEnd w:id="2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0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30"/>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1008" w:right="659" w:bottom="1440" w:gutter="0" w:footer="0" w:header="0"/>
        </w:sectPr>
      </w:pPr>
    </w:p>
    <w:bookmarkStart w:id="23" w:name="page24"/>
    <w:bookmarkEnd w:id="23"/>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2020 Equity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terms not defined herein shall have the meanings assigned to such terms in the Plan.</w:t>
      </w:r>
    </w:p>
    <w:p>
      <w:pPr>
        <w:spacing w:after="0" w:line="154" w:lineRule="exact"/>
        <w:rPr>
          <w:sz w:val="20"/>
          <w:szCs w:val="20"/>
          <w:color w:val="auto"/>
        </w:rPr>
      </w:pPr>
    </w:p>
    <w:p>
      <w:pPr>
        <w:ind w:left="340" w:right="20" w:hanging="332"/>
        <w:spacing w:after="0" w:line="245"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22"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0000CC"/>
        </w:rPr>
        <w:t>Date of Grant:</w:t>
        <w:tab/>
        <w:t>Grant Date</w:t>
      </w:r>
    </w:p>
    <w:p>
      <w:pPr>
        <w:spacing w:after="0" w:line="28" w:lineRule="exact"/>
        <w:rPr>
          <w:sz w:val="20"/>
          <w:szCs w:val="20"/>
          <w:color w:val="auto"/>
        </w:rPr>
      </w:pPr>
    </w:p>
    <w:p>
      <w:pPr>
        <w:ind w:left="1300"/>
        <w:spacing w:after="0"/>
        <w:tabs>
          <w:tab w:leader="none" w:pos="3900" w:val="left"/>
        </w:tabs>
        <w:rPr>
          <w:sz w:val="20"/>
          <w:szCs w:val="20"/>
          <w:color w:val="auto"/>
        </w:rPr>
      </w:pPr>
      <w:r>
        <w:rPr>
          <w:rFonts w:ascii="Times New Roman" w:cs="Times New Roman" w:eastAsia="Times New Roman" w:hAnsi="Times New Roman"/>
          <w:sz w:val="16"/>
          <w:szCs w:val="16"/>
          <w:b w:val="1"/>
          <w:bCs w:val="1"/>
          <w:color w:val="0000CC"/>
        </w:rPr>
        <w:t>Number of Option Shares Granted:</w:t>
        <w:tab/>
        <w:t>Number of Awards Granted</w:t>
      </w:r>
    </w:p>
    <w:p>
      <w:pPr>
        <w:spacing w:after="0" w:line="15" w:lineRule="exact"/>
        <w:rPr>
          <w:sz w:val="20"/>
          <w:szCs w:val="20"/>
          <w:color w:val="auto"/>
        </w:rPr>
      </w:pPr>
    </w:p>
    <w:p>
      <w:pPr>
        <w:ind w:left="130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0000CC"/>
        </w:rPr>
        <w:t>Option Exercise Price Per Share:</w:t>
        <w:tab/>
        <w:t>Grant Price</w:t>
      </w:r>
    </w:p>
    <w:p>
      <w:pPr>
        <w:spacing w:after="0" w:line="149" w:lineRule="exact"/>
        <w:rPr>
          <w:sz w:val="20"/>
          <w:szCs w:val="20"/>
          <w:color w:val="auto"/>
        </w:rPr>
      </w:pPr>
    </w:p>
    <w:p>
      <w:pPr>
        <w:ind w:left="340" w:hanging="332"/>
        <w:spacing w:after="0" w:line="245"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Exercise of Option</w:t>
      </w:r>
      <w:r>
        <w:rPr>
          <w:rFonts w:ascii="Times New Roman" w:cs="Times New Roman" w:eastAsia="Times New Roman" w:hAnsi="Times New Roman"/>
          <w:sz w:val="16"/>
          <w:szCs w:val="16"/>
          <w:color w:val="auto"/>
        </w:rPr>
        <w:t>. Subject to the Optionee’s continued employment with the Company or the Employer (as defined in 3(h) below) and other limitations set forth in this Agreement and the Plan, the Option will vest as to a set number of shares on each of the scheduled vesting dates. Vesting Schedule.</w:t>
      </w:r>
    </w:p>
    <w:p>
      <w:pPr>
        <w:spacing w:after="0" w:line="1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9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of Option; Termination of Employment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Option is ten (10) years after the Date of Grant, subject, however, to the early termination provisions set forth herein.</w:t>
      </w:r>
    </w:p>
    <w:p>
      <w:pPr>
        <w:spacing w:after="0" w:line="140" w:lineRule="exact"/>
        <w:rPr>
          <w:rFonts w:ascii="Times New Roman" w:cs="Times New Roman" w:eastAsia="Times New Roman" w:hAnsi="Times New Roman"/>
          <w:sz w:val="16"/>
          <w:szCs w:val="16"/>
          <w:color w:val="auto"/>
        </w:rPr>
      </w:pPr>
    </w:p>
    <w:p>
      <w:pPr>
        <w:ind w:left="660" w:hanging="328"/>
        <w:spacing w:after="0" w:line="245" w:lineRule="auto"/>
        <w:tabs>
          <w:tab w:leader="none" w:pos="6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5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vesting of the Option shall terminate on the date the Optionee </w:t>
      </w:r>
      <w:r>
        <w:rPr>
          <w:rFonts w:ascii="Times New Roman" w:cs="Times New Roman" w:eastAsia="Times New Roman" w:hAnsi="Times New Roman"/>
          <w:sz w:val="16"/>
          <w:szCs w:val="16"/>
          <w:u w:val="single" w:color="auto"/>
          <w:color w:val="auto"/>
        </w:rPr>
        <w:t>voluntarily terminates</w:t>
      </w:r>
      <w:r>
        <w:rPr>
          <w:rFonts w:ascii="Times New Roman" w:cs="Times New Roman" w:eastAsia="Times New Roman" w:hAnsi="Times New Roman"/>
          <w:sz w:val="16"/>
          <w:szCs w:val="16"/>
          <w:color w:val="auto"/>
        </w:rPr>
        <w:t xml:space="preserve"> employment with the Company or the Employer (as defined in Section 3(h))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14"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Option shall terminate on the date the Optionee’s employment with the Company or the Employer is terminated by the Company or one of its subsidiaries </w:t>
      </w:r>
      <w:r>
        <w:rPr>
          <w:rFonts w:ascii="Times New Roman" w:cs="Times New Roman" w:eastAsia="Times New Roman" w:hAnsi="Times New Roman"/>
          <w:sz w:val="16"/>
          <w:szCs w:val="16"/>
          <w:u w:val="single" w:color="auto"/>
          <w:color w:val="auto"/>
        </w:rPr>
        <w:t>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4" w:lineRule="exact"/>
        <w:rPr>
          <w:rFonts w:ascii="Times New Roman" w:cs="Times New Roman" w:eastAsia="Times New Roman" w:hAnsi="Times New Roman"/>
          <w:sz w:val="16"/>
          <w:szCs w:val="16"/>
          <w:color w:val="auto"/>
        </w:rPr>
      </w:pPr>
    </w:p>
    <w:p>
      <w:pPr>
        <w:ind w:left="660" w:hanging="328"/>
        <w:spacing w:after="0" w:line="245" w:lineRule="auto"/>
        <w:tabs>
          <w:tab w:leader="none" w:pos="65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27" w:lineRule="auto"/>
        <w:tabs>
          <w:tab w:leader="none" w:pos="6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652" w:hanging="328"/>
        <w:spacing w:after="0"/>
        <w:tabs>
          <w:tab w:leader="none" w:pos="65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Optionee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 shall terminate. “Disabled” with respect to the Optionee shall have the meaning set forth in Section 409(a)(2)(C) of the Code.</w:t>
      </w:r>
    </w:p>
    <w:p>
      <w:pPr>
        <w:spacing w:after="0" w:line="258" w:lineRule="exact"/>
        <w:rPr>
          <w:rFonts w:ascii="Times New Roman" w:cs="Times New Roman" w:eastAsia="Times New Roman" w:hAnsi="Times New Roman"/>
          <w:sz w:val="16"/>
          <w:szCs w:val="16"/>
          <w:color w:val="auto"/>
        </w:rPr>
      </w:pPr>
    </w:p>
    <w:p>
      <w:pPr>
        <w:jc w:val="both"/>
        <w:ind w:left="652" w:hanging="328"/>
        <w:spacing w:after="0" w:line="223" w:lineRule="auto"/>
        <w:tabs>
          <w:tab w:leader="none" w:pos="65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the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jc w:val="both"/>
        <w:ind w:left="652" w:right="20" w:hanging="328"/>
        <w:spacing w:after="0" w:line="232" w:lineRule="auto"/>
        <w:tabs>
          <w:tab w:leader="none" w:pos="64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14" w:lineRule="exact"/>
        <w:rPr>
          <w:rFonts w:ascii="Times New Roman" w:cs="Times New Roman" w:eastAsia="Times New Roman" w:hAnsi="Times New Roman"/>
          <w:sz w:val="16"/>
          <w:szCs w:val="16"/>
          <w:color w:val="auto"/>
        </w:rPr>
      </w:pPr>
    </w:p>
    <w:p>
      <w:pPr>
        <w:ind w:left="652" w:hanging="328"/>
        <w:spacing w:after="0" w:line="245" w:lineRule="auto"/>
        <w:tabs>
          <w:tab w:leader="none" w:pos="64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Options granted to the Optionee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payment methods may be used to purchase Option Shares:</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cashless exercise in a manner described in Section 5(f)(2)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 payable to the Company.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Optionee of shares of Common Stock (by actual delivery or attestation) in accordance with Section 5(f)(3)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methods.</w:t>
      </w:r>
    </w:p>
    <w:p>
      <w:pPr>
        <w:spacing w:after="0" w:line="14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Option</w:t>
      </w:r>
      <w:r>
        <w:rPr>
          <w:rFonts w:ascii="Times New Roman" w:cs="Times New Roman" w:eastAsia="Times New Roman" w:hAnsi="Times New Roman"/>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This Option is subject to adjustment (including with respect to vesting of the Option Shares) upon certain changes in the Common Stock and certain other events, including a Change in Control Event or a Reorganization Event, as provided in Section 10 of the Plan.</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1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connection with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the Employer and/or any other subsidiary of the Company; (ii) withholding from proceeds of the sale of Option Shares acquired at exercise of the Option either through a voluntary sale or through a mandatory sale arranged by the Company (on the Optionee’s behalf pursuant to this authorization); or (iii) any other method determined by the Company, to the extent permitted under the Plan and applicable laws.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(with no entitlement to the equivalent in shares of Common Stock) or, if not refunded, the Optionee may be able to seek a refund from the applicable tax authorities. If the Company and/or the Employer withhold less than the amount necessary to satisfy the liability for Tax-Related Items, the Optionee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32"/>
          </w:cols>
          <w:pgMar w:left="328" w:top="1440" w:right="339" w:bottom="1440" w:gutter="0" w:footer="0" w:header="0"/>
        </w:sectPr>
      </w:pPr>
    </w:p>
    <w:bookmarkStart w:id="25" w:name="page26"/>
    <w:bookmarkEnd w:id="2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332"/>
        <w:spacing w:after="0"/>
        <w:rPr>
          <w:sz w:val="20"/>
          <w:szCs w:val="20"/>
          <w:color w:val="auto"/>
        </w:rPr>
      </w:pPr>
      <w:r>
        <w:rPr>
          <w:rFonts w:ascii="Times New Roman" w:cs="Times New Roman" w:eastAsia="Times New Roman" w:hAnsi="Times New Roman"/>
          <w:sz w:val="16"/>
          <w:szCs w:val="16"/>
          <w:color w:val="auto"/>
        </w:rPr>
        <w:t>required to pay additional Tax-Related Items directly to the applicable tax authorities or to the Company and/or the Employer.</w:t>
      </w:r>
    </w:p>
    <w:p>
      <w:pPr>
        <w:spacing w:after="0" w:line="140" w:lineRule="exact"/>
        <w:rPr>
          <w:sz w:val="20"/>
          <w:szCs w:val="20"/>
          <w:color w:val="auto"/>
        </w:rPr>
      </w:pPr>
    </w:p>
    <w:p>
      <w:pPr>
        <w:jc w:val="both"/>
        <w:ind w:left="332" w:hanging="332"/>
        <w:spacing w:after="0" w:line="232" w:lineRule="auto"/>
        <w:tabs>
          <w:tab w:leader="none" w:pos="332" w:val="left"/>
        </w:tabs>
        <w:numPr>
          <w:ilvl w:val="0"/>
          <w:numId w:val="1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14" w:lineRule="exact"/>
        <w:rPr>
          <w:sz w:val="20"/>
          <w:szCs w:val="20"/>
          <w:color w:val="auto"/>
        </w:rPr>
      </w:pPr>
    </w:p>
    <w:p>
      <w:pPr>
        <w:ind w:left="332" w:hanging="332"/>
        <w:spacing w:after="0"/>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In accepting the Option, the Optionee acknowledges, understands and agrees that:</w:t>
      </w:r>
    </w:p>
    <w:p>
      <w:pPr>
        <w:spacing w:after="0" w:line="140"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4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may be amended, suspended or terminated by the Company at any time, to the extent permitted by the Plan;</w:t>
      </w:r>
    </w:p>
    <w:p>
      <w:pPr>
        <w:spacing w:after="0" w:line="11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 grants, if any, will be at the sole discretion of the Company;</w:t>
      </w:r>
    </w:p>
    <w:p>
      <w:pPr>
        <w:spacing w:after="0" w:line="14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40" w:lineRule="exact"/>
        <w:rPr>
          <w:rFonts w:ascii="Times New Roman" w:cs="Times New Roman" w:eastAsia="Times New Roman" w:hAnsi="Times New Roman"/>
          <w:sz w:val="16"/>
          <w:szCs w:val="16"/>
          <w:color w:val="auto"/>
        </w:rPr>
      </w:pPr>
    </w:p>
    <w:p>
      <w:pPr>
        <w:jc w:val="both"/>
        <w:ind w:left="652" w:hanging="328"/>
        <w:spacing w:after="0" w:line="227" w:lineRule="auto"/>
        <w:tabs>
          <w:tab w:leader="none" w:pos="65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13"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5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grant and the Optionee’s participation in the Plan will not be interpreted to form or amend an employment or service contract or relationship with the Company or the Employer;</w:t>
      </w:r>
    </w:p>
    <w:p>
      <w:pPr>
        <w:spacing w:after="0" w:line="11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Option Shares underlying the Option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Option Shares do not increase in value, the Option will have no value;</w:t>
      </w:r>
    </w:p>
    <w:p>
      <w:pPr>
        <w:spacing w:after="0" w:line="140" w:lineRule="exact"/>
        <w:rPr>
          <w:rFonts w:ascii="Times New Roman" w:cs="Times New Roman" w:eastAsia="Times New Roman" w:hAnsi="Times New Roman"/>
          <w:sz w:val="16"/>
          <w:szCs w:val="16"/>
          <w:color w:val="auto"/>
        </w:rPr>
      </w:pPr>
    </w:p>
    <w:p>
      <w:pPr>
        <w:ind w:left="652" w:hanging="328"/>
        <w:spacing w:after="0" w:line="242" w:lineRule="auto"/>
        <w:tabs>
          <w:tab w:leader="none" w:pos="64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Option Shares, the value of such Option Shares may increase or decrease in value, even below the Exercise Price;</w:t>
      </w:r>
    </w:p>
    <w:p>
      <w:pPr>
        <w:spacing w:after="0" w:line="30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Optionees who reside outside the U.S. and/or the Company is not the Optionee’s employer, the following additional provisions shall apply:</w:t>
      </w:r>
    </w:p>
    <w:p>
      <w:pPr>
        <w:spacing w:after="0" w:line="153" w:lineRule="exact"/>
        <w:rPr>
          <w:rFonts w:ascii="Times New Roman" w:cs="Times New Roman" w:eastAsia="Times New Roman" w:hAnsi="Times New Roman"/>
          <w:sz w:val="16"/>
          <w:szCs w:val="16"/>
          <w:color w:val="auto"/>
        </w:rPr>
      </w:pPr>
    </w:p>
    <w:p>
      <w:pPr>
        <w:ind w:left="1292" w:hanging="315"/>
        <w:spacing w:after="0" w:line="298" w:lineRule="auto"/>
        <w:tabs>
          <w:tab w:leader="none" w:pos="1283"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intended to replace any pension rights or compensation;</w:t>
      </w:r>
    </w:p>
    <w:p>
      <w:pPr>
        <w:spacing w:after="0" w:line="96" w:lineRule="exact"/>
        <w:rPr>
          <w:rFonts w:ascii="Times New Roman" w:cs="Times New Roman" w:eastAsia="Times New Roman" w:hAnsi="Times New Roman"/>
          <w:sz w:val="16"/>
          <w:szCs w:val="16"/>
          <w:color w:val="auto"/>
        </w:rPr>
      </w:pPr>
    </w:p>
    <w:p>
      <w:pPr>
        <w:ind w:left="1292" w:right="20" w:hanging="315"/>
        <w:spacing w:after="0" w:line="298" w:lineRule="auto"/>
        <w:tabs>
          <w:tab w:leader="none" w:pos="1287"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are extraordinary items that do not constitute compensation of any kind for services of any kind rendered to the Company or the Employer, and which are outside the scope of the Optionee’s employment or service contract, if any;</w:t>
      </w:r>
    </w:p>
    <w:p>
      <w:pPr>
        <w:spacing w:after="0" w:line="96" w:lineRule="exact"/>
        <w:rPr>
          <w:rFonts w:ascii="Times New Roman" w:cs="Times New Roman" w:eastAsia="Times New Roman" w:hAnsi="Times New Roman"/>
          <w:sz w:val="16"/>
          <w:szCs w:val="16"/>
          <w:color w:val="auto"/>
        </w:rPr>
      </w:pPr>
    </w:p>
    <w:p>
      <w:pPr>
        <w:jc w:val="both"/>
        <w:ind w:left="1292" w:hanging="315"/>
        <w:spacing w:after="0" w:line="272" w:lineRule="auto"/>
        <w:tabs>
          <w:tab w:leader="none" w:pos="1292"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w:t>
      </w:r>
    </w:p>
    <w:p>
      <w:pPr>
        <w:spacing w:after="0" w:line="116" w:lineRule="exact"/>
        <w:rPr>
          <w:rFonts w:ascii="Times New Roman" w:cs="Times New Roman" w:eastAsia="Times New Roman" w:hAnsi="Times New Roman"/>
          <w:sz w:val="16"/>
          <w:szCs w:val="16"/>
          <w:color w:val="auto"/>
        </w:rPr>
      </w:pPr>
    </w:p>
    <w:p>
      <w:pPr>
        <w:jc w:val="both"/>
        <w:ind w:left="1292" w:hanging="315"/>
        <w:spacing w:after="0" w:line="272" w:lineRule="auto"/>
        <w:tabs>
          <w:tab w:leader="none" w:pos="1283"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operated and the Option is granted solely by the Company and only the Company is a party to this Agreement; accordingly, any rights the Optionee may have under this Agreement may be raised against the Company but not any parent or subsidiary of the Company (including, but not limited to, the Employer);</w:t>
      </w:r>
    </w:p>
    <w:p>
      <w:pPr>
        <w:spacing w:after="0" w:line="197" w:lineRule="exact"/>
        <w:rPr>
          <w:rFonts w:ascii="Times New Roman" w:cs="Times New Roman" w:eastAsia="Times New Roman" w:hAnsi="Times New Roman"/>
          <w:sz w:val="16"/>
          <w:szCs w:val="16"/>
          <w:color w:val="auto"/>
        </w:rPr>
      </w:pPr>
    </w:p>
    <w:p>
      <w:pPr>
        <w:ind w:left="1292" w:hanging="315"/>
        <w:spacing w:after="0" w:line="298" w:lineRule="auto"/>
        <w:tabs>
          <w:tab w:leader="none" w:pos="1292"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parent or subsidiary of the Company (including, but not limited to, the Employer) has any obligation to make any payment of any kind to the Optionee under this Agreement; and</w:t>
      </w:r>
    </w:p>
    <w:p>
      <w:pPr>
        <w:spacing w:after="0" w:line="96" w:lineRule="exact"/>
        <w:rPr>
          <w:rFonts w:ascii="Times New Roman" w:cs="Times New Roman" w:eastAsia="Times New Roman" w:hAnsi="Times New Roman"/>
          <w:sz w:val="16"/>
          <w:szCs w:val="16"/>
          <w:color w:val="auto"/>
        </w:rPr>
      </w:pPr>
    </w:p>
    <w:p>
      <w:pPr>
        <w:jc w:val="both"/>
        <w:ind w:left="1292" w:hanging="315"/>
        <w:spacing w:after="0" w:line="272" w:lineRule="auto"/>
        <w:tabs>
          <w:tab w:leader="none" w:pos="1283"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(i) forfeiture of the Option resulting from termination of the Optionee’s employment by the Company or the Employer (regardless of the reason for such termination and whether or not later found to be invalid or in breach of applicable laws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32"/>
          </w:cols>
          <w:pgMar w:left="328" w:top="1440" w:right="339" w:bottom="1440" w:gutter="0" w:footer="0" w:header="0"/>
        </w:sectPr>
      </w:pPr>
    </w:p>
    <w:bookmarkStart w:id="26" w:name="page27"/>
    <w:bookmarkEnd w:id="26"/>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1292"/>
        <w:spacing w:after="0" w:line="298" w:lineRule="auto"/>
        <w:rPr>
          <w:sz w:val="20"/>
          <w:szCs w:val="20"/>
          <w:color w:val="auto"/>
        </w:rPr>
      </w:pPr>
      <w:r>
        <w:rPr>
          <w:rFonts w:ascii="Times New Roman" w:cs="Times New Roman" w:eastAsia="Times New Roman" w:hAnsi="Times New Roman"/>
          <w:sz w:val="16"/>
          <w:szCs w:val="16"/>
          <w:color w:val="auto"/>
        </w:rPr>
        <w:t>jurisdiction where the Optionee is employed or the terms of the Optionee’s employment agreement, if any) or (ii) forfeiture of the Option or the recoupment of any financial gain from the Option as described in Section 16 hereof.</w:t>
      </w:r>
    </w:p>
    <w:p>
      <w:pPr>
        <w:spacing w:after="0" w:line="83" w:lineRule="exact"/>
        <w:rPr>
          <w:sz w:val="20"/>
          <w:szCs w:val="20"/>
          <w:color w:val="auto"/>
        </w:rPr>
      </w:pPr>
    </w:p>
    <w:p>
      <w:pPr>
        <w:jc w:val="both"/>
        <w:ind w:left="332" w:right="20" w:hanging="332"/>
        <w:spacing w:after="0" w:line="232"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xml:space="preserve">. This Agreement shall be binding upon and inure to the benefit of the Company and the Optionee and his or her </w:t>
      </w:r>
      <w:r>
        <w:rPr>
          <w:rFonts w:ascii="Times New Roman" w:cs="Times New Roman" w:eastAsia="Times New Roman" w:hAnsi="Times New Roman"/>
          <w:sz w:val="16"/>
          <w:szCs w:val="16"/>
          <w:u w:val="single" w:color="auto"/>
          <w:color w:val="auto"/>
        </w:rPr>
        <w:t>respective</w:t>
      </w:r>
      <w:r>
        <w:rPr>
          <w:rFonts w:ascii="Times New Roman" w:cs="Times New Roman" w:eastAsia="Times New Roman" w:hAnsi="Times New Roman"/>
          <w:sz w:val="16"/>
          <w:szCs w:val="16"/>
          <w:color w:val="auto"/>
        </w:rPr>
        <w:t xml:space="preserve"> heirs, executors, administrators, legal representatives, successors and assigns, subject to the restrictions on transfer set forth in Section 5 of this Agreement.</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2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3"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6"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18" w:lineRule="exact"/>
        <w:rPr>
          <w:rFonts w:ascii="Times New Roman" w:cs="Times New Roman" w:eastAsia="Times New Roman" w:hAnsi="Times New Roman"/>
          <w:sz w:val="16"/>
          <w:szCs w:val="16"/>
          <w:color w:val="auto"/>
        </w:rPr>
      </w:pPr>
    </w:p>
    <w:p>
      <w:pPr>
        <w:jc w:val="both"/>
        <w:ind w:left="332" w:hanging="332"/>
        <w:spacing w:after="0" w:line="218"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Option and any cash payment or Option Shares delivered pursuant to the Option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Option and any Option Shares issued upon exercise of the Option,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Optionee expressly and explicitly authorizes the Company to issue instructions, on the Optionee’s behalf, to any brokerage firm or stock plan service provider engaged by the Company to hold any Option Shares or other amounts acquired pursuant to the Option to re-convey, transfer or otherwise return such Option Shares and/or other amounts to the Company upon the Company’s enforcement of the Clawback Policy.</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&amp; Talent Committee of the Board (the “Committee”) shall be final and conclusive.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Optionee’s Acceptance</w:t>
      </w:r>
      <w:r>
        <w:rPr>
          <w:rFonts w:ascii="Times New Roman" w:cs="Times New Roman" w:eastAsia="Times New Roman" w:hAnsi="Times New Roman"/>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current or future participation in the Plan by electronic means. The Optionee hereby consents to receive such documents by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32"/>
          </w:cols>
          <w:pgMar w:left="328" w:top="1440" w:right="339" w:bottom="1440" w:gutter="0" w:footer="0" w:header="0"/>
        </w:sectPr>
      </w:pPr>
    </w:p>
    <w:bookmarkStart w:id="27" w:name="page28"/>
    <w:bookmarkEnd w:id="2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332"/>
        <w:spacing w:after="0" w:line="245" w:lineRule="auto"/>
        <w:rPr>
          <w:sz w:val="20"/>
          <w:szCs w:val="20"/>
          <w:color w:val="auto"/>
        </w:rPr>
      </w:pPr>
      <w:r>
        <w:rPr>
          <w:rFonts w:ascii="Times New Roman" w:cs="Times New Roman" w:eastAsia="Times New Roman" w:hAnsi="Times New Roman"/>
          <w:sz w:val="16"/>
          <w:szCs w:val="16"/>
          <w:color w:val="auto"/>
        </w:rPr>
        <w:t>delivery and agrees to participate in the Plan through an on-line or electronic system established and maintained by the Company or a third party designated by the Company.</w:t>
      </w:r>
    </w:p>
    <w:p>
      <w:pPr>
        <w:spacing w:after="0" w:line="110" w:lineRule="exact"/>
        <w:rPr>
          <w:sz w:val="20"/>
          <w:szCs w:val="20"/>
          <w:color w:val="auto"/>
        </w:rPr>
      </w:pPr>
    </w:p>
    <w:p>
      <w:pPr>
        <w:jc w:val="both"/>
        <w:ind w:left="332" w:hanging="332"/>
        <w:spacing w:after="0" w:line="227"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and agrees that it is the Optionee’s express intent that this Agreement, the Plan and all other documents, notices and legal proceedings entered into, given or instituted pursuant to the Option, be drawn up in English. If the Optionee has received this Agreement, or any other document related to the Option and/or the Plan translated into a language other than English and if the meaning of the translated version is different than the English version, the English version will control, unless otherwise required by applicable laws.</w:t>
      </w:r>
    </w:p>
    <w:p>
      <w:pPr>
        <w:spacing w:after="0" w:line="113"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The Option shall be subject to any additional provisions set forth in the Appendix for the Optionee’s country of employment and/or residence, if any. If the Optionee relocates to, or otherwise becomes a resident of,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13"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19"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Optionee may be subject to insider trading restrictions and/or market abuse laws, which may affect the Optionee’s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Options)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including fellow employees, or otherwise causing them to buy or sell securities.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20"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32"/>
          </w:cols>
          <w:pgMar w:left="328" w:top="1440"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34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20320</wp:posOffset>
            </wp:positionV>
            <wp:extent cx="26485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60"/>
          </w:cols>
          <w:pgMar w:left="320" w:top="1440" w:right="419" w:bottom="1440" w:gutter="0" w:footer="0" w:header="0"/>
        </w:sectPr>
      </w:pPr>
    </w:p>
    <w:bookmarkStart w:id="29" w:name="page30"/>
    <w:bookmarkEnd w:id="29"/>
    <w:p>
      <w:pPr>
        <w:ind w:left="5112"/>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t>APPENDIX A</w:t>
      </w:r>
    </w:p>
    <w:p>
      <w:pPr>
        <w:spacing w:after="0" w:line="167" w:lineRule="exact"/>
        <w:rPr>
          <w:sz w:val="20"/>
          <w:szCs w:val="20"/>
          <w:color w:val="auto"/>
        </w:rPr>
      </w:pPr>
    </w:p>
    <w:p>
      <w:pPr>
        <w:ind w:left="439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332"/>
        <w:spacing w:after="0" w:line="27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211" w:lineRule="exact"/>
        <w:rPr>
          <w:sz w:val="20"/>
          <w:szCs w:val="20"/>
          <w:color w:val="auto"/>
        </w:rPr>
      </w:pPr>
    </w:p>
    <w:p>
      <w:pPr>
        <w:jc w:val="both"/>
        <w:ind w:left="332"/>
        <w:spacing w:after="0" w:line="26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2025.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220" w:lineRule="exact"/>
        <w:rPr>
          <w:sz w:val="20"/>
          <w:szCs w:val="20"/>
          <w:color w:val="auto"/>
        </w:rPr>
      </w:pPr>
    </w:p>
    <w:p>
      <w:pPr>
        <w:jc w:val="both"/>
        <w:ind w:left="332"/>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211"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6"/>
          <w:szCs w:val="16"/>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0" w:lineRule="exact"/>
        <w:rPr>
          <w:sz w:val="20"/>
          <w:szCs w:val="20"/>
          <w:color w:val="auto"/>
        </w:rPr>
      </w:pPr>
    </w:p>
    <w:p>
      <w:pPr>
        <w:spacing w:after="0" w:line="33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OPTIONEES OUTSIDE THE U.S.</w:t>
      </w:r>
    </w:p>
    <w:p>
      <w:pPr>
        <w:spacing w:after="0" w:line="260" w:lineRule="exact"/>
        <w:rPr>
          <w:sz w:val="20"/>
          <w:szCs w:val="20"/>
          <w:color w:val="auto"/>
        </w:rPr>
      </w:pPr>
    </w:p>
    <w:p>
      <w:pPr>
        <w:jc w:val="both"/>
        <w:ind w:left="332" w:hanging="332"/>
        <w:spacing w:after="0" w:line="275" w:lineRule="auto"/>
        <w:tabs>
          <w:tab w:leader="none" w:pos="332" w:val="left"/>
        </w:tabs>
        <w:numPr>
          <w:ilvl w:val="0"/>
          <w:numId w:val="21"/>
        </w:numPr>
        <w:rPr>
          <w:rFonts w:ascii="Times New Roman" w:cs="Times New Roman" w:eastAsia="Times New Roman" w:hAnsi="Times New Roman"/>
          <w:sz w:val="16"/>
          <w:szCs w:val="16"/>
          <w:b w:val="1"/>
          <w:bCs w:val="1"/>
          <w:color w:val="FFFFFF"/>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204" w:lineRule="exact"/>
        <w:rPr>
          <w:rFonts w:ascii="Times New Roman" w:cs="Times New Roman" w:eastAsia="Times New Roman" w:hAnsi="Times New Roman"/>
          <w:sz w:val="16"/>
          <w:szCs w:val="16"/>
          <w:b w:val="1"/>
          <w:bCs w:val="1"/>
          <w:color w:val="FFFFFF"/>
        </w:rPr>
      </w:pPr>
    </w:p>
    <w:p>
      <w:pPr>
        <w:jc w:val="both"/>
        <w:ind w:left="652" w:hanging="328"/>
        <w:spacing w:after="0" w:line="254" w:lineRule="auto"/>
        <w:tabs>
          <w:tab w:leader="none" w:pos="652" w:val="left"/>
        </w:tabs>
        <w:numPr>
          <w:ilvl w:val="1"/>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 w:lineRule="exact"/>
        <w:rPr>
          <w:rFonts w:ascii="Times New Roman" w:cs="Times New Roman" w:eastAsia="Times New Roman" w:hAnsi="Times New Roman"/>
          <w:sz w:val="16"/>
          <w:szCs w:val="16"/>
          <w:b w:val="1"/>
          <w:bCs w:val="1"/>
          <w:color w:val="auto"/>
        </w:rPr>
      </w:pPr>
    </w:p>
    <w:p>
      <w:pPr>
        <w:jc w:val="both"/>
        <w:ind w:left="652" w:hanging="328"/>
        <w:spacing w:after="0" w:line="217" w:lineRule="auto"/>
        <w:tabs>
          <w:tab w:leader="none" w:pos="652"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13" w:lineRule="exact"/>
        <w:rPr>
          <w:rFonts w:ascii="Times New Roman" w:cs="Times New Roman" w:eastAsia="Times New Roman" w:hAnsi="Times New Roman"/>
          <w:sz w:val="16"/>
          <w:szCs w:val="16"/>
          <w:color w:val="auto"/>
        </w:rPr>
      </w:pPr>
    </w:p>
    <w:p>
      <w:pPr>
        <w:jc w:val="both"/>
        <w:ind w:left="652" w:hanging="328"/>
        <w:spacing w:after="0" w:line="219" w:lineRule="auto"/>
        <w:tabs>
          <w:tab w:leader="none" w:pos="643"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652" w:hanging="328"/>
        <w:spacing w:after="0" w:line="234" w:lineRule="auto"/>
        <w:tabs>
          <w:tab w:leader="none" w:pos="652"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Optionee’s personal data only as long as is necessary to implement, administer and manage the Optionee’s participation in the Plan or as required to comply with applicable laws, exercise or defense of legal rights, and archiving, deletion and backup purposes. This means the Optionee’s personal data may be retained beyond the termination of the Optionee’s employment with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912"/>
          </w:cols>
          <w:pgMar w:left="328" w:top="1028" w:right="6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00" w:hanging="328"/>
        <w:spacing w:after="0" w:line="228" w:lineRule="auto"/>
        <w:tabs>
          <w:tab w:leader="none" w:pos="49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110" w:lineRule="exact"/>
        <w:rPr>
          <w:rFonts w:ascii="Times New Roman" w:cs="Times New Roman" w:eastAsia="Times New Roman" w:hAnsi="Times New Roman"/>
          <w:sz w:val="16"/>
          <w:szCs w:val="16"/>
          <w:color w:val="auto"/>
        </w:rPr>
      </w:pPr>
    </w:p>
    <w:p>
      <w:pPr>
        <w:jc w:val="both"/>
        <w:ind w:left="500" w:hanging="328"/>
        <w:spacing w:after="0" w:line="222"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Optionee may have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180" w:right="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229"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holds securities (including Option Shares acquired under the Plan) or cash (including proceeds from the sale of Option Shares) outside Austria, he or she may be subject to reporting obligations to the Austrian National Bank. If the value of the Option Shares meets or exceeds a certain threshold, the Optionee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If the Optionee sells Option Shares, or receives any cash dividends, the Optionee may have exchange control obligations if he or she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using the prescribed forms.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7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Taxation of Option</w:t>
      </w:r>
      <w:r>
        <w:rPr>
          <w:rFonts w:ascii="Times New Roman" w:cs="Times New Roman" w:eastAsia="Times New Roman" w:hAnsi="Times New Roman"/>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232"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report any securities (e.g., Option Shares) or bank accounts opened and maintained outside Belgium on his or her annual tax return. The first time Belgian residents report such an account on their annual income tax return, they are also required to complete a separate report providing certain details regarding such foreign accounts (including the account number, bank name and country in which such account was opened) to the Central Contact Point of the National Bank of Belgium. The forms to complete this report are available on the website of the National Bank of Belgium.</w:t>
      </w:r>
    </w:p>
    <w:p>
      <w:pPr>
        <w:spacing w:after="0" w:line="222"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0760"/>
          </w:cols>
          <w:pgMar w:left="480" w:top="1440" w:right="65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December 31, March 31, June 30 and September 30). In such case, the tax will be due on the value of the qualifying securities held in such account. The Optionee should consult with his or her personal tax or financial advisor for additional details.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62" w:lineRule="exact"/>
        <w:rPr>
          <w:sz w:val="20"/>
          <w:szCs w:val="20"/>
          <w:color w:val="auto"/>
        </w:rPr>
      </w:pPr>
    </w:p>
    <w:p>
      <w:pPr>
        <w:jc w:val="both"/>
        <w:ind w:left="180"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Non-Qualified Securities</w:t>
      </w:r>
      <w:r>
        <w:rPr>
          <w:rFonts w:ascii="Times New Roman" w:cs="Times New Roman" w:eastAsia="Times New Roman" w:hAnsi="Times New Roman"/>
          <w:sz w:val="16"/>
          <w:szCs w:val="16"/>
          <w:color w:val="auto"/>
        </w:rPr>
        <w:t xml:space="preserve">. All or a portion of the Option Shares may be “non-qualified securities” within the meaning of the </w:t>
      </w:r>
      <w:r>
        <w:rPr>
          <w:rFonts w:ascii="Times New Roman" w:cs="Times New Roman" w:eastAsia="Times New Roman" w:hAnsi="Times New Roman"/>
          <w:sz w:val="16"/>
          <w:szCs w:val="16"/>
          <w:i w:val="1"/>
          <w:iCs w:val="1"/>
          <w:color w:val="auto"/>
        </w:rPr>
        <w:t>Income Tax Act</w:t>
      </w:r>
      <w:r>
        <w:rPr>
          <w:rFonts w:ascii="Times New Roman" w:cs="Times New Roman" w:eastAsia="Times New Roman" w:hAnsi="Times New Roman"/>
          <w:sz w:val="16"/>
          <w:szCs w:val="16"/>
          <w:color w:val="auto"/>
        </w:rPr>
        <w:t xml:space="preserve"> (Canada). The Company will provide the Optionee with additional information and/or appropriate notification regarding the characterization of the Option for Canadian income tax purposes as may be required by the </w:t>
      </w:r>
      <w:r>
        <w:rPr>
          <w:rFonts w:ascii="Times New Roman" w:cs="Times New Roman" w:eastAsia="Times New Roman" w:hAnsi="Times New Roman"/>
          <w:sz w:val="16"/>
          <w:szCs w:val="16"/>
          <w:i w:val="1"/>
          <w:iCs w:val="1"/>
          <w:color w:val="auto"/>
        </w:rPr>
        <w:t>Income Tax Act</w:t>
      </w:r>
      <w:r>
        <w:rPr>
          <w:rFonts w:ascii="Times New Roman" w:cs="Times New Roman" w:eastAsia="Times New Roman" w:hAnsi="Times New Roman"/>
          <w:sz w:val="16"/>
          <w:szCs w:val="16"/>
          <w:color w:val="auto"/>
        </w:rPr>
        <w:t xml:space="preserve"> (Canada) and the regulations thereunder.</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Compensation or Salary</w:t>
      </w:r>
      <w:r>
        <w:rPr>
          <w:rFonts w:ascii="Times New Roman" w:cs="Times New Roman" w:eastAsia="Times New Roman" w:hAnsi="Times New Roman"/>
          <w:sz w:val="16"/>
          <w:szCs w:val="16"/>
          <w:color w:val="auto"/>
        </w:rPr>
        <w:t>. This provision replaces Section 8(f) of the Agreement:</w:t>
      </w:r>
    </w:p>
    <w:p>
      <w:pPr>
        <w:spacing w:after="0" w:line="275"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Obligation to Make Payment</w:t>
      </w:r>
      <w:r>
        <w:rPr>
          <w:rFonts w:ascii="Times New Roman" w:cs="Times New Roman" w:eastAsia="Times New Roman" w:hAnsi="Times New Roman"/>
          <w:sz w:val="16"/>
          <w:szCs w:val="16"/>
          <w:color w:val="auto"/>
        </w:rPr>
        <w:t>. This provision replaces Section 8(k)(v) of the Agreement:</w:t>
      </w:r>
    </w:p>
    <w:p>
      <w:pPr>
        <w:spacing w:after="0" w:line="26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parent or subsidiary of the Company (including, but not limited to, the Employer) has any obligation to make any payment of any kind to the Optionee under this Agreement.</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Compensation for Forfeiture</w:t>
      </w:r>
      <w:r>
        <w:rPr>
          <w:rFonts w:ascii="Times New Roman" w:cs="Times New Roman" w:eastAsia="Times New Roman" w:hAnsi="Times New Roman"/>
          <w:sz w:val="16"/>
          <w:szCs w:val="16"/>
          <w:color w:val="auto"/>
        </w:rPr>
        <w:t>. This provision replaces Section 8(k)(vi)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claim or entitlement to compensation or damages shall arise from (i) forfeiture of the Option resulting from termination of the Optionee’s employment by the Company or the Employer (regardless of the reason for such termination and whether or not later found to be invalid or in breach of applicable laws in the jurisdiction where the Optionee is employed or the terms of the Optionee’s employment agreement, if any) or (ii) forfeiture of the Option or the recoupment of any financial gain from the Option as described in Section 16 hereof.</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Payment of Exercise Price and Withholding Taxes</w:t>
      </w:r>
      <w:r>
        <w:rPr>
          <w:rFonts w:ascii="Times New Roman" w:cs="Times New Roman" w:eastAsia="Times New Roman" w:hAnsi="Times New Roman"/>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The Company reserves the right to permit the Optionee to exercise the Option and pay the Exercise Price and any applicable Tax-Related Items in Option Shares to the extent permitted by the Plan.</w:t>
      </w:r>
    </w:p>
    <w:p>
      <w:pPr>
        <w:spacing w:after="0" w:line="220"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3 of the Agreement (except Section 3(g) regarding disability) as well as any other section required to give effect to the same:</w:t>
      </w:r>
    </w:p>
    <w:p>
      <w:pPr>
        <w:spacing w:after="0" w:line="205"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In the event of termination of the Optionee’s employment for any reason (other than by reason of the Optionee’s death), either by the Optionee or by the Employer, with or without cause, and except as explicitly and minimally required under applicable legislation, the Optionee's right to earn, seek damages in lieu of, vest in, or otherwise benefit from the Option under the Plan, if any, will terminate, and the Optionee’s right to exercise the Option will be measured , as of the actual Date of Termination. For this purpose, “Date of Termination” shall mean the date the Optionee is no longer actually providing service to the Company or the Employer, regardless of the reason for such termination and whether or not later found to be invalid or in breach of applicable laws in the jurisdiction where the Optionee is employed or the terms of the Optionee’s employment agreement, if any. Except as explicitly and minimally required under applicable legislation, the Date of Termination shall not include or be extended by any period during which the Optionee is in receipt of or eligible to receive any notice of termination, pay in lieu of notice of termination, severance pay or any other payments or damages, whether arising under statute, contract, common/civil law or otherwise. For greater certainty, the Optionee will not earn or be entitled to any pro-rated vesting, extended exercisability, or other benefits or participation in the Plan for that portion of time before the Date of Termination, nor will the Optionee be entitled to any compensation for lost vesting, exercisability, benefits, or other participation.</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440" w:right="65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or other participation in the Plan during a statutory notice period, the Optionee’s right to vest in the Option or otherwise benefit from the Option under the Plan, if any, will terminate effective as of the last day of the Optionee’s minimum statutory notice period, but the Optionee will not earn or be entitled to pro-rated vesting or other benefits or participation if the vesting date falls after the end of the Optionee’s statutory notice period, nor will the Optionee be entitled to any compensation for lost vesting, benefits, or other participation. For further clarity, any reference to a termination of the Optionee’s employment or a termination date under this Agreement or the Plan will be interpreted to mean the Date of Termination.</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Subject to applicable legislation, if the date the Optionee is no longer actually providing services cannot be reasonably determined under</w:t>
      </w:r>
    </w:p>
    <w:p>
      <w:pPr>
        <w:spacing w:after="0" w:line="26" w:lineRule="exact"/>
        <w:rPr>
          <w:sz w:val="20"/>
          <w:szCs w:val="20"/>
          <w:color w:val="auto"/>
        </w:rPr>
      </w:pPr>
    </w:p>
    <w:p>
      <w:pPr>
        <w:jc w:val="both"/>
        <w:ind w:left="180" w:right="20"/>
        <w:spacing w:after="0" w:line="270" w:lineRule="auto"/>
        <w:rPr>
          <w:sz w:val="20"/>
          <w:szCs w:val="20"/>
          <w:color w:val="auto"/>
        </w:rPr>
      </w:pPr>
      <w:r>
        <w:rPr>
          <w:rFonts w:ascii="Times New Roman" w:cs="Times New Roman" w:eastAsia="Times New Roman" w:hAnsi="Times New Roman"/>
          <w:sz w:val="16"/>
          <w:szCs w:val="16"/>
          <w:color w:val="auto"/>
        </w:rPr>
        <w:t>the terms of this Agreement or the Plan, the Committee shall have the exclusive discretion to determine when the Optionee is no longer actually providing services for purposes of the Option.</w:t>
      </w:r>
    </w:p>
    <w:p>
      <w:pPr>
        <w:spacing w:after="0" w:line="213"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211"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a certain threshold (currently, C$100,000) at any time during the year. Foreign specified property may also include the unvested portion of the Options. The Options must be reported (generally at a nil cost) if the applicable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Optionee is in Quebec:</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Optionees Outside the U.S. set forth above:</w:t>
      </w:r>
    </w:p>
    <w:p>
      <w:pPr>
        <w:spacing w:after="0" w:line="205"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acknowledges that his or her personal information, may be transferred or disclosed outside the Province of Quebec, including to the United States. The Optionee further authorizes the Company and the Employer to record such information and to keep such information in the Optionee’s employee file. The Optionee also acknowledges that the Company, Fidelity, and the Employer may use technology of profiling purposes and to make automated decisions that may have an impact on the Optionee or the administration of the Plan.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73" w:lineRule="exact"/>
        <w:rPr>
          <w:sz w:val="20"/>
          <w:szCs w:val="20"/>
          <w:color w:val="auto"/>
        </w:rPr>
      </w:pPr>
    </w:p>
    <w:p>
      <w:pPr>
        <w:jc w:val="both"/>
        <w:ind w:left="180"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0"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subsidiary or affiliate of the Company.</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440" w:right="65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supplements Section 4 of the Agreement:</w:t>
      </w:r>
    </w:p>
    <w:p>
      <w:pPr>
        <w:spacing w:after="0" w:line="262"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22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220"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22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Notice of Grant</w:t>
      </w:r>
      <w:r>
        <w:rPr>
          <w:rFonts w:ascii="Times New Roman" w:cs="Times New Roman" w:eastAsia="Times New Roman" w:hAnsi="Times New Roman"/>
          <w:sz w:val="16"/>
          <w:szCs w:val="16"/>
          <w:color w:val="auto"/>
        </w:rPr>
        <w:t>. This provision supplements Section 8 in the Agreement:</w:t>
      </w:r>
    </w:p>
    <w:p>
      <w:pPr>
        <w:spacing w:after="0" w:line="26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440" w:right="65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Optionee understands that he or she would generally not be subject to taxation in Estonia when the Option is exercised and Shares are issued under the Plan, and that the Employer would generally be subject to fringe benefits tax (“FBT”) due, unless an exemption applies. Notwithstanding the foregoing, as a condition to the Optionee’s participation in the Plan, the Optionee agrees and consents that the Company and/or the Employer may in their discretion seek indemnification / reimbursement from the Optionee for any FBT the Employer is required to pay, has paid or will pay. If the Company and/or the Employer exercise such discretion and choose to seek indemnification / reimbursement from the Optionee, they will reduce the number of Shares otherwise issuable to the Optionee by an amount determined by the Company to be appropriate to offset the FBT, and may otherwise recover the FBT by any other means referred to in Section 7 of the Agreement. The Optionee further acknowledges that the discretion of the Company and/or Employer to seek indemnification for the FBT is not imbalanced or harmful to the Optionee, and the Optionee unconditionally and irrevocably waives any rights to amend or dispute its validity on the basis of any law or regulation of Estonia or any other jurisdiction.</w:t>
      </w:r>
    </w:p>
    <w:p>
      <w:pPr>
        <w:spacing w:after="0" w:line="223" w:lineRule="exact"/>
        <w:rPr>
          <w:sz w:val="20"/>
          <w:szCs w:val="20"/>
          <w:color w:val="auto"/>
        </w:rPr>
      </w:pPr>
    </w:p>
    <w:p>
      <w:pPr>
        <w:jc w:val="both"/>
        <w:ind w:left="180"/>
        <w:spacing w:after="0" w:line="27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(Option)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7"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By accepting the grant of the Option, the Optionee confirms having read and understood the documents related to the grant (the Agreement and the Plan), which were provided in the English language, and that he or she does not need the translation thereof into the Estonian language. The Optionee accepts the terms of those documents accordingly.</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French Qualified Option</w:t>
      </w:r>
      <w:r>
        <w:rPr>
          <w:rFonts w:ascii="Times New Roman" w:cs="Times New Roman" w:eastAsia="Times New Roman" w:hAnsi="Times New Roman"/>
          <w:sz w:val="16"/>
          <w:szCs w:val="16"/>
          <w:color w:val="auto"/>
        </w:rPr>
        <w:t>. This Option is intended to qualify for favorable tax and social security treatment applicable to stock options granted under Section L. 225-177 to L. 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4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Options are subject to the terms and conditions of the Plan and the Rules of the Analog Devices, Inc. 2020 Equity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38"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Option Exercise Price Per Share</w:t>
      </w:r>
      <w:r>
        <w:rPr>
          <w:rFonts w:ascii="Times New Roman" w:cs="Times New Roman" w:eastAsia="Times New Roman" w:hAnsi="Times New Roman"/>
          <w:sz w:val="16"/>
          <w:szCs w:val="16"/>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Expiration</w:t>
      </w:r>
      <w:r>
        <w:rPr>
          <w:rFonts w:ascii="Times New Roman" w:cs="Times New Roman" w:eastAsia="Times New Roman" w:hAnsi="Times New Roman"/>
          <w:sz w:val="16"/>
          <w:szCs w:val="16"/>
          <w:color w:val="auto"/>
        </w:rPr>
        <w:t>. This provision replaces Section 3(a) of the Agreement:</w:t>
      </w:r>
    </w:p>
    <w:p>
      <w:pPr>
        <w:spacing w:after="0" w:line="167"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Notwithstanding Section 3(a) of the Agreement, the Option will expire 9½ years after the Effective Grant Date ({FRENCHEXPDATE}), as defined in the French Sub-plan.</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Termination Upon Death</w:t>
      </w:r>
      <w:r>
        <w:rPr>
          <w:rFonts w:ascii="Times New Roman" w:cs="Times New Roman" w:eastAsia="Times New Roman" w:hAnsi="Times New Roman"/>
          <w:sz w:val="16"/>
          <w:szCs w:val="16"/>
          <w:color w:val="auto"/>
        </w:rPr>
        <w:t>. This provision replaces Section 3(e) of the Agreement:</w:t>
      </w:r>
    </w:p>
    <w:p>
      <w:pPr>
        <w:spacing w:after="0" w:line="167"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440" w:right="6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90" w:lineRule="exact"/>
        <w:rPr>
          <w:sz w:val="20"/>
          <w:szCs w:val="20"/>
          <w:color w:val="auto"/>
        </w:rPr>
      </w:pPr>
    </w:p>
    <w:p>
      <w:pPr>
        <w:jc w:val="both"/>
        <w:ind w:left="180"/>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7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Option Shares outside France or maintaining a foreign bank account are required to report such to French tax authorities when filing his or her annual tax return. Failure to comply may trigger significant penalties.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50"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€50,000)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Optionee otherwise makes or receives a payment in excess of this amount (including if the Optionee acquires Option Shares with a value in excess of this amount or sells Option Shares via a foreign broker, bank or service provider and receives proceeds in excess of this amount) and/or if the Company withholds or sells Option Shares with a value in excess of this amount to cover Tax-Related Items, the Optionee must report the payment and/or the value of the Option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 permitted or required by Bundesbank. The report must be submitted monthly or within such timing as it permitted or required by the Bundesbank. It is the Optionee’s responsibility to comply with this reporting obligation and the Optionee should consult with his or her personal legal advisor in this regard.</w:t>
      </w:r>
    </w:p>
    <w:p>
      <w:pPr>
        <w:spacing w:after="0" w:line="18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exceeding a certain threshold of the total Common Stock. However, provided the Common Stock is listed on a recognized stock exchange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Nasdaq Stock Market) and the Optionee owns less than 1% of the Company, this requirement will not apply.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64"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the Optionee remits funds out of India to purchase Option Shares, it is the Optionee’s responsibility to comply with applicable exchange control laws. The Optionee may be subject to Tax Collection at Source ("TCS") if the Optionee’s annual remittances out of India exceed a certain amount (currently INR 1,000,000). The Optionee may be required to provide a declaration to the bank remitting the funds to determine if such amount has been reached.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one hundred eighty (180) days of receipt, or such other period of time as required under applicable regulations, unless an exemption applies.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 The Optionee agrees to provide any information that may be required by the Company or the Employer to make any applicable filings under exchange control laws in India.</w:t>
      </w:r>
    </w:p>
    <w:p>
      <w:pPr>
        <w:spacing w:after="0" w:line="225"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440" w:right="6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50" w:lineRule="exact"/>
        <w:rPr>
          <w:sz w:val="20"/>
          <w:szCs w:val="20"/>
          <w:color w:val="auto"/>
        </w:rPr>
      </w:pPr>
    </w:p>
    <w:p>
      <w:pPr>
        <w:ind w:left="500" w:hanging="328"/>
        <w:spacing w:after="0"/>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Labor Law Acknowledgment</w:t>
      </w:r>
      <w:r>
        <w:rPr>
          <w:rFonts w:ascii="Times New Roman" w:cs="Times New Roman" w:eastAsia="Times New Roman" w:hAnsi="Times New Roman"/>
          <w:sz w:val="16"/>
          <w:szCs w:val="16"/>
          <w:color w:val="auto"/>
        </w:rPr>
        <w:t>. This provision supplements Section 8 of the Agreement:</w:t>
      </w:r>
    </w:p>
    <w:p>
      <w:pPr>
        <w:spacing w:after="0" w:line="18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the benefits received under the Plan will not be taken into account for any redundancy or unfair dismissal claim.</w:t>
      </w:r>
    </w:p>
    <w:p>
      <w:pPr>
        <w:spacing w:after="0" w:line="178" w:lineRule="exact"/>
        <w:rPr>
          <w:sz w:val="20"/>
          <w:szCs w:val="20"/>
          <w:color w:val="auto"/>
        </w:rPr>
      </w:pPr>
    </w:p>
    <w:p>
      <w:pPr>
        <w:jc w:val="both"/>
        <w:ind w:left="180"/>
        <w:spacing w:after="0" w:line="271" w:lineRule="auto"/>
        <w:rPr>
          <w:sz w:val="20"/>
          <w:szCs w:val="20"/>
          <w:color w:val="auto"/>
        </w:rPr>
      </w:pPr>
      <w:r>
        <w:rPr>
          <w:rFonts w:ascii="Times New Roman" w:cs="Times New Roman" w:eastAsia="Times New Roman" w:hAnsi="Times New Roman"/>
          <w:sz w:val="16"/>
          <w:szCs w:val="16"/>
          <w:u w:val="single" w:color="auto"/>
          <w:color w:val="auto"/>
        </w:rPr>
        <w:t>Restriction on Type of Shares Issued to Directors</w:t>
      </w:r>
      <w:r>
        <w:rPr>
          <w:rFonts w:ascii="Times New Roman" w:cs="Times New Roman" w:eastAsia="Times New Roman" w:hAnsi="Times New Roman"/>
          <w:sz w:val="16"/>
          <w:szCs w:val="16"/>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Optionee understands and agrees that the Options are offered subject to and in accordance with the terms of the Israeli Sub-Plan (the “Israeli Sub-Plan”) under the 102 Capital Gains Track (as defined in the Israeli Sub-Plan), the Trust Agreement among the trustee appointed by Analog Devices (Israel) Ltd. and Analog Development (Israel) 1996 Ltd., and the Agreement. This includes the option exercise price per share and any other requirements set out in the Israeli Sub-Plan. In the event of any inconsistencies among the Israeli Sub-Plan, the Agreement and/or the Plan, the Israeli Sub-Plan will govern the Options granted to the Optionee in Israel.</w:t>
      </w:r>
    </w:p>
    <w:p>
      <w:pPr>
        <w:spacing w:after="0" w:line="220"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 and applies only to Optionees who permanently transfer to Israel after the Date of Grant:</w:t>
      </w:r>
    </w:p>
    <w:p>
      <w:pPr>
        <w:spacing w:after="0" w:line="205" w:lineRule="exact"/>
        <w:rPr>
          <w:sz w:val="20"/>
          <w:szCs w:val="20"/>
          <w:color w:val="auto"/>
        </w:rPr>
      </w:pPr>
    </w:p>
    <w:p>
      <w:pPr>
        <w:jc w:val="both"/>
        <w:ind w:left="180"/>
        <w:spacing w:after="0" w:line="267"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jc w:val="both"/>
        <w:ind w:left="180" w:hanging="8"/>
        <w:spacing w:after="0" w:line="260" w:lineRule="auto"/>
        <w:tabs>
          <w:tab w:leader="none" w:pos="3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64" w:lineRule="exact"/>
        <w:rPr>
          <w:sz w:val="20"/>
          <w:szCs w:val="20"/>
          <w:color w:val="auto"/>
        </w:rPr>
      </w:pPr>
    </w:p>
    <w:p>
      <w:pPr>
        <w:jc w:val="both"/>
        <w:ind w:left="180" w:hanging="8"/>
        <w:spacing w:after="0" w:line="272" w:lineRule="auto"/>
        <w:tabs>
          <w:tab w:leader="none" w:pos="50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Option, the Optionee acknowledges a copy of the Plan was made available to the Optionee, and that the Optionee has reviewed the Plan and the Agreement, including Appendix A, in their entirety and fully understands and accepts all provisions of the Plan, the Agreement and Appendix A.</w:t>
      </w:r>
    </w:p>
    <w:p>
      <w:pPr>
        <w:spacing w:after="0" w:line="17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7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Japanese resident and acquires Option Shares valued at more than a certain threshold (currently, ¥100,000,000) in a single transaction, the Optionee must file a Securities Acquisition Report with the Ministry of Finance through the Bank of Japan within 20 days of the acquisition of the Option Shares.</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760"/>
          </w:cols>
          <w:pgMar w:left="480" w:top="1440" w:right="65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In addition, if the Optionee is a Japanese resident and pays more than a certain threshold (currently,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220"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A Payment Report is required independently of a Securities Acquisition Report. Therefore, if the total amount that the Optionee pays upon a one-time transaction for exercising this Option and purchasing Option Shares exceeds a certain threshold (currently, ¥100,000,000), then the Optionee must file both a Payment Report and a Securities Acquisition Report.</w:t>
      </w:r>
    </w:p>
    <w:p>
      <w:pPr>
        <w:spacing w:after="0" w:line="211"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will be required to report details of any assets held outside Japan as of December 31st to the extent such assets have a total net fair market value exceeding a certain threshold (currently, ¥50,000,000). This report is due by June 30th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10"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Option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Optionee's responsibility to comply with any applicable exchange control reporting obligations in Korea and the Optionee should consult with a personal legal advisor to determine the Optionee's reporting obligations.</w:t>
      </w:r>
    </w:p>
    <w:p>
      <w:pPr>
        <w:spacing w:after="0" w:line="166"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(e.g., non-Korean bank accounts, brokerage accounts)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5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of a subsidiary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following provision replaces the Data Privacy Information and Consent provision under the Terms and Conditions for Optionees Outside the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161290</wp:posOffset>
            </wp:positionV>
            <wp:extent cx="65836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760"/>
          </w:cols>
          <w:pgMar w:left="480" w:top="1440" w:right="659" w:bottom="1440" w:gutter="0" w:footer="0" w:header="0"/>
        </w:sectPr>
      </w:pPr>
    </w:p>
    <w:p>
      <w:pPr>
        <w:spacing w:after="0" w:line="277"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Optionee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Optionee's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-758825</wp:posOffset>
            </wp:positionV>
            <wp:extent cx="3120390" cy="1037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20390" cy="1037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Pemegang Opsyen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Pemegang Opsyen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148590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148590</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148590</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148590</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148590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148590</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148590</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148590</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148590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148590</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148590</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148590</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148590</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148590</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148590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148590</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148590</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148590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148590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148590</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148590</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148590</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148590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148590</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148590</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148590</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148590</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148590</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148590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148590</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148590</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148590</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148590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148590</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148590</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148590</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148590</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148590</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148590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148590</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148590</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148590</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148590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148590</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148590</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148590</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148590</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148590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148590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148590</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148590</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148590</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148590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148590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148590</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148590</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148590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148590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148590</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148590</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148590</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148590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148590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148590</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148590</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148590</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148590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148590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148590</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148590</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148590</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148590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148590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148590</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148590</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148590</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148590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148590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148590</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148590</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148590</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148590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148590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148590</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148590</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148590</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148590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148590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148590</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148590</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148590</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148590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148590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148590</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148590</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148590</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148590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148590</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148590</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148590</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148590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148590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148590</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148590</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148590</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148590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148590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148590</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148590</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148590</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148590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148590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148590</wp:posOffset>
            </wp:positionV>
            <wp:extent cx="8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148590</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148590</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148590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148590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148590</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148590</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148590</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148590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148590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148590</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148590</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148590</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148590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148590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148590</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148590</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148590</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148590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148590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148590</wp:posOffset>
            </wp:positionV>
            <wp:extent cx="8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148590</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148590</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148590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148590</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148590</wp:posOffset>
            </wp:positionV>
            <wp:extent cx="82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148590</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148590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148590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148590</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148590</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148590</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148590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148590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148590</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148590</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148590</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148590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148590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148590</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148590</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148590</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148590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148590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148590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148590</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148590</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148590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148590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148590</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148590</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148590</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148590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148590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148590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148590</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148590</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148590</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148590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148590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148590</wp:posOffset>
            </wp:positionV>
            <wp:extent cx="8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148590</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148590</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148590</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148590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148590</wp:posOffset>
            </wp:positionV>
            <wp:extent cx="8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148590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148590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148590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148590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148590</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148590</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148590</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148590</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148590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148590</wp:posOffset>
            </wp:positionV>
            <wp:extent cx="8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148590</wp:posOffset>
            </wp:positionV>
            <wp:extent cx="82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148590</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148590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148590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148590</wp:posOffset>
            </wp:positionV>
            <wp:extent cx="8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148590</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148590</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148590</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148590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148590</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148590</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148590</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-879475</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-862330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-845185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-828040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-810895</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-793750</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-776605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-759460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-742315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-725170</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-708025</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-690880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-673735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-656590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-639445</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-622300</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-605155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-588010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-570865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-553720</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-536575</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-519430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-502285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-485140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-467995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-450850</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-433705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-416560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-399415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-382270</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-365125</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-347980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-330835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-313690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-296545</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-279400</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-262255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-245110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-227965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-210820</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-193675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-176530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-159385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-142240</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-125095</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-107950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-90805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-73660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-56515</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-39370</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-22225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40"/>
            <w:col w:w="5600"/>
          </w:cols>
          <w:pgMar w:left="480" w:top="144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760"/>
          </w:cols>
          <w:pgMar w:left="480" w:top="1440" w:right="65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1717675</wp:posOffset>
            </wp:positionV>
            <wp:extent cx="31203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60"/>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The Optionee understands that the Company and the Employer may hold certain personal information about the Optionee, including, but not limited to, his or her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purpose of implementing, administering and managing the Plan (“Data”). The source of the Data is the Employer as well as information the Optionee is providing to the Company and the Employer in connection with the Option. The Optionee understands that Data may be transferred to Fidelity or any other third parties as may be selected by the Company in the future, which are assisting in the implementation, administration and management of the Plan, that these recipients may be located in the Optionee’s country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Optionee may elect to deposit any Shares acquired upon exercise of this Option.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a refusal to consent or withdrawal of consent, the Optionee understands that he or she may contact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-4923155</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-4906010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-4888865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-4871720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-4854575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-4837430</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-4820285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-4803140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-4785995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-4768850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-4751705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-4734560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-4717415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-4700270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-4683125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-4665980</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-4648835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-4631690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-4614545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-4597400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-4580255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-4563110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-4545965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-4528820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-4511675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-4494530</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-4477385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-4460240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-4443095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-4425950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-4408805</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-4391660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-4374515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-4357370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-4340225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-4323080</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-4305935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-4288790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-4271645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-4254500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-4237355</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-4220210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-4203065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-4185920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-4168775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-4151630</wp:posOffset>
            </wp:positionV>
            <wp:extent cx="82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-4134485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-4117340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-4100195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-4083050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-4065905</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-4048760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-4031615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-4014470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-3997325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-3980180</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-3963035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-3945890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-3928745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-3911600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-3894455</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-3877310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-3860165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-3843020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-3825875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-3808730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-3791585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-3774440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-3757295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-3740150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-3723005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-3705860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-3688715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-3671570</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-3654425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-3637280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-3620135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-3602990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-3585845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-3568700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-3551555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-3534410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-3517265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-3500120</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-3482975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-3465830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-3448685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-3431540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-3414395</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-3397250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-3380105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-3362960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-3345815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-3328670</wp:posOffset>
            </wp:positionV>
            <wp:extent cx="82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-3311525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-3294380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-3277235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-3260090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-3242945</wp:posOffset>
            </wp:positionV>
            <wp:extent cx="82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-3225800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-3208655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-3191510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-3174365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-3157220</wp:posOffset>
            </wp:positionV>
            <wp:extent cx="82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-3140075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-3122930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-3105785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-3088640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-3071495</wp:posOffset>
            </wp:positionV>
            <wp:extent cx="825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-3054350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-3037205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-3020060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-3002915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-2985770</wp:posOffset>
            </wp:positionV>
            <wp:extent cx="825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-2968625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-2951480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-2934335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-2917190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-2900045</wp:posOffset>
            </wp:positionV>
            <wp:extent cx="82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-2882900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-2865755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-2848610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-2831465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-2814320</wp:posOffset>
            </wp:positionV>
            <wp:extent cx="825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-2797175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-2780030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-2762885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-2745740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-2728595</wp:posOffset>
            </wp:positionV>
            <wp:extent cx="825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-2711450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-2694305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-2677160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-2660015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-2642870</wp:posOffset>
            </wp:positionV>
            <wp:extent cx="82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-2625725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-2608580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-2591435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-2574290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-2557145</wp:posOffset>
            </wp:positionV>
            <wp:extent cx="82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-2540000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-2522855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-2505710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-2488565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-2471420</wp:posOffset>
            </wp:positionV>
            <wp:extent cx="82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-2454275</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-2437130</wp:posOffset>
            </wp:positionV>
            <wp:extent cx="82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-2419985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-2402840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-2385695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-2368550</wp:posOffset>
            </wp:positionV>
            <wp:extent cx="82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-2351405</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-2334260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-2317115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-2299970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-2282825</wp:posOffset>
            </wp:positionV>
            <wp:extent cx="82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-2265680</wp:posOffset>
            </wp:positionV>
            <wp:extent cx="8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-2248535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-2231390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-2214245</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-2197100</wp:posOffset>
            </wp:positionV>
            <wp:extent cx="825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-2179955</wp:posOffset>
            </wp:positionV>
            <wp:extent cx="82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-2162810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-2145665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-2128520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-2111375</wp:posOffset>
            </wp:positionV>
            <wp:extent cx="82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-2094230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-2077085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-2059940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-2042795</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-2025650</wp:posOffset>
            </wp:positionV>
            <wp:extent cx="82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-2008505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-1991360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-1974215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-1957070</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-1939925</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-1922780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-1905635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-1888490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-1871345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-1854200</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-1837055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-1819910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-1802765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-1785620</wp:posOffset>
            </wp:positionV>
            <wp:extent cx="82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-1768475</wp:posOffset>
            </wp:positionV>
            <wp:extent cx="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-1751330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-1734185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-1717040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-1699895</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-1682750</wp:posOffset>
            </wp:positionV>
            <wp:extent cx="82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-1665605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-1648460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-1631315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-1614170</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-1597025</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-1579880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-1562735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-1545590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-1528445</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-1511300</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-1494155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-1477010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-1459865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-1442720</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-1425575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-1408430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-1391285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-1374140</wp:posOffset>
            </wp:positionV>
            <wp:extent cx="82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-1356995</wp:posOffset>
            </wp:positionV>
            <wp:extent cx="82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-1339850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-1322705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-1305560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-1288415</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-1271270</wp:posOffset>
            </wp:positionV>
            <wp:extent cx="82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-1254125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-1236980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-1219835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-1202690</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-1185545</wp:posOffset>
            </wp:positionV>
            <wp:extent cx="82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-1168400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-1151255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-1134110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-1116965</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-1099820</wp:posOffset>
            </wp:positionV>
            <wp:extent cx="82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-1082675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-1065530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-1048385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-1031240</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-1014095</wp:posOffset>
            </wp:positionV>
            <wp:extent cx="825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-996950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-979805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-962660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-945515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-928370</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-911225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-894080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-876935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-859790</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-842645</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-825500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-808355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-791210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-774065</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-756920</wp:posOffset>
            </wp:positionV>
            <wp:extent cx="825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-739775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-722630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-705485</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-688340</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-671195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-654050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-636905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-619760</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-602615</wp:posOffset>
            </wp:positionV>
            <wp:extent cx="825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-585470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-568325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-551180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-534035</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-516890</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-499745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-482600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-465455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-448310</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-431165</wp:posOffset>
            </wp:positionV>
            <wp:extent cx="825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-414020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-396875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-379730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-362585</wp:posOffset>
            </wp:positionV>
            <wp:extent cx="825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-345440</wp:posOffset>
            </wp:positionV>
            <wp:extent cx="82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-328295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-311150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-294005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-276860</wp:posOffset>
            </wp:positionV>
            <wp:extent cx="82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-259715</wp:posOffset>
            </wp:positionV>
            <wp:extent cx="825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-242570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-225425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-208280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-191135</wp:posOffset>
            </wp:positionV>
            <wp:extent cx="825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-173990</wp:posOffset>
            </wp:positionV>
            <wp:extent cx="825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-156845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-139700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-122555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-105410</wp:posOffset>
            </wp:positionV>
            <wp:extent cx="8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-88265</wp:posOffset>
            </wp:positionV>
            <wp:extent cx="825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-71120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-53975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-36830</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-19685</wp:posOffset>
            </wp:positionV>
            <wp:extent cx="825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13970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-4923155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-4906010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-4888865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-4871720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-4854575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-4837430</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-4820285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-4803140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-4785995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-4768850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-4751705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-4734560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-4717415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-4700270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-4683125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-4665980</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-4648835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-4631690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-4614545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-4597400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-4580255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-4563110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-4545965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-4528820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-4511675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-4494530</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-4477385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-4460240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-4443095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-4425950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-4408805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-4391660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-4374515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-4357370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-4340225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-4323080</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-4305935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-4288790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-4271645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-4254500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-4237355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-4220210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-4203065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-4185920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-4168775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-4151630</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-4134485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-4117340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-4100195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-4083050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-4065905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-4048760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-4031615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-4014470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-3997325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-3980180</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-3963035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-3945890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-3928745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-3911600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-3894455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-3877310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-3860165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-3843020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-3825875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-3808730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-3791585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-3774440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-3757295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-3740150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-3723005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-3705860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-3688715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-3671570</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-3654425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-3637280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-3620135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-3602990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-3585845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-3568700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-3551555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-3534410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-3517265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-3500120</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-3482975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-3465830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-3448685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-3431540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-3414395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-3397250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-3380105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-3362960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-3345815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-3328670</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-3311525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-3294380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-3277235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-3260090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-3242945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-3225800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-3208655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-3191510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-3174365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-3157220</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-3140075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-3122930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-3105785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-3088640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-3071495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-3054350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-3037205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-3020060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-3002915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-2985770</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-2968625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-2951480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-2934335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-2917190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-2900045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-2882900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-2865755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-2848610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-2831465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-2814320</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-2797175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-2780030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-2762885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-2745740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-2728595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-2711450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-2694305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-2677160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-2660015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-2642870</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-2625725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-2608580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-2591435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-2574290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-2557145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-2540000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-2522855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-2505710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-2488565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-2471420</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-2454275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-2437130</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-2419985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-2402840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-2385695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-2368550</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-2351405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-2334260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-2317115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-2299970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-2282825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-2265680</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-2248535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-2231390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-2214245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-2197100</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-2179955</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-2162810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-2145665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-2128520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-2111375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-2094230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-2077085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-2059940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-2042795</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-2025650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-2008505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-1991360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-1974215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-1957070</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-1939925</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-1922780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-1905635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-1888490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-1871345</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-1854200</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-1837055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-1819910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-1802765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-1785620</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-1768475</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-1751330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-1734185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-1717040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-1699895</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-1682750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-1665605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-1648460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-1631315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-1614170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-1597025</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-1579880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-1562735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-1545590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-1528445</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-1511300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-1494155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-1477010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-1459865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-1442720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-1425575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-1408430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-1391285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-1374140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-1356995</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-1339850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-1322705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-1305560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-1288415</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-1271270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-1254125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-1236980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-1219835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-1202690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-1185545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-1168400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-1151255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-1134110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-1116965</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-1099820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-1082675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-1065530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-1048385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-1031240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-1014095</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-996950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-979805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-962660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-945515</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-928370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-911225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-894080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-876935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-859790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-842645</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-825500</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-808355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-791210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-774065</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-756920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-739775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-722630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-705485</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-688340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-671195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-654050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-636905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-619760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-602615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-585470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-568325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-551180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-534035</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-516890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-499745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-482600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-465455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-448310</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-431165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-414020</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-396875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-379730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-362585</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-345440</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-328295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-311150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-294005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-276860</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-259715</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-242570</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-225425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-208280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-191135</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-173990</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-156845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-139700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-122555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-105410</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-88265</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-71120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-53975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-36830</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-19685</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-2540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13970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6" w:lineRule="exact"/>
        <w:rPr>
          <w:sz w:val="20"/>
          <w:szCs w:val="20"/>
          <w:color w:val="auto"/>
        </w:rPr>
      </w:pPr>
    </w:p>
    <w:p>
      <w:pPr>
        <w:jc w:val="both"/>
        <w:ind w:left="260"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her regional stock plan administrator at 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-252730</wp:posOffset>
            </wp:positionV>
            <wp:extent cx="3120390" cy="642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120390" cy="642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Pemegang Opsyen memahami bahawa Syarikat dan Majikan mungkin memegang maklumat peribadi tertentu tentang Pemegang Opsyen, termasuk, tetapi tidak terhad kepada, namanya , alamat rumah dan nombor telefon, tarikh lahir, nombor insurans sosial atau nombor pengenalan lain, gaji, kewarganegaraan, jawatan, apa-apa syer dalam saham atau jawatan pengarah yang dipegang dalam Syarikat, butir-butir semua opsyen atau apa-apa hak lain untuk syer dalam saham yang dianugerahkan, dibatalkan, dilaksanakan, terletak hak, tidak diletak hak ataupun yang belum dijelaskan bagi faedah Pemegang Opsyen, untuk tujuan eksklusif bagi melaksanakan, mentadbir dan menguruskan Pelan (“Data”). Sumber Data adalah daripada Majikan dan juga daripada maklumat yang dibekalkan oleh Pemegang Opsyen kepada Syarikat dan Majikan berkenaan dengan Opysen. Pemegang Opysen juga memahami bahawa Data mungkin dipindahkan kepada Fidelity atau mana-mana pihak ketiga yang mungkin dipilih oleh Syarikat pada masa depan, </w:t>
      </w:r>
      <w:r>
        <w:rPr>
          <w:rFonts w:ascii="Times New Roman" w:cs="Times New Roman" w:eastAsia="Times New Roman" w:hAnsi="Times New Roman"/>
          <w:sz w:val="16"/>
          <w:szCs w:val="16"/>
          <w:b w:val="1"/>
          <w:bCs w:val="1"/>
          <w:i w:val="1"/>
          <w:iCs w:val="1"/>
          <w:color w:val="222222"/>
        </w:rPr>
        <w:t>yang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222222"/>
        </w:rPr>
        <w:t xml:space="preserve">membantu dalam pelaksanaan, pentadbiran dan pengurusan Pelan, bahawa penerima-penerima ini mungkin berada di negara Pemegang Opsyen atau di tempat lain, dan bahawa negara penerima (contohnya, Amerika Syarikat) mungkin mempunyai undang-undang privasi data dan perlindungan yang berbeza daripada negara Pemegang Opsyen. Pemegang Opsyen memahami bahawa dia boleh meminta senarai nama dan alamat mana-mana penerima Data dengan menghubungi wakil sumber manusia tempatannya. </w:t>
      </w:r>
      <w:r>
        <w:rPr>
          <w:rFonts w:ascii="Times New Roman" w:cs="Times New Roman" w:eastAsia="Times New Roman" w:hAnsi="Times New Roman"/>
          <w:sz w:val="16"/>
          <w:szCs w:val="16"/>
          <w:b w:val="1"/>
          <w:bCs w:val="1"/>
          <w:i w:val="1"/>
          <w:iCs w:val="1"/>
          <w:color w:val="000000"/>
        </w:rPr>
        <w:t>Pemegang</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 xml:space="preserve">Opsyen memberi kuasa kepada Syarikat, Fidelity, dan mana-mana penerima lain yang mungkin membantu Syarikat (masa sekarang atau pada masa depan) untuk melaksanakan, mentadbir dan menguruskan penyertaan Pemegang Opsyen dalam Pelan untuk menerima, memiliki, menggunakan, mengekalkan dan memindahkan Data, dalam bentuk elektronik atau lain-lain, semata-mata dengan tujuan untuk melaksanakan, mentadbir dan menguruskan penyertaan Pemegang Opsyen dalam Pelan, termasuk apa-apa pemindahan Data yang diperlukan kepada broker atau pihak ketiga dengan siapa Pemegang Opsyen mungkin pilih untuk mendepositkan apa-apa Saham yang diperolehi di atas pelaksanaan Opsyen ini. </w:t>
      </w:r>
      <w:r>
        <w:rPr>
          <w:rFonts w:ascii="Times New Roman" w:cs="Times New Roman" w:eastAsia="Times New Roman" w:hAnsi="Times New Roman"/>
          <w:sz w:val="16"/>
          <w:szCs w:val="16"/>
          <w:b w:val="1"/>
          <w:bCs w:val="1"/>
          <w:i w:val="1"/>
          <w:iCs w:val="1"/>
          <w:color w:val="222222"/>
        </w:rPr>
        <w:t>Pemegang Opsyen memahami</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b w:val="1"/>
          <w:bCs w:val="1"/>
          <w:i w:val="1"/>
          <w:iCs w:val="1"/>
          <w:color w:val="222222"/>
        </w:rPr>
        <w:t xml:space="preserve">bahawa Data akan dipegang hanya untuk tempoh yang diperlukan untuk melaksanakan, mentadbir dan menguruskan penyertaannya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tersebut</w:t>
      </w:r>
      <w:r>
        <w:rPr>
          <w:rFonts w:ascii="Times New Roman" w:cs="Times New Roman" w:eastAsia="Times New Roman" w:hAnsi="Times New Roman"/>
          <w:sz w:val="16"/>
          <w:szCs w:val="16"/>
          <w:b w:val="1"/>
          <w:bCs w:val="1"/>
          <w:i w:val="1"/>
          <w:iCs w:val="1"/>
          <w:color w:val="222222"/>
        </w:rPr>
        <w:t>.</w:t>
      </w:r>
      <w:r>
        <w:rPr>
          <w:rFonts w:ascii="Times New Roman" w:cs="Times New Roman" w:eastAsia="Times New Roman" w:hAnsi="Times New Roman"/>
          <w:sz w:val="16"/>
          <w:szCs w:val="16"/>
          <w:b w:val="1"/>
          <w:bCs w:val="1"/>
          <w:i w:val="1"/>
          <w:iCs w:val="1"/>
          <w:color w:val="000000"/>
        </w:rPr>
        <w:t xml:space="preserve"> Pemegang Opsyen memahami bahawa dia boleh, pada bila-bila masa, </w:t>
      </w:r>
      <w:r>
        <w:rPr>
          <w:rFonts w:ascii="Times New Roman" w:cs="Times New Roman" w:eastAsia="Times New Roman" w:hAnsi="Times New Roman"/>
          <w:sz w:val="16"/>
          <w:szCs w:val="16"/>
          <w:b w:val="1"/>
          <w:bCs w:val="1"/>
          <w:i w:val="1"/>
          <w:iCs w:val="1"/>
          <w:color w:val="222222"/>
        </w:rPr>
        <w:t xml:space="preserve">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Pemegang Opsyen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 keengganan atau penarikan balik persetujuannya boleh menjejaskan 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 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 balik keizinan, Pemegang Opsyen fahami bahawa dia boleh menghubungi pentadbir pelan saham serantau di </w:t>
      </w:r>
      <w:r>
        <w:rPr>
          <w:rFonts w:ascii="Times New Roman" w:cs="Times New Roman" w:eastAsia="Times New Roman" w:hAnsi="Times New Roman"/>
          <w:sz w:val="16"/>
          <w:szCs w:val="16"/>
          <w:b w:val="1"/>
          <w:bCs w:val="1"/>
          <w:i w:val="1"/>
          <w:iCs w:val="1"/>
          <w:color w:val="000000"/>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151765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151765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151765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151765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151765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151765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151765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151765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151765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151765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151765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151765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151765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151765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151765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151765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151765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151765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151765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151765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151765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151765</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151765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151765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151765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151765</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151765</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151765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151765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151765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151765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151765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151765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151765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151765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151765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151765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151765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151765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151765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151765</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151765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151765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151765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151765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151765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151765</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151765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151765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151765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151765</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151765</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151765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151765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151765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151765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151765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151765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151765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151765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151765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151765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151765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151765</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151765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151765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151765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151765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151765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151765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151765</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151765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151765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151765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151765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151765</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151765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151765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151765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151765</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151765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151765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151765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151765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151765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151765</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151765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151765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151765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151765</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151765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151765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151765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151765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151765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151765</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151765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151765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151765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151765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151765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151765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151765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151765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151765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151765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151765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151765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151765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151765</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151765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151765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151765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151765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151765</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151765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151765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151765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151765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151765</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151765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151765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151765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151765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151765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151765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151765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151765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151765</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151765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151765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151765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151765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151765</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151765</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151765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151765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151765</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151765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151765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151765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151765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151765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151765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151765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151765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151765</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151765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151765</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151765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151765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151765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151765</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151765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151765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151765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151765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151765</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151765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151765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151765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151765</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151765</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151765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151765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151765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151765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151765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151765</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151765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151765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151765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151765</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151765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151765</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151765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151765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151765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151765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151765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151765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151765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151765</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151765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151765</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151765</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151765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151765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151765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151765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151765</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151765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151765</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151765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151765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151765</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151765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151765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151765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151765</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-5436870</wp:posOffset>
            </wp:positionV>
            <wp:extent cx="825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-5419725</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-5402580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-5385435</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-5368290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-5351145</wp:posOffset>
            </wp:positionV>
            <wp:extent cx="8255"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-5334000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-5316855</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-5299710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-5282565</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-5265420</wp:posOffset>
            </wp:positionV>
            <wp:extent cx="8255"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-5248275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-5231130</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-5213985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-5196840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-5179695</wp:posOffset>
            </wp:positionV>
            <wp:extent cx="8255"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-5162550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-5145405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-5128260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-5111115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-5093970</wp:posOffset>
            </wp:positionV>
            <wp:extent cx="8255"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-5076825</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-5059680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-5042535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-5025390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-5008245</wp:posOffset>
            </wp:positionV>
            <wp:extent cx="8255"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-4991100</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-4973955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-4956810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-4939665</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-4922520</wp:posOffset>
            </wp:positionV>
            <wp:extent cx="8255"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-4905375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-4888230</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-4871085</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-4853940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-4836795</wp:posOffset>
            </wp:positionV>
            <wp:extent cx="8255"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-4819650</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-4802505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-4785360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-4768215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-4751070</wp:posOffset>
            </wp:positionV>
            <wp:extent cx="825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-4733925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-4716780</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-4699635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-4682490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-4665345</wp:posOffset>
            </wp:positionV>
            <wp:extent cx="825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-4648200</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-4631055</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-4613910</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-4596765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-4579620</wp:posOffset>
            </wp:positionV>
            <wp:extent cx="8255"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-4562475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-4545330</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-4528185</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-4511040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-4493895</wp:posOffset>
            </wp:positionV>
            <wp:extent cx="8255"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-4476750</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-4459605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-4442460</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-4425315</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-4408170</wp:posOffset>
            </wp:positionV>
            <wp:extent cx="825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-4391025</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-4373880</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-4356735</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-4339590</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-4322445</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-4305300</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-4288155</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-4271010</wp:posOffset>
            </wp:positionV>
            <wp:extent cx="825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-4253865</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-4236720</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-4219575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-4202430</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-4185285</wp:posOffset>
            </wp:positionV>
            <wp:extent cx="8255"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-4168140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-4150995</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-4133850</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-4116705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-4099560</wp:posOffset>
            </wp:positionV>
            <wp:extent cx="8255"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-4082415</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-4065270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-4048125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-4030980</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-4013835</wp:posOffset>
            </wp:positionV>
            <wp:extent cx="825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-3996690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-3979545</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-3962400</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-3945255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-3928110</wp:posOffset>
            </wp:positionV>
            <wp:extent cx="8255"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-3910965</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-3893820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-3876675</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-3859530</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-3842385</wp:posOffset>
            </wp:positionV>
            <wp:extent cx="8255"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-3825240</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-3808095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-3790950</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-3773805</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-3756660</wp:posOffset>
            </wp:positionV>
            <wp:extent cx="8255"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-3739515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-3722370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-3705225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-3688080</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-3670935</wp:posOffset>
            </wp:positionV>
            <wp:extent cx="825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-3653790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-3636645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-3619500</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-3602355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-3585210</wp:posOffset>
            </wp:positionV>
            <wp:extent cx="8255"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-3568065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-3550920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-3533775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-3516630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-3499485</wp:posOffset>
            </wp:positionV>
            <wp:extent cx="8255"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-3482340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-3465195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-3448050</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-3430905</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-3413760</wp:posOffset>
            </wp:positionV>
            <wp:extent cx="8255"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-3396615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-3379470</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-3362325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-3345180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-3328035</wp:posOffset>
            </wp:positionV>
            <wp:extent cx="8255"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-3310890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-3293745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-3276600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-3259455</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-3242310</wp:posOffset>
            </wp:positionV>
            <wp:extent cx="8255"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-3225165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-3208020</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-3190875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-3173730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-3156585</wp:posOffset>
            </wp:positionV>
            <wp:extent cx="8255"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-3139440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-3122295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-3105150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-3088005</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-3070860</wp:posOffset>
            </wp:positionV>
            <wp:extent cx="8255"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-3053715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-3036570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-3019425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-3002280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-2985135</wp:posOffset>
            </wp:positionV>
            <wp:extent cx="825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-2967990</wp:posOffset>
            </wp:positionV>
            <wp:extent cx="8255"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-2950845</wp:posOffset>
            </wp:positionV>
            <wp:extent cx="8255"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-2933700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-2916555</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-2899410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-2882265</wp:posOffset>
            </wp:positionV>
            <wp:extent cx="8255"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-2865120</wp:posOffset>
            </wp:positionV>
            <wp:extent cx="8255"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-2847975</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-2830830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-2813685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-2796540</wp:posOffset>
            </wp:positionV>
            <wp:extent cx="8255"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-2779395</wp:posOffset>
            </wp:positionV>
            <wp:extent cx="8255"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-2762250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-2745105</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-2727960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-2710815</wp:posOffset>
            </wp:positionV>
            <wp:extent cx="8255"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-2693670</wp:posOffset>
            </wp:positionV>
            <wp:extent cx="8255"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-2676525</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-2659380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-2642235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-2625090</wp:posOffset>
            </wp:positionV>
            <wp:extent cx="8255"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-2607945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-2590800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-2573655</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-2556510</wp:posOffset>
            </wp:positionV>
            <wp:extent cx="8255"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-2539365</wp:posOffset>
            </wp:positionV>
            <wp:extent cx="8255"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-2522220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-2505075</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-2487930</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-2470785</wp:posOffset>
            </wp:positionV>
            <wp:extent cx="8255"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-2453640</wp:posOffset>
            </wp:positionV>
            <wp:extent cx="8255"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-2436495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-2419350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-2402205</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-2385060</wp:posOffset>
            </wp:positionV>
            <wp:extent cx="8255"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-2367915</wp:posOffset>
            </wp:positionV>
            <wp:extent cx="8255"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-2350770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-2333625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-2316480</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-2299335</wp:posOffset>
            </wp:positionV>
            <wp:extent cx="8255"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-2282190</wp:posOffset>
            </wp:positionV>
            <wp:extent cx="825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-2265045</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-2247900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-2230755</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-2213610</wp:posOffset>
            </wp:positionV>
            <wp:extent cx="8255"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-2196465</wp:posOffset>
            </wp:positionV>
            <wp:extent cx="8255"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-2179320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-2162175</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-2145030</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-2127885</wp:posOffset>
            </wp:positionV>
            <wp:extent cx="8255"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-2110740</wp:posOffset>
            </wp:positionV>
            <wp:extent cx="8255"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-2093595</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-2076450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-2059305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-2042160</wp:posOffset>
            </wp:positionV>
            <wp:extent cx="8255"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-2025015</wp:posOffset>
            </wp:positionV>
            <wp:extent cx="8255"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-2007870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-1990725</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-1973580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-1956435</wp:posOffset>
            </wp:positionV>
            <wp:extent cx="8255"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-1939290</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-1922145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-1905000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-1887855</wp:posOffset>
            </wp:positionV>
            <wp:extent cx="8255"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-1870710</wp:posOffset>
            </wp:positionV>
            <wp:extent cx="8255"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-1853565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-1836420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-1819275</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-1802130</wp:posOffset>
            </wp:positionV>
            <wp:extent cx="8255"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-1784985</wp:posOffset>
            </wp:positionV>
            <wp:extent cx="8255"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-1767840</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-1750695</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-1733550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-1716405</wp:posOffset>
            </wp:positionV>
            <wp:extent cx="8255"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-1699260</wp:posOffset>
            </wp:positionV>
            <wp:extent cx="825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-1682115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-1664970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-1647825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-1630680</wp:posOffset>
            </wp:positionV>
            <wp:extent cx="8255"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-1613535</wp:posOffset>
            </wp:positionV>
            <wp:extent cx="825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-1596390</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-1579245</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-1562100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-1544955</wp:posOffset>
            </wp:positionV>
            <wp:extent cx="8255"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-1527810</wp:posOffset>
            </wp:positionV>
            <wp:extent cx="825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-1510665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-1493520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-1476375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-1459230</wp:posOffset>
            </wp:positionV>
            <wp:extent cx="825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-1442085</wp:posOffset>
            </wp:positionV>
            <wp:extent cx="8255"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-1424940</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-1407795</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-1390650</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-1373505</wp:posOffset>
            </wp:positionV>
            <wp:extent cx="8255"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-1356360</wp:posOffset>
            </wp:positionV>
            <wp:extent cx="825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-1339215</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-1322070</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-1304925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-1287780</wp:posOffset>
            </wp:positionV>
            <wp:extent cx="8255"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-1270635</wp:posOffset>
            </wp:positionV>
            <wp:extent cx="8255"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-1253490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-1236345</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-1219200</wp:posOffset>
            </wp:positionV>
            <wp:extent cx="8255"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-1202055</wp:posOffset>
            </wp:positionV>
            <wp:extent cx="8255"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-1184910</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-1167765</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-1150620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-1133475</wp:posOffset>
            </wp:positionV>
            <wp:extent cx="8255"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-1116330</wp:posOffset>
            </wp:positionV>
            <wp:extent cx="8255"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-1099185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-1082040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-1064895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-1047750</wp:posOffset>
            </wp:positionV>
            <wp:extent cx="8255"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-1030605</wp:posOffset>
            </wp:positionV>
            <wp:extent cx="8255"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-1013460</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-996315</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-979170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-962025</wp:posOffset>
            </wp:positionV>
            <wp:extent cx="8255"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-944880</wp:posOffset>
            </wp:positionV>
            <wp:extent cx="8255"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-927735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-910590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-893445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-876300</wp:posOffset>
            </wp:positionV>
            <wp:extent cx="8255"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-859155</wp:posOffset>
            </wp:positionV>
            <wp:extent cx="8255"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-842010</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-824865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-807720</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-790575</wp:posOffset>
            </wp:positionV>
            <wp:extent cx="8255"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-773430</wp:posOffset>
            </wp:positionV>
            <wp:extent cx="8255"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-756285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-739140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-721995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-704850</wp:posOffset>
            </wp:positionV>
            <wp:extent cx="8255"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-687705</wp:posOffset>
            </wp:positionV>
            <wp:extent cx="8255"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-670560</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-653415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-636270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-619125</wp:posOffset>
            </wp:positionV>
            <wp:extent cx="8255"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-601980</wp:posOffset>
            </wp:positionV>
            <wp:extent cx="8255"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-584835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-567690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-550545</wp:posOffset>
            </wp:positionV>
            <wp:extent cx="8255"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-533400</wp:posOffset>
            </wp:positionV>
            <wp:extent cx="8255"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-516255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-499110</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-481965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-464820</wp:posOffset>
            </wp:positionV>
            <wp:extent cx="8255"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-447675</wp:posOffset>
            </wp:positionV>
            <wp:extent cx="8255"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-430530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-413385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-396240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-379095</wp:posOffset>
            </wp:positionV>
            <wp:extent cx="8255"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-361950</wp:posOffset>
            </wp:positionV>
            <wp:extent cx="8255"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-344805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-327660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-310515</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-293370</wp:posOffset>
            </wp:positionV>
            <wp:extent cx="8255"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-276225</wp:posOffset>
            </wp:positionV>
            <wp:extent cx="8255"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-259080</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-241935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-224790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-207645</wp:posOffset>
            </wp:positionV>
            <wp:extent cx="8255"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-190500</wp:posOffset>
            </wp:positionV>
            <wp:extent cx="8255"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-173355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-156210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-139065</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-121920</wp:posOffset>
            </wp:positionV>
            <wp:extent cx="8255"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-104775</wp:posOffset>
            </wp:positionV>
            <wp:extent cx="8255"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-87630</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-70485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-53340</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-36195</wp:posOffset>
            </wp:positionV>
            <wp:extent cx="8255"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-19050</wp:posOffset>
            </wp:positionV>
            <wp:extent cx="8255"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-1905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31750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48895</wp:posOffset>
            </wp:positionV>
            <wp:extent cx="8255"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66040</wp:posOffset>
            </wp:positionV>
            <wp:extent cx="8255"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83185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100330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117475</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134620</wp:posOffset>
            </wp:positionV>
            <wp:extent cx="8255"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151765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-5454015</wp:posOffset>
            </wp:positionV>
            <wp:extent cx="345440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40"/>
            <w:col w:w="5320"/>
          </w:cols>
          <w:pgMar w:left="480"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480"/>
          </w:cols>
          <w:pgMar w:left="480" w:top="1440" w:right="93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50"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Section 8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27"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4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2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36"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Sección 8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37"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27" w:lineRule="exact"/>
        <w:rPr>
          <w:sz w:val="20"/>
          <w:szCs w:val="20"/>
          <w:color w:val="auto"/>
        </w:rPr>
      </w:pPr>
    </w:p>
    <w:p>
      <w:pPr>
        <w:jc w:val="both"/>
        <w:ind w:left="180"/>
        <w:spacing w:after="0" w:line="283"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1080"/>
          </w:cols>
          <w:pgMar w:left="480" w:top="144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40"/>
        <w:spacing w:after="0" w:line="264"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7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granted, and any Option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Option may not be publicly distributed in Mexico. These materials are addressed to the Optionee because of the Optionee’s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4.</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64"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Necessary Approvals</w:t>
      </w:r>
      <w:r>
        <w:rPr>
          <w:rFonts w:ascii="Times New Roman" w:cs="Times New Roman" w:eastAsia="Times New Roman" w:hAnsi="Times New Roman"/>
          <w:sz w:val="16"/>
          <w:szCs w:val="16"/>
          <w:color w:val="auto"/>
        </w:rPr>
        <w:t>. The offering of the Plan and the grant of the Option may be subject to certain securities approval/confirmation requirements in the Philippines with the Philippine Securities and Exchange Commission. If the Company has not obtained, or does not maintain, the necessary securities approval/confirmation prior to the vesting of the Option, the Optionee will not vest in the Option or be able to exercise the Option and no Option Shares will be issued. The Option shall vest and become exercisable only if and when all necessary securities approvals/confirmations have been obtained and are maintained.</w:t>
      </w:r>
    </w:p>
    <w:p>
      <w:pPr>
        <w:spacing w:after="0" w:line="220" w:lineRule="exact"/>
        <w:rPr>
          <w:sz w:val="20"/>
          <w:szCs w:val="20"/>
          <w:color w:val="auto"/>
        </w:rPr>
      </w:pPr>
    </w:p>
    <w:p>
      <w:pPr>
        <w:jc w:val="both"/>
        <w:ind w:left="34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of Options is being made pursuant to an exemption from registration under Section 10.2 of the SRC that has been approved by the PSEC.</w:t>
      </w:r>
    </w:p>
    <w:p>
      <w:pPr>
        <w:spacing w:after="0" w:line="262"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222" w:lineRule="exact"/>
        <w:rPr>
          <w:sz w:val="20"/>
          <w:szCs w:val="20"/>
          <w:color w:val="auto"/>
        </w:rPr>
      </w:pPr>
    </w:p>
    <w:p>
      <w:pPr>
        <w:jc w:val="both"/>
        <w:ind w:left="340" w:right="20"/>
        <w:spacing w:after="0" w:line="27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11"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 xml:space="preserve">The Optionee should also note that the sale or disposal of Option Shares acquired under the Plan may be subject to certain restrictions under Philippines securities laws. Those restrictions should not apply if the offer and resale of Option Shares takes place outside the Philippines through the facilities of a stock exchange on which the Option Shares are listed. The Option Shares are currently listed on Nasdaq. The Company’s designated broker should be able to assist the Optionee in the sale of Option Shares on Nasdaq. </w:t>
      </w:r>
      <w:r>
        <w:rPr>
          <w:rFonts w:ascii="Times New Roman" w:cs="Times New Roman" w:eastAsia="Times New Roman" w:hAnsi="Times New Roman"/>
          <w:sz w:val="16"/>
          <w:szCs w:val="16"/>
          <w:i w:val="1"/>
          <w:iCs w:val="1"/>
          <w:color w:val="auto"/>
        </w:rPr>
        <w:t>If the Optionee</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920"/>
          </w:cols>
          <w:pgMar w:left="320" w:top="1440" w:right="65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right="100"/>
        <w:spacing w:after="0" w:line="283" w:lineRule="auto"/>
        <w:rPr>
          <w:sz w:val="20"/>
          <w:szCs w:val="20"/>
          <w:color w:val="auto"/>
        </w:rPr>
      </w:pPr>
      <w:r>
        <w:rPr>
          <w:rFonts w:ascii="Times New Roman" w:cs="Times New Roman" w:eastAsia="Times New Roman" w:hAnsi="Times New Roman"/>
          <w:sz w:val="16"/>
          <w:szCs w:val="16"/>
          <w:i w:val="1"/>
          <w:iCs w:val="1"/>
          <w:color w:val="auto"/>
        </w:rPr>
        <w:t>has questions with regard to the application of Philippines securities laws to the disposal or sale of Option Shares acquired under the Plan the Optionee should consult with his or her legal advisor.</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 maintains bank or brokerage accounts holding cash and foreign securities (including Option Shares) outside Poland, the Optionee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39"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ind w:left="180" w:right="10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64" w:lineRule="exact"/>
        <w:rPr>
          <w:sz w:val="20"/>
          <w:szCs w:val="20"/>
          <w:color w:val="auto"/>
        </w:rPr>
      </w:pPr>
    </w:p>
    <w:p>
      <w:pPr>
        <w:jc w:val="both"/>
        <w:ind w:left="180" w:right="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Options and the issuance of any Option Shares are not subject to the regulations concerning public offers and private placements under the Law on Capital Markets.</w:t>
      </w:r>
    </w:p>
    <w:p>
      <w:pPr>
        <w:spacing w:after="0" w:line="151" w:lineRule="exact"/>
        <w:rPr>
          <w:sz w:val="20"/>
          <w:szCs w:val="20"/>
          <w:color w:val="auto"/>
        </w:rPr>
      </w:pPr>
    </w:p>
    <w:p>
      <w:pPr>
        <w:jc w:val="both"/>
        <w:ind w:left="180" w:right="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64" w:lineRule="exact"/>
        <w:rPr>
          <w:sz w:val="20"/>
          <w:szCs w:val="20"/>
          <w:color w:val="auto"/>
        </w:rPr>
      </w:pPr>
    </w:p>
    <w:p>
      <w:pPr>
        <w:jc w:val="both"/>
        <w:ind w:left="180" w:right="100"/>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Options are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and in accordance with any other applicable provision of the SFA.</w:t>
      </w:r>
    </w:p>
    <w:p>
      <w:pPr>
        <w:spacing w:after="0" w:line="236" w:lineRule="exact"/>
        <w:rPr>
          <w:sz w:val="20"/>
          <w:szCs w:val="20"/>
          <w:color w:val="auto"/>
        </w:rPr>
      </w:pPr>
    </w:p>
    <w:p>
      <w:pPr>
        <w:jc w:val="both"/>
        <w:ind w:left="180" w:right="80"/>
        <w:spacing w:after="0" w:line="256"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w:t>
      </w:r>
    </w:p>
    <w:p>
      <w:pPr>
        <w:sectPr>
          <w:pgSz w:w="11900" w:h="16838" w:orient="portrait"/>
          <w:cols w:equalWidth="0" w:num="1">
            <w:col w:w="10840"/>
          </w:cols>
          <w:pgMar w:left="48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840"/>
          </w:cols>
          <w:pgMar w:left="480" w:top="1440" w:right="57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No Entitlement for Claims or Compensation</w:t>
      </w:r>
      <w:r>
        <w:rPr>
          <w:rFonts w:ascii="Times New Roman" w:cs="Times New Roman" w:eastAsia="Times New Roman" w:hAnsi="Times New Roman"/>
          <w:sz w:val="16"/>
          <w:szCs w:val="16"/>
          <w:color w:val="auto"/>
        </w:rPr>
        <w:t>. By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(i) Options will not economically or otherwise bind the Company or any of its subsidiaries on an ongoing basis; (ii)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and (iii) the Options will cease vesting upon the Optionee’s termination of employment except in the event the Optionee dies or becomes Disabled, as detailed in the following paragraph.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23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6"/>
          <w:szCs w:val="16"/>
          <w:color w:val="auto"/>
        </w:rPr>
        <w:t>Further, and except as provided in Sections 3(e) and 3(g) of the Agreement in the event the Optionee dies or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Optionee acknowledges that he or she has read and specifically accepts the conditions referred to in Section 3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Options and the Option Shares issued upon exercise of the Option are considered a private placement outside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xml:space="preserve"> and does not constitute a public offering prospectus.</w:t>
      </w:r>
    </w:p>
    <w:p>
      <w:pPr>
        <w:spacing w:after="0" w:line="22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Optionee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Optionee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36"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Optionee holds assets (e.g., cash or Option Shares held in a bank or brokerage account) outside Spain with a value in excess of a certain threshold (currently,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- 14</w:t>
      </w:r>
    </w:p>
    <w:p>
      <w:pPr>
        <w:sectPr>
          <w:pgSz w:w="11900" w:h="16838" w:orient="portrait"/>
          <w:cols w:equalWidth="0" w:num="1">
            <w:col w:w="10760"/>
          </w:cols>
          <w:pgMar w:left="480" w:top="1440" w:right="6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Automatic Cashless Exercise and Sale</w:t>
      </w:r>
      <w:r>
        <w:rPr>
          <w:rFonts w:ascii="Times New Roman" w:cs="Times New Roman" w:eastAsia="Times New Roman" w:hAnsi="Times New Roman"/>
          <w:sz w:val="16"/>
          <w:szCs w:val="16"/>
          <w:color w:val="auto"/>
        </w:rPr>
        <w:t>. The grant of the Option is conditioned on the Optionee’s agreement to the below.</w:t>
      </w:r>
    </w:p>
    <w:p>
      <w:pPr>
        <w:spacing w:after="0" w:line="248"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Analog Devices A.B.</w:t>
      </w:r>
    </w:p>
    <w:p>
      <w:pPr>
        <w:spacing w:after="0" w:line="179"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Analog Devices A.B.</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7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23"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22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and participation in the Plan is made available only to employees of the Company and its subsidiaries. It is not a public offer of securities by a Taiwanese company. Therefore, it is exempt from registration in Taiwan.</w:t>
      </w:r>
    </w:p>
    <w:p>
      <w:pPr>
        <w:spacing w:after="0" w:line="19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Option Shares) into Taiwan up to a certain threshold (currently, US$10,000,000) per year without justification.</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Optionee must submit a Foreign Exchange Transaction Form and also provide supporting documentation to the satisfaction of the remitting bank.</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- 15</w:t>
      </w:r>
    </w:p>
    <w:p>
      <w:pPr>
        <w:sectPr>
          <w:pgSz w:w="11900" w:h="16838" w:orient="portrait"/>
          <w:cols w:equalWidth="0" w:num="1">
            <w:col w:w="10760"/>
          </w:cols>
          <w:pgMar w:left="480" w:top="1440" w:right="6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64"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Thai resident and the Optionee realizes sale proceeds equal to or in excess of a specified threshold (currently US$1,000,000) in a single transaction, the Optionee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Optionee can rely on an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Optionee understands he or she must specifically report the inward remittance to the Bank of Thailand on a Foreign Exchange Transaction Form. The Optionee is responsible for ensuring compliance with all exchange control laws in Thailand.</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77"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208"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Without limitation to Section 7 of the Agreement, the Optionee agrees that the Optionee is liable for all Tax-Related Items and hereby covenants to pay all such Tax-Related Items, as and when requested by the Company or the Employer or by HM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61"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Optionee by any of the means referred to in Section 7 of the Agreement.</w:t>
      </w:r>
    </w:p>
    <w:p>
      <w:pPr>
        <w:spacing w:after="0" w:line="128"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4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- 16</w:t>
      </w:r>
    </w:p>
    <w:p>
      <w:pPr>
        <w:sectPr>
          <w:pgSz w:w="11900" w:h="16838" w:orient="portrait"/>
          <w:cols w:equalWidth="0" w:num="1">
            <w:col w:w="10760"/>
          </w:cols>
          <w:pgMar w:left="480" w:top="1440" w:right="6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7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- 17</w:t>
      </w:r>
    </w:p>
    <w:p>
      <w:pPr>
        <w:sectPr>
          <w:pgSz w:w="11900" w:h="16838" w:orient="portrait"/>
          <w:cols w:equalWidth="0" w:num="1">
            <w:col w:w="10760"/>
          </w:cols>
          <w:pgMar w:left="480" w:top="1440" w:right="659" w:bottom="1440" w:gutter="0" w:footer="0" w:header="0"/>
        </w:sectPr>
      </w:pPr>
    </w:p>
    <w:bookmarkStart w:id="46" w:name="page47"/>
    <w:bookmarkEnd w:id="46"/>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SPECIAL NOTICE FOR DANISH EMPLOYEES</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EMPLOYER STATEMENT</w:t>
      </w:r>
    </w:p>
    <w:p>
      <w:pPr>
        <w:spacing w:after="0" w:line="230"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7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This statement contains only the information mentioned in the Act. The other terms and conditions of your stock option grant are described in detail in the Analog Devices, Inc. 2020 Equity Incentive Plan (the “Plan”), and the Global Non-Qualified Stock Option Agreement, including the country-specific appendix (the “Agreement”), which have been given to you.</w:t>
      </w:r>
    </w:p>
    <w:p>
      <w:pPr>
        <w:spacing w:after="0" w:line="88"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Time of grant of option to purchase stock</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date for your stock option is the date that the Company approved a grant for you.</w:t>
      </w:r>
    </w:p>
    <w:p>
      <w:pPr>
        <w:spacing w:after="0" w:line="138"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Terms or conditions for option grant</w:t>
      </w:r>
    </w:p>
    <w:p>
      <w:pPr>
        <w:spacing w:after="0" w:line="142"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88"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5"/>
          <w:szCs w:val="15"/>
          <w:b w:val="1"/>
          <w:bCs w:val="1"/>
          <w:color w:val="auto"/>
        </w:rPr>
        <w:t>Vesting date or period</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Your stock option will vest in accordance with the vesting schedule set forth in Section 1 of your Agreement.</w:t>
      </w:r>
    </w:p>
    <w:p>
      <w:pPr>
        <w:spacing w:after="0" w:line="138" w:lineRule="exact"/>
        <w:rPr>
          <w:sz w:val="20"/>
          <w:szCs w:val="20"/>
          <w:color w:val="auto"/>
        </w:rPr>
      </w:pPr>
    </w:p>
    <w:p>
      <w:pPr>
        <w:ind w:left="460" w:hanging="288"/>
        <w:spacing w:after="0"/>
        <w:tabs>
          <w:tab w:leader="none" w:pos="46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180" w:right="20"/>
        <w:spacing w:after="0" w:line="280" w:lineRule="auto"/>
        <w:rPr>
          <w:sz w:val="20"/>
          <w:szCs w:val="20"/>
          <w:color w:val="auto"/>
        </w:rPr>
      </w:pPr>
      <w:r>
        <w:rPr>
          <w:rFonts w:ascii="Times New Roman" w:cs="Times New Roman" w:eastAsia="Times New Roman" w:hAnsi="Times New Roman"/>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82" w:lineRule="exact"/>
        <w:rPr>
          <w:sz w:val="20"/>
          <w:szCs w:val="20"/>
          <w:color w:val="auto"/>
        </w:rPr>
      </w:pPr>
    </w:p>
    <w:p>
      <w:pPr>
        <w:ind w:left="180"/>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5.</w:t>
        <w:tab/>
        <w:t>Your rights upon termination of employment</w:t>
      </w:r>
    </w:p>
    <w:p>
      <w:pPr>
        <w:spacing w:after="0" w:line="142" w:lineRule="exact"/>
        <w:rPr>
          <w:sz w:val="20"/>
          <w:szCs w:val="20"/>
          <w:color w:val="auto"/>
        </w:rPr>
      </w:pPr>
    </w:p>
    <w:p>
      <w:pPr>
        <w:ind w:left="180" w:right="20"/>
        <w:spacing w:after="0" w:line="298"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68" w:lineRule="exact"/>
        <w:rPr>
          <w:sz w:val="20"/>
          <w:szCs w:val="20"/>
          <w:color w:val="auto"/>
        </w:rPr>
      </w:pPr>
    </w:p>
    <w:p>
      <w:pPr>
        <w:ind w:left="460" w:hanging="288"/>
        <w:spacing w:after="0"/>
        <w:tabs>
          <w:tab w:leader="none" w:pos="46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15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One Analog Way</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0760"/>
          </w:cols>
          <w:pgMar w:left="480" w:top="1440" w:right="659" w:bottom="1440" w:gutter="0" w:footer="0" w:header="0"/>
        </w:sectPr>
      </w:pPr>
    </w:p>
    <w:bookmarkStart w:id="47" w:name="page48"/>
    <w:bookmarkEnd w:id="47"/>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SÆRLIG MEDDELELSE TIL DANSKE MEDARBEJDERE</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ARBEJDSGIVERERKLÆRING</w:t>
      </w:r>
    </w:p>
    <w:p>
      <w:pPr>
        <w:spacing w:after="0" w:line="34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1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Denne erklæring indeholder kun de oplysninger, der er nævnt i Aktieoptionsloven. De øvrige kriterier og betingelser for din tildeling af aktieoptioner er detaljeret beskrevet i Analog Devices, Inc. 2020 Equity Incentive Plan (“Planen”) og i Global Non-Qualified Stock Option Agreement inkl. det landespecifikke tillæg (“Aftalen”), som du har fået udleveret.</w:t>
      </w:r>
    </w:p>
    <w:p>
      <w:pPr>
        <w:spacing w:after="0" w:line="95"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Tidspunktet for tildeling af retten til at købe aktier</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Tidspunktet for tildelingen af din aktieoption er den dato, hvor Selskabets godkendte din tildeling.</w:t>
      </w:r>
    </w:p>
    <w:p>
      <w:pPr>
        <w:spacing w:after="0" w:line="138" w:lineRule="exact"/>
        <w:rPr>
          <w:sz w:val="20"/>
          <w:szCs w:val="20"/>
          <w:color w:val="auto"/>
        </w:rPr>
      </w:pPr>
    </w:p>
    <w:p>
      <w:pPr>
        <w:ind w:left="460" w:hanging="288"/>
        <w:spacing w:after="0"/>
        <w:tabs>
          <w:tab w:leader="none" w:pos="46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Kriterier og betingelser for optionstildelingen</w:t>
      </w:r>
    </w:p>
    <w:p>
      <w:pPr>
        <w:spacing w:after="0" w:line="156"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95" w:lineRule="exact"/>
        <w:rPr>
          <w:sz w:val="20"/>
          <w:szCs w:val="20"/>
          <w:color w:val="auto"/>
        </w:rPr>
      </w:pPr>
    </w:p>
    <w:p>
      <w:pPr>
        <w:ind w:left="460" w:hanging="288"/>
        <w:spacing w:after="0"/>
        <w:tabs>
          <w:tab w:leader="none" w:pos="46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Modningstidspunkt eller-periode</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Din aktieoption modnes som anført i den modningsplan, der fremgår af afsnit 1 i Aftalen.</w:t>
      </w:r>
    </w:p>
    <w:p>
      <w:pPr>
        <w:spacing w:after="0" w:line="138" w:lineRule="exact"/>
        <w:rPr>
          <w:sz w:val="20"/>
          <w:szCs w:val="20"/>
          <w:color w:val="auto"/>
        </w:rPr>
      </w:pPr>
    </w:p>
    <w:p>
      <w:pPr>
        <w:ind w:left="460" w:hanging="288"/>
        <w:spacing w:after="0"/>
        <w:tabs>
          <w:tab w:leader="none" w:pos="460"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42" w:lineRule="exact"/>
        <w:rPr>
          <w:sz w:val="20"/>
          <w:szCs w:val="20"/>
          <w:color w:val="auto"/>
        </w:rPr>
      </w:pPr>
    </w:p>
    <w:p>
      <w:pPr>
        <w:ind w:left="180" w:right="20"/>
        <w:spacing w:after="0" w:line="298" w:lineRule="auto"/>
        <w:rPr>
          <w:sz w:val="20"/>
          <w:szCs w:val="20"/>
          <w:color w:val="auto"/>
        </w:rPr>
      </w:pPr>
      <w:r>
        <w:rPr>
          <w:rFonts w:ascii="Times New Roman" w:cs="Times New Roman" w:eastAsia="Times New Roman" w:hAnsi="Times New Roman"/>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68" w:lineRule="exact"/>
        <w:rPr>
          <w:sz w:val="20"/>
          <w:szCs w:val="20"/>
          <w:color w:val="auto"/>
        </w:rPr>
      </w:pPr>
    </w:p>
    <w:p>
      <w:pPr>
        <w:ind w:left="460" w:hanging="288"/>
        <w:spacing w:after="0"/>
        <w:tabs>
          <w:tab w:leader="none" w:pos="46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42" w:lineRule="exact"/>
        <w:rPr>
          <w:sz w:val="20"/>
          <w:szCs w:val="20"/>
          <w:color w:val="auto"/>
        </w:rPr>
      </w:pPr>
    </w:p>
    <w:p>
      <w:pPr>
        <w:ind w:left="180"/>
        <w:spacing w:after="0" w:line="280"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82" w:lineRule="exact"/>
        <w:rPr>
          <w:sz w:val="20"/>
          <w:szCs w:val="20"/>
          <w:color w:val="auto"/>
        </w:rPr>
      </w:pPr>
    </w:p>
    <w:p>
      <w:pPr>
        <w:ind w:left="460" w:hanging="288"/>
        <w:spacing w:after="0"/>
        <w:tabs>
          <w:tab w:leader="none" w:pos="46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Planen</w:t>
      </w:r>
    </w:p>
    <w:p>
      <w:pPr>
        <w:spacing w:after="0" w:line="14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7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One Analog Way</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440" w:right="659" w:bottom="1440" w:gutter="0" w:footer="0" w:header="0"/>
        </w:sectPr>
      </w:pPr>
    </w:p>
    <w:bookmarkStart w:id="48" w:name="page49"/>
    <w:bookmarkEnd w:id="48"/>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7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2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13"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right="20" w:hanging="328"/>
        <w:spacing w:after="0" w:line="255"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75"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440" w:right="659" w:bottom="1440" w:gutter="0" w:footer="0" w:header="0"/>
        </w:sectPr>
      </w:pPr>
    </w:p>
    <w:bookmarkStart w:id="49" w:name="page50"/>
    <w:bookmarkEnd w:id="49"/>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52" w:lineRule="exact"/>
        <w:rPr>
          <w:sz w:val="20"/>
          <w:szCs w:val="20"/>
          <w:color w:val="auto"/>
        </w:rPr>
      </w:pPr>
    </w:p>
    <w:p>
      <w:pPr>
        <w:ind w:left="660" w:hanging="652"/>
        <w:spacing w:after="0" w:line="273" w:lineRule="auto"/>
        <w:tabs>
          <w:tab w:leader="none" w:pos="34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4" w:lineRule="exact"/>
        <w:rPr>
          <w:rFonts w:ascii="Times New Roman" w:cs="Times New Roman" w:eastAsia="Times New Roman" w:hAnsi="Times New Roman"/>
          <w:sz w:val="16"/>
          <w:szCs w:val="16"/>
          <w:color w:val="auto"/>
        </w:rPr>
      </w:pPr>
    </w:p>
    <w:p>
      <w:pPr>
        <w:ind w:left="660" w:right="20" w:hanging="652"/>
        <w:spacing w:after="0" w:line="301" w:lineRule="auto"/>
        <w:tabs>
          <w:tab w:leader="none" w:pos="33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92"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46"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4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50" w:lineRule="exact"/>
        <w:rPr>
          <w:rFonts w:ascii="Times New Roman" w:cs="Times New Roman" w:eastAsia="Times New Roman" w:hAnsi="Times New Roman"/>
          <w:sz w:val="16"/>
          <w:szCs w:val="16"/>
          <w:color w:val="auto"/>
        </w:rPr>
      </w:pPr>
    </w:p>
    <w:p>
      <w:pPr>
        <w:ind w:left="1960" w:hanging="656"/>
        <w:spacing w:after="0" w:line="298" w:lineRule="auto"/>
        <w:tabs>
          <w:tab w:leader="none" w:pos="195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77" w:lineRule="exact"/>
        <w:rPr>
          <w:rFonts w:ascii="Times New Roman" w:cs="Times New Roman" w:eastAsia="Times New Roman" w:hAnsi="Times New Roman"/>
          <w:sz w:val="16"/>
          <w:szCs w:val="16"/>
          <w:color w:val="auto"/>
        </w:rPr>
      </w:pPr>
    </w:p>
    <w:p>
      <w:pPr>
        <w:ind w:left="1960" w:right="20" w:hanging="656"/>
        <w:spacing w:after="0" w:line="298" w:lineRule="auto"/>
        <w:tabs>
          <w:tab w:leader="none" w:pos="195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77" w:lineRule="exact"/>
        <w:rPr>
          <w:rFonts w:ascii="Times New Roman" w:cs="Times New Roman" w:eastAsia="Times New Roman" w:hAnsi="Times New Roman"/>
          <w:sz w:val="16"/>
          <w:szCs w:val="16"/>
          <w:color w:val="auto"/>
        </w:rPr>
      </w:pPr>
    </w:p>
    <w:p>
      <w:pPr>
        <w:ind w:left="1960" w:hanging="656"/>
        <w:spacing w:after="0" w:line="280" w:lineRule="auto"/>
        <w:tabs>
          <w:tab w:leader="none" w:pos="19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205"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48" w:lineRule="exact"/>
        <w:rPr>
          <w:rFonts w:ascii="Times New Roman" w:cs="Times New Roman" w:eastAsia="Times New Roman" w:hAnsi="Times New Roman"/>
          <w:sz w:val="16"/>
          <w:szCs w:val="16"/>
          <w:color w:val="auto"/>
        </w:rPr>
      </w:pPr>
    </w:p>
    <w:p>
      <w:pPr>
        <w:ind w:left="2600" w:hanging="648"/>
        <w:spacing w:after="0" w:line="298" w:lineRule="auto"/>
        <w:tabs>
          <w:tab w:leader="none" w:pos="260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77" w:lineRule="exact"/>
        <w:rPr>
          <w:rFonts w:ascii="Times New Roman" w:cs="Times New Roman" w:eastAsia="Times New Roman" w:hAnsi="Times New Roman"/>
          <w:sz w:val="16"/>
          <w:szCs w:val="16"/>
          <w:color w:val="auto"/>
        </w:rPr>
      </w:pPr>
    </w:p>
    <w:p>
      <w:pPr>
        <w:ind w:left="2600" w:right="20" w:hanging="648"/>
        <w:spacing w:after="0" w:line="280" w:lineRule="auto"/>
        <w:tabs>
          <w:tab w:leader="none" w:pos="260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399" w:lineRule="exact"/>
        <w:rPr>
          <w:sz w:val="20"/>
          <w:szCs w:val="20"/>
          <w:color w:val="auto"/>
        </w:rPr>
      </w:pPr>
    </w:p>
    <w:p>
      <w:pPr>
        <w:ind w:left="420" w:right="8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78" w:lineRule="exact"/>
        <w:rPr>
          <w:sz w:val="20"/>
          <w:szCs w:val="20"/>
          <w:color w:val="auto"/>
        </w:rPr>
      </w:pPr>
    </w:p>
    <w:p>
      <w:pPr>
        <w:ind w:left="420" w:right="18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4" w:lineRule="exact"/>
        <w:rPr>
          <w:sz w:val="20"/>
          <w:szCs w:val="20"/>
          <w:color w:val="auto"/>
        </w:rPr>
      </w:pPr>
    </w:p>
    <w:p>
      <w:pPr>
        <w:ind w:left="420" w:right="26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440" w:right="659" w:bottom="1440" w:gutter="0" w:footer="0" w:header="0"/>
          <w:type w:val="continuous"/>
        </w:sectPr>
      </w:pPr>
    </w:p>
    <w:bookmarkStart w:id="50" w:name="page51"/>
    <w:bookmarkEnd w:id="50"/>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ind w:left="660" w:hanging="652"/>
        <w:spacing w:after="0"/>
        <w:tabs>
          <w:tab w:leader="none" w:pos="66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63" w:lineRule="exact"/>
        <w:rPr>
          <w:rFonts w:ascii="Times New Roman" w:cs="Times New Roman" w:eastAsia="Times New Roman" w:hAnsi="Times New Roman"/>
          <w:sz w:val="16"/>
          <w:szCs w:val="16"/>
          <w:b w:val="1"/>
          <w:bCs w:val="1"/>
          <w:color w:val="auto"/>
        </w:rPr>
      </w:pPr>
    </w:p>
    <w:p>
      <w:pPr>
        <w:jc w:val="both"/>
        <w:ind w:left="660" w:hanging="4"/>
        <w:spacing w:after="0" w:line="256" w:lineRule="auto"/>
        <w:tabs>
          <w:tab w:leader="none" w:pos="1299"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w:t>
      </w:r>
    </w:p>
    <w:p>
      <w:pPr>
        <w:spacing w:after="0" w:line="2"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SSCBA.</w:t>
      </w:r>
    </w:p>
    <w:p>
      <w:pPr>
        <w:spacing w:after="0" w:line="16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30"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13"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26" w:lineRule="exact"/>
        <w:rPr>
          <w:rFonts w:ascii="Times New Roman" w:cs="Times New Roman" w:eastAsia="Times New Roman" w:hAnsi="Times New Roman"/>
          <w:sz w:val="16"/>
          <w:szCs w:val="16"/>
          <w:color w:val="auto"/>
        </w:rPr>
      </w:pPr>
    </w:p>
    <w:p>
      <w:pPr>
        <w:ind w:left="1300" w:hanging="644"/>
        <w:spacing w:after="0" w:line="260" w:lineRule="auto"/>
        <w:tabs>
          <w:tab w:leader="none" w:pos="111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30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00" w:lineRule="exact"/>
        <w:rPr>
          <w:sz w:val="20"/>
          <w:szCs w:val="20"/>
          <w:color w:val="auto"/>
        </w:rPr>
      </w:pPr>
    </w:p>
    <w:p>
      <w:pPr>
        <w:ind w:left="420" w:right="20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204"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10"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50" w:lineRule="exact"/>
        <w:rPr>
          <w:sz w:val="20"/>
          <w:szCs w:val="20"/>
          <w:color w:val="auto"/>
        </w:rPr>
      </w:pPr>
    </w:p>
    <w:p>
      <w:pPr>
        <w:ind w:left="420" w:right="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62"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67"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4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80"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4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54" w:lineRule="exact"/>
        <w:rPr>
          <w:sz w:val="20"/>
          <w:szCs w:val="20"/>
          <w:color w:val="auto"/>
        </w:rPr>
      </w:pPr>
    </w:p>
    <w:p>
      <w:pPr>
        <w:ind w:left="1300" w:right="1800" w:hanging="968"/>
        <w:spacing w:after="0" w:line="280" w:lineRule="auto"/>
        <w:tabs>
          <w:tab w:leader="none" w:pos="652" w:val="left"/>
        </w:tabs>
        <w:numPr>
          <w:ilvl w:val="0"/>
          <w:numId w:val="41"/>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(iv) after due payment of the Employer’s Liability in respect of the entirety of the Awards to which this Election relates or could relate, such that the Election ceases to have effect in accordance with its terms.</w:t>
      </w:r>
    </w:p>
    <w:p>
      <w:pPr>
        <w:spacing w:after="0" w:line="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35"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440" w:right="659" w:bottom="9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920"/>
          </w:cols>
          <w:pgMar w:left="320" w:top="1440" w:right="659" w:bottom="952"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02"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Ahern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895439</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440" w:right="1440" w:bottom="1440" w:gutter="0" w:footer="0" w:header="0"/>
        </w:sectPr>
      </w:pPr>
    </w:p>
    <w:bookmarkStart w:id="53" w:name="page54"/>
    <w:bookmarkEnd w:id="53"/>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Employee ID</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40" w:lineRule="exact"/>
        <w:rPr>
          <w:sz w:val="20"/>
          <w:szCs w:val="20"/>
          <w:color w:val="auto"/>
        </w:rPr>
      </w:pPr>
    </w:p>
    <w:p>
      <w:pPr>
        <w:jc w:val="both"/>
        <w:ind w:left="160" w:right="320"/>
        <w:spacing w:after="0" w:line="26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Equity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323" w:lineRule="exact"/>
        <w:rPr>
          <w:sz w:val="20"/>
          <w:szCs w:val="20"/>
          <w:color w:val="auto"/>
        </w:rPr>
      </w:pPr>
    </w:p>
    <w:p>
      <w:pPr>
        <w:ind w:left="480" w:hanging="328"/>
        <w:spacing w:after="0"/>
        <w:tabs>
          <w:tab w:leader="none" w:pos="4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480" w:right="34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22"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spacing w:after="0" w:line="25"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spacing w:after="0" w:line="5"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216" w:lineRule="exact"/>
        <w:rPr>
          <w:rFonts w:ascii="Times New Roman" w:cs="Times New Roman" w:eastAsia="Times New Roman" w:hAnsi="Times New Roman"/>
          <w:sz w:val="16"/>
          <w:szCs w:val="16"/>
          <w:color w:val="auto"/>
        </w:rPr>
      </w:pPr>
    </w:p>
    <w:p>
      <w:pPr>
        <w:jc w:val="both"/>
        <w:ind w:left="480"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Employer is located.</w:t>
      </w:r>
    </w:p>
    <w:p>
      <w:pPr>
        <w:spacing w:after="0" w:line="179" w:lineRule="exact"/>
        <w:rPr>
          <w:rFonts w:ascii="Times New Roman" w:cs="Times New Roman" w:eastAsia="Times New Roman" w:hAnsi="Times New Roman"/>
          <w:sz w:val="16"/>
          <w:szCs w:val="16"/>
          <w:color w:val="auto"/>
        </w:rPr>
      </w:pPr>
    </w:p>
    <w:p>
      <w:pPr>
        <w:jc w:val="both"/>
        <w:ind w:left="480" w:right="3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70" w:lineRule="exact"/>
        <w:rPr>
          <w:rFonts w:ascii="Times New Roman" w:cs="Times New Roman" w:eastAsia="Times New Roman" w:hAnsi="Times New Roman"/>
          <w:sz w:val="16"/>
          <w:szCs w:val="16"/>
          <w:color w:val="auto"/>
        </w:rPr>
      </w:pPr>
    </w:p>
    <w:p>
      <w:pPr>
        <w:jc w:val="both"/>
        <w:ind w:left="480" w:right="34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06"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800" w:right="320" w:hanging="324"/>
        <w:spacing w:after="0" w:line="257" w:lineRule="auto"/>
        <w:tabs>
          <w:tab w:leader="none" w:pos="79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30" w:lineRule="exact"/>
        <w:rPr>
          <w:rFonts w:ascii="Times New Roman" w:cs="Times New Roman" w:eastAsia="Times New Roman" w:hAnsi="Times New Roman"/>
          <w:sz w:val="16"/>
          <w:szCs w:val="16"/>
          <w:color w:val="auto"/>
        </w:rPr>
      </w:pPr>
    </w:p>
    <w:p>
      <w:pPr>
        <w:jc w:val="both"/>
        <w:ind w:left="800" w:right="340" w:hanging="324"/>
        <w:spacing w:after="0" w:line="269" w:lineRule="auto"/>
        <w:tabs>
          <w:tab w:leader="none" w:pos="8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ectPr>
          <w:pgSz w:w="11900" w:h="16838" w:orient="portrait"/>
          <w:cols w:equalWidth="0" w:num="1">
            <w:col w:w="11060"/>
          </w:cols>
          <w:pgMar w:left="5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60"/>
          </w:cols>
          <w:pgMar w:left="500" w:top="1440" w:right="339" w:bottom="1440" w:gutter="0" w:footer="0" w:header="0"/>
          <w:type w:val="continuous"/>
        </w:sectPr>
      </w:pPr>
    </w:p>
    <w:bookmarkStart w:id="54" w:name="page55"/>
    <w:bookmarkEnd w:id="54"/>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800" w:right="20" w:hanging="324"/>
        <w:spacing w:after="0" w:line="298" w:lineRule="auto"/>
        <w:tabs>
          <w:tab w:leader="none" w:pos="79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96" w:lineRule="exact"/>
        <w:rPr>
          <w:rFonts w:ascii="Times New Roman" w:cs="Times New Roman" w:eastAsia="Times New Roman" w:hAnsi="Times New Roman"/>
          <w:sz w:val="16"/>
          <w:szCs w:val="16"/>
          <w:color w:val="auto"/>
        </w:rPr>
      </w:pPr>
    </w:p>
    <w:p>
      <w:pPr>
        <w:jc w:val="both"/>
        <w:ind w:left="800" w:hanging="324"/>
        <w:spacing w:after="0" w:line="272" w:lineRule="auto"/>
        <w:tabs>
          <w:tab w:leader="none" w:pos="8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pacing w:after="0" w:line="116"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79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5" w:lineRule="exact"/>
        <w:rPr>
          <w:rFonts w:ascii="Times New Roman" w:cs="Times New Roman" w:eastAsia="Times New Roman" w:hAnsi="Times New Roman"/>
          <w:sz w:val="16"/>
          <w:szCs w:val="16"/>
          <w:color w:val="auto"/>
        </w:rPr>
      </w:pPr>
    </w:p>
    <w:p>
      <w:pPr>
        <w:ind w:left="800" w:right="20" w:hanging="324"/>
        <w:spacing w:after="0" w:line="298" w:lineRule="auto"/>
        <w:tabs>
          <w:tab w:leader="none" w:pos="8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8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80"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80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24"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3"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800" w:hanging="324"/>
        <w:spacing w:after="0" w:line="256" w:lineRule="auto"/>
        <w:tabs>
          <w:tab w:leader="none" w:pos="79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43" w:lineRule="exact"/>
        <w:rPr>
          <w:rFonts w:ascii="Times New Roman" w:cs="Times New Roman" w:eastAsia="Times New Roman" w:hAnsi="Times New Roman"/>
          <w:sz w:val="16"/>
          <w:szCs w:val="16"/>
          <w:color w:val="auto"/>
        </w:rPr>
      </w:pPr>
    </w:p>
    <w:p>
      <w:pPr>
        <w:jc w:val="both"/>
        <w:ind w:left="800" w:right="20" w:hanging="324"/>
        <w:spacing w:after="0" w:line="263" w:lineRule="auto"/>
        <w:tabs>
          <w:tab w:leader="none" w:pos="80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37" w:lineRule="exact"/>
        <w:rPr>
          <w:rFonts w:ascii="Times New Roman" w:cs="Times New Roman" w:eastAsia="Times New Roman" w:hAnsi="Times New Roman"/>
          <w:sz w:val="16"/>
          <w:szCs w:val="16"/>
          <w:color w:val="auto"/>
        </w:rPr>
      </w:pPr>
    </w:p>
    <w:p>
      <w:pPr>
        <w:jc w:val="both"/>
        <w:ind w:left="1120" w:hanging="320"/>
        <w:spacing w:after="0" w:line="272" w:lineRule="auto"/>
        <w:tabs>
          <w:tab w:leader="none" w:pos="1111" w:val="left"/>
        </w:tabs>
        <w:numPr>
          <w:ilvl w:val="2"/>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RSUs that have an aggregate Fair Market Value (as defined under the Plan) sufficient to pay the Tax-Related Items required to be withheld with respect to the Shares. The cash equivalent of the Shares withheld will be used to settle the obligation to withhold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740"/>
          </w:cols>
          <w:pgMar w:left="500" w:top="1440" w:right="659" w:bottom="1440" w:gutter="0" w:footer="0" w:header="0"/>
        </w:sectPr>
      </w:pPr>
    </w:p>
    <w:bookmarkStart w:id="55" w:name="page56"/>
    <w:bookmarkEnd w:id="55"/>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1120" w:right="20"/>
        <w:spacing w:after="0" w:line="298" w:lineRule="auto"/>
        <w:rPr>
          <w:sz w:val="20"/>
          <w:szCs w:val="20"/>
          <w:color w:val="auto"/>
        </w:rPr>
      </w:pPr>
      <w:r>
        <w:rPr>
          <w:rFonts w:ascii="Times New Roman" w:cs="Times New Roman" w:eastAsia="Times New Roman" w:hAnsi="Times New Roman"/>
          <w:sz w:val="16"/>
          <w:szCs w:val="16"/>
          <w:color w:val="auto"/>
        </w:rPr>
        <w:t>Related Items (determined by reference to the closing price of the Common Stock on the Nasdaq Global Select Market on the applicable vesting date); or</w:t>
      </w:r>
    </w:p>
    <w:p>
      <w:pPr>
        <w:spacing w:after="0" w:line="83" w:lineRule="exact"/>
        <w:rPr>
          <w:sz w:val="20"/>
          <w:szCs w:val="20"/>
          <w:color w:val="auto"/>
        </w:rPr>
      </w:pPr>
    </w:p>
    <w:p>
      <w:pPr>
        <w:ind w:left="1120" w:hanging="320"/>
        <w:spacing w:after="0" w:line="245" w:lineRule="auto"/>
        <w:tabs>
          <w:tab w:leader="none" w:pos="111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120" w:hanging="320"/>
        <w:spacing w:after="0" w:line="245" w:lineRule="auto"/>
        <w:tabs>
          <w:tab w:leader="none" w:pos="11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120" w:hanging="320"/>
        <w:spacing w:after="0" w:line="227" w:lineRule="auto"/>
        <w:tabs>
          <w:tab w:leader="none" w:pos="1111" w:val="left"/>
        </w:tabs>
        <w:numPr>
          <w:ilvl w:val="0"/>
          <w:numId w:val="4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4" w:lineRule="exact"/>
        <w:rPr>
          <w:sz w:val="20"/>
          <w:szCs w:val="20"/>
          <w:color w:val="auto"/>
        </w:rPr>
      </w:pPr>
    </w:p>
    <w:p>
      <w:pPr>
        <w:ind w:left="1120" w:hanging="320"/>
        <w:spacing w:after="0"/>
        <w:tabs>
          <w:tab w:leader="none" w:pos="1120"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1120" w:hanging="320"/>
        <w:spacing w:after="0" w:line="219" w:lineRule="auto"/>
        <w:tabs>
          <w:tab w:leader="none" w:pos="1120" w:val="left"/>
        </w:tabs>
        <w:numPr>
          <w:ilvl w:val="2"/>
          <w:numId w:val="4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14" w:lineRule="exact"/>
        <w:rPr>
          <w:rFonts w:ascii="Times New Roman" w:cs="Times New Roman" w:eastAsia="Times New Roman" w:hAnsi="Times New Roman"/>
          <w:sz w:val="16"/>
          <w:szCs w:val="16"/>
          <w:color w:val="FFFFFF"/>
        </w:rPr>
      </w:pPr>
    </w:p>
    <w:p>
      <w:pPr>
        <w:jc w:val="both"/>
        <w:ind w:left="1120" w:hanging="320"/>
        <w:spacing w:after="0" w:line="221" w:lineRule="auto"/>
        <w:tabs>
          <w:tab w:leader="none" w:pos="1111" w:val="left"/>
        </w:tabs>
        <w:numPr>
          <w:ilvl w:val="2"/>
          <w:numId w:val="4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Committee (as defined below)) have been made by the Participant with respect to the payment of any Tax-Related Items which the Company and/or the Employer determine, in each of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7" w:lineRule="exact"/>
        <w:rPr>
          <w:rFonts w:ascii="Times New Roman" w:cs="Times New Roman" w:eastAsia="Times New Roman" w:hAnsi="Times New Roman"/>
          <w:sz w:val="16"/>
          <w:szCs w:val="16"/>
          <w:color w:val="FFFFFF"/>
        </w:rPr>
      </w:pPr>
    </w:p>
    <w:p>
      <w:pPr>
        <w:jc w:val="both"/>
        <w:ind w:left="480" w:hanging="328"/>
        <w:spacing w:after="0" w:line="221" w:lineRule="auto"/>
        <w:tabs>
          <w:tab w:leader="none" w:pos="4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&amp; Talent Committee of the Board,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480" w:hanging="328"/>
        <w:spacing w:after="0" w:line="221" w:lineRule="auto"/>
        <w:tabs>
          <w:tab w:leader="none" w:pos="4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7"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791"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25" w:lineRule="exact"/>
        <w:rPr>
          <w:rFonts w:ascii="Times New Roman" w:cs="Times New Roman" w:eastAsia="Times New Roman" w:hAnsi="Times New Roman"/>
          <w:sz w:val="16"/>
          <w:szCs w:val="16"/>
          <w:color w:val="auto"/>
        </w:rPr>
      </w:pPr>
    </w:p>
    <w:p>
      <w:pPr>
        <w:jc w:val="both"/>
        <w:ind w:left="800" w:hanging="324"/>
        <w:spacing w:after="0" w:line="260" w:lineRule="auto"/>
        <w:tabs>
          <w:tab w:leader="none" w:pos="80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0"/>
          </w:cols>
          <w:pgMar w:left="500" w:top="1440" w:right="659" w:bottom="1440" w:gutter="0" w:footer="0" w:header="0"/>
        </w:sectPr>
      </w:pPr>
    </w:p>
    <w:bookmarkStart w:id="56" w:name="page57"/>
    <w:bookmarkEnd w:id="56"/>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right="20"/>
        <w:spacing w:after="0" w:line="272" w:lineRule="auto"/>
        <w:rPr>
          <w:sz w:val="20"/>
          <w:szCs w:val="20"/>
          <w:color w:val="auto"/>
        </w:rPr>
      </w:pPr>
      <w:r>
        <w:rPr>
          <w:rFonts w:ascii="Times New Roman" w:cs="Times New Roman" w:eastAsia="Times New Roman" w:hAnsi="Times New Roman"/>
          <w:sz w:val="16"/>
          <w:szCs w:val="16"/>
          <w:color w:val="auto"/>
        </w:rPr>
        <w:t>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30" w:lineRule="exact"/>
        <w:rPr>
          <w:sz w:val="20"/>
          <w:szCs w:val="20"/>
          <w:color w:val="auto"/>
        </w:rPr>
      </w:pPr>
    </w:p>
    <w:p>
      <w:pPr>
        <w:jc w:val="both"/>
        <w:ind w:left="800" w:hanging="324"/>
        <w:spacing w:after="0" w:line="259"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41" w:lineRule="exact"/>
        <w:rPr>
          <w:rFonts w:ascii="Times New Roman" w:cs="Times New Roman" w:eastAsia="Times New Roman" w:hAnsi="Times New Roman"/>
          <w:sz w:val="16"/>
          <w:szCs w:val="16"/>
          <w:color w:val="auto"/>
        </w:rPr>
      </w:pPr>
    </w:p>
    <w:p>
      <w:pPr>
        <w:jc w:val="both"/>
        <w:ind w:left="800" w:hanging="324"/>
        <w:spacing w:after="0" w:line="259"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No claim or entitlement to compensation or damages shall arise from (i) forfeiture of the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RSUs or the recoupment of any financial gain from the RSUs as described in Section 9(o) hereof.</w:t>
      </w:r>
    </w:p>
    <w:p>
      <w:pPr>
        <w:spacing w:after="0" w:line="141"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25" w:lineRule="exact"/>
        <w:rPr>
          <w:rFonts w:ascii="Times New Roman" w:cs="Times New Roman" w:eastAsia="Times New Roman" w:hAnsi="Times New Roman"/>
          <w:sz w:val="16"/>
          <w:szCs w:val="16"/>
          <w:color w:val="auto"/>
        </w:rPr>
      </w:pPr>
    </w:p>
    <w:p>
      <w:pPr>
        <w:jc w:val="both"/>
        <w:ind w:left="800" w:right="20" w:hanging="324"/>
        <w:spacing w:after="0" w:line="263"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Operation of Plan and Agreement</w:t>
      </w:r>
      <w:r>
        <w:rPr>
          <w:rFonts w:ascii="Times New Roman" w:cs="Times New Roman" w:eastAsia="Times New Roman" w:hAnsi="Times New Roman"/>
          <w:sz w:val="16"/>
          <w:szCs w:val="16"/>
          <w:color w:val="auto"/>
        </w:rPr>
        <w:t>. This Section 9(f) applies if the Participant resides outside the U.S.: The Plan is operated and the RSUs are granted solely by the Company and only the Company is a party to this Agreement; accordingly, any rights the Participant may have under this Agreement may be raised against the Company but not any parent or subsidiary of the Company (including, but not limited to, the Employer). No parent or subsidiary of the Company (including, but not limited to, the Employer) has any obligation to make any payment of any kind to the Participant under this Agreement.</w:t>
      </w:r>
    </w:p>
    <w:p>
      <w:pPr>
        <w:spacing w:after="0" w:line="138"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67" w:lineRule="exact"/>
        <w:rPr>
          <w:rFonts w:ascii="Times New Roman" w:cs="Times New Roman" w:eastAsia="Times New Roman" w:hAnsi="Times New Roman"/>
          <w:sz w:val="16"/>
          <w:szCs w:val="16"/>
          <w:color w:val="auto"/>
        </w:rPr>
      </w:pPr>
    </w:p>
    <w:p>
      <w:pPr>
        <w:ind w:left="800" w:hanging="324"/>
        <w:spacing w:after="0" w:line="280"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4" w:lineRule="exact"/>
        <w:rPr>
          <w:rFonts w:ascii="Times New Roman" w:cs="Times New Roman" w:eastAsia="Times New Roman" w:hAnsi="Times New Roman"/>
          <w:sz w:val="16"/>
          <w:szCs w:val="16"/>
          <w:color w:val="auto"/>
        </w:rPr>
      </w:pPr>
    </w:p>
    <w:p>
      <w:pPr>
        <w:ind w:left="800" w:hanging="324"/>
        <w:spacing w:after="0" w:line="280"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24" w:lineRule="exact"/>
        <w:rPr>
          <w:rFonts w:ascii="Times New Roman" w:cs="Times New Roman" w:eastAsia="Times New Roman" w:hAnsi="Times New Roman"/>
          <w:sz w:val="16"/>
          <w:szCs w:val="16"/>
          <w:color w:val="auto"/>
        </w:rPr>
      </w:pPr>
    </w:p>
    <w:p>
      <w:pPr>
        <w:jc w:val="both"/>
        <w:ind w:left="800" w:hanging="324"/>
        <w:spacing w:after="0" w:line="259"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41" w:lineRule="exact"/>
        <w:rPr>
          <w:rFonts w:ascii="Times New Roman" w:cs="Times New Roman" w:eastAsia="Times New Roman" w:hAnsi="Times New Roman"/>
          <w:sz w:val="16"/>
          <w:szCs w:val="16"/>
          <w:color w:val="auto"/>
        </w:rPr>
      </w:pPr>
    </w:p>
    <w:p>
      <w:pPr>
        <w:ind w:left="800" w:hanging="324"/>
        <w:spacing w:after="0" w:line="280"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800" w:right="20" w:hanging="324"/>
        <w:spacing w:after="0" w:line="298"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96" w:lineRule="exact"/>
        <w:rPr>
          <w:rFonts w:ascii="Times New Roman" w:cs="Times New Roman" w:eastAsia="Times New Roman" w:hAnsi="Times New Roman"/>
          <w:sz w:val="16"/>
          <w:szCs w:val="16"/>
          <w:color w:val="auto"/>
        </w:rPr>
      </w:pPr>
    </w:p>
    <w:p>
      <w:pPr>
        <w:ind w:left="800" w:hanging="324"/>
        <w:spacing w:after="0" w:line="298"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96"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740"/>
          </w:cols>
          <w:pgMar w:left="500" w:top="1440" w:right="659" w:bottom="1440" w:gutter="0" w:footer="0" w:header="0"/>
        </w:sectPr>
      </w:pPr>
    </w:p>
    <w:bookmarkStart w:id="57" w:name="page58"/>
    <w:bookmarkEnd w:id="57"/>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spacing w:after="0" w:line="259" w:lineRule="auto"/>
        <w:rPr>
          <w:sz w:val="20"/>
          <w:szCs w:val="20"/>
          <w:color w:val="auto"/>
        </w:rPr>
      </w:pPr>
      <w:r>
        <w:rPr>
          <w:rFonts w:ascii="Times New Roman" w:cs="Times New Roman" w:eastAsia="Times New Roman" w:hAnsi="Times New Roman"/>
          <w:sz w:val="16"/>
          <w:szCs w:val="16"/>
          <w:color w:val="auto"/>
        </w:rPr>
        <w:t>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30" w:lineRule="exact"/>
        <w:rPr>
          <w:sz w:val="20"/>
          <w:szCs w:val="20"/>
          <w:color w:val="auto"/>
        </w:rPr>
      </w:pPr>
    </w:p>
    <w:p>
      <w:pPr>
        <w:jc w:val="both"/>
        <w:ind w:left="800" w:hanging="324"/>
        <w:spacing w:after="0" w:line="258"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RSUs and any cash payment or Shares delivered pursuant to the RSUs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RSUs, and any Shares issued upon vesting of the RSUs,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Participant expressly and explicitly authorizes the Company to issue instructions, on the Participant’s behalf, to any brokerage firm or stock plan service provider engaged by the Company to hold any Shares or other amounts acquired pursuant to the RSUs to re-convey, transfer or otherwise return such Shares and/or other amounts to the Company upon the Company’s enforcement of the Clawback Policy.</w:t>
      </w:r>
    </w:p>
    <w:p>
      <w:pPr>
        <w:spacing w:after="0" w:line="128" w:lineRule="exact"/>
        <w:rPr>
          <w:rFonts w:ascii="Times New Roman" w:cs="Times New Roman" w:eastAsia="Times New Roman" w:hAnsi="Times New Roman"/>
          <w:sz w:val="16"/>
          <w:szCs w:val="16"/>
          <w:color w:val="auto"/>
        </w:rPr>
      </w:pPr>
    </w:p>
    <w:p>
      <w:pPr>
        <w:ind w:left="800" w:right="20" w:hanging="324"/>
        <w:spacing w:after="0" w:line="280"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Committee shall be final and conclusive.</w:t>
      </w:r>
    </w:p>
    <w:p>
      <w:pPr>
        <w:spacing w:after="0" w:line="124" w:lineRule="exact"/>
        <w:rPr>
          <w:rFonts w:ascii="Times New Roman" w:cs="Times New Roman" w:eastAsia="Times New Roman" w:hAnsi="Times New Roman"/>
          <w:sz w:val="16"/>
          <w:szCs w:val="16"/>
          <w:color w:val="auto"/>
        </w:rPr>
      </w:pPr>
    </w:p>
    <w:p>
      <w:pPr>
        <w:jc w:val="both"/>
        <w:ind w:left="800" w:hanging="324"/>
        <w:spacing w:after="0" w:line="266"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(including deemed acceptance) of this Award, the Participant is deemed to have accepted and agreed to all of the terms and conditions of this Agreement and the provisions of the Plan.</w:t>
      </w:r>
    </w:p>
    <w:p>
      <w:pPr>
        <w:spacing w:after="0" w:line="319" w:lineRule="exact"/>
        <w:rPr>
          <w:rFonts w:ascii="Times New Roman" w:cs="Times New Roman" w:eastAsia="Times New Roman" w:hAnsi="Times New Roman"/>
          <w:sz w:val="16"/>
          <w:szCs w:val="16"/>
          <w:color w:val="auto"/>
        </w:rPr>
      </w:pPr>
    </w:p>
    <w:p>
      <w:pPr>
        <w:jc w:val="both"/>
        <w:ind w:left="800" w:hanging="324"/>
        <w:spacing w:after="0" w:line="272"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6" w:lineRule="exact"/>
        <w:rPr>
          <w:rFonts w:ascii="Times New Roman" w:cs="Times New Roman" w:eastAsia="Times New Roman" w:hAnsi="Times New Roman"/>
          <w:sz w:val="16"/>
          <w:szCs w:val="16"/>
          <w:color w:val="auto"/>
        </w:rPr>
      </w:pPr>
    </w:p>
    <w:p>
      <w:pPr>
        <w:jc w:val="both"/>
        <w:ind w:left="800" w:hanging="324"/>
        <w:spacing w:after="0" w:line="269" w:lineRule="auto"/>
        <w:tabs>
          <w:tab w:leader="none" w:pos="79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 unless otherwise required by applicable laws.</w:t>
      </w:r>
    </w:p>
    <w:p>
      <w:pPr>
        <w:spacing w:after="0" w:line="120" w:lineRule="exact"/>
        <w:rPr>
          <w:rFonts w:ascii="Times New Roman" w:cs="Times New Roman" w:eastAsia="Times New Roman" w:hAnsi="Times New Roman"/>
          <w:sz w:val="16"/>
          <w:szCs w:val="16"/>
          <w:color w:val="auto"/>
        </w:rPr>
      </w:pPr>
    </w:p>
    <w:p>
      <w:pPr>
        <w:jc w:val="both"/>
        <w:ind w:left="800" w:hanging="324"/>
        <w:spacing w:after="0" w:line="261" w:lineRule="auto"/>
        <w:tabs>
          <w:tab w:leader="none" w:pos="79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or otherwise becomes a resident of,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322"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38" w:lineRule="exact"/>
        <w:rPr>
          <w:rFonts w:ascii="Times New Roman" w:cs="Times New Roman" w:eastAsia="Times New Roman" w:hAnsi="Times New Roman"/>
          <w:sz w:val="16"/>
          <w:szCs w:val="16"/>
          <w:color w:val="auto"/>
        </w:rPr>
      </w:pPr>
    </w:p>
    <w:p>
      <w:pPr>
        <w:jc w:val="both"/>
        <w:ind w:left="800" w:hanging="324"/>
        <w:spacing w:after="0" w:line="272"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40"/>
          </w:cols>
          <w:pgMar w:left="500" w:top="1440" w:right="659" w:bottom="1440" w:gutter="0" w:footer="0" w:header="0"/>
        </w:sectPr>
      </w:pPr>
    </w:p>
    <w:bookmarkStart w:id="58" w:name="page59"/>
    <w:bookmarkEnd w:id="58"/>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980" w:hanging="324"/>
        <w:spacing w:after="0" w:line="272" w:lineRule="auto"/>
        <w:tabs>
          <w:tab w:leader="none" w:pos="97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Committee.</w:t>
      </w:r>
    </w:p>
    <w:p>
      <w:pPr>
        <w:spacing w:after="0" w:line="130"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37" w:lineRule="exact"/>
        <w:rPr>
          <w:rFonts w:ascii="Times New Roman" w:cs="Times New Roman" w:eastAsia="Times New Roman" w:hAnsi="Times New Roman"/>
          <w:sz w:val="16"/>
          <w:szCs w:val="16"/>
          <w:color w:val="auto"/>
        </w:rPr>
      </w:pPr>
    </w:p>
    <w:p>
      <w:pPr>
        <w:jc w:val="both"/>
        <w:ind w:left="980" w:hanging="324"/>
        <w:spacing w:after="0" w:line="257" w:lineRule="auto"/>
        <w:tabs>
          <w:tab w:leader="none" w:pos="9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including fellow employees,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30"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7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32" w:lineRule="exact"/>
        <w:rPr>
          <w:sz w:val="20"/>
          <w:szCs w:val="20"/>
          <w:color w:val="auto"/>
        </w:rPr>
      </w:pPr>
    </w:p>
    <w:p>
      <w:pPr>
        <w:ind w:left="980" w:hanging="324"/>
        <w:spacing w:after="0" w:line="298" w:lineRule="auto"/>
        <w:tabs>
          <w:tab w:leader="none" w:pos="97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96"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20320</wp:posOffset>
            </wp:positionV>
            <wp:extent cx="229743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20"/>
          </w:cols>
          <w:pgMar w:left="320" w:top="1440" w:right="659" w:bottom="1440" w:gutter="0" w:footer="0" w:header="0"/>
        </w:sectPr>
      </w:pPr>
    </w:p>
    <w:bookmarkStart w:id="59" w:name="page60"/>
    <w:bookmarkEnd w:id="5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11"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2025.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20"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11"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60"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97" w:lineRule="exact"/>
        <w:rPr>
          <w:sz w:val="20"/>
          <w:szCs w:val="20"/>
          <w:color w:val="auto"/>
        </w:rPr>
      </w:pPr>
    </w:p>
    <w:p>
      <w:pPr>
        <w:jc w:val="both"/>
        <w:ind w:left="500" w:hanging="328"/>
        <w:spacing w:after="0" w:line="222" w:lineRule="auto"/>
        <w:tabs>
          <w:tab w:leader="none" w:pos="49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ectPr>
          <w:pgSz w:w="11900" w:h="16838" w:orient="portrait"/>
          <w:cols w:equalWidth="0" w:num="1">
            <w:col w:w="11080"/>
          </w:cols>
          <w:pgMar w:left="480" w:top="1028"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1080"/>
          </w:cols>
          <w:pgMar w:left="480" w:top="1028" w:right="339" w:bottom="1440" w:gutter="0" w:footer="0" w:header="0"/>
          <w:type w:val="continuous"/>
        </w:sectPr>
      </w:pPr>
    </w:p>
    <w:bookmarkStart w:id="60" w:name="page61"/>
    <w:bookmarkEnd w:id="6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500" w:hanging="328"/>
        <w:spacing w:after="0" w:line="222" w:lineRule="auto"/>
        <w:tabs>
          <w:tab w:leader="none" w:pos="5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may have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180" w:right="3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is being made under Division 1A Part 7.12 of the Australian Corporations Act 2001 (Cth).</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prescribed forms.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77" w:lineRule="exact"/>
        <w:rPr>
          <w:sz w:val="20"/>
          <w:szCs w:val="20"/>
          <w:color w:val="auto"/>
        </w:rPr>
      </w:pPr>
    </w:p>
    <w:p>
      <w:pPr>
        <w:jc w:val="both"/>
        <w:ind w:left="180" w:right="340"/>
        <w:spacing w:after="0" w:line="25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The first time Belgian residents report such an account on their annual income tax return, they are also required to complete a separate report providing certain details regarding such foreign accounts (including the account number, bank name and country in which such account was opened) to the Central Contact Point of the National Bank of Belgium. The forms to complete this report are available on the website of the National Bank of Belgium.</w:t>
      </w:r>
    </w:p>
    <w:p>
      <w:pPr>
        <w:spacing w:after="0" w:line="222"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Compensation or Salary</w:t>
      </w:r>
      <w:r>
        <w:rPr>
          <w:rFonts w:ascii="Times New Roman" w:cs="Times New Roman" w:eastAsia="Times New Roman" w:hAnsi="Times New Roman"/>
          <w:sz w:val="16"/>
          <w:szCs w:val="16"/>
          <w:color w:val="auto"/>
        </w:rPr>
        <w:t>. The following replaces the last two sentences of Section 9(b) of the Agreement: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1080"/>
          </w:cols>
          <w:pgMar w:left="480" w:top="1028" w:right="339" w:bottom="1440" w:gutter="0" w:footer="0" w:header="0"/>
        </w:sectPr>
      </w:pPr>
    </w:p>
    <w:bookmarkStart w:id="61" w:name="page62"/>
    <w:bookmarkEnd w:id="6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The following replaces Section 9(d)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claim or entitlement to compensation or damages shall arise from (i) forfeiture of the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RSUs or the recoupment of any financial gain from the RSUs as described in Section 9(o) hereof.</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Obligation to Make Payment</w:t>
      </w:r>
      <w:r>
        <w:rPr>
          <w:rFonts w:ascii="Times New Roman" w:cs="Times New Roman" w:eastAsia="Times New Roman" w:hAnsi="Times New Roman"/>
          <w:sz w:val="16"/>
          <w:szCs w:val="16"/>
          <w:color w:val="auto"/>
        </w:rPr>
        <w:t>. The following replaces the last sentence of Section 9(f) of the Agreement:</w:t>
      </w:r>
    </w:p>
    <w:p>
      <w:pPr>
        <w:spacing w:after="0" w:line="26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parent or subsidiary of the Company (including, but not limited to, the Employer) has any obligation to make any payment of any kind to the Participant under this Agreement.</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6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19"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and except as explicitly and minimally required under applicable legislation, the Participant’s right to earn, seek damages in lieu of, vest in the RSUs, or otherwise benefit from or participate in the Plan, if any, will terminate as of the actual Date of Termination. For this purpose, the “Date of Termination” shall mean the date the Participant is no longer actually providing service to the Company or the Employer, regardless of the reason for such termination and whether or not later found to be invalid or in breach of applicable laws in the jurisdiction where the Participant is employed or the terms of the Participant’s employment agreement, if any. Except as explicitly and minimally required under applicable legislation, the Date of Termination shall not include or be extended by any period during which the Participant is in receipt of or eligible to receive any notice of termination, pay in lieu of notice of termination, severance pay or any other payments or damages, whether arising under statute, contract, common/civil law or otherwise. For greater certainty, the Participant will not earn or be entitled to any pro-rated vesting, or other benefits or participation in the Plan, for that portion of time before the Date of Termination, nor will the Participant be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entitled to any compensation for lost vesting, benefits, or other participation</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or other participation in the Plan during a statutory notice period, the Participant’s right to vest in the RSUs or otherwise benefit from the RSUs under the Plan, if any, will terminate effective as of the last day of the Participant’s minimum statutory notice period, but the Participant will not earn or be entitled to pro-rated vesting or other benefits or participation if the vesting date falls after the end of the Participant’s statutory notice period, nor will the Participant be entitled to any compensation for lost vesting, benefits, or other participation. For further clarity, any reference to a termination of the Participant’s employment or a termination date under this Agreement or the Plan will be interpreted to mean the Date of Termination.</w:t>
      </w:r>
    </w:p>
    <w:p>
      <w:pPr>
        <w:spacing w:after="0" w:line="222"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Subject to applicable legislation, if the date the Participant is no longer actually providing services cannot be reasonably determined under the terms of this Agreement or the Plan, the Committee shall have the exclusive discretion to determine when the Participant is no longer actually providing services for purposes of the RSUs.</w:t>
      </w:r>
    </w:p>
    <w:p>
      <w:pPr>
        <w:spacing w:after="0" w:line="21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w:t>
      </w:r>
    </w:p>
    <w:p>
      <w:pPr>
        <w:sectPr>
          <w:pgSz w:w="11900" w:h="16838" w:orient="portrait"/>
          <w:cols w:equalWidth="0" w:num="1">
            <w:col w:w="10760"/>
          </w:cols>
          <w:pgMar w:left="480" w:top="1028" w:right="659"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028" w:right="659" w:bottom="1440" w:gutter="0" w:footer="0" w:header="0"/>
          <w:type w:val="continuous"/>
        </w:sectPr>
      </w:pPr>
    </w:p>
    <w:bookmarkStart w:id="62" w:name="page63"/>
    <w:bookmarkEnd w:id="6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outside Canada through the facilities of a stock exchange on which the Shares are listed. The Shares are currently listed on the Nasdaq Global Select Market.</w:t>
      </w:r>
    </w:p>
    <w:p>
      <w:pPr>
        <w:spacing w:after="0" w:line="26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a certain threshold (currently, C$100,000) at any time during the year. Foreign specified property may also include the unvested portion of the RSUs. The RSUs must be reported (generally at a nil cost) if the applicable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19"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60" w:lineRule="exact"/>
        <w:rPr>
          <w:sz w:val="20"/>
          <w:szCs w:val="20"/>
          <w:color w:val="auto"/>
        </w:rPr>
      </w:pPr>
    </w:p>
    <w:p>
      <w:pPr>
        <w:jc w:val="both"/>
        <w:ind w:left="180"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7"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22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27"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028" w:right="659" w:bottom="1440" w:gutter="0" w:footer="0" w:header="0"/>
        </w:sectPr>
      </w:pPr>
    </w:p>
    <w:bookmarkStart w:id="63" w:name="page64"/>
    <w:bookmarkEnd w:id="6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64"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36"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3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028" w:right="659" w:bottom="1440" w:gutter="0" w:footer="0" w:header="0"/>
          <w:type w:val="continuous"/>
        </w:sectPr>
      </w:pPr>
    </w:p>
    <w:bookmarkStart w:id="64" w:name="page65"/>
    <w:bookmarkEnd w:id="6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French-Qualified RSUs</w:t>
      </w:r>
      <w:r>
        <w:rPr>
          <w:rFonts w:ascii="Times New Roman" w:cs="Times New Roman" w:eastAsia="Times New Roman" w:hAnsi="Times New Roman"/>
          <w:sz w:val="16"/>
          <w:szCs w:val="16"/>
          <w:color w:val="auto"/>
        </w:rPr>
        <w:t>. The RSUs are intended to qualify for the favorable tax and social security regime in France under Sections L. 225-197-1 to L. 225-197-5 and Sections L. 22-10-59 and L. 22-10-60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RSUs, the definitions in the French Sub-plan shall prevail.</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RSUs under Section L. 225-197-1 of the French Commercial Code, as amended, or relevant Sections of the French Tax Code or the French Social Security Code, as amended.</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75"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RSUs as of the date of the Participant’s termination shall vest in full as of the date of the termination.</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6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RSUs prior to the second anniversary of the Date of Grant,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2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Further, as long as the RSUs and the Shares acquired at vesting of the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9(w) in the Agreement:</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RSUs, in which case they may no longer benefit from favorable tax and social security treatment in France.</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028" w:right="659" w:bottom="1440" w:gutter="0" w:footer="0" w:header="0"/>
          <w:type w:val="continuous"/>
        </w:sectPr>
      </w:pPr>
    </w:p>
    <w:bookmarkStart w:id="65" w:name="page66"/>
    <w:bookmarkEnd w:id="6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right="20"/>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89"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64"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€50,000)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receives a payment in excess of this amount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or required by the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7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one hundred eighty (180) days of receipt, or such other period of time as required under applicable regulations, unless an exemption applies.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40"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75"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67"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By accepting the RSUs, the Participant acknowledges, understands, and agrees that the benefits received under the Plan will not be taken into account for any redundancy or unfair dismissal claim.</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028" w:right="659" w:bottom="1440" w:gutter="0" w:footer="0" w:header="0"/>
        </w:sectPr>
      </w:pPr>
    </w:p>
    <w:bookmarkStart w:id="66" w:name="page67"/>
    <w:bookmarkEnd w:id="66"/>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right="100"/>
        <w:spacing w:after="0" w:line="298" w:lineRule="auto"/>
        <w:rPr>
          <w:sz w:val="20"/>
          <w:szCs w:val="20"/>
          <w:color w:val="auto"/>
        </w:rPr>
      </w:pPr>
      <w:r>
        <w:rPr>
          <w:rFonts w:ascii="Times New Roman" w:cs="Times New Roman" w:eastAsia="Times New Roman" w:hAnsi="Times New Roman"/>
          <w:sz w:val="16"/>
          <w:szCs w:val="16"/>
          <w:color w:val="auto"/>
        </w:rPr>
        <w:t>inconsistencies among the Israeli Sub-Plan, the Agreement and/or the Plan, the Participant agrees that the Israeli Sub-Plan will govern the RSUs granted to the Participant in Israel.</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62" w:lineRule="exact"/>
        <w:rPr>
          <w:sz w:val="20"/>
          <w:szCs w:val="20"/>
          <w:color w:val="auto"/>
        </w:rPr>
      </w:pPr>
    </w:p>
    <w:p>
      <w:pPr>
        <w:jc w:val="both"/>
        <w:ind w:left="180" w:right="100"/>
        <w:spacing w:after="0" w:line="263" w:lineRule="auto"/>
        <w:rPr>
          <w:sz w:val="20"/>
          <w:szCs w:val="20"/>
          <w:color w:val="auto"/>
        </w:rPr>
      </w:pPr>
      <w:r>
        <w:rPr>
          <w:rFonts w:ascii="Times New Roman" w:cs="Times New Roman" w:eastAsia="Times New Roman" w:hAnsi="Times New Roman"/>
          <w:sz w:val="16"/>
          <w:szCs w:val="16"/>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62" w:lineRule="exact"/>
        <w:rPr>
          <w:sz w:val="20"/>
          <w:szCs w:val="20"/>
          <w:color w:val="auto"/>
        </w:rPr>
      </w:pPr>
    </w:p>
    <w:p>
      <w:pPr>
        <w:jc w:val="both"/>
        <w:ind w:left="180" w:right="80"/>
        <w:spacing w:after="0" w:line="27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75" w:lineRule="exact"/>
        <w:rPr>
          <w:sz w:val="20"/>
          <w:szCs w:val="20"/>
          <w:color w:val="auto"/>
        </w:rPr>
      </w:pPr>
    </w:p>
    <w:p>
      <w:pPr>
        <w:jc w:val="both"/>
        <w:ind w:left="180" w:right="10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64" w:lineRule="exact"/>
        <w:rPr>
          <w:sz w:val="20"/>
          <w:szCs w:val="20"/>
          <w:color w:val="auto"/>
        </w:rPr>
      </w:pPr>
    </w:p>
    <w:p>
      <w:pPr>
        <w:jc w:val="both"/>
        <w:ind w:left="180" w:right="100"/>
        <w:spacing w:after="0" w:line="27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71" w:lineRule="exact"/>
        <w:rPr>
          <w:sz w:val="20"/>
          <w:szCs w:val="20"/>
          <w:color w:val="auto"/>
        </w:rPr>
      </w:pPr>
    </w:p>
    <w:p>
      <w:pPr>
        <w:jc w:val="both"/>
        <w:ind w:left="180" w:right="100"/>
        <w:spacing w:after="0" w:line="298"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191" w:lineRule="exact"/>
        <w:rPr>
          <w:sz w:val="20"/>
          <w:szCs w:val="20"/>
          <w:color w:val="auto"/>
        </w:rPr>
      </w:pPr>
    </w:p>
    <w:p>
      <w:pPr>
        <w:jc w:val="both"/>
        <w:ind w:left="180" w:right="80"/>
        <w:spacing w:after="0" w:line="266"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00" w:lineRule="exact"/>
        <w:rPr>
          <w:sz w:val="20"/>
          <w:szCs w:val="20"/>
          <w:color w:val="auto"/>
        </w:rPr>
      </w:pPr>
    </w:p>
    <w:p>
      <w:pPr>
        <w:spacing w:after="0" w:line="214" w:lineRule="exact"/>
        <w:rPr>
          <w:sz w:val="20"/>
          <w:szCs w:val="20"/>
          <w:color w:val="auto"/>
        </w:rPr>
      </w:pPr>
    </w:p>
    <w:p>
      <w:pPr>
        <w:jc w:val="both"/>
        <w:ind w:left="180" w:right="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ind w:left="180" w:right="80"/>
        <w:spacing w:after="0" w:line="23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a certain threshold (currently, ¥50,000,000). This report is due by June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each year. The Participant should consult with his or her personal tax advisor as to whether the reporting obligation applies to him or her and whether the requirement extends to any outstanding RSUs or Shares acquired under the Plan.</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sectPr>
          <w:pgSz w:w="11900" w:h="16838" w:orient="portrait"/>
          <w:cols w:equalWidth="0" w:num="1">
            <w:col w:w="10840"/>
          </w:cols>
          <w:pgMar w:left="480" w:top="1028" w:right="5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840"/>
          </w:cols>
          <w:pgMar w:left="480" w:top="1028" w:right="579" w:bottom="1440" w:gutter="0" w:footer="0" w:header="0"/>
          <w:type w:val="continuous"/>
        </w:sectPr>
      </w:pPr>
    </w:p>
    <w:bookmarkStart w:id="67" w:name="page68"/>
    <w:bookmarkEnd w:id="67"/>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(e.g., non-Korean bank accounts, brokerage accounts) to the Korean tax authority and file a report with respect to such accounts if the value of such accounts exceeds a certain threshold (currently, KRW 500 million or an equivalent amount in foreign currency). The Participant should consult with his or her personal tax advisor to determine any personal reporting obligations.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5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80"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52705</wp:posOffset>
            </wp:positionV>
            <wp:extent cx="65747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ectPr>
          <w:pgSz w:w="11900" w:h="16838" w:orient="portrait"/>
          <w:cols w:equalWidth="0" w:num="1">
            <w:col w:w="10760"/>
          </w:cols>
          <w:pgMar w:left="480" w:top="1028" w:right="659" w:bottom="1440" w:gutter="0" w:footer="0" w:header="0"/>
        </w:sectPr>
      </w:pPr>
    </w:p>
    <w:p>
      <w:pPr>
        <w:spacing w:after="0" w:line="106"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-758825</wp:posOffset>
            </wp:positionV>
            <wp:extent cx="2983230" cy="10369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2983230"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-879475</wp:posOffset>
            </wp:positionV>
            <wp:extent cx="3583305" cy="10369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3583305" cy="1036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160"/>
            <w:col w:w="5780"/>
          </w:cols>
          <w:pgMar w:left="480" w:top="102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760"/>
          </w:cols>
          <w:pgMar w:left="480" w:top="1028" w:right="659" w:bottom="1440" w:gutter="0" w:footer="0" w:header="0"/>
          <w:type w:val="continuous"/>
        </w:sectPr>
      </w:pPr>
    </w:p>
    <w:bookmarkStart w:id="68" w:name="page69"/>
    <w:bookmarkEnd w:id="6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686435</wp:posOffset>
            </wp:positionV>
            <wp:extent cx="6574790" cy="1714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6574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 RSUs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RSUs atau apa-apa hak lain untuk syer dalam saham yang dianugerahkan,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any  other  entitlement  to  shares  of  stock  awarded,  canceled,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dibatalkan, dilaksanakan, terletak hak, tidak diletak hak ataupun yang belum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exercised, vested, unvested or outstanding in the Participant’s favor,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dijelaskan bagi faedah Peserta, untuk tujuan eksklusif bagi melaksanakan,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purpose of implementing, administering and managing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mentadbir dan menguruskan Pelan (“Data”). Sumber Data adalah daripada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Plan (“Data”). The source of the Data is the Employer as well as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Majikan dan juga daripada maklumat yang dibekalkan oleh Peserta kepada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the Participant is providing to the Company and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Majikan  berkenaan  dengan  RSUs.  Penerima  Anugerah  juga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Employer  in  connection  with  the  RSUs.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memahami bahawa Data mungkin dipindahkan kepada Fidelity atau mana-mana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may be transferred to Fidelity or any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pihak ketiga yang mungkin dipilih oleh Syarikat pada masa depan, </w:t>
            </w:r>
            <w:r>
              <w:rPr>
                <w:rFonts w:ascii="Times New Roman" w:cs="Times New Roman" w:eastAsia="Times New Roman" w:hAnsi="Times New Roman"/>
                <w:sz w:val="16"/>
                <w:szCs w:val="16"/>
                <w:b w:val="1"/>
                <w:bCs w:val="1"/>
                <w:i w:val="1"/>
                <w:iCs w:val="1"/>
                <w:color w:val="222222"/>
              </w:rPr>
              <w:t>yang</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third parties as may be selected by the Company in the future, which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membantu dalam pelaksanaan, pentadbiran dan pengurusan Pelan, bahawa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are  assisting  in  the  implementation,  administration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penerima-penerima ini mungkin berada di negara Peserta atau di tempat lain,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of the Plan, that these recipients may be located in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dan  bahawa  negara  penerima  (contohnya,  Amerika  Syarikat)  mungkin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country or elsewhere and that the recipients’ country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mempunyai  undang-undang  privasi  data  dan  perlindungan  yang  berbeza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(e.g., the United States) may have different data privacy laws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daripada negara Peserta. Peserta memahami bahawa dia boleh meminta senarai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protections  than  the  Participant’s  country.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nama dan alamat mana-mana penerima Data dengan menghubungi wakil</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he or she may request a list with the names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sumber manusia tempatannya. </w:t>
            </w:r>
            <w:r>
              <w:rPr>
                <w:rFonts w:ascii="Times New Roman" w:cs="Times New Roman" w:eastAsia="Times New Roman" w:hAnsi="Times New Roman"/>
                <w:sz w:val="16"/>
                <w:szCs w:val="16"/>
                <w:b w:val="1"/>
                <w:bCs w:val="1"/>
                <w:i w:val="1"/>
                <w:iCs w:val="1"/>
                <w:color w:val="000000"/>
              </w:rPr>
              <w:t>Peserta memberi kuasa kepada Syarikat, Fidelity,</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addresses of any potential recipients of the Data by contacting his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dan  mana-mana  penerima  lain  yang  mungkin  membantu  Syarikat  (masa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her  local  human  resources  representative.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authorizes the Company, Fidelity and any other possible recipients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which may assist the Company (presently or in the future) with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implementing, administering and managing the Plan to receive,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possess, use, retain and transfer the Data, in electronic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form, for the sole purpose of implementing, administering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5560" w:type="dxa"/>
            <w:vAlign w:val="bottom"/>
          </w:tcPr>
          <w:p>
            <w:pPr>
              <w:spacing w:after="0"/>
              <w:rPr>
                <w:sz w:val="17"/>
                <w:szCs w:val="17"/>
                <w:color w:val="auto"/>
              </w:rPr>
            </w:pP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5560" w:type="dxa"/>
            <w:vAlign w:val="bottom"/>
          </w:tcPr>
          <w:p>
            <w:pPr>
              <w:spacing w:after="0"/>
              <w:rPr>
                <w:sz w:val="16"/>
                <w:szCs w:val="16"/>
                <w:color w:val="auto"/>
              </w:rPr>
            </w:pP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w:t>
            </w:r>
          </w:p>
        </w:tc>
        <w:tc>
          <w:tcPr>
            <w:tcW w:w="5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-5428615</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-5411470</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-5394325</wp:posOffset>
            </wp:positionV>
            <wp:extent cx="8255"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-5377180</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-5360035</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-5342890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-5325745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-5308600</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-5291455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-5274310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-5257165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-5240020</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-5222875</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-5205730</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-5188585</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-5171440</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-5154295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-5137150</wp:posOffset>
            </wp:positionV>
            <wp:extent cx="8255"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-5120005</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-5102860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-5085715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-5068570</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-5051425</wp:posOffset>
            </wp:positionV>
            <wp:extent cx="8255"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-5034280</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-5017135</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-4999990</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-4982845</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-4965700</wp:posOffset>
            </wp:positionV>
            <wp:extent cx="8255"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-4948555</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-4931410</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-4914265</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-4897120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-4879975</wp:posOffset>
            </wp:positionV>
            <wp:extent cx="8255"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-4862830</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-4845685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-4828540</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-4811395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-4794250</wp:posOffset>
            </wp:positionV>
            <wp:extent cx="8255"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-4777105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-4759960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-4742815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-4725670</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-4708525</wp:posOffset>
            </wp:positionV>
            <wp:extent cx="8255"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-4691380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-4674235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-4657090</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-4639945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-4622800</wp:posOffset>
            </wp:positionV>
            <wp:extent cx="8255"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-4605655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-4588510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-4571365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-4554220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-4537075</wp:posOffset>
            </wp:positionV>
            <wp:extent cx="8255"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-4519930</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-4502785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-4485640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-4468495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-4451350</wp:posOffset>
            </wp:positionV>
            <wp:extent cx="8255"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-4434205</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-4417060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-4399915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-4382770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-4365625</wp:posOffset>
            </wp:positionV>
            <wp:extent cx="8255"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-4348480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-4331335</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-4314190</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-4297045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-4279900</wp:posOffset>
            </wp:positionV>
            <wp:extent cx="8255"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-4262755</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-4245610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-4228465</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-4211320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-4194175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-4177030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-4159885</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-4142740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-4125595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-4108450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-4091305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-4074160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-4057015</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-4039870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-4022725</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-4005580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-3988435</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-3971290</wp:posOffset>
            </wp:positionV>
            <wp:extent cx="8255"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-3954145</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-3937000</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-3919855</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-3902710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-3885565</wp:posOffset>
            </wp:positionV>
            <wp:extent cx="8255"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-3868420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-3851275</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-3834130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-3816985</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-3799840</wp:posOffset>
            </wp:positionV>
            <wp:extent cx="825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-3782695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-3765550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-3748405</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-3731260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-3714115</wp:posOffset>
            </wp:positionV>
            <wp:extent cx="8255"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-3696970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-3679825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-3662680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-3645535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-3628390</wp:posOffset>
            </wp:positionV>
            <wp:extent cx="8255"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-3611245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-3594100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-3576955</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-3559810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-3542665</wp:posOffset>
            </wp:positionV>
            <wp:extent cx="8255"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-3525520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-3508375</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-3491230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-3474085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-3456940</wp:posOffset>
            </wp:positionV>
            <wp:extent cx="8255"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-3439795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-3422650</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-3405505</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-3388360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-3371215</wp:posOffset>
            </wp:positionV>
            <wp:extent cx="8255"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-3354070</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-3336925</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-3319780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-3302635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-3285490</wp:posOffset>
            </wp:positionV>
            <wp:extent cx="8255"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-3268345</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-3251200</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-3234055</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-3216910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-3199765</wp:posOffset>
            </wp:positionV>
            <wp:extent cx="8255"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-3182620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-3165475</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-3148330</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-3131185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-3114040</wp:posOffset>
            </wp:positionV>
            <wp:extent cx="8255"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-3096895</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-3079750</wp:posOffset>
            </wp:positionV>
            <wp:extent cx="8255"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-3062605</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-3045460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-3028315</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-3011170</wp:posOffset>
            </wp:positionV>
            <wp:extent cx="8255"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-2994025</wp:posOffset>
            </wp:positionV>
            <wp:extent cx="8255"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-2976880</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-2959735</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-2942590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-2925445</wp:posOffset>
            </wp:positionV>
            <wp:extent cx="8255"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-2908300</wp:posOffset>
            </wp:positionV>
            <wp:extent cx="825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-2891155</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-2874010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-2856865</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-2839720</wp:posOffset>
            </wp:positionV>
            <wp:extent cx="825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-2822575</wp:posOffset>
            </wp:positionV>
            <wp:extent cx="8255"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-2805430</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-2788285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-2771140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-2753995</wp:posOffset>
            </wp:positionV>
            <wp:extent cx="8255"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-2736850</wp:posOffset>
            </wp:positionV>
            <wp:extent cx="8255"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-2719705</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-2702560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-2685415</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-2668270</wp:posOffset>
            </wp:positionV>
            <wp:extent cx="8255"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-2651125</wp:posOffset>
            </wp:positionV>
            <wp:extent cx="825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-2633980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-2616835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-2599690</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-2582545</wp:posOffset>
            </wp:positionV>
            <wp:extent cx="8255"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-2565400</wp:posOffset>
            </wp:positionV>
            <wp:extent cx="825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-2548255</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-2531110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-2513965</wp:posOffset>
            </wp:positionV>
            <wp:extent cx="8255"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-2496820</wp:posOffset>
            </wp:positionV>
            <wp:extent cx="8255"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-2479675</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-2462530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-2445385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-2428240</wp:posOffset>
            </wp:positionV>
            <wp:extent cx="8255"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-2411095</wp:posOffset>
            </wp:positionV>
            <wp:extent cx="8255"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-2393950</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-2376805</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-2359660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-2342515</wp:posOffset>
            </wp:positionV>
            <wp:extent cx="8255"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-2325370</wp:posOffset>
            </wp:positionV>
            <wp:extent cx="8255"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-2308225</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-2291080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-2273935</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-2256790</wp:posOffset>
            </wp:positionV>
            <wp:extent cx="8255"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-2239645</wp:posOffset>
            </wp:positionV>
            <wp:extent cx="8255"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-2222500</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-2205355</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-2188210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-2171065</wp:posOffset>
            </wp:positionV>
            <wp:extent cx="8255"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-2153920</wp:posOffset>
            </wp:positionV>
            <wp:extent cx="8255"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-2136775</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-2119630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-2102485</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-2085340</wp:posOffset>
            </wp:positionV>
            <wp:extent cx="8255"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-2068195</wp:posOffset>
            </wp:positionV>
            <wp:extent cx="8255"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-2051050</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-2033905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-2016760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-1999615</wp:posOffset>
            </wp:positionV>
            <wp:extent cx="8255"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-1982470</wp:posOffset>
            </wp:positionV>
            <wp:extent cx="8255"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-1965325</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-1948180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-1931035</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-1913890</wp:posOffset>
            </wp:positionV>
            <wp:extent cx="8255"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-1896745</wp:posOffset>
            </wp:positionV>
            <wp:extent cx="8255"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-1879600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-1862455</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-1845310</wp:posOffset>
            </wp:positionV>
            <wp:extent cx="8255"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-1828165</wp:posOffset>
            </wp:positionV>
            <wp:extent cx="8255"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-1811020</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-1793875</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-1776730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-1759585</wp:posOffset>
            </wp:positionV>
            <wp:extent cx="8255"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-1742440</wp:posOffset>
            </wp:positionV>
            <wp:extent cx="8255"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-1725295</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-1708150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-1691005</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-1673860</wp:posOffset>
            </wp:positionV>
            <wp:extent cx="8255"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-1656715</wp:posOffset>
            </wp:positionV>
            <wp:extent cx="8255"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-1639570</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-1622425</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-1605280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-1588135</wp:posOffset>
            </wp:positionV>
            <wp:extent cx="8255"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-1570990</wp:posOffset>
            </wp:positionV>
            <wp:extent cx="8255"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-1553845</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-1536700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-1519555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-1502410</wp:posOffset>
            </wp:positionV>
            <wp:extent cx="8255"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-1485265</wp:posOffset>
            </wp:positionV>
            <wp:extent cx="825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-1468120</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-1450975</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-1433830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-1416685</wp:posOffset>
            </wp:positionV>
            <wp:extent cx="8255"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-1399540</wp:posOffset>
            </wp:positionV>
            <wp:extent cx="825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-1382395</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-1365250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-1348105</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-1330960</wp:posOffset>
            </wp:positionV>
            <wp:extent cx="8255"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-1313815</wp:posOffset>
            </wp:positionV>
            <wp:extent cx="825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-1296670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-1279525</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-1262380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-1245235</wp:posOffset>
            </wp:positionV>
            <wp:extent cx="8255"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-1228090</wp:posOffset>
            </wp:positionV>
            <wp:extent cx="825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-1210945</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-1193800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-1176655</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-1159510</wp:posOffset>
            </wp:positionV>
            <wp:extent cx="8255"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-1142365</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-1125220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-1108075</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-1090930</wp:posOffset>
            </wp:positionV>
            <wp:extent cx="8255"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-1073785</wp:posOffset>
            </wp:positionV>
            <wp:extent cx="825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-1056640</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-1039495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-1022350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-1005205</wp:posOffset>
            </wp:positionV>
            <wp:extent cx="8255"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-988060</wp:posOffset>
            </wp:positionV>
            <wp:extent cx="8255"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-970915</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-953770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-936625</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-919480</wp:posOffset>
            </wp:positionV>
            <wp:extent cx="8255"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-902335</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-885190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-868045</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-850900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-833755</wp:posOffset>
            </wp:positionV>
            <wp:extent cx="8255"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-816610</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-799465</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-782320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-765175</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-748030</wp:posOffset>
            </wp:positionV>
            <wp:extent cx="8255"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-730885</wp:posOffset>
            </wp:positionV>
            <wp:extent cx="8255"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-713740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-696595</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-679450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-662305</wp:posOffset>
            </wp:positionV>
            <wp:extent cx="8255"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-645160</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-628015</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-610870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-593725</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-576580</wp:posOffset>
            </wp:positionV>
            <wp:extent cx="8255"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-559435</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-542290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-525145</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-508000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-490855</wp:posOffset>
            </wp:positionV>
            <wp:extent cx="8255"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-473710</wp:posOffset>
            </wp:positionV>
            <wp:extent cx="8255"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-456565</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-439420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-422275</wp:posOffset>
            </wp:positionV>
            <wp:extent cx="8255"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-405130</wp:posOffset>
            </wp:positionV>
            <wp:extent cx="8255"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-387985</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-370840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-353695</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-336550</wp:posOffset>
            </wp:positionV>
            <wp:extent cx="8255"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-319405</wp:posOffset>
            </wp:positionV>
            <wp:extent cx="8255"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-302260</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-285115</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-267970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-250825</wp:posOffset>
            </wp:positionV>
            <wp:extent cx="8255"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-233680</wp:posOffset>
            </wp:positionV>
            <wp:extent cx="8255"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-216535</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-199390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-182245</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-165100</wp:posOffset>
            </wp:positionV>
            <wp:extent cx="8255"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-147955</wp:posOffset>
            </wp:positionV>
            <wp:extent cx="8255"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-130810</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-113665</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-96520</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-79375</wp:posOffset>
            </wp:positionV>
            <wp:extent cx="8255"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-62230</wp:posOffset>
            </wp:positionV>
            <wp:extent cx="8255"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-45085</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-27940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-10795</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-5428615</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-5411470</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-5394325</wp:posOffset>
            </wp:positionV>
            <wp:extent cx="8255"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-5377180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-5360035</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-5342890</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-5325745</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-5308600</wp:posOffset>
            </wp:positionV>
            <wp:extent cx="8255"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-5291455</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-5274310</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-5257165</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-5240020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-5222875</wp:posOffset>
            </wp:positionV>
            <wp:extent cx="8255"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-5205730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-5188585</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-5171440</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-5154295</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-5137150</wp:posOffset>
            </wp:positionV>
            <wp:extent cx="8255"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-5120005</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-5102860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-5085715</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-5068570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-5051425</wp:posOffset>
            </wp:positionV>
            <wp:extent cx="8255"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-5034280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-5017135</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-4999990</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-4982845</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-4965700</wp:posOffset>
            </wp:positionV>
            <wp:extent cx="8255"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-4948555</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-4931410</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-4914265</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-4897120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-4879975</wp:posOffset>
            </wp:positionV>
            <wp:extent cx="8255"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-4862830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-4845685</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-4828540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-4811395</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-4794250</wp:posOffset>
            </wp:positionV>
            <wp:extent cx="8255"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-4777105</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-4759960</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-4742815</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-4725670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-4708525</wp:posOffset>
            </wp:positionV>
            <wp:extent cx="8255"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-4691380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-4674235</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-4657090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-4639945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-4622800</wp:posOffset>
            </wp:positionV>
            <wp:extent cx="825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-4605655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-4588510</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-4571365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-4554220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-4537075</wp:posOffset>
            </wp:positionV>
            <wp:extent cx="825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-4519930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-4502785</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-4485640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-4468495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-4451350</wp:posOffset>
            </wp:positionV>
            <wp:extent cx="8255"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-4434205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-4417060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-4399915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-4382770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-4365625</wp:posOffset>
            </wp:positionV>
            <wp:extent cx="8255"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-4348480</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-4331335</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-4314190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-4297045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-4279900</wp:posOffset>
            </wp:positionV>
            <wp:extent cx="8255"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-4262755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-4245610</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-4228465</wp:posOffset>
            </wp:positionV>
            <wp:extent cx="8255"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-4211320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-4194175</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-4177030</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-4159885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-4142740</wp:posOffset>
            </wp:positionV>
            <wp:extent cx="8255"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-4125595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-4108450</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-4091305</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-4074160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-4057015</wp:posOffset>
            </wp:positionV>
            <wp:extent cx="8255"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-4039870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-4022725</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-4005580</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-3988435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-3971290</wp:posOffset>
            </wp:positionV>
            <wp:extent cx="8255"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-3954145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-3937000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-3919855</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-3902710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-3885565</wp:posOffset>
            </wp:positionV>
            <wp:extent cx="8255"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-3868420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-3851275</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-3834130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-3816985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-3799840</wp:posOffset>
            </wp:positionV>
            <wp:extent cx="8255"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-3782695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-3765550</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-3748405</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-3731260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-3714115</wp:posOffset>
            </wp:positionV>
            <wp:extent cx="8255"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-3696970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-3679825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-3662680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-3645535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-3628390</wp:posOffset>
            </wp:positionV>
            <wp:extent cx="8255"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-3611245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-3594100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-3576955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-3559810</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-3542665</wp:posOffset>
            </wp:positionV>
            <wp:extent cx="8255"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-3525520</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-3508375</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-3491230</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-3474085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-3456940</wp:posOffset>
            </wp:positionV>
            <wp:extent cx="8255"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-3439795</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-3422650</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-3405505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-3388360</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-3371215</wp:posOffset>
            </wp:positionV>
            <wp:extent cx="8255"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-3354070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-3336925</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-3319780</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-3302635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-3285490</wp:posOffset>
            </wp:positionV>
            <wp:extent cx="8255"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-3268345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-3251200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-3234055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-3216910</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-3199765</wp:posOffset>
            </wp:positionV>
            <wp:extent cx="8255"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-3182620</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-3165475</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-3148330</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-3131185</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-3114040</wp:posOffset>
            </wp:positionV>
            <wp:extent cx="8255"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-3096895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-3079750</wp:posOffset>
            </wp:positionV>
            <wp:extent cx="8255"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-3062605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-3045460</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-3028315</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-3011170</wp:posOffset>
            </wp:positionV>
            <wp:extent cx="8255"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-2994025</wp:posOffset>
            </wp:positionV>
            <wp:extent cx="8255"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-2976880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-2959735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-2942590</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-2925445</wp:posOffset>
            </wp:positionV>
            <wp:extent cx="8255"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-2908300</wp:posOffset>
            </wp:positionV>
            <wp:extent cx="8255"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-2891155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-2874010</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-2856865</wp:posOffset>
            </wp:positionV>
            <wp:extent cx="8255"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-2839720</wp:posOffset>
            </wp:positionV>
            <wp:extent cx="8255"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-2822575</wp:posOffset>
            </wp:positionV>
            <wp:extent cx="8255"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-2805430</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-2788285</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-2771140</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-2753995</wp:posOffset>
            </wp:positionV>
            <wp:extent cx="8255"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-2736850</wp:posOffset>
            </wp:positionV>
            <wp:extent cx="8255"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-2719705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-2702560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-2685415</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-2668270</wp:posOffset>
            </wp:positionV>
            <wp:extent cx="8255"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-2651125</wp:posOffset>
            </wp:positionV>
            <wp:extent cx="8255"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-2633980</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-2616835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-2599690</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-2582545</wp:posOffset>
            </wp:positionV>
            <wp:extent cx="8255"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-2565400</wp:posOffset>
            </wp:positionV>
            <wp:extent cx="825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-2548255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-2531110</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-2513965</wp:posOffset>
            </wp:positionV>
            <wp:extent cx="8255"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-2496820</wp:posOffset>
            </wp:positionV>
            <wp:extent cx="8255"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-2479675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-2462530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-2445385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-2428240</wp:posOffset>
            </wp:positionV>
            <wp:extent cx="8255"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-2411095</wp:posOffset>
            </wp:positionV>
            <wp:extent cx="8255"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-2393950</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-2376805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-2359660</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-2342515</wp:posOffset>
            </wp:positionV>
            <wp:extent cx="8255"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-2325370</wp:posOffset>
            </wp:positionV>
            <wp:extent cx="8255"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-2308225</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-2291080</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-2273935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-2256790</wp:posOffset>
            </wp:positionV>
            <wp:extent cx="8255"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-2239645</wp:posOffset>
            </wp:positionV>
            <wp:extent cx="8255"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-2222500</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-2205355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-2188210</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-2171065</wp:posOffset>
            </wp:positionV>
            <wp:extent cx="8255"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-2153920</wp:posOffset>
            </wp:positionV>
            <wp:extent cx="8255"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-2136775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-2119630</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-2102485</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-2085340</wp:posOffset>
            </wp:positionV>
            <wp:extent cx="8255"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-2068195</wp:posOffset>
            </wp:positionV>
            <wp:extent cx="8255"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-2051050</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-2033905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-2016760</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-1999615</wp:posOffset>
            </wp:positionV>
            <wp:extent cx="8255"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-1982470</wp:posOffset>
            </wp:positionV>
            <wp:extent cx="8255"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-1965325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-1948180</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-1931035</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-1913890</wp:posOffset>
            </wp:positionV>
            <wp:extent cx="8255"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-1896745</wp:posOffset>
            </wp:positionV>
            <wp:extent cx="8255"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-1879600</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-1862455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-1845310</wp:posOffset>
            </wp:positionV>
            <wp:extent cx="8255"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-1828165</wp:posOffset>
            </wp:positionV>
            <wp:extent cx="8255"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-1811020</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-1793875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-1776730</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-1759585</wp:posOffset>
            </wp:positionV>
            <wp:extent cx="8255"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-1742440</wp:posOffset>
            </wp:positionV>
            <wp:extent cx="8255"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-1725295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-1708150</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-1691005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-1673860</wp:posOffset>
            </wp:positionV>
            <wp:extent cx="8255"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-1656715</wp:posOffset>
            </wp:positionV>
            <wp:extent cx="8255"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-1639570</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-1622425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-1605280</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-1588135</wp:posOffset>
            </wp:positionV>
            <wp:extent cx="8255"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-1570990</wp:posOffset>
            </wp:positionV>
            <wp:extent cx="8255"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-1553845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-1536700</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-1519555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-1502410</wp:posOffset>
            </wp:positionV>
            <wp:extent cx="8255"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-1485265</wp:posOffset>
            </wp:positionV>
            <wp:extent cx="8255"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-1468120</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-1450975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-1433830</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-1416685</wp:posOffset>
            </wp:positionV>
            <wp:extent cx="8255"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-1399540</wp:posOffset>
            </wp:positionV>
            <wp:extent cx="8255"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-1382395</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-1365250</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-1348105</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-1330960</wp:posOffset>
            </wp:positionV>
            <wp:extent cx="8255"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-1313815</wp:posOffset>
            </wp:positionV>
            <wp:extent cx="8255"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-1296670</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-1279525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-1262380</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-1245235</wp:posOffset>
            </wp:positionV>
            <wp:extent cx="8255"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-1228090</wp:posOffset>
            </wp:positionV>
            <wp:extent cx="825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-1210945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-1193800</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-1176655</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-1159510</wp:posOffset>
            </wp:positionV>
            <wp:extent cx="8255"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-1142365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-1125220</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-1108075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-1090930</wp:posOffset>
            </wp:positionV>
            <wp:extent cx="8255"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-1073785</wp:posOffset>
            </wp:positionV>
            <wp:extent cx="8255"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-1056640</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-1039495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-1022350</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-1005205</wp:posOffset>
            </wp:positionV>
            <wp:extent cx="8255"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-988060</wp:posOffset>
            </wp:positionV>
            <wp:extent cx="8255"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-970915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-953770</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-936625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-919480</wp:posOffset>
            </wp:positionV>
            <wp:extent cx="8255"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-902335</wp:posOffset>
            </wp:positionV>
            <wp:extent cx="8255"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-885190</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-868045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-850900</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-833755</wp:posOffset>
            </wp:positionV>
            <wp:extent cx="8255"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-816610</wp:posOffset>
            </wp:positionV>
            <wp:extent cx="8255"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-799465</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-782320</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-765175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-748030</wp:posOffset>
            </wp:positionV>
            <wp:extent cx="8255"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-730885</wp:posOffset>
            </wp:positionV>
            <wp:extent cx="8255"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-713740</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-696595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-679450</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-662305</wp:posOffset>
            </wp:positionV>
            <wp:extent cx="8255"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-5428615</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-5411470</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-5394325</wp:posOffset>
            </wp:positionV>
            <wp:extent cx="8255"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-5377180</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-5360035</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-5342890</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-5325745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-5308600</wp:posOffset>
            </wp:positionV>
            <wp:extent cx="8255"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-5291455</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-5274310</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-5257165</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-5240020</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-5222875</wp:posOffset>
            </wp:positionV>
            <wp:extent cx="8255"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-5205730</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-5188585</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-5171440</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-5154295</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-5137150</wp:posOffset>
            </wp:positionV>
            <wp:extent cx="8255"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-5120005</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-5102860</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-5085715</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-5068570</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-5051425</wp:posOffset>
            </wp:positionV>
            <wp:extent cx="8255"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-5034280</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-5017135</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-4999990</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-4982845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-4965700</wp:posOffset>
            </wp:positionV>
            <wp:extent cx="8255"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-4948555</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-4931410</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-4914265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-4897120</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-4879975</wp:posOffset>
            </wp:positionV>
            <wp:extent cx="8255"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-4862830</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-4845685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-4828540</wp:posOffset>
            </wp:positionV>
            <wp:extent cx="8255"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-4811395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-4794250</wp:posOffset>
            </wp:positionV>
            <wp:extent cx="8255"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-4777105</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-4759960</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-4742815</wp:posOffset>
            </wp:positionV>
            <wp:extent cx="8255"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-4725670</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-4708525</wp:posOffset>
            </wp:positionV>
            <wp:extent cx="8255"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-4691380</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-4674235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-4657090</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-4639945</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-4622800</wp:posOffset>
            </wp:positionV>
            <wp:extent cx="8255"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-4605655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-4588510</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-4571365</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-4554220</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-4537075</wp:posOffset>
            </wp:positionV>
            <wp:extent cx="8255"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-4519930</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-4502785</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-4485640</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-4468495</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-4451350</wp:posOffset>
            </wp:positionV>
            <wp:extent cx="8255"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-4434205</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-4417060</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-4399915</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-4382770</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-4365625</wp:posOffset>
            </wp:positionV>
            <wp:extent cx="8255"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-4348480</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-4331335</wp:posOffset>
            </wp:positionV>
            <wp:extent cx="825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-4314190</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-4297045</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-4279900</wp:posOffset>
            </wp:positionV>
            <wp:extent cx="8255"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-4262755</wp:posOffset>
            </wp:positionV>
            <wp:extent cx="825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-4245610</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-4228465</wp:posOffset>
            </wp:positionV>
            <wp:extent cx="8255"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-4211320</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-4194175</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-4177030</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-4159885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-4142740</wp:posOffset>
            </wp:positionV>
            <wp:extent cx="8255"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-4125595</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-4108450</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-4091305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-4074160</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-4057015</wp:posOffset>
            </wp:positionV>
            <wp:extent cx="8255"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-4039870</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-4022725</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-4005580</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-3988435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-3971290</wp:posOffset>
            </wp:positionV>
            <wp:extent cx="8255"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-3954145</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-3937000</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-3919855</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-3902710</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-3885565</wp:posOffset>
            </wp:positionV>
            <wp:extent cx="8255"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-3868420</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-3851275</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-3834130</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-3816985</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-3799840</wp:posOffset>
            </wp:positionV>
            <wp:extent cx="8255"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-3782695</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-3765550</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-3748405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-3731260</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-3714115</wp:posOffset>
            </wp:positionV>
            <wp:extent cx="8255"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-3696970</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-3679825</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-3662680</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-3645535</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-3628390</wp:posOffset>
            </wp:positionV>
            <wp:extent cx="8255"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-3611245</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-3594100</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-3576955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-3559810</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-3542665</wp:posOffset>
            </wp:positionV>
            <wp:extent cx="8255"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-3525520</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-3508375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-3491230</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-3474085</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-3456940</wp:posOffset>
            </wp:positionV>
            <wp:extent cx="8255"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-3439795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-3422650</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-3405505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-3388360</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-3371215</wp:posOffset>
            </wp:positionV>
            <wp:extent cx="8255"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-3354070</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-3336925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-3319780</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-3302635</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-3285490</wp:posOffset>
            </wp:positionV>
            <wp:extent cx="8255"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-3268345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-3251200</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-3234055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-3216910</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-3199765</wp:posOffset>
            </wp:positionV>
            <wp:extent cx="8255"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-3182620</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-3165475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-3148330</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-3131185</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-3114040</wp:posOffset>
            </wp:positionV>
            <wp:extent cx="8255"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-3096895</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-3079750</wp:posOffset>
            </wp:positionV>
            <wp:extent cx="8255"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-3062605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-3045460</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-3028315</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-3011170</wp:posOffset>
            </wp:positionV>
            <wp:extent cx="8255"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-2994025</wp:posOffset>
            </wp:positionV>
            <wp:extent cx="8255"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-2976880</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-2959735</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-2942590</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-2925445</wp:posOffset>
            </wp:positionV>
            <wp:extent cx="8255"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-2908300</wp:posOffset>
            </wp:positionV>
            <wp:extent cx="8255"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-2891155</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-2874010</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-2856865</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-2839720</wp:posOffset>
            </wp:positionV>
            <wp:extent cx="8255"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-2822575</wp:posOffset>
            </wp:positionV>
            <wp:extent cx="8255"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-2805430</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-2788285</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-2771140</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-2753995</wp:posOffset>
            </wp:positionV>
            <wp:extent cx="8255"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-2736850</wp:posOffset>
            </wp:positionV>
            <wp:extent cx="8255"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-2719705</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-2702560</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-2685415</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-2668270</wp:posOffset>
            </wp:positionV>
            <wp:extent cx="8255"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-2651125</wp:posOffset>
            </wp:positionV>
            <wp:extent cx="8255"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-2633980</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-2616835</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-2599690</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-2582545</wp:posOffset>
            </wp:positionV>
            <wp:extent cx="8255"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-2565400</wp:posOffset>
            </wp:positionV>
            <wp:extent cx="8255"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-2548255</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-2531110</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-2513965</wp:posOffset>
            </wp:positionV>
            <wp:extent cx="8255"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-2496820</wp:posOffset>
            </wp:positionV>
            <wp:extent cx="8255"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-2479675</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-2462530</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-2445385</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-2428240</wp:posOffset>
            </wp:positionV>
            <wp:extent cx="8255"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-2411095</wp:posOffset>
            </wp:positionV>
            <wp:extent cx="8255"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-2393950</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-2376805</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-2359660</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-2342515</wp:posOffset>
            </wp:positionV>
            <wp:extent cx="8255"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-2325370</wp:posOffset>
            </wp:positionV>
            <wp:extent cx="8255"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-2308225</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-2291080</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-2273935</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-2256790</wp:posOffset>
            </wp:positionV>
            <wp:extent cx="8255"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-2239645</wp:posOffset>
            </wp:positionV>
            <wp:extent cx="8255"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-2222500</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-2205355</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-2188210</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-2171065</wp:posOffset>
            </wp:positionV>
            <wp:extent cx="8255"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-2153920</wp:posOffset>
            </wp:positionV>
            <wp:extent cx="8255"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-2136775</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-2119630</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-2102485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-2085340</wp:posOffset>
            </wp:positionV>
            <wp:extent cx="8255"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-2068195</wp:posOffset>
            </wp:positionV>
            <wp:extent cx="8255"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-2051050</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-2033905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-2016760</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-1999615</wp:posOffset>
            </wp:positionV>
            <wp:extent cx="8255"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-1982470</wp:posOffset>
            </wp:positionV>
            <wp:extent cx="8255"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-1965325</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-1948180</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-1931035</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-1913890</wp:posOffset>
            </wp:positionV>
            <wp:extent cx="8255"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-1896745</wp:posOffset>
            </wp:positionV>
            <wp:extent cx="8255"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-1879600</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-1862455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-1845310</wp:posOffset>
            </wp:positionV>
            <wp:extent cx="8255"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-1828165</wp:posOffset>
            </wp:positionV>
            <wp:extent cx="8255"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-1811020</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-1793875</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-1776730</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-1759585</wp:posOffset>
            </wp:positionV>
            <wp:extent cx="8255"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-1742440</wp:posOffset>
            </wp:positionV>
            <wp:extent cx="8255"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-1725295</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-1708150</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-1691005</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-1673860</wp:posOffset>
            </wp:positionV>
            <wp:extent cx="8255"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-1656715</wp:posOffset>
            </wp:positionV>
            <wp:extent cx="8255"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-1639570</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-1622425</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-1605280</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-1588135</wp:posOffset>
            </wp:positionV>
            <wp:extent cx="8255"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-1570990</wp:posOffset>
            </wp:positionV>
            <wp:extent cx="8255"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-1553845</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-1536700</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-1519555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-1502410</wp:posOffset>
            </wp:positionV>
            <wp:extent cx="8255"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-1485265</wp:posOffset>
            </wp:positionV>
            <wp:extent cx="8255"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-1468120</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-1450975</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-1433830</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-1416685</wp:posOffset>
            </wp:positionV>
            <wp:extent cx="8255"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-1399540</wp:posOffset>
            </wp:positionV>
            <wp:extent cx="8255"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-1382395</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-1365250</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-1348105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-1330960</wp:posOffset>
            </wp:positionV>
            <wp:extent cx="8255"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-1313815</wp:posOffset>
            </wp:positionV>
            <wp:extent cx="8255"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-1296670</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-1279525</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-1262380</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-1245235</wp:posOffset>
            </wp:positionV>
            <wp:extent cx="8255"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-1228090</wp:posOffset>
            </wp:positionV>
            <wp:extent cx="825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-1210945</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-1193800</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-1176655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-1159510</wp:posOffset>
            </wp:positionV>
            <wp:extent cx="8255"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-1142365</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-1125220</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-1108075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-1090930</wp:posOffset>
            </wp:positionV>
            <wp:extent cx="8255"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-1073785</wp:posOffset>
            </wp:positionV>
            <wp:extent cx="8255"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-1056640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-1039495</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-1022350</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-1005205</wp:posOffset>
            </wp:positionV>
            <wp:extent cx="8255"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-988060</wp:posOffset>
            </wp:positionV>
            <wp:extent cx="8255"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-970915</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-953770</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-936625</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-919480</wp:posOffset>
            </wp:positionV>
            <wp:extent cx="8255"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-902335</wp:posOffset>
            </wp:positionV>
            <wp:extent cx="8255"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-885190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-868045</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-850900</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-833755</wp:posOffset>
            </wp:positionV>
            <wp:extent cx="8255"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-816610</wp:posOffset>
            </wp:positionV>
            <wp:extent cx="8255"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-799465</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-782320</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-765175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-748030</wp:posOffset>
            </wp:positionV>
            <wp:extent cx="8255"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-730885</wp:posOffset>
            </wp:positionV>
            <wp:extent cx="8255"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-713740</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-696595</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-679450</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-662305</wp:posOffset>
            </wp:positionV>
            <wp:extent cx="8255"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-645160</wp:posOffset>
            </wp:positionV>
            <wp:extent cx="8255"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-628015</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-610870</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-593725</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-576580</wp:posOffset>
            </wp:positionV>
            <wp:extent cx="8255"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-559435</wp:posOffset>
            </wp:positionV>
            <wp:extent cx="8255"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-542290</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-525145</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-508000</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-490855</wp:posOffset>
            </wp:positionV>
            <wp:extent cx="8255"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-473710</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-456565</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-439420</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-422275</wp:posOffset>
            </wp:positionV>
            <wp:extent cx="8255"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-405130</wp:posOffset>
            </wp:positionV>
            <wp:extent cx="8255"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-387985</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-370840</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-353695</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-336550</wp:posOffset>
            </wp:positionV>
            <wp:extent cx="8255"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-319405</wp:posOffset>
            </wp:positionV>
            <wp:extent cx="8255"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-302260</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-285115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-267970</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-250825</wp:posOffset>
            </wp:positionV>
            <wp:extent cx="8255"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-233680</wp:posOffset>
            </wp:positionV>
            <wp:extent cx="8255"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-216535</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-199390</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-182245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-165100</wp:posOffset>
            </wp:positionV>
            <wp:extent cx="8255"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-147955</wp:posOffset>
            </wp:positionV>
            <wp:extent cx="8255"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-130810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-113665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-96520</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-79375</wp:posOffset>
            </wp:positionV>
            <wp:extent cx="8255"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-62230</wp:posOffset>
            </wp:positionV>
            <wp:extent cx="8255"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-45085</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-27940</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-10795</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-110490</wp:posOffset>
            </wp:positionV>
            <wp:extent cx="6574790" cy="14605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65747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460"/>
          </w:cols>
          <w:pgMar w:left="480" w:top="1028" w:right="959" w:bottom="1440" w:gutter="0" w:footer="0" w:header="0"/>
        </w:sectPr>
      </w:pPr>
    </w:p>
    <w:bookmarkStart w:id="69" w:name="page70"/>
    <w:bookmarkEnd w:id="6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Section 9(b)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6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68"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5"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9(b)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8" w:lineRule="exact"/>
        <w:rPr>
          <w:sz w:val="20"/>
          <w:szCs w:val="20"/>
          <w:color w:val="auto"/>
        </w:rPr>
      </w:pPr>
    </w:p>
    <w:p>
      <w:pPr>
        <w:jc w:val="both"/>
        <w:ind w:left="180"/>
        <w:spacing w:after="0" w:line="301"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028" w:right="659" w:bottom="1440" w:gutter="0" w:footer="0" w:header="0"/>
        </w:sectPr>
      </w:pPr>
    </w:p>
    <w:bookmarkStart w:id="70" w:name="page71"/>
    <w:bookmarkEnd w:id="7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64"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u w:val="single" w:color="auto"/>
          <w:color w:val="auto"/>
        </w:rPr>
        <w:t>Necessary Approvals</w:t>
      </w:r>
      <w:r>
        <w:rPr>
          <w:rFonts w:ascii="Times New Roman" w:cs="Times New Roman" w:eastAsia="Times New Roman" w:hAnsi="Times New Roman"/>
          <w:sz w:val="16"/>
          <w:szCs w:val="16"/>
          <w:color w:val="auto"/>
        </w:rPr>
        <w:t>. The offering of the Plan and the grant of the RSUs may be subject to certain securities approval/confirmation requirements in the Philippines with the Philippine Securities and Exchange Commission. If the Company has not obtained, or does not maintain, the necessary securities approval/confirmation prior to the vesting of the RSUs, Participant will not vest in the RSUs and no Shares subject to the RSUs will be issued. RSUs shall vest and Shares shall be issued in settlement of the RSUs only if and when all necessary securities approvals/confirmations have been obtained and are maintained.</w:t>
      </w:r>
    </w:p>
    <w:p>
      <w:pPr>
        <w:spacing w:after="0" w:line="215"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RSUs is being made pursuant to an exemption from registration under Section 10.2 of the SRC that has been approved by the PSEC.</w:t>
      </w:r>
    </w:p>
    <w:p>
      <w:pPr>
        <w:spacing w:after="0" w:line="275"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200" w:lineRule="exact"/>
        <w:rPr>
          <w:sz w:val="20"/>
          <w:szCs w:val="20"/>
          <w:color w:val="auto"/>
        </w:rPr>
      </w:pPr>
    </w:p>
    <w:p>
      <w:pPr>
        <w:spacing w:after="0" w:line="23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32"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6"/>
          <w:szCs w:val="16"/>
          <w:color w:val="auto"/>
        </w:rPr>
        <w:t>The Participant should also note that the sale or disposal of Shares acquired under the Plan may be subject to certain restrictions under Philippines securities laws. Those restrictions should not apply if the offer and resale of Shares takes place outside the Philippines through the facilities of a stock exchange on which the Shares are listed. The Shares are currently listed on Nasdaq. The Company’s designated broker should be able to assist the Participant in the sale of Shares on</w:t>
      </w:r>
    </w:p>
    <w:p>
      <w:pPr>
        <w:spacing w:after="0" w:line="2" w:lineRule="exact"/>
        <w:rPr>
          <w:sz w:val="20"/>
          <w:szCs w:val="20"/>
          <w:color w:val="auto"/>
        </w:rPr>
      </w:pPr>
    </w:p>
    <w:p>
      <w:pPr>
        <w:jc w:val="both"/>
        <w:ind w:left="180" w:right="20"/>
        <w:spacing w:after="0" w:line="270" w:lineRule="auto"/>
        <w:rPr>
          <w:sz w:val="20"/>
          <w:szCs w:val="20"/>
          <w:color w:val="auto"/>
        </w:rPr>
      </w:pPr>
      <w:r>
        <w:rPr>
          <w:rFonts w:ascii="Times New Roman" w:cs="Times New Roman" w:eastAsia="Times New Roman" w:hAnsi="Times New Roman"/>
          <w:sz w:val="16"/>
          <w:szCs w:val="16"/>
          <w:color w:val="auto"/>
        </w:rPr>
        <w:t xml:space="preserve">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39"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w:t>
      </w:r>
    </w:p>
    <w:p>
      <w:pPr>
        <w:sectPr>
          <w:pgSz w:w="11900" w:h="16838" w:orient="portrait"/>
          <w:cols w:equalWidth="0" w:num="1">
            <w:col w:w="10760"/>
          </w:cols>
          <w:pgMar w:left="480" w:top="1028" w:right="65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028" w:right="659" w:bottom="1440" w:gutter="0" w:footer="0" w:header="0"/>
          <w:type w:val="continuous"/>
        </w:sectPr>
      </w:pPr>
    </w:p>
    <w:bookmarkStart w:id="71" w:name="page72"/>
    <w:bookmarkEnd w:id="7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right="20"/>
        <w:spacing w:after="0" w:line="269" w:lineRule="auto"/>
        <w:rPr>
          <w:sz w:val="20"/>
          <w:szCs w:val="20"/>
          <w:color w:val="auto"/>
        </w:rPr>
      </w:pPr>
      <w:r>
        <w:rPr>
          <w:rFonts w:ascii="Times New Roman" w:cs="Times New Roman" w:eastAsia="Times New Roman" w:hAnsi="Times New Roman"/>
          <w:sz w:val="16"/>
          <w:szCs w:val="16"/>
          <w:color w:val="auto"/>
        </w:rPr>
        <w:t>The Participant should consult with his or her personal legal advisor to determine what he or she must do to fulfill any applicable reporting/exchange control duties.</w:t>
      </w: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subject to the regulations concerning public offers and private placements under the Law on Capital Markets.</w:t>
      </w:r>
    </w:p>
    <w:p>
      <w:pPr>
        <w:spacing w:after="0" w:line="151"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77"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2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67"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w:t>
      </w:r>
    </w:p>
    <w:p>
      <w:pPr>
        <w:spacing w:after="0" w:line="1" w:lineRule="exact"/>
        <w:rPr>
          <w:sz w:val="20"/>
          <w:szCs w:val="20"/>
          <w:color w:val="auto"/>
        </w:rPr>
      </w:pPr>
    </w:p>
    <w:p>
      <w:pPr>
        <w:jc w:val="both"/>
        <w:ind w:left="180" w:hanging="8"/>
        <w:spacing w:after="0" w:line="255" w:lineRule="auto"/>
        <w:tabs>
          <w:tab w:leader="none" w:pos="37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will not economically or otherwise bind the Company or any of its subsidiaries on an ongoing basis; (ii)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and (iii) the RSUs will cease vesting upon the Participant’s termination of employment except in the event the Participant dies or becomes Disabled, as detailed in the following paragraph.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028" w:right="659" w:bottom="1440" w:gutter="0" w:footer="0" w:header="0"/>
        </w:sectPr>
      </w:pPr>
    </w:p>
    <w:bookmarkStart w:id="72" w:name="page73"/>
    <w:bookmarkEnd w:id="7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6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15"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w:t>
      </w:r>
    </w:p>
    <w:p>
      <w:pPr>
        <w:spacing w:after="0" w:line="2" w:lineRule="exact"/>
        <w:rPr>
          <w:sz w:val="20"/>
          <w:szCs w:val="20"/>
          <w:color w:val="auto"/>
        </w:rPr>
      </w:pPr>
    </w:p>
    <w:p>
      <w:pPr>
        <w:jc w:val="both"/>
        <w:ind w:left="180"/>
        <w:spacing w:after="0" w:line="270" w:lineRule="auto"/>
        <w:rPr>
          <w:sz w:val="20"/>
          <w:szCs w:val="20"/>
          <w:color w:val="auto"/>
        </w:rPr>
      </w:pPr>
      <w:r>
        <w:rPr>
          <w:rFonts w:ascii="Times New Roman" w:cs="Times New Roman" w:eastAsia="Times New Roman" w:hAnsi="Times New Roman"/>
          <w:sz w:val="16"/>
          <w:szCs w:val="16"/>
          <w:color w:val="auto"/>
        </w:rPr>
        <w:t xml:space="preserve">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1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a certain threshold (currently,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- 14</w:t>
      </w:r>
    </w:p>
    <w:p>
      <w:pPr>
        <w:sectPr>
          <w:pgSz w:w="11900" w:h="16838" w:orient="portrait"/>
          <w:cols w:equalWidth="0" w:num="1">
            <w:col w:w="10760"/>
          </w:cols>
          <w:pgMar w:left="480" w:top="1028" w:right="659" w:bottom="1440" w:gutter="0" w:footer="0" w:header="0"/>
        </w:sectPr>
      </w:pPr>
    </w:p>
    <w:bookmarkStart w:id="73" w:name="page74"/>
    <w:bookmarkEnd w:id="7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will be filed with, approved or supervised by any Swiss regulatory authority (in particular, the Swiss Financial Supervisory Authority (FINMA)).</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7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40"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a certain threshold (currently, US$10,000,000) per year without justification.</w:t>
      </w:r>
    </w:p>
    <w:p>
      <w:pPr>
        <w:spacing w:after="0" w:line="19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Participant must submit a Foreign Exchange Transaction Form and also provide supporting documentation to the satisfaction of the remitting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64"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7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0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- 15</w:t>
      </w:r>
    </w:p>
    <w:p>
      <w:pPr>
        <w:sectPr>
          <w:pgSz w:w="11900" w:h="16838" w:orient="portrait"/>
          <w:cols w:equalWidth="0" w:num="1">
            <w:col w:w="10760"/>
          </w:cols>
          <w:pgMar w:left="480" w:top="1028" w:right="659" w:bottom="1440" w:gutter="0" w:footer="0" w:header="0"/>
          <w:type w:val="continuous"/>
        </w:sectPr>
      </w:pPr>
    </w:p>
    <w:bookmarkStart w:id="74" w:name="page75"/>
    <w:bookmarkEnd w:id="7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191"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8"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- 16</w:t>
      </w:r>
    </w:p>
    <w:p>
      <w:pPr>
        <w:sectPr>
          <w:pgSz w:w="11900" w:h="16838" w:orient="portrait"/>
          <w:cols w:equalWidth="0" w:num="1">
            <w:col w:w="10760"/>
          </w:cols>
          <w:pgMar w:left="480" w:top="1028" w:right="6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2020 Equity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24" w:lineRule="exact"/>
        <w:rPr>
          <w:sz w:val="20"/>
          <w:szCs w:val="20"/>
          <w:color w:val="auto"/>
        </w:rPr>
      </w:pPr>
    </w:p>
    <w:p>
      <w:pPr>
        <w:ind w:left="300" w:hanging="292"/>
        <w:spacing w:after="0"/>
        <w:tabs>
          <w:tab w:leader="none" w:pos="30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RSUs under the Plan on Grant Date. On this basis, the Date of Grant for your RSUs is Grant Date.</w:t>
      </w:r>
    </w:p>
    <w:p>
      <w:pPr>
        <w:spacing w:after="0" w:line="16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RSU Grant</w:t>
      </w:r>
    </w:p>
    <w:p>
      <w:pPr>
        <w:spacing w:after="0" w:line="21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RSUs</w:t>
      </w:r>
    </w:p>
    <w:p>
      <w:pPr>
        <w:spacing w:after="0" w:line="169"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RSUs vest, the Company will issue one share of the Company’s common stock to you in settlement of each vested RSU.</w:t>
      </w:r>
    </w:p>
    <w:p>
      <w:pPr>
        <w:spacing w:after="0" w:line="179" w:lineRule="exact"/>
        <w:rPr>
          <w:sz w:val="20"/>
          <w:szCs w:val="20"/>
          <w:color w:val="auto"/>
        </w:rPr>
      </w:pPr>
    </w:p>
    <w:p>
      <w:pPr>
        <w:ind w:left="300" w:hanging="292"/>
        <w:spacing w:after="0"/>
        <w:tabs>
          <w:tab w:leader="none" w:pos="30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69" w:lineRule="exact"/>
        <w:rPr>
          <w:sz w:val="20"/>
          <w:szCs w:val="20"/>
          <w:color w:val="auto"/>
        </w:rPr>
      </w:pPr>
    </w:p>
    <w:p>
      <w:pPr>
        <w:ind w:left="660" w:right="20"/>
        <w:spacing w:after="0" w:line="298" w:lineRule="auto"/>
        <w:rPr>
          <w:sz w:val="20"/>
          <w:szCs w:val="20"/>
          <w:color w:val="auto"/>
        </w:rPr>
      </w:pPr>
      <w:r>
        <w:rPr>
          <w:rFonts w:ascii="Times New Roman" w:cs="Times New Roman" w:eastAsia="Times New Roman" w:hAnsi="Times New Roman"/>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95" w:lineRule="exact"/>
        <w:rPr>
          <w:sz w:val="20"/>
          <w:szCs w:val="20"/>
          <w:color w:val="auto"/>
        </w:rPr>
      </w:pPr>
    </w:p>
    <w:p>
      <w:pPr>
        <w:ind w:left="300" w:hanging="292"/>
        <w:spacing w:after="0"/>
        <w:tabs>
          <w:tab w:leader="none" w:pos="30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8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42" w:lineRule="exact"/>
        <w:rPr>
          <w:sz w:val="20"/>
          <w:szCs w:val="20"/>
          <w:color w:val="auto"/>
        </w:rPr>
      </w:pPr>
    </w:p>
    <w:p>
      <w:pPr>
        <w:ind w:left="300" w:hanging="292"/>
        <w:spacing w:after="0"/>
        <w:tabs>
          <w:tab w:leader="none" w:pos="30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240"/>
          </w:cols>
          <w:pgMar w:left="320" w:top="1028" w:right="339" w:bottom="1440" w:gutter="0" w:footer="0" w:header="0"/>
        </w:sectPr>
      </w:pPr>
    </w:p>
    <w:bookmarkStart w:id="76" w:name="page77"/>
    <w:bookmarkEnd w:id="76"/>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221"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139"/>
          </w:cols>
          <w:pgMar w:left="320" w:top="1028" w:right="1440" w:bottom="1440" w:gutter="0" w:footer="0" w:header="0"/>
        </w:sectPr>
      </w:pPr>
    </w:p>
    <w:bookmarkStart w:id="77" w:name="page78"/>
    <w:bookmarkEnd w:id="7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5"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19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3" w:lineRule="exact"/>
        <w:rPr>
          <w:sz w:val="20"/>
          <w:szCs w:val="20"/>
          <w:color w:val="auto"/>
        </w:rPr>
      </w:pPr>
    </w:p>
    <w:p>
      <w:pPr>
        <w:ind w:left="460" w:hanging="288"/>
        <w:spacing w:after="0"/>
        <w:tabs>
          <w:tab w:leader="none" w:pos="4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192" w:lineRule="exact"/>
        <w:rPr>
          <w:sz w:val="20"/>
          <w:szCs w:val="20"/>
          <w:color w:val="auto"/>
        </w:rPr>
      </w:pPr>
    </w:p>
    <w:p>
      <w:pPr>
        <w:ind w:left="460" w:hanging="288"/>
        <w:spacing w:after="0"/>
        <w:tabs>
          <w:tab w:leader="none" w:pos="46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69" w:lineRule="exact"/>
        <w:rPr>
          <w:sz w:val="20"/>
          <w:szCs w:val="20"/>
          <w:color w:val="auto"/>
        </w:rPr>
      </w:pPr>
    </w:p>
    <w:p>
      <w:pPr>
        <w:ind w:left="180"/>
        <w:spacing w:after="0" w:line="351"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4" w:lineRule="exact"/>
        <w:rPr>
          <w:sz w:val="20"/>
          <w:szCs w:val="20"/>
          <w:color w:val="auto"/>
        </w:rPr>
      </w:pPr>
    </w:p>
    <w:p>
      <w:pPr>
        <w:ind w:left="460" w:hanging="288"/>
        <w:spacing w:after="0"/>
        <w:tabs>
          <w:tab w:leader="none" w:pos="46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56"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4"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28" w:right="659" w:bottom="1440" w:gutter="0" w:footer="0" w:header="0"/>
        </w:sectPr>
      </w:pPr>
    </w:p>
    <w:bookmarkStart w:id="78" w:name="page79"/>
    <w:bookmarkEnd w:id="78"/>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288"/>
        <w:spacing w:after="0"/>
        <w:tabs>
          <w:tab w:leader="none" w:pos="62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56"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900"/>
          </w:cols>
          <w:pgMar w:left="320" w:top="1028" w:right="679" w:bottom="1440" w:gutter="0" w:footer="0" w:header="0"/>
        </w:sectPr>
      </w:pPr>
    </w:p>
    <w:bookmarkStart w:id="79" w:name="page80"/>
    <w:bookmarkEnd w:id="79"/>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27" w:lineRule="exact"/>
        <w:rPr>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4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028" w:right="65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11" w:lineRule="exact"/>
        <w:rPr>
          <w:sz w:val="20"/>
          <w:szCs w:val="20"/>
          <w:color w:val="auto"/>
        </w:rPr>
      </w:pPr>
    </w:p>
    <w:p>
      <w:pPr>
        <w:ind w:left="660" w:right="320" w:hanging="652"/>
        <w:spacing w:after="0" w:line="273" w:lineRule="auto"/>
        <w:tabs>
          <w:tab w:leader="none" w:pos="34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4" w:lineRule="exact"/>
        <w:rPr>
          <w:rFonts w:ascii="Times New Roman" w:cs="Times New Roman" w:eastAsia="Times New Roman" w:hAnsi="Times New Roman"/>
          <w:sz w:val="16"/>
          <w:szCs w:val="16"/>
          <w:color w:val="auto"/>
        </w:rPr>
      </w:pPr>
    </w:p>
    <w:p>
      <w:pPr>
        <w:ind w:left="660" w:right="340" w:hanging="652"/>
        <w:spacing w:after="0" w:line="301" w:lineRule="auto"/>
        <w:tabs>
          <w:tab w:leader="none" w:pos="33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92"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46"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4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50" w:lineRule="exact"/>
        <w:rPr>
          <w:rFonts w:ascii="Times New Roman" w:cs="Times New Roman" w:eastAsia="Times New Roman" w:hAnsi="Times New Roman"/>
          <w:sz w:val="16"/>
          <w:szCs w:val="16"/>
          <w:color w:val="auto"/>
        </w:rPr>
      </w:pPr>
    </w:p>
    <w:p>
      <w:pPr>
        <w:ind w:left="1960" w:right="320" w:hanging="656"/>
        <w:spacing w:after="0" w:line="298" w:lineRule="auto"/>
        <w:tabs>
          <w:tab w:leader="none" w:pos="1951"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77" w:lineRule="exact"/>
        <w:rPr>
          <w:rFonts w:ascii="Times New Roman" w:cs="Times New Roman" w:eastAsia="Times New Roman" w:hAnsi="Times New Roman"/>
          <w:sz w:val="16"/>
          <w:szCs w:val="16"/>
          <w:color w:val="auto"/>
        </w:rPr>
      </w:pPr>
    </w:p>
    <w:p>
      <w:pPr>
        <w:ind w:left="1960" w:right="340" w:hanging="656"/>
        <w:spacing w:after="0" w:line="298" w:lineRule="auto"/>
        <w:tabs>
          <w:tab w:leader="none" w:pos="1955"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77" w:lineRule="exact"/>
        <w:rPr>
          <w:rFonts w:ascii="Times New Roman" w:cs="Times New Roman" w:eastAsia="Times New Roman" w:hAnsi="Times New Roman"/>
          <w:sz w:val="16"/>
          <w:szCs w:val="16"/>
          <w:color w:val="auto"/>
        </w:rPr>
      </w:pPr>
    </w:p>
    <w:p>
      <w:pPr>
        <w:ind w:left="1960" w:right="320" w:hanging="656"/>
        <w:spacing w:after="0" w:line="280" w:lineRule="auto"/>
        <w:tabs>
          <w:tab w:leader="none" w:pos="196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205"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48" w:lineRule="exact"/>
        <w:rPr>
          <w:rFonts w:ascii="Times New Roman" w:cs="Times New Roman" w:eastAsia="Times New Roman" w:hAnsi="Times New Roman"/>
          <w:sz w:val="16"/>
          <w:szCs w:val="16"/>
          <w:color w:val="auto"/>
        </w:rPr>
      </w:pPr>
    </w:p>
    <w:p>
      <w:pPr>
        <w:ind w:left="2600" w:right="320" w:hanging="648"/>
        <w:spacing w:after="0" w:line="298" w:lineRule="auto"/>
        <w:tabs>
          <w:tab w:leader="none" w:pos="2600" w:val="left"/>
        </w:tabs>
        <w:numPr>
          <w:ilvl w:val="2"/>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77" w:lineRule="exact"/>
        <w:rPr>
          <w:rFonts w:ascii="Times New Roman" w:cs="Times New Roman" w:eastAsia="Times New Roman" w:hAnsi="Times New Roman"/>
          <w:sz w:val="16"/>
          <w:szCs w:val="16"/>
          <w:color w:val="auto"/>
        </w:rPr>
      </w:pPr>
    </w:p>
    <w:p>
      <w:pPr>
        <w:ind w:left="2600" w:right="340" w:hanging="648"/>
        <w:spacing w:after="0" w:line="280" w:lineRule="auto"/>
        <w:tabs>
          <w:tab w:leader="none" w:pos="2600" w:val="left"/>
        </w:tabs>
        <w:numPr>
          <w:ilvl w:val="2"/>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37" w:lineRule="exact"/>
        <w:rPr>
          <w:sz w:val="20"/>
          <w:szCs w:val="20"/>
          <w:color w:val="auto"/>
        </w:rPr>
      </w:pPr>
    </w:p>
    <w:p>
      <w:pPr>
        <w:ind w:left="420" w:right="112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78" w:lineRule="exact"/>
        <w:rPr>
          <w:sz w:val="20"/>
          <w:szCs w:val="20"/>
          <w:color w:val="auto"/>
        </w:rPr>
      </w:pPr>
    </w:p>
    <w:p>
      <w:pPr>
        <w:ind w:left="4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4" w:lineRule="exact"/>
        <w:rPr>
          <w:sz w:val="20"/>
          <w:szCs w:val="20"/>
          <w:color w:val="auto"/>
        </w:rPr>
      </w:pPr>
    </w:p>
    <w:p>
      <w:pPr>
        <w:ind w:left="420" w:right="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1240"/>
          </w:cols>
          <w:pgMar w:left="320" w:top="102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28" w:right="339" w:bottom="1440" w:gutter="0" w:footer="0" w:header="0"/>
          <w:type w:val="continuous"/>
        </w:sectPr>
      </w:pPr>
    </w:p>
    <w:bookmarkStart w:id="81" w:name="page82"/>
    <w:bookmarkEnd w:id="81"/>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50" w:lineRule="exact"/>
        <w:rPr>
          <w:rFonts w:ascii="Times New Roman" w:cs="Times New Roman" w:eastAsia="Times New Roman" w:hAnsi="Times New Roman"/>
          <w:sz w:val="16"/>
          <w:szCs w:val="16"/>
          <w:b w:val="1"/>
          <w:bCs w:val="1"/>
          <w:color w:val="auto"/>
        </w:rPr>
      </w:pPr>
    </w:p>
    <w:p>
      <w:pPr>
        <w:jc w:val="both"/>
        <w:ind w:left="660" w:hanging="328"/>
        <w:spacing w:after="0" w:line="257" w:lineRule="auto"/>
        <w:tabs>
          <w:tab w:leader="none" w:pos="651" w:val="left"/>
        </w:tabs>
        <w:numPr>
          <w:ilvl w:val="1"/>
          <w:numId w:val="68"/>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w:t>
      </w:r>
    </w:p>
    <w:p>
      <w:pPr>
        <w:spacing w:after="0" w:line="2" w:lineRule="exact"/>
        <w:rPr>
          <w:rFonts w:ascii="Times New Roman" w:cs="Times New Roman" w:eastAsia="Times New Roman" w:hAnsi="Times New Roman"/>
          <w:sz w:val="16"/>
          <w:szCs w:val="16"/>
          <w:color w:val="FFFFFF"/>
        </w:rPr>
      </w:pPr>
    </w:p>
    <w:p>
      <w:pPr>
        <w:ind w:left="660"/>
        <w:spacing w:after="0"/>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SSCBA.</w:t>
      </w:r>
    </w:p>
    <w:p>
      <w:pPr>
        <w:spacing w:after="0" w:line="157"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30"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2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13" w:lineRule="exact"/>
        <w:rPr>
          <w:rFonts w:ascii="Times New Roman" w:cs="Times New Roman" w:eastAsia="Times New Roman" w:hAnsi="Times New Roman"/>
          <w:sz w:val="16"/>
          <w:szCs w:val="16"/>
          <w:color w:val="auto"/>
        </w:rPr>
      </w:pPr>
    </w:p>
    <w:p>
      <w:pPr>
        <w:ind w:left="1300" w:hanging="644"/>
        <w:spacing w:after="0" w:line="260" w:lineRule="auto"/>
        <w:tabs>
          <w:tab w:leader="none" w:pos="111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30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00" w:lineRule="exact"/>
        <w:rPr>
          <w:sz w:val="20"/>
          <w:szCs w:val="20"/>
          <w:color w:val="auto"/>
        </w:rPr>
      </w:pPr>
    </w:p>
    <w:p>
      <w:pPr>
        <w:ind w:left="420" w:right="2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78"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10"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50" w:lineRule="exact"/>
        <w:rPr>
          <w:sz w:val="20"/>
          <w:szCs w:val="20"/>
          <w:color w:val="auto"/>
        </w:rPr>
      </w:pPr>
    </w:p>
    <w:p>
      <w:pPr>
        <w:ind w:left="420" w:right="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4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67"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71"/>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80"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71"/>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67" w:lineRule="exact"/>
        <w:rPr>
          <w:rFonts w:ascii="Times New Roman" w:cs="Times New Roman" w:eastAsia="Times New Roman" w:hAnsi="Times New Roman"/>
          <w:sz w:val="16"/>
          <w:szCs w:val="16"/>
          <w:color w:val="FFFFFF"/>
        </w:rPr>
      </w:pPr>
    </w:p>
    <w:p>
      <w:pPr>
        <w:ind w:left="1300" w:right="1800" w:hanging="644"/>
        <w:spacing w:after="0" w:line="298" w:lineRule="auto"/>
        <w:tabs>
          <w:tab w:leader="none" w:pos="108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35"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920"/>
          </w:cols>
          <w:pgMar w:left="320" w:top="1028" w:right="659" w:bottom="1440"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0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81178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Ahern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1240"/>
          </w:cols>
          <w:pgMar w:left="320" w:top="1028" w:right="339" w:bottom="1440" w:gutter="0" w:footer="0" w:header="0"/>
        </w:sectPr>
      </w:pPr>
    </w:p>
    <w:bookmarkStart w:id="83" w:name="page84"/>
    <w:bookmarkEnd w:id="83"/>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895439</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028" w:right="1440" w:bottom="1440" w:gutter="0" w:footer="0" w:header="0"/>
        </w:sectPr>
      </w:pPr>
    </w:p>
    <w:bookmarkStart w:id="84" w:name="page85"/>
    <w:bookmarkEnd w:id="84"/>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Private &amp; Confidential (Addressee Only)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ID: Client Grant ID</w:t>
      </w:r>
    </w:p>
    <w:p>
      <w:pPr>
        <w:spacing w:after="0" w:line="2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41"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All terms not defined herein shall have the meanings assigned to such terms in the Analog Devices, Inc. 2020 Equity Incentive Plan (the “Plan”).</w:t>
      </w:r>
    </w:p>
    <w:p>
      <w:pPr>
        <w:spacing w:after="0" w:line="133"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40"/>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Restricted Stock Unit Agreement, including any applicable country-specific provisions set forth in Appendix A (the “Agreement”) confirms that, subject to the terms and conditions of the Plan, the Company has granted to the Participant, effective on the Date of Grant set forth below, that number of RSUs set forth below:</w:t>
      </w:r>
    </w:p>
    <w:p>
      <w:pPr>
        <w:sectPr>
          <w:pgSz w:w="11900" w:h="16838" w:orient="portrait"/>
          <w:cols w:equalWidth="0" w:num="1">
            <w:col w:w="11240"/>
          </w:cols>
          <w:pgMar w:left="320" w:top="1440" w:right="339" w:bottom="1440" w:gutter="0" w:footer="0" w:header="0"/>
        </w:sectPr>
      </w:pP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of Grant: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Number of RSUs Granted: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Awards Granted</w:t>
      </w:r>
    </w:p>
    <w:p>
      <w:pPr>
        <w:spacing w:after="0" w:line="215"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spacing w:after="0" w:line="39" w:lineRule="exact"/>
        <w:rPr>
          <w:sz w:val="20"/>
          <w:szCs w:val="20"/>
          <w:color w:val="auto"/>
        </w:rPr>
      </w:pPr>
    </w:p>
    <w:p>
      <w:pPr>
        <w:jc w:val="both"/>
        <w:ind w:left="2380" w:hanging="1943"/>
        <w:spacing w:after="0" w:line="261" w:lineRule="auto"/>
        <w:tabs>
          <w:tab w:leader="none" w:pos="2360" w:val="left"/>
        </w:tabs>
        <w:rPr>
          <w:sz w:val="20"/>
          <w:szCs w:val="20"/>
          <w:color w:val="auto"/>
        </w:rPr>
      </w:pPr>
      <w:r>
        <w:rPr>
          <w:rFonts w:ascii="Times New Roman" w:cs="Times New Roman" w:eastAsia="Times New Roman" w:hAnsi="Times New Roman"/>
          <w:sz w:val="20"/>
          <w:szCs w:val="20"/>
          <w:color w:val="auto"/>
        </w:rPr>
        <w:t>Vesting Schedule:</w:t>
        <w:tab/>
        <w:t>The RSUs shall vest on the earlier of March 11, 2027 or the date of the Company’s next annual meeting of shareholders, subject to the Participant’s continued service as a member of the Board (a “Director”), except as otherwise set forth in Section 2.</w:t>
      </w:r>
    </w:p>
    <w:p>
      <w:pPr>
        <w:spacing w:after="0" w:line="222"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20"/>
          <w:szCs w:val="20"/>
          <w:color w:val="auto"/>
        </w:rPr>
        <w:t>Each one (1) RSU shall, if and when it vests in accordance with this Award,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41"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Conversion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78" w:lineRule="auto"/>
        <w:tabs>
          <w:tab w:leader="none" w:pos="8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Plan and this Award, the RSUs shall vest and be settled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60"/>
        <w:spacing w:after="0" w:line="311" w:lineRule="auto"/>
        <w:rPr>
          <w:sz w:val="20"/>
          <w:szCs w:val="20"/>
          <w:color w:val="auto"/>
        </w:rPr>
      </w:pPr>
      <w:r>
        <w:rPr>
          <w:rFonts w:ascii="Times New Roman" w:cs="Times New Roman" w:eastAsia="Times New Roman" w:hAnsi="Times New Roman"/>
          <w:sz w:val="20"/>
          <w:szCs w:val="20"/>
          <w:color w:val="auto"/>
        </w:rPr>
        <w:t>relevant provisions of law and other legal requirements including, without limitation, any applicable securities laws and the requirements of any stock exchange upon which shares of Common Stock may then be listed.</w:t>
      </w:r>
    </w:p>
    <w:p>
      <w:pPr>
        <w:spacing w:after="0" w:line="119" w:lineRule="exact"/>
        <w:rPr>
          <w:sz w:val="20"/>
          <w:szCs w:val="20"/>
          <w:color w:val="auto"/>
        </w:rPr>
      </w:pPr>
    </w:p>
    <w:p>
      <w:pPr>
        <w:jc w:val="both"/>
        <w:ind w:left="660" w:hanging="328"/>
        <w:spacing w:after="0" w:line="289" w:lineRule="auto"/>
        <w:tabs>
          <w:tab w:leader="none" w:pos="84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41" w:lineRule="exact"/>
        <w:rPr>
          <w:rFonts w:ascii="Times New Roman" w:cs="Times New Roman" w:eastAsia="Times New Roman" w:hAnsi="Times New Roman"/>
          <w:sz w:val="20"/>
          <w:szCs w:val="20"/>
          <w:color w:val="auto"/>
        </w:rPr>
      </w:pPr>
    </w:p>
    <w:p>
      <w:pPr>
        <w:ind w:left="800" w:hanging="468"/>
        <w:spacing w:after="0"/>
        <w:tabs>
          <w:tab w:leader="none" w:pos="8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w:t>
      </w:r>
      <w:r>
        <w:rPr>
          <w:rFonts w:ascii="Times New Roman" w:cs="Times New Roman" w:eastAsia="Times New Roman" w:hAnsi="Times New Roman"/>
          <w:sz w:val="20"/>
          <w:szCs w:val="20"/>
          <w:u w:val="single" w:color="auto"/>
          <w:color w:val="auto"/>
        </w:rPr>
        <w:t>dies</w:t>
      </w:r>
      <w:r>
        <w:rPr>
          <w:rFonts w:ascii="Times New Roman" w:cs="Times New Roman" w:eastAsia="Times New Roman" w:hAnsi="Times New Roman"/>
          <w:sz w:val="20"/>
          <w:szCs w:val="20"/>
          <w:color w:val="auto"/>
        </w:rPr>
        <w:t xml:space="preserve"> while a Director, all Unvested RSUs shall vest in full as of the date of the Participant’s death.</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33"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ceases to be a Director upon incurring a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Unvested RSUs as of the date of the Participant ceases to be a Director shall vest in full as of such date. “Disability” with respect to the Participant shall have the meaning set forth in Section 409(a)(2)(C) of the Code.</w:t>
      </w:r>
    </w:p>
    <w:p>
      <w:pPr>
        <w:spacing w:after="0" w:line="141"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16"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Participant becomes an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41" w:lineRule="exact"/>
        <w:rPr>
          <w:rFonts w:ascii="Times New Roman" w:cs="Times New Roman" w:eastAsia="Times New Roman" w:hAnsi="Times New Roman"/>
          <w:sz w:val="20"/>
          <w:szCs w:val="20"/>
          <w:color w:val="auto"/>
        </w:rPr>
      </w:pPr>
    </w:p>
    <w:p>
      <w:pPr>
        <w:ind w:left="660" w:hanging="328"/>
        <w:spacing w:after="0" w:line="311" w:lineRule="auto"/>
        <w:tabs>
          <w:tab w:leader="none" w:pos="8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or herein, all Unvested RSUs shall vest in full as of a Change in Control Event (as defined in the Plan).</w:t>
      </w:r>
    </w:p>
    <w:p>
      <w:pPr>
        <w:spacing w:after="0" w:line="105" w:lineRule="exact"/>
        <w:rPr>
          <w:rFonts w:ascii="Times New Roman" w:cs="Times New Roman" w:eastAsia="Times New Roman" w:hAnsi="Times New Roman"/>
          <w:sz w:val="20"/>
          <w:szCs w:val="20"/>
          <w:color w:val="auto"/>
        </w:rPr>
      </w:pPr>
    </w:p>
    <w:p>
      <w:pPr>
        <w:ind w:left="660" w:hanging="328"/>
        <w:spacing w:after="0" w:line="340" w:lineRule="auto"/>
        <w:tabs>
          <w:tab w:leader="none" w:pos="83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96"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800" w:hanging="468"/>
        <w:spacing w:after="0"/>
        <w:tabs>
          <w:tab w:leader="none" w:pos="8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not sell, assign, transfer, pledge or otherwise encumber any RSUs, either voluntarily or by operation of law.</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41"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1" w:lineRule="exact"/>
        <w:rPr>
          <w:rFonts w:ascii="Times New Roman" w:cs="Times New Roman" w:eastAsia="Times New Roman" w:hAnsi="Times New Roman"/>
          <w:sz w:val="20"/>
          <w:szCs w:val="20"/>
          <w:color w:val="auto"/>
        </w:rPr>
      </w:pPr>
    </w:p>
    <w:p>
      <w:pPr>
        <w:jc w:val="both"/>
        <w:ind w:left="340" w:hanging="332"/>
        <w:spacing w:after="0" w:line="282" w:lineRule="auto"/>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a Shareholder</w:t>
      </w:r>
      <w:r>
        <w:rPr>
          <w:rFonts w:ascii="Times New Roman" w:cs="Times New Roman" w:eastAsia="Times New Roman" w:hAnsi="Times New Roman"/>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4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w:t>
      </w:r>
      <w:r>
        <w:rPr>
          <w:rFonts w:ascii="Times New Roman" w:cs="Times New Roman" w:eastAsia="Times New Roman" w:hAnsi="Times New Roman"/>
          <w:sz w:val="20"/>
          <w:szCs w:val="20"/>
          <w:color w:val="auto"/>
        </w:rPr>
        <w:t>. The RSUs and Shares, including the grant and issuance thereof, are subject to the provisions of the Plan.</w:t>
      </w:r>
    </w:p>
    <w:p>
      <w:pPr>
        <w:spacing w:after="0" w:line="215" w:lineRule="exact"/>
        <w:rPr>
          <w:rFonts w:ascii="Times New Roman" w:cs="Times New Roman" w:eastAsia="Times New Roman" w:hAnsi="Times New Roman"/>
          <w:sz w:val="20"/>
          <w:szCs w:val="20"/>
          <w:color w:val="auto"/>
        </w:rPr>
      </w:pPr>
    </w:p>
    <w:p>
      <w:pPr>
        <w:ind w:left="340" w:hanging="332"/>
        <w:spacing w:after="0" w:line="297" w:lineRule="auto"/>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Any Shares that are issued and any cash payment that is delivered, in either case upon settlement of the RSUs pursuant to this Award, will be in consideration of the Participant’s service as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20"/>
          <w:szCs w:val="20"/>
          <w:color w:val="auto"/>
        </w:rPr>
        <w:t>member of the Board and/or the Participant’s continued employment with the Company, which consideration is deemed sufficient.</w:t>
      </w:r>
    </w:p>
    <w:p>
      <w:pPr>
        <w:spacing w:after="0" w:line="216"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60" w:hanging="328"/>
        <w:spacing w:after="0" w:line="277" w:lineRule="auto"/>
        <w:tabs>
          <w:tab w:leader="none" w:pos="886"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may exceed the amount, if any, actually withheld by the Company. The Participant further acknowledges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 Further, if the Participant becomes subject to Tax-Related Items in more than one jurisdiction between the Date of Grant and the date of any relevant taxable or tax withholding event, as applicable, the Participant acknowledges that the Company may be required to withhold or account for Tax-Related Items in more than one jurisdiction.</w:t>
      </w:r>
    </w:p>
    <w:p>
      <w:pPr>
        <w:spacing w:after="0" w:line="158" w:lineRule="exact"/>
        <w:rPr>
          <w:rFonts w:ascii="Times New Roman" w:cs="Times New Roman" w:eastAsia="Times New Roman" w:hAnsi="Times New Roman"/>
          <w:sz w:val="20"/>
          <w:szCs w:val="20"/>
          <w:color w:val="auto"/>
        </w:rPr>
      </w:pPr>
    </w:p>
    <w:p>
      <w:pPr>
        <w:jc w:val="both"/>
        <w:ind w:left="660" w:hanging="328"/>
        <w:spacing w:after="0" w:line="282" w:lineRule="auto"/>
        <w:tabs>
          <w:tab w:leader="none" w:pos="98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Participant will pay or make adequate arrangements satisfactory to the Company to satisfy all Tax-Related Items. In this regard, the Participant authorizes the Company, or its agents, at their discretion, to satisfy withholding obligations, if any, with regard to all Tax-Related Items, if any, by one or a combination of methods set forth below:</w:t>
      </w:r>
    </w:p>
    <w:p>
      <w:pPr>
        <w:spacing w:after="0" w:line="147" w:lineRule="exact"/>
        <w:rPr>
          <w:rFonts w:ascii="Times New Roman" w:cs="Times New Roman" w:eastAsia="Times New Roman" w:hAnsi="Times New Roman"/>
          <w:sz w:val="20"/>
          <w:szCs w:val="20"/>
          <w:color w:val="auto"/>
        </w:rPr>
      </w:pPr>
    </w:p>
    <w:p>
      <w:pPr>
        <w:jc w:val="both"/>
        <w:ind w:left="1300" w:hanging="320"/>
        <w:spacing w:after="0" w:line="282" w:lineRule="auto"/>
        <w:tabs>
          <w:tab w:leader="none" w:pos="1296"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approved in advance by the Board or the Compensation &amp; Talent Committee of the Board (the “Committee”), the Company may withhold a number of whole Shares otherwise issuable upon vesting of the RSUs that have an aggregate Fair Market Value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w:t>
      </w:r>
    </w:p>
    <w:p>
      <w:pPr>
        <w:spacing w:after="0" w:line="147" w:lineRule="exact"/>
        <w:rPr>
          <w:rFonts w:ascii="Times New Roman" w:cs="Times New Roman" w:eastAsia="Times New Roman" w:hAnsi="Times New Roman"/>
          <w:sz w:val="20"/>
          <w:szCs w:val="20"/>
          <w:color w:val="auto"/>
        </w:rPr>
      </w:pPr>
    </w:p>
    <w:p>
      <w:pPr>
        <w:ind w:left="1300" w:hanging="320"/>
        <w:spacing w:after="0" w:line="297" w:lineRule="auto"/>
        <w:tabs>
          <w:tab w:leader="none" w:pos="1297"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its discretion, withhold any amount necessary to pay the Tax-Related Items from the Participant’s cash compensation or other amounts payable to the Participant.</w:t>
      </w:r>
    </w:p>
    <w:p>
      <w:pPr>
        <w:spacing w:after="0" w:line="132" w:lineRule="exact"/>
        <w:rPr>
          <w:rFonts w:ascii="Times New Roman" w:cs="Times New Roman" w:eastAsia="Times New Roman" w:hAnsi="Times New Roman"/>
          <w:sz w:val="20"/>
          <w:szCs w:val="20"/>
          <w:color w:val="auto"/>
        </w:rPr>
      </w:pPr>
    </w:p>
    <w:p>
      <w:pPr>
        <w:ind w:left="1300" w:hanging="320"/>
        <w:spacing w:after="0" w:line="311" w:lineRule="auto"/>
        <w:tabs>
          <w:tab w:leader="none" w:pos="1298"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05"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determined by the Company, to the extent permitted under the Plan and applicable laws.</w:t>
      </w:r>
    </w:p>
    <w:p>
      <w:pPr>
        <w:spacing w:after="0" w:line="216"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amounts or other applicable withholding rates, including maximum applicable rates in the Participant’s jurisdiction(s). If the Company withholds more than the amount necessary to satisfy the liability for Tax-Related Items, the Participant may receive a refund of the over-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300"/>
        <w:spacing w:after="0" w:line="282" w:lineRule="auto"/>
        <w:rPr>
          <w:sz w:val="20"/>
          <w:szCs w:val="20"/>
          <w:color w:val="auto"/>
        </w:rPr>
      </w:pPr>
      <w:r>
        <w:rPr>
          <w:rFonts w:ascii="Times New Roman" w:cs="Times New Roman" w:eastAsia="Times New Roman" w:hAnsi="Times New Roman"/>
          <w:sz w:val="20"/>
          <w:szCs w:val="20"/>
          <w:color w:val="auto"/>
        </w:rPr>
        <w:t>withheld amount in cash (with no entitlement to the equivalent in Shares) or, if not refunded, the Participant may be able to seek a refund from the applicable tax authorities. If the Company withholds less than the amount necessary to satisfy the liability for Tax-Related Items, the Participant may be required to pay additional Tax-Related Items directly to the applicable tax authorities or to the Company.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47" w:lineRule="exact"/>
        <w:rPr>
          <w:sz w:val="20"/>
          <w:szCs w:val="20"/>
          <w:color w:val="auto"/>
        </w:rPr>
      </w:pPr>
    </w:p>
    <w:p>
      <w:pPr>
        <w:jc w:val="both"/>
        <w:ind w:left="1300"/>
        <w:spacing w:after="0" w:line="279" w:lineRule="auto"/>
        <w:rPr>
          <w:sz w:val="20"/>
          <w:szCs w:val="20"/>
          <w:color w:val="auto"/>
        </w:rPr>
      </w:pPr>
      <w:r>
        <w:rPr>
          <w:rFonts w:ascii="Times New Roman" w:cs="Times New Roman" w:eastAsia="Times New Roman" w:hAnsi="Times New Roman"/>
          <w:sz w:val="20"/>
          <w:szCs w:val="20"/>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Committee)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54" w:lineRule="exact"/>
        <w:rPr>
          <w:sz w:val="20"/>
          <w:szCs w:val="20"/>
          <w:color w:val="auto"/>
        </w:rPr>
      </w:pPr>
    </w:p>
    <w:p>
      <w:pPr>
        <w:jc w:val="both"/>
        <w:ind w:left="340" w:hanging="332"/>
        <w:spacing w:after="0" w:line="296" w:lineRule="auto"/>
        <w:tabs>
          <w:tab w:leader="none" w:pos="34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 of Company to Deliver Cash</w:t>
      </w:r>
      <w:r>
        <w:rPr>
          <w:rFonts w:ascii="Times New Roman" w:cs="Times New Roman" w:eastAsia="Times New Roman" w:hAnsi="Times New Roman"/>
          <w:sz w:val="19"/>
          <w:szCs w:val="19"/>
          <w:color w:val="auto"/>
        </w:rPr>
        <w:t>. Notwithstanding any of the other provisions of this Award, where settlement in Shares is otherwise prohibited under local law or may present adverse tax consequences to the Participant, at the time the RSUs vest, the Company may elect, in the sole discretion of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38" w:lineRule="exact"/>
        <w:rPr>
          <w:rFonts w:ascii="Times New Roman" w:cs="Times New Roman" w:eastAsia="Times New Roman" w:hAnsi="Times New Roman"/>
          <w:sz w:val="19"/>
          <w:szCs w:val="19"/>
          <w:color w:val="auto"/>
        </w:rPr>
      </w:pPr>
    </w:p>
    <w:p>
      <w:pPr>
        <w:jc w:val="both"/>
        <w:ind w:left="340" w:hanging="332"/>
        <w:spacing w:after="0" w:line="282" w:lineRule="auto"/>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88" w:lineRule="auto"/>
        <w:tabs>
          <w:tab w:leader="none" w:pos="33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 Information and Consent (applicable only if the Participant resides outside the United States)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Company is located at One Analog Way, Wilmington, Massachusetts, 01887 U.S.A. and grants directors of the Company RSUs, at the Company’s sole discretion. If the Participant would like to participate in the Plan, please review the following information about the Company’s data processing practices and declare the Participant’s consent.</w:t>
      </w:r>
    </w:p>
    <w:p>
      <w:pPr>
        <w:spacing w:after="0" w:line="138" w:lineRule="exact"/>
        <w:rPr>
          <w:rFonts w:ascii="Times New Roman" w:cs="Times New Roman" w:eastAsia="Times New Roman" w:hAnsi="Times New Roman"/>
          <w:sz w:val="20"/>
          <w:szCs w:val="20"/>
          <w:color w:val="auto"/>
        </w:rPr>
      </w:pPr>
    </w:p>
    <w:p>
      <w:pPr>
        <w:jc w:val="both"/>
        <w:ind w:left="660" w:hanging="328"/>
        <w:spacing w:after="0" w:line="283" w:lineRule="auto"/>
        <w:tabs>
          <w:tab w:leader="none" w:pos="649" w:val="left"/>
        </w:tabs>
        <w:numPr>
          <w:ilvl w:val="1"/>
          <w:numId w:val="7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If the Company offers the Participant a grant of RSUs under the Plan, then the Company will collect the Participant’s personal data for purposes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8"/>
        <w:spacing w:after="0" w:line="315" w:lineRule="auto"/>
        <w:rPr>
          <w:sz w:val="20"/>
          <w:szCs w:val="20"/>
          <w:color w:val="auto"/>
        </w:rPr>
      </w:pPr>
      <w:r>
        <w:rPr>
          <w:rFonts w:ascii="Times New Roman" w:cs="Times New Roman" w:eastAsia="Times New Roman" w:hAnsi="Times New Roman"/>
          <w:sz w:val="20"/>
          <w:szCs w:val="20"/>
          <w:b w:val="1"/>
          <w:bCs w:val="1"/>
          <w:i w:val="1"/>
          <w:iCs w:val="1"/>
          <w:color w:val="auto"/>
        </w:rPr>
        <w:t>allocating stock and implementing, administering and managing the Plan. The Company’s legal basis for the processing of the Participant’s personal data would be his or her consent.</w:t>
      </w:r>
    </w:p>
    <w:p>
      <w:pPr>
        <w:spacing w:after="0" w:line="112" w:lineRule="exact"/>
        <w:rPr>
          <w:sz w:val="20"/>
          <w:szCs w:val="20"/>
          <w:color w:val="auto"/>
        </w:rPr>
      </w:pPr>
    </w:p>
    <w:p>
      <w:pPr>
        <w:jc w:val="both"/>
        <w:ind w:left="328" w:hanging="328"/>
        <w:spacing w:after="0" w:line="280" w:lineRule="auto"/>
        <w:tabs>
          <w:tab w:leader="none" w:pos="317" w:val="left"/>
        </w:tabs>
        <w:numPr>
          <w:ilvl w:val="0"/>
          <w:numId w:val="7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46"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77" w:lineRule="auto"/>
        <w:tabs>
          <w:tab w:leader="none" w:pos="320" w:val="left"/>
        </w:tabs>
        <w:numPr>
          <w:ilvl w:val="0"/>
          <w:numId w:val="7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53"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17" w:val="left"/>
        </w:tabs>
        <w:numPr>
          <w:ilvl w:val="0"/>
          <w:numId w:val="7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service as a director. If the Company keeps data longer, it would be to satisfy legal or regulatory obligations and the Company’s legal basis would be relevant laws or regulations.</w:t>
      </w:r>
    </w:p>
    <w:p>
      <w:pPr>
        <w:spacing w:after="0" w:line="142"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20" w:val="left"/>
        </w:tabs>
        <w:numPr>
          <w:ilvl w:val="0"/>
          <w:numId w:val="7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relationship with the Company; the Participant would merely forfeit the opportunities associated with the Plan.</w:t>
      </w:r>
    </w:p>
    <w:p>
      <w:pPr>
        <w:spacing w:after="0" w:line="142"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0" w:lineRule="auto"/>
        <w:tabs>
          <w:tab w:leader="none" w:pos="32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08"/>
          </w:cols>
          <w:pgMar w:left="652" w:top="1440" w:right="339" w:bottom="1440" w:gutter="0" w:footer="0" w:header="0"/>
        </w:sectPr>
      </w:pPr>
    </w:p>
    <w:bookmarkStart w:id="89" w:name="page90"/>
    <w:bookmarkEnd w:id="89"/>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Devices, Inc., One Analog Way, Wilmington, Massachusetts, 01887 U.S.A., Attention: Stock Plan Administrator.</w:t>
      </w:r>
    </w:p>
    <w:p>
      <w:pPr>
        <w:spacing w:after="0" w:line="220" w:lineRule="exact"/>
        <w:rPr>
          <w:sz w:val="20"/>
          <w:szCs w:val="20"/>
          <w:color w:val="auto"/>
        </w:rPr>
      </w:pPr>
    </w:p>
    <w:p>
      <w:pPr>
        <w:jc w:val="both"/>
        <w:ind w:left="340" w:hanging="332"/>
        <w:spacing w:after="0" w:line="279" w:lineRule="auto"/>
        <w:tabs>
          <w:tab w:leader="none" w:pos="32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Repatriation: Compliance with Laws</w:t>
      </w:r>
      <w:r>
        <w:rPr>
          <w:rFonts w:ascii="Times New Roman" w:cs="Times New Roman" w:eastAsia="Times New Roman" w:hAnsi="Times New Roman"/>
          <w:sz w:val="20"/>
          <w:szCs w:val="20"/>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5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79" w:lineRule="auto"/>
        <w:tabs>
          <w:tab w:leader="none" w:pos="65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Board Service</w:t>
      </w:r>
      <w:r>
        <w:rPr>
          <w:rFonts w:ascii="Times New Roman" w:cs="Times New Roman" w:eastAsia="Times New Roman" w:hAnsi="Times New Roman"/>
          <w:sz w:val="20"/>
          <w:szCs w:val="20"/>
          <w:color w:val="auto"/>
        </w:rPr>
        <w:t>. The grant of the RSUs shall not confer upon the Participant any right to continue to serve on the Board or, if applicable, as an employee of the Company or its subsidiaries, nor limit in any way the terms of the Participant’s service on the Board, including for removal therefrom. Except in the event of a termination of employment due to death or Disability, the vesting of the RSUs pursuant to Section 2 hereof is earned only by satisfaction of the performance conditions, if any, and continuing service on the Board or as otherwise set forth in Section 2 (not through the act of being elected, hired or engaged or being granted the RSUs hereunder).</w:t>
      </w:r>
    </w:p>
    <w:p>
      <w:pPr>
        <w:spacing w:after="0" w:line="150" w:lineRule="exact"/>
        <w:rPr>
          <w:rFonts w:ascii="Times New Roman" w:cs="Times New Roman" w:eastAsia="Times New Roman" w:hAnsi="Times New Roman"/>
          <w:sz w:val="20"/>
          <w:szCs w:val="20"/>
          <w:color w:val="auto"/>
        </w:rPr>
      </w:pPr>
    </w:p>
    <w:p>
      <w:pPr>
        <w:jc w:val="both"/>
        <w:ind w:left="660" w:hanging="328"/>
        <w:spacing w:after="0" w:line="279" w:lineRule="auto"/>
        <w:tabs>
          <w:tab w:leader="none" w:pos="64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Nature</w:t>
      </w:r>
      <w:r>
        <w:rPr>
          <w:rFonts w:ascii="Times New Roman" w:cs="Times New Roman" w:eastAsia="Times New Roman" w:hAnsi="Times New Roman"/>
          <w:sz w:val="20"/>
          <w:szCs w:val="20"/>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153" w:lineRule="exact"/>
        <w:rPr>
          <w:rFonts w:ascii="Times New Roman" w:cs="Times New Roman" w:eastAsia="Times New Roman" w:hAnsi="Times New Roman"/>
          <w:sz w:val="20"/>
          <w:szCs w:val="20"/>
          <w:color w:val="auto"/>
        </w:rPr>
      </w:pPr>
    </w:p>
    <w:p>
      <w:pPr>
        <w:jc w:val="both"/>
        <w:ind w:left="660" w:hanging="328"/>
        <w:spacing w:after="0" w:line="282" w:lineRule="auto"/>
        <w:tabs>
          <w:tab w:leader="none" w:pos="65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Exclusion from Termination Indemnities and Other Benefits</w:t>
      </w:r>
      <w:r>
        <w:rPr>
          <w:rFonts w:ascii="Times New Roman" w:cs="Times New Roman" w:eastAsia="Times New Roman" w:hAnsi="Times New Roman"/>
          <w:sz w:val="20"/>
          <w:szCs w:val="20"/>
          <w:color w:val="auto"/>
        </w:rPr>
        <w:t>. The Participant’s participation in the Plan is voluntary. The value of the RSUs and any other awards granted under the Plan is an extraordinary item of compensation outside the scope of the Participant’s service on the Board.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 The grant of RSUs should in no event be considered as compensation for, or in any way related to, past services for the Company.</w:t>
      </w:r>
    </w:p>
    <w:p>
      <w:pPr>
        <w:spacing w:after="0" w:line="133" w:lineRule="exact"/>
        <w:rPr>
          <w:rFonts w:ascii="Times New Roman" w:cs="Times New Roman" w:eastAsia="Times New Roman" w:hAnsi="Times New Roman"/>
          <w:sz w:val="20"/>
          <w:szCs w:val="20"/>
          <w:color w:val="auto"/>
        </w:rPr>
      </w:pPr>
    </w:p>
    <w:p>
      <w:pPr>
        <w:jc w:val="both"/>
        <w:ind w:left="660" w:hanging="328"/>
        <w:spacing w:after="0" w:line="286" w:lineRule="auto"/>
        <w:tabs>
          <w:tab w:leader="none" w:pos="64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Rates</w:t>
      </w:r>
      <w:r>
        <w:rPr>
          <w:rFonts w:ascii="Times New Roman" w:cs="Times New Roman" w:eastAsia="Times New Roman" w:hAnsi="Times New Roman"/>
          <w:sz w:val="20"/>
          <w:szCs w:val="20"/>
          <w:color w:val="auto"/>
        </w:rPr>
        <w:t>. This Section 12(d) applies if the Participant resides outside the U.S.: The Participant acknowledges and agrees that the Company shall not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hanging="328"/>
        <w:spacing w:after="0" w:line="289" w:lineRule="auto"/>
        <w:tabs>
          <w:tab w:leader="none" w:pos="3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289" w:lineRule="auto"/>
        <w:tabs>
          <w:tab w:leader="none" w:pos="32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300" w:lineRule="auto"/>
        <w:tabs>
          <w:tab w:leader="none" w:pos="31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33" w:lineRule="exact"/>
        <w:rPr>
          <w:rFonts w:ascii="Times New Roman" w:cs="Times New Roman" w:eastAsia="Times New Roman" w:hAnsi="Times New Roman"/>
          <w:sz w:val="19"/>
          <w:szCs w:val="19"/>
          <w:color w:val="auto"/>
        </w:rPr>
      </w:pPr>
    </w:p>
    <w:p>
      <w:pPr>
        <w:ind w:left="328" w:hanging="328"/>
        <w:spacing w:after="0" w:line="297" w:lineRule="auto"/>
        <w:tabs>
          <w:tab w:leader="none" w:pos="31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32" w:lineRule="exact"/>
        <w:rPr>
          <w:rFonts w:ascii="Times New Roman" w:cs="Times New Roman" w:eastAsia="Times New Roman" w:hAnsi="Times New Roman"/>
          <w:sz w:val="20"/>
          <w:szCs w:val="20"/>
          <w:color w:val="auto"/>
        </w:rPr>
      </w:pPr>
    </w:p>
    <w:p>
      <w:pPr>
        <w:ind w:left="328" w:hanging="328"/>
        <w:spacing w:after="0" w:line="311" w:lineRule="auto"/>
        <w:tabs>
          <w:tab w:leader="none" w:pos="32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Award and the Plan constitute the entire understanding between the parties, and supersede all prior agreements and understandings, relating to the subject matter of these documents.</w:t>
      </w:r>
    </w:p>
    <w:p>
      <w:pPr>
        <w:spacing w:after="0" w:line="119" w:lineRule="exact"/>
        <w:rPr>
          <w:rFonts w:ascii="Times New Roman" w:cs="Times New Roman" w:eastAsia="Times New Roman" w:hAnsi="Times New Roman"/>
          <w:sz w:val="20"/>
          <w:szCs w:val="20"/>
          <w:color w:val="auto"/>
        </w:rPr>
      </w:pPr>
    </w:p>
    <w:p>
      <w:pPr>
        <w:ind w:left="328" w:hanging="328"/>
        <w:spacing w:after="0" w:line="297" w:lineRule="auto"/>
        <w:tabs>
          <w:tab w:leader="none" w:pos="32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shall be construed, interpreted and enforced in accordance with the internal laws of the Commonwealth of Massachusetts without regard to any applicable conflicts of laws.</w:t>
      </w:r>
    </w:p>
    <w:p>
      <w:pPr>
        <w:spacing w:after="0" w:line="132" w:lineRule="exact"/>
        <w:rPr>
          <w:rFonts w:ascii="Times New Roman" w:cs="Times New Roman" w:eastAsia="Times New Roman" w:hAnsi="Times New Roman"/>
          <w:sz w:val="20"/>
          <w:szCs w:val="20"/>
          <w:color w:val="auto"/>
        </w:rPr>
      </w:pPr>
    </w:p>
    <w:p>
      <w:pPr>
        <w:jc w:val="both"/>
        <w:ind w:left="328" w:hanging="328"/>
        <w:spacing w:after="0" w:line="276" w:lineRule="auto"/>
        <w:tabs>
          <w:tab w:leader="none" w:pos="31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Notwithstanding any other provision of the Plan or this Award,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U.S. Dodd-Frank Wall Street Reform and Consumer Protection Act, and any SEC regulations, as now or hereafter in effect. Further, the Participant agrees that the Company shall have unilateral authority to amend the Plan and the Award without the Participant’s consent to the extent necessary to comply with securities or other laws applicable to issuance of Shares.</w:t>
      </w:r>
    </w:p>
    <w:p>
      <w:pPr>
        <w:spacing w:after="0" w:line="158" w:lineRule="exact"/>
        <w:rPr>
          <w:rFonts w:ascii="Times New Roman" w:cs="Times New Roman" w:eastAsia="Times New Roman" w:hAnsi="Times New Roman"/>
          <w:sz w:val="20"/>
          <w:szCs w:val="20"/>
          <w:color w:val="auto"/>
        </w:rPr>
      </w:pPr>
    </w:p>
    <w:p>
      <w:pPr>
        <w:ind w:left="328" w:hanging="328"/>
        <w:spacing w:after="0" w:line="311" w:lineRule="auto"/>
        <w:tabs>
          <w:tab w:leader="none" w:pos="32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Clawback/Recoupment</w:t>
      </w:r>
      <w:r>
        <w:rPr>
          <w:rFonts w:ascii="Times New Roman" w:cs="Times New Roman" w:eastAsia="Times New Roman" w:hAnsi="Times New Roman"/>
          <w:sz w:val="20"/>
          <w:szCs w:val="20"/>
          <w:color w:val="auto"/>
        </w:rPr>
        <w:t>. The RSUs and any cash payment or Shares delivered pursuant to the RSUs are subject to forfeiture, recovery by the Company or other action pursuant to any clawback or recoupment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08"/>
          </w:cols>
          <w:pgMar w:left="652" w:top="1440" w:right="339" w:bottom="1440" w:gutter="0" w:footer="0" w:header="0"/>
        </w:sectPr>
      </w:pPr>
    </w:p>
    <w:bookmarkStart w:id="91" w:name="page92"/>
    <w:bookmarkEnd w:id="91"/>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8"/>
        <w:spacing w:after="0" w:line="311" w:lineRule="auto"/>
        <w:rPr>
          <w:sz w:val="20"/>
          <w:szCs w:val="20"/>
          <w:color w:val="auto"/>
        </w:rPr>
      </w:pPr>
      <w:r>
        <w:rPr>
          <w:rFonts w:ascii="Times New Roman" w:cs="Times New Roman" w:eastAsia="Times New Roman" w:hAnsi="Times New Roman"/>
          <w:sz w:val="20"/>
          <w:szCs w:val="20"/>
          <w:color w:val="auto"/>
        </w:rPr>
        <w:t>policy which the Company may adopt from time to time, including without limitation any such policy which the Company may be required to adopt under applicable law.</w:t>
      </w:r>
    </w:p>
    <w:p>
      <w:pPr>
        <w:spacing w:after="0" w:line="119" w:lineRule="exact"/>
        <w:rPr>
          <w:sz w:val="20"/>
          <w:szCs w:val="20"/>
          <w:color w:val="auto"/>
        </w:rPr>
      </w:pPr>
    </w:p>
    <w:p>
      <w:pPr>
        <w:ind w:left="328" w:hanging="328"/>
        <w:spacing w:after="0" w:line="297" w:lineRule="auto"/>
        <w:tabs>
          <w:tab w:leader="none" w:pos="31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interpretation and construction of any terms or conditions of this Award or the Plan, or other matters related to the Plan, by the Committee shall be final and conclusive.</w:t>
      </w:r>
    </w:p>
    <w:p>
      <w:pPr>
        <w:spacing w:after="0" w:line="132"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Acceptance</w:t>
      </w:r>
      <w:r>
        <w:rPr>
          <w:rFonts w:ascii="Times New Roman" w:cs="Times New Roman" w:eastAsia="Times New Roman" w:hAnsi="Times New Roman"/>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32"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79"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English Language</w:t>
      </w:r>
      <w:r>
        <w:rPr>
          <w:rFonts w:ascii="Times New Roman" w:cs="Times New Roman" w:eastAsia="Times New Roman" w:hAnsi="Times New Roman"/>
          <w:sz w:val="20"/>
          <w:szCs w:val="20"/>
          <w:color w:val="auto"/>
        </w:rPr>
        <w:t>. The Participant acknowledges and agrees that it is the Participant’s express intent that this Award, the Plan and all other documents, notices and legal proceedings entered into, given or instituted pursuant to the RSUs, be drawn up in English. The Participant also acknowledges that he or she is sufficiently proficient in English, or has consulted with an advisor who is sufficiently proficient in English, to understand the terms and conditions of the Restricted Stock Unit Agreement. If the Participant has received this Award, the Plan or any other documents related to the RSUs translated into a language other than English, and if the meaning of the translated version is different than the English version, the English version shall control, unless otherwise required by applicable laws.</w:t>
      </w:r>
    </w:p>
    <w:p>
      <w:pPr>
        <w:spacing w:after="0" w:line="153" w:lineRule="exact"/>
        <w:rPr>
          <w:rFonts w:ascii="Times New Roman" w:cs="Times New Roman" w:eastAsia="Times New Roman" w:hAnsi="Times New Roman"/>
          <w:sz w:val="20"/>
          <w:szCs w:val="20"/>
          <w:color w:val="auto"/>
        </w:rPr>
      </w:pPr>
    </w:p>
    <w:p>
      <w:pPr>
        <w:jc w:val="both"/>
        <w:ind w:left="328" w:hanging="328"/>
        <w:spacing w:after="0" w:line="279"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Notwithstanding any provisions herein to the contrary, if the Participant is located in a country other than the United States, the RSUs shall be subject to any additional terms and conditions for such country as may be set forth in Appendix A. Moreover, if the Participant relocates to, or becomes a resident of,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50"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2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Requirements</w:t>
      </w:r>
      <w:r>
        <w:rPr>
          <w:rFonts w:ascii="Times New Roman" w:cs="Times New Roman" w:eastAsia="Times New Roman" w:hAnsi="Times New Roman"/>
          <w:sz w:val="20"/>
          <w:szCs w:val="20"/>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2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Placement</w:t>
      </w:r>
      <w:r>
        <w:rPr>
          <w:rFonts w:ascii="Times New Roman" w:cs="Times New Roman" w:eastAsia="Times New Roman" w:hAnsi="Times New Roman"/>
          <w:sz w:val="20"/>
          <w:szCs w:val="20"/>
          <w:color w:val="auto"/>
        </w:rPr>
        <w:t>. The Company has submitted regulatory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45" w:lineRule="exact"/>
        <w:rPr>
          <w:rFonts w:ascii="Times New Roman" w:cs="Times New Roman" w:eastAsia="Times New Roman" w:hAnsi="Times New Roman"/>
          <w:sz w:val="20"/>
          <w:szCs w:val="20"/>
          <w:color w:val="auto"/>
        </w:rPr>
      </w:pPr>
    </w:p>
    <w:p>
      <w:pPr>
        <w:ind w:left="328" w:hanging="328"/>
        <w:spacing w:after="0" w:line="297" w:lineRule="auto"/>
        <w:tabs>
          <w:tab w:leader="none" w:pos="32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In the event of any stock split, reverse stock split, stock dividend, recapitalization, combination of shares, reclassification of shares, spin-off or other similar change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08"/>
          </w:cols>
          <w:pgMar w:left="652" w:top="1440" w:right="339" w:bottom="1440" w:gutter="0" w:footer="0" w:header="0"/>
        </w:sectPr>
      </w:pPr>
    </w:p>
    <w:bookmarkStart w:id="92" w:name="page93"/>
    <w:bookmarkEnd w:id="9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8"/>
        <w:spacing w:after="0" w:line="311" w:lineRule="auto"/>
        <w:rPr>
          <w:sz w:val="20"/>
          <w:szCs w:val="20"/>
          <w:color w:val="auto"/>
        </w:rPr>
      </w:pPr>
      <w:r>
        <w:rPr>
          <w:rFonts w:ascii="Times New Roman" w:cs="Times New Roman" w:eastAsia="Times New Roman" w:hAnsi="Times New Roman"/>
          <w:sz w:val="20"/>
          <w:szCs w:val="20"/>
          <w:color w:val="auto"/>
        </w:rPr>
        <w:t>capitalization or event, or any non-cash distribution to holders of Common Stock, the number of RSUs, and Shares issuable upon vesting and conversion thereof, shall be appropriately adjusted in such manner as shall be determined by the Committee.</w:t>
      </w:r>
    </w:p>
    <w:p>
      <w:pPr>
        <w:spacing w:after="0" w:line="119" w:lineRule="exact"/>
        <w:rPr>
          <w:sz w:val="20"/>
          <w:szCs w:val="20"/>
          <w:color w:val="auto"/>
        </w:rPr>
      </w:pPr>
    </w:p>
    <w:p>
      <w:pPr>
        <w:ind w:left="328" w:hanging="328"/>
        <w:spacing w:after="0" w:line="297" w:lineRule="auto"/>
        <w:tabs>
          <w:tab w:leader="none" w:pos="31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may be amended or modified only by a written instrument executed by both the Company and the Participant.</w:t>
      </w:r>
    </w:p>
    <w:p>
      <w:pPr>
        <w:spacing w:after="0" w:line="132" w:lineRule="exact"/>
        <w:rPr>
          <w:rFonts w:ascii="Times New Roman" w:cs="Times New Roman" w:eastAsia="Times New Roman" w:hAnsi="Times New Roman"/>
          <w:sz w:val="20"/>
          <w:szCs w:val="20"/>
          <w:color w:val="auto"/>
        </w:rPr>
      </w:pPr>
    </w:p>
    <w:p>
      <w:pPr>
        <w:jc w:val="both"/>
        <w:ind w:left="328" w:right="20" w:hanging="328"/>
        <w:spacing w:after="0" w:line="289" w:lineRule="auto"/>
        <w:tabs>
          <w:tab w:leader="none" w:pos="31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1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94" w:lineRule="auto"/>
        <w:tabs>
          <w:tab w:leader="none" w:pos="31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or rights linked to the value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45" w:lineRule="exact"/>
        <w:rPr>
          <w:rFonts w:ascii="Times New Roman" w:cs="Times New Roman" w:eastAsia="Times New Roman" w:hAnsi="Times New Roman"/>
          <w:sz w:val="19"/>
          <w:szCs w:val="19"/>
          <w:color w:val="auto"/>
        </w:rPr>
      </w:pPr>
    </w:p>
    <w:p>
      <w:pPr>
        <w:jc w:val="both"/>
        <w:ind w:left="328" w:hanging="328"/>
        <w:spacing w:after="0" w:line="278" w:lineRule="auto"/>
        <w:tabs>
          <w:tab w:leader="none" w:pos="31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40"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1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908"/>
          </w:cols>
          <w:pgMar w:left="652" w:top="1440" w:right="339" w:bottom="1440" w:gutter="0" w:footer="0" w:header="0"/>
        </w:sectPr>
      </w:pPr>
    </w:p>
    <w:bookmarkStart w:id="93" w:name="page94"/>
    <w:bookmarkEnd w:id="9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580"/>
        <w:spacing w:after="0" w:line="311" w:lineRule="auto"/>
        <w:rPr>
          <w:sz w:val="20"/>
          <w:szCs w:val="20"/>
          <w:color w:val="auto"/>
        </w:rPr>
      </w:pPr>
      <w:r>
        <w:rPr>
          <w:rFonts w:ascii="Times New Roman" w:cs="Times New Roman" w:eastAsia="Times New Roman" w:hAnsi="Times New Roman"/>
          <w:sz w:val="20"/>
          <w:szCs w:val="20"/>
          <w:color w:val="auto"/>
        </w:rPr>
        <w:t>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106"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20"/>
          <w:szCs w:val="20"/>
          <w:color w:val="auto"/>
        </w:rPr>
        <w:t xml:space="preserve">A copy of the Plan prospectus is available on the Company’s Intranet at </w:t>
      </w:r>
      <w:r>
        <w:rPr>
          <w:rFonts w:ascii="Times New Roman" w:cs="Times New Roman" w:eastAsia="Times New Roman" w:hAnsi="Times New Roman"/>
          <w:sz w:val="20"/>
          <w:szCs w:val="20"/>
          <w:u w:val="single" w:color="auto"/>
          <w:color w:val="auto"/>
        </w:rPr>
        <w:t>https://thecircuit.web.analog.com/Pages/CircuitHome.aspx</w:t>
      </w:r>
      <w:r>
        <w:rPr>
          <w:rFonts w:ascii="Times New Roman" w:cs="Times New Roman" w:eastAsia="Times New Roman" w:hAnsi="Times New Roman"/>
          <w:sz w:val="20"/>
          <w:szCs w:val="20"/>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20"/>
          <w:szCs w:val="20"/>
          <w:u w:val="single" w:color="auto"/>
          <w:color w:val="auto"/>
        </w:rPr>
        <w:t>Stock_Plan_Admin@Analog.com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22860</wp:posOffset>
            </wp:positionV>
            <wp:extent cx="253746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Vincent Roche</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60"/>
          </w:cols>
          <w:pgMar w:left="400" w:top="1440" w:right="339" w:bottom="1440" w:gutter="0" w:footer="0" w:header="0"/>
        </w:sectPr>
      </w:pPr>
    </w:p>
    <w:bookmarkStart w:id="94" w:name="page95"/>
    <w:bookmarkEnd w:id="94"/>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Restricted Stock Unit Agreement. Capitalized terms used but not defined in this Appendix A shall have the meanings set forth in the Plan and/or the Restricted Stock Unit Agreement.</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2025.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RSUs are granted to the Participant pursuant to the “Qualifying Person” exemption under section 273(1)(f) of the Singapore Securities and Futures Act (Chapter 289, 2006 Ed.) (“SFA”). The Restricted Stock Unit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Director Notification</w:t>
      </w:r>
      <w:r>
        <w:rPr>
          <w:rFonts w:ascii="Times New Roman" w:cs="Times New Roman" w:eastAsia="Times New Roman" w:hAnsi="Times New Roman"/>
          <w:sz w:val="20"/>
          <w:szCs w:val="20"/>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00"/>
          </w:cols>
          <w:pgMar w:left="320" w:top="1440" w:right="379" w:bottom="1440" w:gutter="0" w:footer="0" w:header="0"/>
        </w:sectPr>
      </w:pPr>
    </w:p>
    <w:bookmarkStart w:id="95" w:name="page96"/>
    <w:bookmarkEnd w:id="95"/>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20"/>
          <w:szCs w:val="20"/>
          <w:color w:val="auto"/>
        </w:rPr>
        <w:t>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1440" w:right="379" w:bottom="1440" w:gutter="0" w:footer="0" w:header="0"/>
        </w:sectPr>
      </w:pPr>
    </w:p>
    <w:bookmarkStart w:id="96" w:name="page97"/>
    <w:bookmarkEnd w:id="96"/>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Employee ID</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44" w:lineRule="exact"/>
        <w:rPr>
          <w:sz w:val="20"/>
          <w:szCs w:val="20"/>
          <w:color w:val="auto"/>
        </w:rPr>
      </w:pPr>
    </w:p>
    <w:p>
      <w:pPr>
        <w:jc w:val="both"/>
        <w:ind w:left="8" w:right="320"/>
        <w:spacing w:after="0" w:line="258"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325" w:lineRule="exact"/>
        <w:rPr>
          <w:sz w:val="20"/>
          <w:szCs w:val="20"/>
          <w:color w:val="auto"/>
        </w:rPr>
      </w:pPr>
    </w:p>
    <w:p>
      <w:pPr>
        <w:ind w:left="328" w:hanging="328"/>
        <w:spacing w:after="0"/>
        <w:tabs>
          <w:tab w:leader="none" w:pos="32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328" w:right="32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22"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spacing w:after="0" w:line="25"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spacing w:after="0" w:line="5"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216" w:lineRule="exact"/>
        <w:rPr>
          <w:rFonts w:ascii="Times New Roman" w:cs="Times New Roman" w:eastAsia="Times New Roman" w:hAnsi="Times New Roman"/>
          <w:sz w:val="16"/>
          <w:szCs w:val="16"/>
          <w:color w:val="auto"/>
        </w:rPr>
      </w:pPr>
    </w:p>
    <w:p>
      <w:pPr>
        <w:jc w:val="both"/>
        <w:ind w:left="328" w:right="3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 In addition, if the Participant resides in Israel, written consent may be required by Grant Custom 3, the Participant should refer to Appendix B for details.</w:t>
      </w:r>
    </w:p>
    <w:p>
      <w:pPr>
        <w:spacing w:after="0" w:line="195"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79" w:lineRule="exact"/>
        <w:rPr>
          <w:rFonts w:ascii="Times New Roman" w:cs="Times New Roman" w:eastAsia="Times New Roman" w:hAnsi="Times New Roman"/>
          <w:sz w:val="16"/>
          <w:szCs w:val="16"/>
          <w:color w:val="auto"/>
        </w:rPr>
      </w:pPr>
    </w:p>
    <w:p>
      <w:pPr>
        <w:jc w:val="both"/>
        <w:ind w:left="328" w:right="32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06"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right="320" w:hanging="324"/>
        <w:spacing w:after="0" w:line="257" w:lineRule="auto"/>
        <w:tabs>
          <w:tab w:leader="none" w:pos="63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vesting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27" w:lineRule="exact"/>
        <w:rPr>
          <w:rFonts w:ascii="Times New Roman" w:cs="Times New Roman" w:eastAsia="Times New Roman" w:hAnsi="Times New Roman"/>
          <w:sz w:val="16"/>
          <w:szCs w:val="16"/>
          <w:color w:val="auto"/>
        </w:rPr>
      </w:pPr>
    </w:p>
    <w:p>
      <w:pPr>
        <w:ind w:left="648" w:right="340" w:hanging="324"/>
        <w:spacing w:after="0" w:line="298" w:lineRule="auto"/>
        <w:tabs>
          <w:tab w:leader="none" w:pos="648"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97" w:name="page98"/>
    <w:bookmarkEnd w:id="97"/>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48" w:right="20"/>
        <w:spacing w:after="0" w:line="298" w:lineRule="auto"/>
        <w:rPr>
          <w:sz w:val="20"/>
          <w:szCs w:val="20"/>
          <w:color w:val="auto"/>
        </w:rPr>
      </w:pPr>
      <w:r>
        <w:rPr>
          <w:rFonts w:ascii="Times New Roman" w:cs="Times New Roman" w:eastAsia="Times New Roman" w:hAnsi="Times New Roman"/>
          <w:sz w:val="16"/>
          <w:szCs w:val="16"/>
          <w:color w:val="auto"/>
        </w:rPr>
        <w:t>such case, all of the Unvested Performance RSUs as of the date of termination shall terminate and be cancelled immediately and automatically and the Participant shall have no further rights with respect to such Unvested Performance RSUs.</w:t>
      </w:r>
    </w:p>
    <w:p>
      <w:pPr>
        <w:spacing w:after="0" w:line="97" w:lineRule="exact"/>
        <w:rPr>
          <w:sz w:val="20"/>
          <w:szCs w:val="20"/>
          <w:color w:val="auto"/>
        </w:rPr>
      </w:pPr>
    </w:p>
    <w:p>
      <w:pPr>
        <w:jc w:val="both"/>
        <w:ind w:left="648" w:hanging="324"/>
        <w:spacing w:after="0" w:line="263" w:lineRule="auto"/>
        <w:tabs>
          <w:tab w:leader="none" w:pos="639"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based on an attainment level equal to 100% for the Performance Period.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&amp; Talent Committee of the Board (the "Committee").</w:t>
      </w:r>
    </w:p>
    <w:p>
      <w:pPr>
        <w:spacing w:after="0" w:line="125" w:lineRule="exact"/>
        <w:rPr>
          <w:rFonts w:ascii="Times New Roman" w:cs="Times New Roman" w:eastAsia="Times New Roman" w:hAnsi="Times New Roman"/>
          <w:sz w:val="16"/>
          <w:szCs w:val="16"/>
          <w:color w:val="auto"/>
        </w:rPr>
      </w:pPr>
    </w:p>
    <w:p>
      <w:pPr>
        <w:jc w:val="both"/>
        <w:ind w:left="648" w:hanging="324"/>
        <w:spacing w:after="0" w:line="260" w:lineRule="auto"/>
        <w:tabs>
          <w:tab w:leader="none" w:pos="648"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an attainment level equal to 100% for the Performance Period.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Committee. “Disabled” with respect to the Participant shall have the meaning set forth in Section 409(a)(2)(C) of the Code.</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39"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41" w:lineRule="exact"/>
        <w:rPr>
          <w:rFonts w:ascii="Times New Roman" w:cs="Times New Roman" w:eastAsia="Times New Roman" w:hAnsi="Times New Roman"/>
          <w:sz w:val="16"/>
          <w:szCs w:val="16"/>
          <w:color w:val="auto"/>
        </w:rPr>
      </w:pPr>
    </w:p>
    <w:p>
      <w:pPr>
        <w:ind w:left="648" w:hanging="324"/>
        <w:spacing w:after="0" w:line="280" w:lineRule="auto"/>
        <w:tabs>
          <w:tab w:leader="none" w:pos="648"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97"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80"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48"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2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hanging="324"/>
        <w:spacing w:after="0" w:line="256" w:lineRule="auto"/>
        <w:tabs>
          <w:tab w:leader="none" w:pos="63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98" w:name="page99"/>
    <w:bookmarkEnd w:id="98"/>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48"/>
        <w:spacing w:after="0"/>
        <w:rPr>
          <w:sz w:val="20"/>
          <w:szCs w:val="20"/>
          <w:color w:val="auto"/>
        </w:rPr>
      </w:pPr>
      <w:r>
        <w:rPr>
          <w:rFonts w:ascii="Times New Roman" w:cs="Times New Roman" w:eastAsia="Times New Roman" w:hAnsi="Times New Roman"/>
          <w:sz w:val="16"/>
          <w:szCs w:val="16"/>
          <w:color w:val="auto"/>
        </w:rPr>
        <w:t>acknowledges that the Company and/or the Employer may be required to withhold or account for Tax-Related Items in more than one jurisdiction.</w:t>
      </w:r>
    </w:p>
    <w:p>
      <w:pPr>
        <w:spacing w:after="0" w:line="181" w:lineRule="exact"/>
        <w:rPr>
          <w:sz w:val="20"/>
          <w:szCs w:val="20"/>
          <w:color w:val="auto"/>
        </w:rPr>
      </w:pPr>
    </w:p>
    <w:p>
      <w:pPr>
        <w:jc w:val="both"/>
        <w:ind w:left="648" w:right="20" w:hanging="324"/>
        <w:spacing w:after="0" w:line="272" w:lineRule="auto"/>
        <w:tabs>
          <w:tab w:leader="none" w:pos="64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03" w:lineRule="exact"/>
        <w:rPr>
          <w:rFonts w:ascii="Times New Roman" w:cs="Times New Roman" w:eastAsia="Times New Roman" w:hAnsi="Times New Roman"/>
          <w:sz w:val="16"/>
          <w:szCs w:val="16"/>
          <w:color w:val="auto"/>
        </w:rPr>
      </w:pPr>
    </w:p>
    <w:p>
      <w:pPr>
        <w:jc w:val="both"/>
        <w:ind w:left="1288" w:hanging="316"/>
        <w:spacing w:after="0" w:line="227" w:lineRule="auto"/>
        <w:tabs>
          <w:tab w:leader="none" w:pos="1279"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1288" w:right="20" w:hanging="316"/>
        <w:spacing w:after="0" w:line="245" w:lineRule="auto"/>
        <w:tabs>
          <w:tab w:leader="none" w:pos="1283"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288" w:hanging="316"/>
        <w:spacing w:after="0" w:line="245" w:lineRule="auto"/>
        <w:tabs>
          <w:tab w:leader="none" w:pos="1288"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288" w:hanging="316"/>
        <w:spacing w:after="0" w:line="227" w:lineRule="auto"/>
        <w:tabs>
          <w:tab w:leader="none" w:pos="1279" w:val="left"/>
        </w:tabs>
        <w:numPr>
          <w:ilvl w:val="2"/>
          <w:numId w:val="8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FFFFFF"/>
        </w:rPr>
      </w:pPr>
    </w:p>
    <w:p>
      <w:pPr>
        <w:ind w:left="1288" w:hanging="316"/>
        <w:spacing w:after="0"/>
        <w:tabs>
          <w:tab w:leader="none" w:pos="1288"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1288" w:hanging="316"/>
        <w:spacing w:after="0" w:line="218" w:lineRule="auto"/>
        <w:tabs>
          <w:tab w:leader="none" w:pos="1279" w:val="left"/>
        </w:tabs>
        <w:numPr>
          <w:ilvl w:val="2"/>
          <w:numId w:val="8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15" w:lineRule="exact"/>
        <w:rPr>
          <w:rFonts w:ascii="Times New Roman" w:cs="Times New Roman" w:eastAsia="Times New Roman" w:hAnsi="Times New Roman"/>
          <w:sz w:val="16"/>
          <w:szCs w:val="16"/>
          <w:color w:val="FFFFFF"/>
        </w:rPr>
      </w:pPr>
    </w:p>
    <w:p>
      <w:pPr>
        <w:jc w:val="both"/>
        <w:ind w:left="1288" w:hanging="316"/>
        <w:spacing w:after="0" w:line="220" w:lineRule="auto"/>
        <w:tabs>
          <w:tab w:leader="none" w:pos="1283" w:val="left"/>
        </w:tabs>
        <w:numPr>
          <w:ilvl w:val="2"/>
          <w:numId w:val="8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Committee) have been made by the Participant with respect to the payment of any Tax-Related Items which the Company and/or the Employer determine, in each of its sole discretion, must be withheld or collected with respect to such Performance RSUs.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FFFFFF"/>
        </w:rPr>
      </w:pPr>
    </w:p>
    <w:p>
      <w:pPr>
        <w:jc w:val="both"/>
        <w:ind w:left="328" w:right="20" w:hanging="328"/>
        <w:spacing w:after="0" w:line="221" w:lineRule="auto"/>
        <w:tabs>
          <w:tab w:leader="none" w:pos="328" w:val="left"/>
        </w:tabs>
        <w:numPr>
          <w:ilvl w:val="0"/>
          <w:numId w:val="87"/>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u w:val="single" w:color="auto"/>
          <w:color w:val="auto"/>
        </w:rPr>
      </w:pPr>
    </w:p>
    <w:p>
      <w:pPr>
        <w:jc w:val="both"/>
        <w:ind w:left="328" w:hanging="328"/>
        <w:spacing w:after="0"/>
        <w:tabs>
          <w:tab w:leader="none" w:pos="32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right="20" w:hanging="324"/>
        <w:spacing w:after="0" w:line="272" w:lineRule="auto"/>
        <w:tabs>
          <w:tab w:leader="none" w:pos="639"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99" w:name="page100"/>
    <w:bookmarkEnd w:id="99"/>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72" w:lineRule="auto"/>
        <w:rPr>
          <w:sz w:val="20"/>
          <w:szCs w:val="20"/>
          <w:color w:val="auto"/>
        </w:rPr>
      </w:pPr>
      <w:r>
        <w:rPr>
          <w:rFonts w:ascii="Times New Roman" w:cs="Times New Roman" w:eastAsia="Times New Roman" w:hAnsi="Times New Roman"/>
          <w:sz w:val="16"/>
          <w:szCs w:val="16"/>
          <w:color w:val="auto"/>
        </w:rPr>
        <w:t>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30" w:lineRule="exact"/>
        <w:rPr>
          <w:sz w:val="20"/>
          <w:szCs w:val="20"/>
          <w:color w:val="auto"/>
        </w:rPr>
      </w:pPr>
    </w:p>
    <w:p>
      <w:pPr>
        <w:jc w:val="both"/>
        <w:ind w:left="324" w:hanging="324"/>
        <w:spacing w:after="0" w:line="257"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30"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25" w:lineRule="exact"/>
        <w:rPr>
          <w:rFonts w:ascii="Times New Roman" w:cs="Times New Roman" w:eastAsia="Times New Roman" w:hAnsi="Times New Roman"/>
          <w:sz w:val="16"/>
          <w:szCs w:val="16"/>
          <w:color w:val="auto"/>
        </w:rPr>
      </w:pPr>
    </w:p>
    <w:p>
      <w:pPr>
        <w:jc w:val="both"/>
        <w:ind w:left="324" w:hanging="324"/>
        <w:spacing w:after="0" w:line="260"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(i)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Performance RSUs or the recoupment of any financial gain from the Performance RSUs as described in Section 9(o) hereof.</w:t>
      </w:r>
    </w:p>
    <w:p>
      <w:pPr>
        <w:spacing w:after="0" w:line="127" w:lineRule="exact"/>
        <w:rPr>
          <w:rFonts w:ascii="Times New Roman" w:cs="Times New Roman" w:eastAsia="Times New Roman" w:hAnsi="Times New Roman"/>
          <w:sz w:val="16"/>
          <w:szCs w:val="16"/>
          <w:color w:val="auto"/>
        </w:rPr>
      </w:pPr>
    </w:p>
    <w:p>
      <w:pPr>
        <w:jc w:val="both"/>
        <w:ind w:left="324" w:hanging="324"/>
        <w:spacing w:after="0" w:line="269"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20" w:lineRule="exact"/>
        <w:rPr>
          <w:rFonts w:ascii="Times New Roman" w:cs="Times New Roman" w:eastAsia="Times New Roman" w:hAnsi="Times New Roman"/>
          <w:sz w:val="16"/>
          <w:szCs w:val="16"/>
          <w:color w:val="auto"/>
        </w:rPr>
      </w:pPr>
    </w:p>
    <w:p>
      <w:pPr>
        <w:jc w:val="both"/>
        <w:ind w:left="324" w:hanging="324"/>
        <w:spacing w:after="0" w:line="265"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Operation of Plan and Agreement</w:t>
      </w:r>
      <w:r>
        <w:rPr>
          <w:rFonts w:ascii="Times New Roman" w:cs="Times New Roman" w:eastAsia="Times New Roman" w:hAnsi="Times New Roman"/>
          <w:sz w:val="16"/>
          <w:szCs w:val="16"/>
          <w:color w:val="auto"/>
        </w:rPr>
        <w:t>. This Section 9(f) applies if the Participant resides outside the U.S.: The Plan is operated and the Performance RSUs are granted solely by the Company and only the Company is a party to this Agreement; accordingly, any rights the Participant may have under this Agreement may be raised against the Company but not any parent or subsidiary of the Company (including, but not limited to, the Employer). No parent or subsidiary of the Company (including, but not limited to, the Employer) has any obligation to make any payment of any kind to the Participant under this Agreement.</w:t>
      </w:r>
    </w:p>
    <w:p>
      <w:pPr>
        <w:spacing w:after="0" w:line="321"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67" w:lineRule="exact"/>
        <w:rPr>
          <w:rFonts w:ascii="Times New Roman" w:cs="Times New Roman" w:eastAsia="Times New Roman" w:hAnsi="Times New Roman"/>
          <w:sz w:val="16"/>
          <w:szCs w:val="16"/>
          <w:color w:val="auto"/>
        </w:rPr>
      </w:pPr>
    </w:p>
    <w:p>
      <w:pPr>
        <w:ind w:left="324" w:hanging="324"/>
        <w:spacing w:after="0" w:line="298"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96" w:lineRule="exact"/>
        <w:rPr>
          <w:rFonts w:ascii="Times New Roman" w:cs="Times New Roman" w:eastAsia="Times New Roman" w:hAnsi="Times New Roman"/>
          <w:sz w:val="16"/>
          <w:szCs w:val="16"/>
          <w:color w:val="auto"/>
        </w:rPr>
      </w:pPr>
    </w:p>
    <w:p>
      <w:pPr>
        <w:ind w:left="324" w:hanging="324"/>
        <w:spacing w:after="0" w:line="298"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96" w:lineRule="exact"/>
        <w:rPr>
          <w:rFonts w:ascii="Times New Roman" w:cs="Times New Roman" w:eastAsia="Times New Roman" w:hAnsi="Times New Roman"/>
          <w:sz w:val="16"/>
          <w:szCs w:val="16"/>
          <w:color w:val="auto"/>
        </w:rPr>
      </w:pPr>
    </w:p>
    <w:p>
      <w:pPr>
        <w:jc w:val="both"/>
        <w:ind w:left="324" w:hanging="324"/>
        <w:spacing w:after="0" w:line="259"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41" w:lineRule="exact"/>
        <w:rPr>
          <w:rFonts w:ascii="Times New Roman" w:cs="Times New Roman" w:eastAsia="Times New Roman" w:hAnsi="Times New Roman"/>
          <w:sz w:val="16"/>
          <w:szCs w:val="16"/>
          <w:color w:val="auto"/>
        </w:rPr>
      </w:pPr>
    </w:p>
    <w:p>
      <w:pPr>
        <w:ind w:left="324" w:hanging="324"/>
        <w:spacing w:after="0" w:line="280"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100" w:name="page101"/>
    <w:bookmarkEnd w:id="100"/>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right="20" w:hanging="324"/>
        <w:spacing w:after="0" w:line="298" w:lineRule="auto"/>
        <w:tabs>
          <w:tab w:leader="none" w:pos="31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96" w:lineRule="exact"/>
        <w:rPr>
          <w:rFonts w:ascii="Times New Roman" w:cs="Times New Roman" w:eastAsia="Times New Roman" w:hAnsi="Times New Roman"/>
          <w:sz w:val="16"/>
          <w:szCs w:val="16"/>
          <w:color w:val="auto"/>
        </w:rPr>
      </w:pPr>
    </w:p>
    <w:p>
      <w:pPr>
        <w:ind w:left="324" w:hanging="324"/>
        <w:spacing w:after="0" w:line="298" w:lineRule="auto"/>
        <w:tabs>
          <w:tab w:leader="none" w:pos="31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96"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42"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Performance RSUs and any cash payment or Shares delivered pursuant to the Performance RSUs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Performance RSUs, and any Shares issued upon vesting of the Performance RSUs,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Participant expressly and explicitly authorizes the Company to issue instructions, on the Participant’s behalf, to any brokerage firm or stock plan service provider engaged by the Company to hold any Shares or other amounts acquired pursuant to the Performance RSUs to re-convey, transfer or otherwise return such Shares and/or other amounts to the Company upon the Company’s enforcement of the Clawback Policy.</w:t>
      </w:r>
    </w:p>
    <w:p>
      <w:pPr>
        <w:spacing w:after="0" w:line="143" w:lineRule="exact"/>
        <w:rPr>
          <w:rFonts w:ascii="Times New Roman" w:cs="Times New Roman" w:eastAsia="Times New Roman" w:hAnsi="Times New Roman"/>
          <w:sz w:val="16"/>
          <w:szCs w:val="16"/>
          <w:color w:val="auto"/>
        </w:rPr>
      </w:pPr>
    </w:p>
    <w:p>
      <w:pPr>
        <w:ind w:left="324" w:right="20" w:hanging="324"/>
        <w:spacing w:after="0" w:line="280"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Committee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73"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(including deemed acceptance) of this Award, the Participant is deemed to have accepted and agreed to all of the terms and conditions of this Agreement and the provisions of the Plan.</w:t>
      </w:r>
    </w:p>
    <w:p>
      <w:pPr>
        <w:spacing w:after="0" w:line="317"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6" w:lineRule="exact"/>
        <w:rPr>
          <w:rFonts w:ascii="Times New Roman" w:cs="Times New Roman" w:eastAsia="Times New Roman" w:hAnsi="Times New Roman"/>
          <w:sz w:val="16"/>
          <w:szCs w:val="16"/>
          <w:color w:val="auto"/>
        </w:rPr>
      </w:pPr>
    </w:p>
    <w:p>
      <w:pPr>
        <w:jc w:val="both"/>
        <w:ind w:left="324" w:right="20" w:hanging="324"/>
        <w:spacing w:after="0" w:line="263" w:lineRule="auto"/>
        <w:tabs>
          <w:tab w:leader="none" w:pos="31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 unless otherwise required by applicable laws.</w:t>
      </w:r>
    </w:p>
    <w:p>
      <w:pPr>
        <w:spacing w:after="0" w:line="111" w:lineRule="exact"/>
        <w:rPr>
          <w:rFonts w:ascii="Times New Roman" w:cs="Times New Roman" w:eastAsia="Times New Roman" w:hAnsi="Times New Roman"/>
          <w:sz w:val="16"/>
          <w:szCs w:val="16"/>
          <w:color w:val="auto"/>
        </w:rPr>
      </w:pPr>
    </w:p>
    <w:p>
      <w:pPr>
        <w:jc w:val="both"/>
        <w:ind w:left="324" w:hanging="324"/>
        <w:spacing w:after="0" w:line="260" w:lineRule="auto"/>
        <w:tabs>
          <w:tab w:leader="none" w:pos="31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or otherwise becomes a resident of,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101" w:name="page102"/>
    <w:bookmarkEnd w:id="101"/>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980" w:right="20" w:hanging="324"/>
        <w:spacing w:after="0" w:line="269"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20" w:lineRule="exact"/>
        <w:rPr>
          <w:rFonts w:ascii="Times New Roman" w:cs="Times New Roman" w:eastAsia="Times New Roman" w:hAnsi="Times New Roman"/>
          <w:sz w:val="16"/>
          <w:szCs w:val="16"/>
          <w:color w:val="auto"/>
        </w:rPr>
      </w:pPr>
    </w:p>
    <w:p>
      <w:pPr>
        <w:jc w:val="both"/>
        <w:ind w:left="980" w:hanging="324"/>
        <w:spacing w:after="0" w:line="272"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6" w:lineRule="exact"/>
        <w:rPr>
          <w:rFonts w:ascii="Times New Roman" w:cs="Times New Roman" w:eastAsia="Times New Roman" w:hAnsi="Times New Roman"/>
          <w:sz w:val="16"/>
          <w:szCs w:val="16"/>
          <w:color w:val="auto"/>
        </w:rPr>
      </w:pPr>
    </w:p>
    <w:p>
      <w:pPr>
        <w:jc w:val="both"/>
        <w:ind w:left="980" w:hanging="324"/>
        <w:spacing w:after="0" w:line="266" w:lineRule="auto"/>
        <w:tabs>
          <w:tab w:leader="none" w:pos="97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Committee.</w:t>
      </w:r>
    </w:p>
    <w:p>
      <w:pPr>
        <w:spacing w:after="0" w:line="333" w:lineRule="exact"/>
        <w:rPr>
          <w:rFonts w:ascii="Times New Roman" w:cs="Times New Roman" w:eastAsia="Times New Roman" w:hAnsi="Times New Roman"/>
          <w:sz w:val="16"/>
          <w:szCs w:val="16"/>
          <w:color w:val="auto"/>
        </w:rPr>
      </w:pPr>
    </w:p>
    <w:p>
      <w:pPr>
        <w:jc w:val="both"/>
        <w:ind w:left="980" w:hanging="324"/>
        <w:spacing w:after="0" w:line="272"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Times New Roman" w:cs="Times New Roman" w:eastAsia="Times New Roman" w:hAnsi="Times New Roman"/>
          <w:sz w:val="16"/>
          <w:szCs w:val="16"/>
          <w:color w:val="auto"/>
        </w:rPr>
      </w:pPr>
    </w:p>
    <w:p>
      <w:pPr>
        <w:jc w:val="both"/>
        <w:ind w:left="980" w:hanging="324"/>
        <w:spacing w:after="0" w:line="257"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including fellow employees, or causing them otherwise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30"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7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46" w:lineRule="exact"/>
        <w:rPr>
          <w:sz w:val="20"/>
          <w:szCs w:val="20"/>
          <w:color w:val="auto"/>
        </w:rPr>
      </w:pPr>
    </w:p>
    <w:p>
      <w:pPr>
        <w:ind w:left="980" w:hanging="324"/>
        <w:spacing w:after="0" w:line="280" w:lineRule="auto"/>
        <w:tabs>
          <w:tab w:leader="none" w:pos="975"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20320</wp:posOffset>
            </wp:positionV>
            <wp:extent cx="236601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20"/>
          </w:cols>
          <w:pgMar w:left="320" w:top="1440" w:right="659" w:bottom="1440" w:gutter="0" w:footer="0" w:header="0"/>
        </w:sectPr>
      </w:pPr>
    </w:p>
    <w:bookmarkStart w:id="102" w:name="page103"/>
    <w:bookmarkEnd w:id="102"/>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67"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8" w:right="20" w:hanging="328"/>
        <w:spacing w:after="0" w:line="245"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the first day of the first quarter of the Company’s fiscal year 2026 and ending on the last day of the fourth quarter of the Company’s fiscal year 2028 (the “Performance Period”).</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328" w:hanging="328"/>
        <w:spacing w:after="0" w:line="245"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Committee determines the level of attainment of the Operating Profit Goals for the Performance Period, which date shall be as soon as practicable following the last day of the Performance Period.</w:t>
      </w:r>
    </w:p>
    <w:p>
      <w:pPr>
        <w:spacing w:after="0" w:line="110" w:lineRule="exact"/>
        <w:rPr>
          <w:rFonts w:ascii="Times New Roman" w:cs="Times New Roman" w:eastAsia="Times New Roman" w:hAnsi="Times New Roman"/>
          <w:sz w:val="16"/>
          <w:szCs w:val="16"/>
          <w:color w:val="auto"/>
        </w:rPr>
      </w:pPr>
    </w:p>
    <w:p>
      <w:pPr>
        <w:jc w:val="both"/>
        <w:ind w:left="328" w:right="20" w:hanging="328"/>
        <w:spacing w:after="0" w:line="227"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2(a) through 2(d) of the Performance Restricted Stock Unit Agreement, the Participant shall vest on the Vesting Date in the number of Performance RSUs, if any, that the Committee determines to be eligible to vest based on the attainment level of the Operating Profit Goal and the attainment of the Minimum Profit Margin described in Section 4 below, provided the Participant continues to provide services to the Company or the Employer, or their respective successors, through the Vesting Date.</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1"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w:t>
      </w:r>
      <w:r>
        <w:rPr>
          <w:rFonts w:ascii="Times New Roman" w:cs="Times New Roman" w:eastAsia="Times New Roman" w:hAnsi="Times New Roman"/>
          <w:sz w:val="16"/>
          <w:szCs w:val="16"/>
          <w:color w:val="auto"/>
        </w:rPr>
        <w:t>. The Performance Parameter is based on the attainment of the Operating Profit Goals established for the Performance Period and the Minimum Profit Margin for the Performance Period. The attainment level, ranging from 0% to 200%, of the Operating Profit Goal applicable to the Performance Period shall be measured on the Determination Date. For the avoidance of doubt, a 0% attainment level shall be applied to the Performance Period if the Minimum Profit Margin with respect to the Performance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30" w:lineRule="exact"/>
        <w:rPr>
          <w:rFonts w:ascii="Times New Roman" w:cs="Times New Roman" w:eastAsia="Times New Roman" w:hAnsi="Times New Roman"/>
          <w:sz w:val="16"/>
          <w:szCs w:val="16"/>
          <w:color w:val="auto"/>
        </w:rPr>
      </w:pPr>
    </w:p>
    <w:p>
      <w:pPr>
        <w:ind w:left="968" w:right="20" w:hanging="320"/>
        <w:spacing w:after="0" w:line="280" w:lineRule="auto"/>
        <w:tabs>
          <w:tab w:leader="none" w:pos="95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Goal” shall mean the goal related to Non-GAAP Operating Profit Before Taxes for the Performance Period approved by the Committee in connection with the grant of the Award.</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69" w:lineRule="auto"/>
        <w:tabs>
          <w:tab w:leader="none" w:pos="968"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Profit Margin” means the minimum Profit Margin, as approved by the Committee in connection with the grant of the Award, that shall apply to the total Performance Period as a condition to recognizing and applying the attainment level of the Operating Profit Goal for the Performance Period. “Profit Margin” means the quotient obtained by dividing Non-GAAP Operating Profit Before Taxes by Revenue for the Performance Period.</w:t>
      </w:r>
    </w:p>
    <w:p>
      <w:pPr>
        <w:spacing w:after="0" w:line="120" w:lineRule="exact"/>
        <w:rPr>
          <w:rFonts w:ascii="Times New Roman" w:cs="Times New Roman" w:eastAsia="Times New Roman" w:hAnsi="Times New Roman"/>
          <w:sz w:val="16"/>
          <w:szCs w:val="16"/>
          <w:color w:val="auto"/>
        </w:rPr>
      </w:pPr>
    </w:p>
    <w:p>
      <w:pPr>
        <w:jc w:val="both"/>
        <w:ind w:left="968" w:hanging="320"/>
        <w:spacing w:after="0" w:line="263" w:lineRule="auto"/>
        <w:tabs>
          <w:tab w:leader="none" w:pos="95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38" w:lineRule="exact"/>
        <w:rPr>
          <w:rFonts w:ascii="Times New Roman" w:cs="Times New Roman" w:eastAsia="Times New Roman" w:hAnsi="Times New Roman"/>
          <w:sz w:val="16"/>
          <w:szCs w:val="16"/>
          <w:color w:val="auto"/>
        </w:rPr>
      </w:pPr>
    </w:p>
    <w:p>
      <w:pPr>
        <w:ind w:left="968" w:right="20" w:hanging="320"/>
        <w:spacing w:after="0" w:line="280" w:lineRule="auto"/>
        <w:tabs>
          <w:tab w:leader="none" w:pos="968"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72" w:lineRule="auto"/>
        <w:tabs>
          <w:tab w:leader="none" w:pos="95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or method of determining Non-GAAP Operating Profit Before Taxes for purposes of ascertaining the attainment level of the Operating Profit Goal may, in the discretion of the Committee, be adjusted to eliminate the impact of any one or more of the following unanticipated events:</w:t>
      </w:r>
    </w:p>
    <w:p>
      <w:pPr>
        <w:spacing w:after="0" w:line="130" w:lineRule="exact"/>
        <w:rPr>
          <w:rFonts w:ascii="Times New Roman" w:cs="Times New Roman" w:eastAsia="Times New Roman" w:hAnsi="Times New Roman"/>
          <w:sz w:val="16"/>
          <w:szCs w:val="16"/>
          <w:color w:val="auto"/>
        </w:rPr>
      </w:pPr>
    </w:p>
    <w:p>
      <w:pPr>
        <w:jc w:val="both"/>
        <w:ind w:left="1468" w:hanging="496"/>
        <w:spacing w:after="0" w:line="263" w:lineRule="auto"/>
        <w:tabs>
          <w:tab w:leader="none" w:pos="1459"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37"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unusual or extraordinary corporate transactions, events or developments, or</w:t>
      </w:r>
    </w:p>
    <w:p>
      <w:pPr>
        <w:spacing w:after="0" w:line="167"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gains or losses for material litigation, arbitration and contractual settlements.</w:t>
      </w:r>
    </w:p>
    <w:p>
      <w:pPr>
        <w:spacing w:after="0" w:line="153" w:lineRule="exact"/>
        <w:rPr>
          <w:rFonts w:ascii="Times New Roman" w:cs="Times New Roman" w:eastAsia="Times New Roman" w:hAnsi="Times New Roman"/>
          <w:sz w:val="16"/>
          <w:szCs w:val="16"/>
          <w:color w:val="auto"/>
        </w:rPr>
      </w:pPr>
    </w:p>
    <w:p>
      <w:pPr>
        <w:ind w:left="328" w:hanging="328"/>
        <w:spacing w:after="0" w:line="245"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Examples illustrating the application of the Performance Parameters are set forth below, providing that the Minimum Profit Margin is met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28" w:right="65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60" w:type="dxa"/>
            <w:vAlign w:val="bottom"/>
            <w:tcBorders>
              <w:top w:val="single" w:sz="8" w:color="auto"/>
              <w:left w:val="single" w:sz="8" w:color="auto"/>
              <w:right w:val="single" w:sz="8" w:color="auto"/>
            </w:tcBorders>
            <w:shd w:val="clear" w:color="auto" w:fill="C6D9F0"/>
          </w:tcPr>
          <w:p>
            <w:pPr>
              <w:ind w:left="260"/>
              <w:spacing w:after="0"/>
              <w:rPr>
                <w:sz w:val="20"/>
                <w:szCs w:val="20"/>
                <w:color w:val="auto"/>
              </w:rPr>
            </w:pPr>
            <w:r>
              <w:rPr>
                <w:rFonts w:ascii="Times New Roman" w:cs="Times New Roman" w:eastAsia="Times New Roman" w:hAnsi="Times New Roman"/>
                <w:sz w:val="16"/>
                <w:szCs w:val="16"/>
                <w:color w:val="auto"/>
              </w:rPr>
              <w:t>Payout</w:t>
            </w:r>
          </w:p>
        </w:tc>
        <w:tc>
          <w:tcPr>
            <w:tcW w:w="2540" w:type="dxa"/>
            <w:vAlign w:val="bottom"/>
            <w:tcBorders>
              <w:top w:val="single" w:sz="8" w:color="auto"/>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6"/>
                <w:szCs w:val="16"/>
                <w:color w:val="auto"/>
              </w:rPr>
              <w:t>Number of Potential Shares</w:t>
            </w:r>
          </w:p>
        </w:tc>
        <w:tc>
          <w:tcPr>
            <w:tcW w:w="6200" w:type="dxa"/>
            <w:vAlign w:val="bottom"/>
            <w:tcBorders>
              <w:top w:val="single" w:sz="8" w:color="auto"/>
              <w:right w:val="single" w:sz="8" w:color="auto"/>
            </w:tcBorders>
            <w:shd w:val="clear" w:color="auto" w:fill="C6D9F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tcBorders>
              <w:left w:val="single" w:sz="8" w:color="auto"/>
              <w:right w:val="single" w:sz="8" w:color="auto"/>
            </w:tcBorders>
            <w:shd w:val="clear" w:color="auto" w:fill="C6D9F0"/>
          </w:tcPr>
          <w:p>
            <w:pPr>
              <w:ind w:left="240"/>
              <w:spacing w:after="0"/>
              <w:rPr>
                <w:sz w:val="20"/>
                <w:szCs w:val="20"/>
                <w:color w:val="auto"/>
              </w:rPr>
            </w:pPr>
            <w:r>
              <w:rPr>
                <w:rFonts w:ascii="Times New Roman" w:cs="Times New Roman" w:eastAsia="Times New Roman" w:hAnsi="Times New Roman"/>
                <w:sz w:val="16"/>
                <w:szCs w:val="16"/>
                <w:color w:val="auto"/>
              </w:rPr>
              <w:t>Percent</w:t>
            </w:r>
          </w:p>
        </w:tc>
        <w:tc>
          <w:tcPr>
            <w:tcW w:w="2540" w:type="dxa"/>
            <w:vAlign w:val="bottom"/>
            <w:tcBorders>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6"/>
                <w:szCs w:val="16"/>
                <w:color w:val="auto"/>
              </w:rPr>
              <w:t>Attained</w:t>
            </w:r>
          </w:p>
        </w:tc>
        <w:tc>
          <w:tcPr>
            <w:tcW w:w="6200" w:type="dxa"/>
            <w:vAlign w:val="bottom"/>
            <w:tcBorders>
              <w:right w:val="single" w:sz="8" w:color="auto"/>
            </w:tcBorders>
            <w:shd w:val="clear" w:color="auto" w:fill="C6D9F0"/>
          </w:tcPr>
          <w:p>
            <w:pPr>
              <w:ind w:left="2300"/>
              <w:spacing w:after="0"/>
              <w:rPr>
                <w:sz w:val="20"/>
                <w:szCs w:val="20"/>
                <w:color w:val="auto"/>
              </w:rPr>
            </w:pPr>
            <w:r>
              <w:rPr>
                <w:rFonts w:ascii="Times New Roman" w:cs="Times New Roman" w:eastAsia="Times New Roman" w:hAnsi="Times New Roman"/>
                <w:sz w:val="16"/>
                <w:szCs w:val="16"/>
                <w:color w:val="auto"/>
              </w:rPr>
              <w:t>Performance Parameters</w:t>
            </w:r>
          </w:p>
        </w:tc>
        <w:tc>
          <w:tcPr>
            <w:tcW w:w="0" w:type="dxa"/>
            <w:vAlign w:val="bottom"/>
          </w:tcPr>
          <w:p>
            <w:pPr>
              <w:spacing w:after="0"/>
              <w:rPr>
                <w:sz w:val="1"/>
                <w:szCs w:val="1"/>
                <w:color w:val="auto"/>
              </w:rPr>
            </w:pPr>
          </w:p>
        </w:tc>
      </w:tr>
      <w:tr>
        <w:trPr>
          <w:trHeight w:val="181"/>
        </w:trPr>
        <w:tc>
          <w:tcPr>
            <w:tcW w:w="960" w:type="dxa"/>
            <w:vAlign w:val="bottom"/>
            <w:tcBorders>
              <w:left w:val="single" w:sz="8" w:color="auto"/>
              <w:bottom w:val="single" w:sz="8" w:color="auto"/>
              <w:right w:val="single" w:sz="8" w:color="auto"/>
            </w:tcBorders>
            <w:shd w:val="clear" w:color="auto" w:fill="C6D9F0"/>
          </w:tcPr>
          <w:p>
            <w:pPr>
              <w:spacing w:after="0"/>
              <w:rPr>
                <w:sz w:val="15"/>
                <w:szCs w:val="15"/>
                <w:color w:val="auto"/>
              </w:rPr>
            </w:pPr>
          </w:p>
        </w:tc>
        <w:tc>
          <w:tcPr>
            <w:tcW w:w="2540" w:type="dxa"/>
            <w:vAlign w:val="bottom"/>
            <w:tcBorders>
              <w:bottom w:val="single" w:sz="8" w:color="auto"/>
              <w:right w:val="single" w:sz="8" w:color="auto"/>
            </w:tcBorders>
            <w:shd w:val="clear" w:color="auto" w:fill="C6D9F0"/>
          </w:tcPr>
          <w:p>
            <w:pPr>
              <w:spacing w:after="0"/>
              <w:rPr>
                <w:sz w:val="15"/>
                <w:szCs w:val="15"/>
                <w:color w:val="auto"/>
              </w:rPr>
            </w:pPr>
          </w:p>
        </w:tc>
        <w:tc>
          <w:tcPr>
            <w:tcW w:w="6200" w:type="dxa"/>
            <w:vAlign w:val="bottom"/>
            <w:tcBorders>
              <w:bottom w:val="single" w:sz="8" w:color="auto"/>
              <w:right w:val="single" w:sz="8" w:color="auto"/>
            </w:tcBorders>
            <w:shd w:val="clear" w:color="auto" w:fill="C6D9F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116"/>
        </w:trPr>
        <w:tc>
          <w:tcPr>
            <w:tcW w:w="96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continue"/>
          </w:tcPr>
          <w:p>
            <w:pPr>
              <w:spacing w:after="0"/>
              <w:rPr>
                <w:sz w:val="10"/>
                <w:szCs w:val="10"/>
                <w:color w:val="auto"/>
              </w:rPr>
            </w:pPr>
          </w:p>
        </w:tc>
        <w:tc>
          <w:tcPr>
            <w:tcW w:w="62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Committee</w:t>
            </w:r>
          </w:p>
        </w:tc>
        <w:tc>
          <w:tcPr>
            <w:tcW w:w="0" w:type="dxa"/>
            <w:vAlign w:val="bottom"/>
          </w:tcPr>
          <w:p>
            <w:pPr>
              <w:spacing w:after="0"/>
              <w:rPr>
                <w:sz w:val="1"/>
                <w:szCs w:val="1"/>
                <w:color w:val="auto"/>
              </w:rPr>
            </w:pPr>
          </w:p>
        </w:tc>
      </w:tr>
      <w:tr>
        <w:trPr>
          <w:trHeight w:val="95"/>
        </w:trPr>
        <w:tc>
          <w:tcPr>
            <w:tcW w:w="960" w:type="dxa"/>
            <w:vAlign w:val="bottom"/>
            <w:tcBorders>
              <w:left w:val="single" w:sz="8" w:color="auto"/>
              <w:right w:val="single" w:sz="8" w:color="auto"/>
            </w:tcBorders>
          </w:tcPr>
          <w:p>
            <w:pPr>
              <w:spacing w:after="0"/>
              <w:rPr>
                <w:sz w:val="8"/>
                <w:szCs w:val="8"/>
                <w:color w:val="auto"/>
              </w:rPr>
            </w:pPr>
          </w:p>
        </w:tc>
        <w:tc>
          <w:tcPr>
            <w:tcW w:w="2540" w:type="dxa"/>
            <w:vAlign w:val="bottom"/>
            <w:tcBorders>
              <w:right w:val="single" w:sz="8" w:color="auto"/>
            </w:tcBorders>
          </w:tcPr>
          <w:p>
            <w:pPr>
              <w:spacing w:after="0"/>
              <w:rPr>
                <w:sz w:val="8"/>
                <w:szCs w:val="8"/>
                <w:color w:val="auto"/>
              </w:rPr>
            </w:pPr>
          </w:p>
        </w:tc>
        <w:tc>
          <w:tcPr>
            <w:tcW w:w="6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Awards Granted</w:t>
            </w: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Company Operating Profit Goal meets target approved by the Committee</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6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960" w:type="dxa"/>
            <w:vAlign w:val="bottom"/>
            <w:tcBorders>
              <w:left w:val="single" w:sz="8" w:color="auto"/>
              <w:bottom w:val="single" w:sz="8" w:color="auto"/>
              <w:right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6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Grant Custom 2</w:t>
            </w: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Company Operating Profit Goal meets or exceeds the maximum target approved by the</w:t>
            </w:r>
          </w:p>
        </w:tc>
        <w:tc>
          <w:tcPr>
            <w:tcW w:w="0" w:type="dxa"/>
            <w:vAlign w:val="bottom"/>
          </w:tcPr>
          <w:p>
            <w:pPr>
              <w:spacing w:after="0"/>
              <w:rPr>
                <w:sz w:val="1"/>
                <w:szCs w:val="1"/>
                <w:color w:val="auto"/>
              </w:rPr>
            </w:pPr>
          </w:p>
        </w:tc>
      </w:tr>
      <w:tr>
        <w:trPr>
          <w:trHeight w:val="116"/>
        </w:trPr>
        <w:tc>
          <w:tcPr>
            <w:tcW w:w="96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continue"/>
          </w:tcPr>
          <w:p>
            <w:pPr>
              <w:spacing w:after="0"/>
              <w:rPr>
                <w:sz w:val="10"/>
                <w:szCs w:val="10"/>
                <w:color w:val="auto"/>
              </w:rPr>
            </w:pPr>
          </w:p>
        </w:tc>
        <w:tc>
          <w:tcPr>
            <w:tcW w:w="62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Committee</w:t>
            </w:r>
          </w:p>
        </w:tc>
        <w:tc>
          <w:tcPr>
            <w:tcW w:w="0" w:type="dxa"/>
            <w:vAlign w:val="bottom"/>
          </w:tcPr>
          <w:p>
            <w:pPr>
              <w:spacing w:after="0"/>
              <w:rPr>
                <w:sz w:val="1"/>
                <w:szCs w:val="1"/>
                <w:color w:val="auto"/>
              </w:rPr>
            </w:pPr>
          </w:p>
        </w:tc>
      </w:tr>
      <w:tr>
        <w:trPr>
          <w:trHeight w:val="94"/>
        </w:trPr>
        <w:tc>
          <w:tcPr>
            <w:tcW w:w="960" w:type="dxa"/>
            <w:vAlign w:val="bottom"/>
            <w:tcBorders>
              <w:left w:val="single" w:sz="8" w:color="auto"/>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6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9700"/>
          </w:cols>
          <w:pgMar w:left="1080" w:top="1440" w:right="1119" w:bottom="1440" w:gutter="0" w:footer="0" w:header="0"/>
        </w:sectPr>
      </w:pPr>
    </w:p>
    <w:bookmarkStart w:id="104" w:name="page105"/>
    <w:bookmarkEnd w:id="10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32" w:lineRule="exact"/>
        <w:rPr>
          <w:sz w:val="20"/>
          <w:szCs w:val="20"/>
          <w:color w:val="auto"/>
        </w:rPr>
      </w:pPr>
    </w:p>
    <w:p>
      <w:pPr>
        <w:jc w:val="both"/>
        <w:ind w:left="180" w:right="320"/>
        <w:spacing w:after="0" w:line="259"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2025.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22"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11"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46"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ind w:left="500" w:hanging="328"/>
        <w:spacing w:after="0" w:line="250" w:lineRule="auto"/>
        <w:tabs>
          <w:tab w:leader="none" w:pos="49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w:t>
      </w:r>
    </w:p>
    <w:p>
      <w:pPr>
        <w:sectPr>
          <w:pgSz w:w="11900" w:h="16838" w:orient="portrait"/>
          <w:cols w:equalWidth="0" w:num="1">
            <w:col w:w="11080"/>
          </w:cols>
          <w:pgMar w:left="480" w:top="1028"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28" w:right="339" w:bottom="1440" w:gutter="0" w:footer="0" w:header="0"/>
          <w:type w:val="continuous"/>
        </w:sectPr>
      </w:pPr>
    </w:p>
    <w:bookmarkStart w:id="105" w:name="page106"/>
    <w:bookmarkEnd w:id="10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03" w:lineRule="exact"/>
        <w:rPr>
          <w:sz w:val="20"/>
          <w:szCs w:val="20"/>
          <w:color w:val="auto"/>
        </w:rPr>
      </w:pPr>
    </w:p>
    <w:p>
      <w:pPr>
        <w:jc w:val="both"/>
        <w:ind w:left="500" w:hanging="328"/>
        <w:spacing w:after="0" w:line="222" w:lineRule="auto"/>
        <w:tabs>
          <w:tab w:leader="none" w:pos="5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may have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180" w:right="3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 unless otherwise required by applicable laws.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prescribed forms.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77" w:lineRule="exact"/>
        <w:rPr>
          <w:sz w:val="20"/>
          <w:szCs w:val="20"/>
          <w:color w:val="auto"/>
        </w:rPr>
      </w:pPr>
    </w:p>
    <w:p>
      <w:pPr>
        <w:jc w:val="both"/>
        <w:ind w:left="180" w:right="340"/>
        <w:spacing w:after="0" w:line="25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The first time Belgian residents report such an account on their annual income tax return, they are also required to complete a separate report providing certain details regarding such foreign accounts (including the account number, bank name and country in which such account was opened) to the Central Contact Point of the National Bank of Belgium. The forms to complete this report are available on the website of the National Bank of Belgium.</w:t>
      </w:r>
    </w:p>
    <w:p>
      <w:pPr>
        <w:spacing w:after="0" w:line="222"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ectPr>
          <w:pgSz w:w="11900" w:h="16838" w:orient="portrait"/>
          <w:cols w:equalWidth="0" w:num="1">
            <w:col w:w="11080"/>
          </w:cols>
          <w:pgMar w:left="480" w:top="1028" w:right="33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28" w:right="339" w:bottom="1440" w:gutter="0" w:footer="0" w:header="0"/>
          <w:type w:val="continuous"/>
        </w:sectPr>
      </w:pPr>
    </w:p>
    <w:bookmarkStart w:id="106" w:name="page107"/>
    <w:bookmarkEnd w:id="10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Compensation or Salary</w:t>
      </w:r>
      <w:r>
        <w:rPr>
          <w:rFonts w:ascii="Times New Roman" w:cs="Times New Roman" w:eastAsia="Times New Roman" w:hAnsi="Times New Roman"/>
          <w:sz w:val="16"/>
          <w:szCs w:val="16"/>
          <w:color w:val="auto"/>
        </w:rPr>
        <w:t>. The following replaces the last two sentences of Section 9(b) of the Agreement:</w:t>
      </w:r>
    </w:p>
    <w:p>
      <w:pPr>
        <w:spacing w:after="0" w:line="26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The following replaces Section 9(d) of the Agreement:</w:t>
      </w:r>
    </w:p>
    <w:p>
      <w:pPr>
        <w:spacing w:after="0" w:line="262"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claim or entitlement to compensation or damages shall arise from (i)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Performance RSUs or the recoupment of any financial gain from the Performance RSUs as described in Section 9(o) hereof.</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Obligation to Make Payment</w:t>
      </w:r>
      <w:r>
        <w:rPr>
          <w:rFonts w:ascii="Times New Roman" w:cs="Times New Roman" w:eastAsia="Times New Roman" w:hAnsi="Times New Roman"/>
          <w:sz w:val="16"/>
          <w:szCs w:val="16"/>
          <w:color w:val="auto"/>
        </w:rPr>
        <w:t>. The following replaces the last sentence of Section 9(f) of the Agreement:</w:t>
      </w:r>
    </w:p>
    <w:p>
      <w:pPr>
        <w:spacing w:after="0" w:line="26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parent or subsidiary of the Company (including, but not limited to, the Employer) has any obligation to make any payment of any kind to the Participant under this Agreement.</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6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19"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and except as explicitly and minimally required under applicable legislation, the Participant’s right to earn, seek damages in lieu of, vest in the Performance RSUs, or otherwise benefit from or participate in the Plan, if any, will terminate as of the actual Date of Termination. For this purpose, the “Date of Termination” shall mean the date the Participant is no longer actually providing service to the Company or the Employer, regardless of the reason for such termination and whether or not later found to be invalid or in breach of applicable laws in the jurisdiction where the Participant is employed or the terms of the Participant’s employment agreement, if any. Except as explicitly and minimally required under applicable legislation, the Date of Termination shall not include or be extended by any period during which the Participant is in receipt of or eligible to receive any notice of termination, pay in lieu of notice of termination, severance pay or any other payments or damages, whether arising under statute, contract, common/civil law or otherwise. For greater certainty, the Participant will not earn or be entitled to any pro-rated vesting, or other benefits or participation in the Plan, for that portion of time before the Date of Termination, nor will Participant be entitled to any compensation for lost vesting, benefits, or other participation.</w:t>
      </w:r>
    </w:p>
    <w:p>
      <w:pPr>
        <w:spacing w:after="0" w:line="22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or other participation in the Plan during a statutory notice period, the Participant’s right to vest in the Performance RSUs or otherwise benefit from the Performance RSUs under the Plan, if any, will terminate effective as of the last day of the Participant’s minimum statutory notice period, but the Participant will not earn or be entitled to pro-rated vesting or other benefits or participation if the vesting date falls after the end of the Participant’s statutory notice period, nor will the Participant be entitled to any compensation for lost vesting, benefits, or other participation. For further clarity, any reference to a termination of the Participant’s employment or a termination date under this Agreement or the Plan will be interpreted to mean the Date of Termination.</w:t>
      </w:r>
    </w:p>
    <w:p>
      <w:pPr>
        <w:spacing w:after="0" w:line="222" w:lineRule="exact"/>
        <w:rPr>
          <w:sz w:val="20"/>
          <w:szCs w:val="20"/>
          <w:color w:val="auto"/>
        </w:rPr>
      </w:pPr>
    </w:p>
    <w:p>
      <w:pPr>
        <w:jc w:val="both"/>
        <w:ind w:left="180" w:right="1620"/>
        <w:spacing w:after="0" w:line="281" w:lineRule="auto"/>
        <w:rPr>
          <w:sz w:val="20"/>
          <w:szCs w:val="20"/>
          <w:color w:val="auto"/>
        </w:rPr>
      </w:pPr>
      <w:r>
        <w:rPr>
          <w:rFonts w:ascii="Times New Roman" w:cs="Times New Roman" w:eastAsia="Times New Roman" w:hAnsi="Times New Roman"/>
          <w:sz w:val="16"/>
          <w:szCs w:val="16"/>
          <w:color w:val="auto"/>
        </w:rPr>
        <w:t>Subject to applicable legislation, if the date the Participant is no longer actually providing services cannot be reasonably determined under the terms of this Agreement or the Plan, the Committee shall have the exclusive discretion to determine when the Participant is no longer actually providing services for purposes of the Performance RSUs.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28" w:right="659" w:bottom="1440" w:gutter="0" w:footer="0" w:header="0"/>
        </w:sectPr>
      </w:pPr>
    </w:p>
    <w:bookmarkStart w:id="107" w:name="page108"/>
    <w:bookmarkEnd w:id="10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3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64"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191"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60" w:lineRule="exact"/>
        <w:rPr>
          <w:sz w:val="20"/>
          <w:szCs w:val="20"/>
          <w:color w:val="auto"/>
        </w:rPr>
      </w:pPr>
    </w:p>
    <w:p>
      <w:pPr>
        <w:jc w:val="both"/>
        <w:ind w:left="180"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7"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36"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28" w:right="659" w:bottom="1440" w:gutter="0" w:footer="0" w:header="0"/>
        </w:sectPr>
      </w:pPr>
    </w:p>
    <w:bookmarkStart w:id="108" w:name="page109"/>
    <w:bookmarkEnd w:id="10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7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6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75"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23" w:lineRule="exact"/>
        <w:rPr>
          <w:sz w:val="20"/>
          <w:szCs w:val="20"/>
          <w:color w:val="auto"/>
        </w:rPr>
      </w:pPr>
    </w:p>
    <w:p>
      <w:pPr>
        <w:jc w:val="both"/>
        <w:ind w:left="180"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17"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28" w:right="659" w:bottom="1440" w:gutter="0" w:footer="0" w:header="0"/>
          <w:type w:val="continuous"/>
        </w:sectPr>
      </w:pPr>
    </w:p>
    <w:bookmarkStart w:id="109" w:name="page110"/>
    <w:bookmarkEnd w:id="10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208"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6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the Grant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2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9(w) in the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28" w:right="659" w:bottom="1440" w:gutter="0" w:footer="0" w:header="0"/>
          <w:type w:val="continuous"/>
        </w:sectPr>
      </w:pPr>
    </w:p>
    <w:bookmarkStart w:id="110" w:name="page111"/>
    <w:bookmarkEnd w:id="11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89"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7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€50,000)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receives a payment in excess of this amount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or required by the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one hundred eighty (180) days of receipt, or such other period of time as required under applicable regulations, unless an exemption applies.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2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8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ectPr>
          <w:pgSz w:w="11900" w:h="16838" w:orient="portrait"/>
          <w:cols w:equalWidth="0" w:num="1">
            <w:col w:w="10760"/>
          </w:cols>
          <w:pgMar w:left="480" w:top="1028" w:right="659"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28" w:right="659" w:bottom="1440" w:gutter="0" w:footer="0" w:header="0"/>
          <w:type w:val="continuous"/>
        </w:sectPr>
      </w:pPr>
    </w:p>
    <w:bookmarkStart w:id="111" w:name="page112"/>
    <w:bookmarkEnd w:id="11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62"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5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8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00" w:lineRule="exact"/>
        <w:rPr>
          <w:sz w:val="20"/>
          <w:szCs w:val="20"/>
          <w:color w:val="auto"/>
        </w:rPr>
      </w:pPr>
    </w:p>
    <w:p>
      <w:pPr>
        <w:spacing w:after="0" w:line="22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a certain threshold (currently, ¥50,000,000). This report is due by June 30th each year. The Participant should consult with his or her personal tax advisor as to whether the reporting obligation applies to him or her and whether the requirement extends to any outstanding Performance RSUs or Shares acquired under the Plan.</w:t>
      </w:r>
    </w:p>
    <w:p>
      <w:pPr>
        <w:sectPr>
          <w:pgSz w:w="11900" w:h="16838" w:orient="portrait"/>
          <w:cols w:equalWidth="0" w:num="1">
            <w:col w:w="10760"/>
          </w:cols>
          <w:pgMar w:left="480" w:top="1028" w:right="65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28" w:right="659" w:bottom="1440" w:gutter="0" w:footer="0" w:header="0"/>
          <w:type w:val="continuous"/>
        </w:sectPr>
      </w:pPr>
    </w:p>
    <w:bookmarkStart w:id="112" w:name="page113"/>
    <w:bookmarkEnd w:id="11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spacing w:after="0" w:line="22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(e.g., non-Korean bank accounts, brokerage accounts)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80"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70485</wp:posOffset>
            </wp:positionV>
            <wp:extent cx="657479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ectPr>
          <w:pgSz w:w="11900" w:h="16838" w:orient="portrait"/>
          <w:cols w:equalWidth="0" w:num="1">
            <w:col w:w="10760"/>
          </w:cols>
          <w:pgMar w:left="480" w:top="1028" w:right="659" w:bottom="1440" w:gutter="0" w:footer="0" w:header="0"/>
        </w:sectPr>
      </w:pPr>
    </w:p>
    <w:p>
      <w:pPr>
        <w:spacing w:after="0" w:line="134"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-758825</wp:posOffset>
            </wp:positionV>
            <wp:extent cx="2983230" cy="10369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2983230"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-879475</wp:posOffset>
            </wp:positionV>
            <wp:extent cx="3583305" cy="10369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3583305" cy="1036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160"/>
            <w:col w:w="5780"/>
          </w:cols>
          <w:pgMar w:left="480" w:top="102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760"/>
          </w:cols>
          <w:pgMar w:left="480" w:top="1028" w:right="659" w:bottom="1440" w:gutter="0" w:footer="0" w:header="0"/>
          <w:type w:val="continuous"/>
        </w:sectPr>
      </w:pPr>
    </w:p>
    <w:bookmarkStart w:id="113" w:name="page114"/>
    <w:bookmarkEnd w:id="11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686435</wp:posOffset>
            </wp:positionV>
            <wp:extent cx="6574790" cy="1714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6574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5560" w:type="dxa"/>
            <w:vAlign w:val="bottom"/>
          </w:tcPr>
          <w:p>
            <w:pPr>
              <w:spacing w:after="0"/>
              <w:rPr>
                <w:sz w:val="17"/>
                <w:szCs w:val="17"/>
                <w:color w:val="auto"/>
              </w:rPr>
            </w:pP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5560" w:type="dxa"/>
            <w:vAlign w:val="bottom"/>
          </w:tcPr>
          <w:p>
            <w:pPr>
              <w:spacing w:after="0"/>
              <w:rPr>
                <w:sz w:val="16"/>
                <w:szCs w:val="16"/>
                <w:color w:val="auto"/>
              </w:rPr>
            </w:pP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w:t>
            </w:r>
          </w:p>
        </w:tc>
        <w:tc>
          <w:tcPr>
            <w:tcW w:w="5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-5428615</wp:posOffset>
            </wp:positionV>
            <wp:extent cx="8255"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-5411470</wp:posOffset>
            </wp:positionV>
            <wp:extent cx="8255"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-5394325</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-5377180</wp:posOffset>
            </wp:positionV>
            <wp:extent cx="8255"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-5360035</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-5342890</wp:posOffset>
            </wp:positionV>
            <wp:extent cx="8255"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-5325745</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-5308600</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-5291455</wp:posOffset>
            </wp:positionV>
            <wp:extent cx="8255"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-5274310</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-5257165</wp:posOffset>
            </wp:positionV>
            <wp:extent cx="8255"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-5240020</wp:posOffset>
            </wp:positionV>
            <wp:extent cx="8255"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-5222875</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-5205730</wp:posOffset>
            </wp:positionV>
            <wp:extent cx="8255"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-5188585</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-5171440</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-5154295</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-5137150</wp:posOffset>
            </wp:positionV>
            <wp:extent cx="8255"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-5120005</wp:posOffset>
            </wp:positionV>
            <wp:extent cx="8255"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-5102860</wp:posOffset>
            </wp:positionV>
            <wp:extent cx="8255"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-5085715</wp:posOffset>
            </wp:positionV>
            <wp:extent cx="8255"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-5068570</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-5051425</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-5034280</wp:posOffset>
            </wp:positionV>
            <wp:extent cx="8255"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-5017135</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-4999990</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-4982845</wp:posOffset>
            </wp:positionV>
            <wp:extent cx="8255"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-4965700</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-4948555</wp:posOffset>
            </wp:positionV>
            <wp:extent cx="8255"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-4931410</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-4914265</wp:posOffset>
            </wp:positionV>
            <wp:extent cx="8255"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-4897120</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-4879975</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-4862830</wp:posOffset>
            </wp:positionV>
            <wp:extent cx="8255"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-4845685</wp:posOffset>
            </wp:positionV>
            <wp:extent cx="8255"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-4828540</wp:posOffset>
            </wp:positionV>
            <wp:extent cx="8255"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-4811395</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-4794250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-4777105</wp:posOffset>
            </wp:positionV>
            <wp:extent cx="8255"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-4759960</wp:posOffset>
            </wp:positionV>
            <wp:extent cx="8255"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-4742815</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-4725670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-4708525</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-4691380</wp:posOffset>
            </wp:positionV>
            <wp:extent cx="8255"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-4674235</wp:posOffset>
            </wp:positionV>
            <wp:extent cx="8255"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-4657090</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-4639945</wp:posOffset>
            </wp:positionV>
            <wp:extent cx="8255"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-4622800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-4605655</wp:posOffset>
            </wp:positionV>
            <wp:extent cx="8255"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-4588510</wp:posOffset>
            </wp:positionV>
            <wp:extent cx="8255"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-4571365</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-4554220</wp:posOffset>
            </wp:positionV>
            <wp:extent cx="8255"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-4537075</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-4519930</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-4502785</wp:posOffset>
            </wp:positionV>
            <wp:extent cx="8255"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-4485640</wp:posOffset>
            </wp:positionV>
            <wp:extent cx="8255"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-4468495</wp:posOffset>
            </wp:positionV>
            <wp:extent cx="8255"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-4451350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-4434205</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-4417060</wp:posOffset>
            </wp:positionV>
            <wp:extent cx="8255"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-4399915</wp:posOffset>
            </wp:positionV>
            <wp:extent cx="8255"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-4382770</wp:posOffset>
            </wp:positionV>
            <wp:extent cx="8255"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-4365625</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-4348480</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-4331335</wp:posOffset>
            </wp:positionV>
            <wp:extent cx="8255"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-4314190</wp:posOffset>
            </wp:positionV>
            <wp:extent cx="8255"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-4297045</wp:posOffset>
            </wp:positionV>
            <wp:extent cx="8255"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-4279900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-4262755</wp:posOffset>
            </wp:positionV>
            <wp:extent cx="8255"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-4245610</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-4228465</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-4211320</wp:posOffset>
            </wp:positionV>
            <wp:extent cx="8255"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-4194175</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-4177030</wp:posOffset>
            </wp:positionV>
            <wp:extent cx="8255"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-4159885</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-4142740</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-4125595</wp:posOffset>
            </wp:positionV>
            <wp:extent cx="8255"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-4108450</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-4091305</wp:posOffset>
            </wp:positionV>
            <wp:extent cx="8255"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-4074160</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-4057015</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-4039870</wp:posOffset>
            </wp:positionV>
            <wp:extent cx="8255"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-4022725</wp:posOffset>
            </wp:positionV>
            <wp:extent cx="8255"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-4005580</wp:posOffset>
            </wp:positionV>
            <wp:extent cx="8255"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-3988435</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-3971290</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-3954145</wp:posOffset>
            </wp:positionV>
            <wp:extent cx="8255"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-3937000</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-3919855</wp:posOffset>
            </wp:positionV>
            <wp:extent cx="8255"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-3902710</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-3885565</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-3868420</wp:posOffset>
            </wp:positionV>
            <wp:extent cx="8255"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-3851275</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-3834130</wp:posOffset>
            </wp:positionV>
            <wp:extent cx="8255"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-3816985</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-3799840</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-3782695</wp:posOffset>
            </wp:positionV>
            <wp:extent cx="8255"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-3765550</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-3748405</wp:posOffset>
            </wp:positionV>
            <wp:extent cx="8255"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-3731260</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-3714115</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-3696970</wp:posOffset>
            </wp:positionV>
            <wp:extent cx="8255"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-3679825</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-3662680</wp:posOffset>
            </wp:positionV>
            <wp:extent cx="8255"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-3645535</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-3628390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-3611245</wp:posOffset>
            </wp:positionV>
            <wp:extent cx="8255"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-3594100</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-3576955</wp:posOffset>
            </wp:positionV>
            <wp:extent cx="8255"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-3559810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-3542665</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-3525520</wp:posOffset>
            </wp:positionV>
            <wp:extent cx="8255"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-3508375</wp:posOffset>
            </wp:positionV>
            <wp:extent cx="8255"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-3491230</wp:posOffset>
            </wp:positionV>
            <wp:extent cx="8255"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-3474085</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-3456940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-3439795</wp:posOffset>
            </wp:positionV>
            <wp:extent cx="8255"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-3422650</wp:posOffset>
            </wp:positionV>
            <wp:extent cx="8255"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-3405505</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-3388360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-3371215</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-3354070</wp:posOffset>
            </wp:positionV>
            <wp:extent cx="8255"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-3336925</wp:posOffset>
            </wp:positionV>
            <wp:extent cx="8255"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-3319780</wp:posOffset>
            </wp:positionV>
            <wp:extent cx="8255"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-3302635</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-3285490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-3268345</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-3251200</wp:posOffset>
            </wp:positionV>
            <wp:extent cx="8255"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-3234055</wp:posOffset>
            </wp:positionV>
            <wp:extent cx="8255"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-3216910</wp:posOffset>
            </wp:positionV>
            <wp:extent cx="8255"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-3199765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-3182620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-3165475</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-3148330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-3131185</wp:posOffset>
            </wp:positionV>
            <wp:extent cx="8255"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-3114040</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-3096895</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-3079750</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-3062605</wp:posOffset>
            </wp:positionV>
            <wp:extent cx="8255"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-3045460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-3028315</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-3011170</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-2994025</wp:posOffset>
            </wp:positionV>
            <wp:extent cx="8255"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-2976880</wp:posOffset>
            </wp:positionV>
            <wp:extent cx="8255"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-2959735</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-2942590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-2925445</wp:posOffset>
            </wp:positionV>
            <wp:extent cx="8255"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-2908300</wp:posOffset>
            </wp:positionV>
            <wp:extent cx="8255"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-2891155</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-2874010</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-2856865</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-2839720</wp:posOffset>
            </wp:positionV>
            <wp:extent cx="8255"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-2822575</wp:posOffset>
            </wp:positionV>
            <wp:extent cx="8255"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-2805430</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-2788285</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-2771140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-2753995</wp:posOffset>
            </wp:positionV>
            <wp:extent cx="8255"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-2736850</wp:posOffset>
            </wp:positionV>
            <wp:extent cx="8255"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-2719705</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-2702560</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-2685415</wp:posOffset>
            </wp:positionV>
            <wp:extent cx="8255"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-2668270</wp:posOffset>
            </wp:positionV>
            <wp:extent cx="8255"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-2651125</wp:posOffset>
            </wp:positionV>
            <wp:extent cx="8255"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-2633980</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-2616835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-2599690</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-2582545</wp:posOffset>
            </wp:positionV>
            <wp:extent cx="8255"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-2565400</wp:posOffset>
            </wp:positionV>
            <wp:extent cx="8255"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-2548255</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-2531110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-2513965</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-2496820</wp:posOffset>
            </wp:positionV>
            <wp:extent cx="8255"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-2479675</wp:posOffset>
            </wp:positionV>
            <wp:extent cx="8255"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-2462530</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-2445385</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-2428240</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-2411095</wp:posOffset>
            </wp:positionV>
            <wp:extent cx="8255"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-2393950</wp:posOffset>
            </wp:positionV>
            <wp:extent cx="8255"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-2376805</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-2359660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-2342515</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-2325370</wp:posOffset>
            </wp:positionV>
            <wp:extent cx="8255"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-2308225</wp:posOffset>
            </wp:positionV>
            <wp:extent cx="8255"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-2291080</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-2273935</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-2256790</wp:posOffset>
            </wp:positionV>
            <wp:extent cx="8255"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-2239645</wp:posOffset>
            </wp:positionV>
            <wp:extent cx="8255"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-2222500</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-2205355</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-2188210</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-2171065</wp:posOffset>
            </wp:positionV>
            <wp:extent cx="8255"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-2153920</wp:posOffset>
            </wp:positionV>
            <wp:extent cx="8255"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-2136775</wp:posOffset>
            </wp:positionV>
            <wp:extent cx="8255"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-2119630</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-2102485</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-2085340</wp:posOffset>
            </wp:positionV>
            <wp:extent cx="8255"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-2068195</wp:posOffset>
            </wp:positionV>
            <wp:extent cx="8255"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-2051050</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-2033905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-2016760</wp:posOffset>
            </wp:positionV>
            <wp:extent cx="8255"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-1999615</wp:posOffset>
            </wp:positionV>
            <wp:extent cx="8255"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-1982470</wp:posOffset>
            </wp:positionV>
            <wp:extent cx="8255"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-1965325</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-1948180</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-1931035</wp:posOffset>
            </wp:positionV>
            <wp:extent cx="8255"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-1913890</wp:posOffset>
            </wp:positionV>
            <wp:extent cx="8255"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-1896745</wp:posOffset>
            </wp:positionV>
            <wp:extent cx="8255"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-1879600</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-1862455</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-1845310</wp:posOffset>
            </wp:positionV>
            <wp:extent cx="8255"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-1828165</wp:posOffset>
            </wp:positionV>
            <wp:extent cx="8255"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-1811020</wp:posOffset>
            </wp:positionV>
            <wp:extent cx="8255"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-1793875</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-1776730</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-1759585</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-1742440</wp:posOffset>
            </wp:positionV>
            <wp:extent cx="8255"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-1725295</wp:posOffset>
            </wp:positionV>
            <wp:extent cx="82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-1708150</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-1691005</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-1673860</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-1656715</wp:posOffset>
            </wp:positionV>
            <wp:extent cx="8255"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-1639570</wp:posOffset>
            </wp:positionV>
            <wp:extent cx="8255"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-1622425</wp:posOffset>
            </wp:positionV>
            <wp:extent cx="8255"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-1605280</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-1588135</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-1570990</wp:posOffset>
            </wp:positionV>
            <wp:extent cx="8255"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-1553845</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-1536700</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-1519555</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-1502410</wp:posOffset>
            </wp:positionV>
            <wp:extent cx="8255"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-1485265</wp:posOffset>
            </wp:positionV>
            <wp:extent cx="8255"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-1468120</wp:posOffset>
            </wp:positionV>
            <wp:extent cx="8255"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-1450975</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-1433830</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-1416685</wp:posOffset>
            </wp:positionV>
            <wp:extent cx="8255"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-1399540</wp:posOffset>
            </wp:positionV>
            <wp:extent cx="8255"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-1382395</wp:posOffset>
            </wp:positionV>
            <wp:extent cx="8255"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-1365250</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-1348105</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-1330960</wp:posOffset>
            </wp:positionV>
            <wp:extent cx="8255"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-1313815</wp:posOffset>
            </wp:positionV>
            <wp:extent cx="8255"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-1296670</wp:posOffset>
            </wp:positionV>
            <wp:extent cx="8255"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-1279525</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-1262380</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-1245235</wp:posOffset>
            </wp:positionV>
            <wp:extent cx="8255"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-1228090</wp:posOffset>
            </wp:positionV>
            <wp:extent cx="8255"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-1210945</wp:posOffset>
            </wp:positionV>
            <wp:extent cx="8255"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-1193800</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-1176655</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-1159510</wp:posOffset>
            </wp:positionV>
            <wp:extent cx="8255"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-1142365</wp:posOffset>
            </wp:positionV>
            <wp:extent cx="8255"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-1125220</wp:posOffset>
            </wp:positionV>
            <wp:extent cx="8255"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-1108075</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-1090930</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-1073785</wp:posOffset>
            </wp:positionV>
            <wp:extent cx="8255"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-1056640</wp:posOffset>
            </wp:positionV>
            <wp:extent cx="8255"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-1039495</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-1022350</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-1005205</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-988060</wp:posOffset>
            </wp:positionV>
            <wp:extent cx="8255"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-970915</wp:posOffset>
            </wp:positionV>
            <wp:extent cx="8255"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-953770</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-936625</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-919480</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-902335</wp:posOffset>
            </wp:positionV>
            <wp:extent cx="8255"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-885190</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-868045</wp:posOffset>
            </wp:positionV>
            <wp:extent cx="8255"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-850900</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-833755</wp:posOffset>
            </wp:positionV>
            <wp:extent cx="8255"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-816610</wp:posOffset>
            </wp:positionV>
            <wp:extent cx="8255"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-799465</wp:posOffset>
            </wp:positionV>
            <wp:extent cx="8255"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-782320</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-765175</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-748030</wp:posOffset>
            </wp:positionV>
            <wp:extent cx="8255"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-730885</wp:posOffset>
            </wp:positionV>
            <wp:extent cx="8255"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-713740</wp:posOffset>
            </wp:positionV>
            <wp:extent cx="8255"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-696595</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-679450</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-662305</wp:posOffset>
            </wp:positionV>
            <wp:extent cx="8255"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-645160</wp:posOffset>
            </wp:positionV>
            <wp:extent cx="8255"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-628015</wp:posOffset>
            </wp:positionV>
            <wp:extent cx="8255"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-610870</wp:posOffset>
            </wp:positionV>
            <wp:extent cx="825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-593725</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-576580</wp:posOffset>
            </wp:positionV>
            <wp:extent cx="8255"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-559435</wp:posOffset>
            </wp:positionV>
            <wp:extent cx="8255"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-542290</wp:posOffset>
            </wp:positionV>
            <wp:extent cx="8255"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-525145</wp:posOffset>
            </wp:positionV>
            <wp:extent cx="8255"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-508000</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-490855</wp:posOffset>
            </wp:positionV>
            <wp:extent cx="8255" cy="88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-473710</wp:posOffset>
            </wp:positionV>
            <wp:extent cx="8255"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-456565</wp:posOffset>
            </wp:positionV>
            <wp:extent cx="8255"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-439420</wp:posOffset>
            </wp:positionV>
            <wp:extent cx="8255"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-422275</wp:posOffset>
            </wp:positionV>
            <wp:extent cx="8255"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-405130</wp:posOffset>
            </wp:positionV>
            <wp:extent cx="8255"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-387985</wp:posOffset>
            </wp:positionV>
            <wp:extent cx="8255"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-370840</wp:posOffset>
            </wp:positionV>
            <wp:extent cx="8255"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-353695</wp:posOffset>
            </wp:positionV>
            <wp:extent cx="8255"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-336550</wp:posOffset>
            </wp:positionV>
            <wp:extent cx="8255"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-319405</wp:posOffset>
            </wp:positionV>
            <wp:extent cx="8255"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-302260</wp:posOffset>
            </wp:positionV>
            <wp:extent cx="8255"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-285115</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-267970</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-250825</wp:posOffset>
            </wp:positionV>
            <wp:extent cx="8255"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-233680</wp:posOffset>
            </wp:positionV>
            <wp:extent cx="8255"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-216535</wp:posOffset>
            </wp:positionV>
            <wp:extent cx="8255"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-199390</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-182245</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-165100</wp:posOffset>
            </wp:positionV>
            <wp:extent cx="8255" cy="889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-147955</wp:posOffset>
            </wp:positionV>
            <wp:extent cx="8255"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-130810</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-113665</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-96520</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-79375</wp:posOffset>
            </wp:positionV>
            <wp:extent cx="8255"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-62230</wp:posOffset>
            </wp:positionV>
            <wp:extent cx="8255"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-45085</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-27940</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-10795</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-5428615</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-5411470</wp:posOffset>
            </wp:positionV>
            <wp:extent cx="8255"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-5394325</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-5377180</wp:posOffset>
            </wp:positionV>
            <wp:extent cx="8255"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-5360035</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-5342890</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-5325745</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-5308600</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-5291455</wp:posOffset>
            </wp:positionV>
            <wp:extent cx="8255"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-5274310</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-5257165</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-5240020</wp:posOffset>
            </wp:positionV>
            <wp:extent cx="8255"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-5222875</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-5205730</wp:posOffset>
            </wp:positionV>
            <wp:extent cx="8255"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-5188585</wp:posOffset>
            </wp:positionV>
            <wp:extent cx="8255"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-5171440</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-5154295</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-5137150</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-5120005</wp:posOffset>
            </wp:positionV>
            <wp:extent cx="8255" cy="889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-5102860</wp:posOffset>
            </wp:positionV>
            <wp:extent cx="8255"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-5085715</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-5068570</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-5051425</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-5034280</wp:posOffset>
            </wp:positionV>
            <wp:extent cx="8255"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-5017135</wp:posOffset>
            </wp:positionV>
            <wp:extent cx="8255"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-4999990</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-4982845</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-4965700</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-4948555</wp:posOffset>
            </wp:positionV>
            <wp:extent cx="8255"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-4931410</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-4914265</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-4897120</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-4879975</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-4862830</wp:posOffset>
            </wp:positionV>
            <wp:extent cx="8255"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-4845685</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-4828540</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-4811395</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-4794250</wp:posOffset>
            </wp:positionV>
            <wp:extent cx="8255"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-4777105</wp:posOffset>
            </wp:positionV>
            <wp:extent cx="8255"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-4759960</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-4742815</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-4725670</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-4708525</wp:posOffset>
            </wp:positionV>
            <wp:extent cx="8255"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-4691380</wp:posOffset>
            </wp:positionV>
            <wp:extent cx="8255"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-4674235</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-4657090</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-4639945</wp:posOffset>
            </wp:positionV>
            <wp:extent cx="8255" cy="889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-4622800</wp:posOffset>
            </wp:positionV>
            <wp:extent cx="8255"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-4605655</wp:posOffset>
            </wp:positionV>
            <wp:extent cx="8255"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-4588510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-4571365</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-4554220</wp:posOffset>
            </wp:positionV>
            <wp:extent cx="8255" cy="889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-4537075</wp:posOffset>
            </wp:positionV>
            <wp:extent cx="82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-4519930</wp:posOffset>
            </wp:positionV>
            <wp:extent cx="8255"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-4502785</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-4485640</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-4468495</wp:posOffset>
            </wp:positionV>
            <wp:extent cx="8255" cy="889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-4451350</wp:posOffset>
            </wp:positionV>
            <wp:extent cx="8255"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-4434205</wp:posOffset>
            </wp:positionV>
            <wp:extent cx="8255"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-4417060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-4399915</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-4382770</wp:posOffset>
            </wp:positionV>
            <wp:extent cx="8255"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-4365625</wp:posOffset>
            </wp:positionV>
            <wp:extent cx="8255"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-4348480</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-4331335</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-4314190</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-4297045</wp:posOffset>
            </wp:positionV>
            <wp:extent cx="8255"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-4279900</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-4262755</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-4245610</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-4228465</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-4211320</wp:posOffset>
            </wp:positionV>
            <wp:extent cx="8255"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-4194175</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-4177030</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-4159885</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-4142740</wp:posOffset>
            </wp:positionV>
            <wp:extent cx="82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-4125595</wp:posOffset>
            </wp:positionV>
            <wp:extent cx="8255"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-4108450</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-4091305</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-4074160</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-4057015</wp:posOffset>
            </wp:positionV>
            <wp:extent cx="8255"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-4039870</wp:posOffset>
            </wp:positionV>
            <wp:extent cx="8255"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-4022725</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-4005580</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-3988435</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-3971290</wp:posOffset>
            </wp:positionV>
            <wp:extent cx="8255"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-3954145</wp:posOffset>
            </wp:positionV>
            <wp:extent cx="8255"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-3937000</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-3919855</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-3902710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-3885565</wp:posOffset>
            </wp:positionV>
            <wp:extent cx="8255"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-3868420</wp:posOffset>
            </wp:positionV>
            <wp:extent cx="8255"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-3851275</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-3834130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-3816985</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-3799840</wp:posOffset>
            </wp:positionV>
            <wp:extent cx="8255"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-3782695</wp:posOffset>
            </wp:positionV>
            <wp:extent cx="8255"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-3765550</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-3748405</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-3731260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-3714115</wp:posOffset>
            </wp:positionV>
            <wp:extent cx="8255"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-3696970</wp:posOffset>
            </wp:positionV>
            <wp:extent cx="8255"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-3679825</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-3662680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-3645535</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-3628390</wp:posOffset>
            </wp:positionV>
            <wp:extent cx="8255"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-3611245</wp:posOffset>
            </wp:positionV>
            <wp:extent cx="8255"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-3594100</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-3576955</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-3559810</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-3542665</wp:posOffset>
            </wp:positionV>
            <wp:extent cx="8255"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-3525520</wp:posOffset>
            </wp:positionV>
            <wp:extent cx="8255"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-3508375</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-3491230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-3474085</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-3456940</wp:posOffset>
            </wp:positionV>
            <wp:extent cx="8255"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-3439795</wp:posOffset>
            </wp:positionV>
            <wp:extent cx="8255"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-3422650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-3405505</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-3388360</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-3371215</wp:posOffset>
            </wp:positionV>
            <wp:extent cx="8255"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-3354070</wp:posOffset>
            </wp:positionV>
            <wp:extent cx="8255"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-3336925</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-3319780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-3302635</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-3285490</wp:posOffset>
            </wp:positionV>
            <wp:extent cx="8255"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-3268345</wp:posOffset>
            </wp:positionV>
            <wp:extent cx="8255"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-3251200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-3234055</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-3216910</wp:posOffset>
            </wp:positionV>
            <wp:extent cx="8255"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-3199765</wp:posOffset>
            </wp:positionV>
            <wp:extent cx="8255"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-3182620</wp:posOffset>
            </wp:positionV>
            <wp:extent cx="8255"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-3165475</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-3148330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-3131185</wp:posOffset>
            </wp:positionV>
            <wp:extent cx="8255"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-3114040</wp:posOffset>
            </wp:positionV>
            <wp:extent cx="8255"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-3096895</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-3079750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-3062605</wp:posOffset>
            </wp:positionV>
            <wp:extent cx="8255"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-3045460</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-3028315</wp:posOffset>
            </wp:positionV>
            <wp:extent cx="8255"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-3011170</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-2994025</wp:posOffset>
            </wp:positionV>
            <wp:extent cx="8255"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-2976880</wp:posOffset>
            </wp:positionV>
            <wp:extent cx="8255"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-2959735</wp:posOffset>
            </wp:positionV>
            <wp:extent cx="8255"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-2942590</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-2925445</wp:posOffset>
            </wp:positionV>
            <wp:extent cx="8255"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-2908300</wp:posOffset>
            </wp:positionV>
            <wp:extent cx="8255"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-2891155</wp:posOffset>
            </wp:positionV>
            <wp:extent cx="8255"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-2874010</wp:posOffset>
            </wp:positionV>
            <wp:extent cx="8255"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-2856865</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-2839720</wp:posOffset>
            </wp:positionV>
            <wp:extent cx="8255"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-2822575</wp:posOffset>
            </wp:positionV>
            <wp:extent cx="8255"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-2805430</wp:posOffset>
            </wp:positionV>
            <wp:extent cx="8255"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-2788285</wp:posOffset>
            </wp:positionV>
            <wp:extent cx="8255"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-2771140</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-2753995</wp:posOffset>
            </wp:positionV>
            <wp:extent cx="8255"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-2736850</wp:posOffset>
            </wp:positionV>
            <wp:extent cx="8255"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-2719705</wp:posOffset>
            </wp:positionV>
            <wp:extent cx="8255"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-2702560</wp:posOffset>
            </wp:positionV>
            <wp:extent cx="8255"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-2685415</wp:posOffset>
            </wp:positionV>
            <wp:extent cx="825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-2668270</wp:posOffset>
            </wp:positionV>
            <wp:extent cx="8255"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-2651125</wp:posOffset>
            </wp:positionV>
            <wp:extent cx="8255"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-2633980</wp:posOffset>
            </wp:positionV>
            <wp:extent cx="8255"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-2616835</wp:posOffset>
            </wp:positionV>
            <wp:extent cx="8255"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-2599690</wp:posOffset>
            </wp:positionV>
            <wp:extent cx="8255"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-2582545</wp:posOffset>
            </wp:positionV>
            <wp:extent cx="8255"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-2565400</wp:posOffset>
            </wp:positionV>
            <wp:extent cx="8255"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-2548255</wp:posOffset>
            </wp:positionV>
            <wp:extent cx="8255"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-2531110</wp:posOffset>
            </wp:positionV>
            <wp:extent cx="8255"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-2513965</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-2496820</wp:posOffset>
            </wp:positionV>
            <wp:extent cx="8255"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-2479675</wp:posOffset>
            </wp:positionV>
            <wp:extent cx="8255"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-2462530</wp:posOffset>
            </wp:positionV>
            <wp:extent cx="8255"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-2445385</wp:posOffset>
            </wp:positionV>
            <wp:extent cx="8255"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-2428240</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-2411095</wp:posOffset>
            </wp:positionV>
            <wp:extent cx="8255"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-2393950</wp:posOffset>
            </wp:positionV>
            <wp:extent cx="8255"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-2376805</wp:posOffset>
            </wp:positionV>
            <wp:extent cx="8255"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-2359660</wp:posOffset>
            </wp:positionV>
            <wp:extent cx="8255"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-2342515</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-2325370</wp:posOffset>
            </wp:positionV>
            <wp:extent cx="8255" cy="889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-2308225</wp:posOffset>
            </wp:positionV>
            <wp:extent cx="8255"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-2291080</wp:posOffset>
            </wp:positionV>
            <wp:extent cx="8255"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-2273935</wp:posOffset>
            </wp:positionV>
            <wp:extent cx="8255"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-2256790</wp:posOffset>
            </wp:positionV>
            <wp:extent cx="8255"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-2239645</wp:posOffset>
            </wp:positionV>
            <wp:extent cx="8255" cy="889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-2222500</wp:posOffset>
            </wp:positionV>
            <wp:extent cx="8255"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-2205355</wp:posOffset>
            </wp:positionV>
            <wp:extent cx="8255"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-2188210</wp:posOffset>
            </wp:positionV>
            <wp:extent cx="8255"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-2171065</wp:posOffset>
            </wp:positionV>
            <wp:extent cx="8255"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-2153920</wp:posOffset>
            </wp:positionV>
            <wp:extent cx="8255"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-2136775</wp:posOffset>
            </wp:positionV>
            <wp:extent cx="8255"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-2119630</wp:posOffset>
            </wp:positionV>
            <wp:extent cx="8255"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-2102485</wp:posOffset>
            </wp:positionV>
            <wp:extent cx="8255"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-2085340</wp:posOffset>
            </wp:positionV>
            <wp:extent cx="8255"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-2068195</wp:posOffset>
            </wp:positionV>
            <wp:extent cx="8255"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-2051050</wp:posOffset>
            </wp:positionV>
            <wp:extent cx="825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-2033905</wp:posOffset>
            </wp:positionV>
            <wp:extent cx="8255"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-2016760</wp:posOffset>
            </wp:positionV>
            <wp:extent cx="8255"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-1999615</wp:posOffset>
            </wp:positionV>
            <wp:extent cx="8255"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-1982470</wp:posOffset>
            </wp:positionV>
            <wp:extent cx="8255"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-1965325</wp:posOffset>
            </wp:positionV>
            <wp:extent cx="8255"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-1948180</wp:posOffset>
            </wp:positionV>
            <wp:extent cx="8255"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-1931035</wp:posOffset>
            </wp:positionV>
            <wp:extent cx="8255"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-1913890</wp:posOffset>
            </wp:positionV>
            <wp:extent cx="8255"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-1896745</wp:posOffset>
            </wp:positionV>
            <wp:extent cx="8255"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-1879600</wp:posOffset>
            </wp:positionV>
            <wp:extent cx="8255"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-1862455</wp:posOffset>
            </wp:positionV>
            <wp:extent cx="8255"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-1845310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-1828165</wp:posOffset>
            </wp:positionV>
            <wp:extent cx="8255"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-1811020</wp:posOffset>
            </wp:positionV>
            <wp:extent cx="8255"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-1793875</wp:posOffset>
            </wp:positionV>
            <wp:extent cx="8255"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-1776730</wp:posOffset>
            </wp:positionV>
            <wp:extent cx="8255"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-1759585</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-1742440</wp:posOffset>
            </wp:positionV>
            <wp:extent cx="8255"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-1725295</wp:posOffset>
            </wp:positionV>
            <wp:extent cx="8255"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-1708150</wp:posOffset>
            </wp:positionV>
            <wp:extent cx="8255"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-1691005</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-1673860</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-1656715</wp:posOffset>
            </wp:positionV>
            <wp:extent cx="8255"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-1639570</wp:posOffset>
            </wp:positionV>
            <wp:extent cx="8255"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-1622425</wp:posOffset>
            </wp:positionV>
            <wp:extent cx="8255"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-1605280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-1588135</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-1570990</wp:posOffset>
            </wp:positionV>
            <wp:extent cx="8255" cy="88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-1553845</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-1536700</wp:posOffset>
            </wp:positionV>
            <wp:extent cx="8255"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-1519555</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-1502410</wp:posOffset>
            </wp:positionV>
            <wp:extent cx="8255" cy="889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-1485265</wp:posOffset>
            </wp:positionV>
            <wp:extent cx="8255"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-1468120</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-1450975</wp:posOffset>
            </wp:positionV>
            <wp:extent cx="825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-1433830</wp:posOffset>
            </wp:positionV>
            <wp:extent cx="825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-1416685</wp:posOffset>
            </wp:positionV>
            <wp:extent cx="8255" cy="889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-1399540</wp:posOffset>
            </wp:positionV>
            <wp:extent cx="8255"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-1382395</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-1365250</wp:posOffset>
            </wp:positionV>
            <wp:extent cx="8255"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-1348105</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-1330960</wp:posOffset>
            </wp:positionV>
            <wp:extent cx="8255"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-1313815</wp:posOffset>
            </wp:positionV>
            <wp:extent cx="8255"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-1296670</wp:posOffset>
            </wp:positionV>
            <wp:extent cx="8255"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-1279525</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-1262380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-1245235</wp:posOffset>
            </wp:positionV>
            <wp:extent cx="8255" cy="88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-1228090</wp:posOffset>
            </wp:positionV>
            <wp:extent cx="8255" cy="889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-1210945</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-1193800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-1176655</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-1159510</wp:posOffset>
            </wp:positionV>
            <wp:extent cx="8255"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-1142365</wp:posOffset>
            </wp:positionV>
            <wp:extent cx="8255" cy="889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-1125220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-1108075</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-1090930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-1073785</wp:posOffset>
            </wp:positionV>
            <wp:extent cx="8255"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-1056640</wp:posOffset>
            </wp:positionV>
            <wp:extent cx="8255"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-1039495</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-1022350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-1005205</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-988060</wp:posOffset>
            </wp:positionV>
            <wp:extent cx="8255"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-970915</wp:posOffset>
            </wp:positionV>
            <wp:extent cx="8255"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-953770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-936625</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-919480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-902335</wp:posOffset>
            </wp:positionV>
            <wp:extent cx="8255" cy="889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-885190</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-868045</wp:posOffset>
            </wp:positionV>
            <wp:extent cx="8255"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-850900</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-833755</wp:posOffset>
            </wp:positionV>
            <wp:extent cx="8255" cy="889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-816610</wp:posOffset>
            </wp:positionV>
            <wp:extent cx="8255"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-799465</wp:posOffset>
            </wp:positionV>
            <wp:extent cx="8255"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-782320</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-765175</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-748030</wp:posOffset>
            </wp:positionV>
            <wp:extent cx="8255"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-730885</wp:posOffset>
            </wp:positionV>
            <wp:extent cx="8255"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-713740</wp:posOffset>
            </wp:positionV>
            <wp:extent cx="8255"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-696595</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-679450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-662305</wp:posOffset>
            </wp:positionV>
            <wp:extent cx="8255"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8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-5428615</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-5411470</wp:posOffset>
            </wp:positionV>
            <wp:extent cx="8255"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-5394325</wp:posOffset>
            </wp:positionV>
            <wp:extent cx="8255"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-5377180</wp:posOffset>
            </wp:positionV>
            <wp:extent cx="8255"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-5360035</wp:posOffset>
            </wp:positionV>
            <wp:extent cx="8255"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-5342890</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-5325745</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-5308600</wp:posOffset>
            </wp:positionV>
            <wp:extent cx="8255"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-5291455</wp:posOffset>
            </wp:positionV>
            <wp:extent cx="8255"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-5274310</wp:posOffset>
            </wp:positionV>
            <wp:extent cx="8255"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-5257165</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-5240020</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-5222875</wp:posOffset>
            </wp:positionV>
            <wp:extent cx="8255"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-5205730</wp:posOffset>
            </wp:positionV>
            <wp:extent cx="8255" cy="889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-5188585</wp:posOffset>
            </wp:positionV>
            <wp:extent cx="8255"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-5171440</wp:posOffset>
            </wp:positionV>
            <wp:extent cx="8255"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-5154295</wp:posOffset>
            </wp:positionV>
            <wp:extent cx="8255"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-5137150</wp:posOffset>
            </wp:positionV>
            <wp:extent cx="8255"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-5120005</wp:posOffset>
            </wp:positionV>
            <wp:extent cx="8255" cy="889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-5102860</wp:posOffset>
            </wp:positionV>
            <wp:extent cx="8255"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-5085715</wp:posOffset>
            </wp:positionV>
            <wp:extent cx="8255"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-5068570</wp:posOffset>
            </wp:positionV>
            <wp:extent cx="8255"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-5051425</wp:posOffset>
            </wp:positionV>
            <wp:extent cx="8255"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-5034280</wp:posOffset>
            </wp:positionV>
            <wp:extent cx="8255" cy="889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-5017135</wp:posOffset>
            </wp:positionV>
            <wp:extent cx="8255"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-4999990</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-4982845</wp:posOffset>
            </wp:positionV>
            <wp:extent cx="8255"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-4965700</wp:posOffset>
            </wp:positionV>
            <wp:extent cx="8255"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-4948555</wp:posOffset>
            </wp:positionV>
            <wp:extent cx="8255"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-4931410</wp:posOffset>
            </wp:positionV>
            <wp:extent cx="825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-4914265</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-4897120</wp:posOffset>
            </wp:positionV>
            <wp:extent cx="8255"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-4879975</wp:posOffset>
            </wp:positionV>
            <wp:extent cx="8255"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-4862830</wp:posOffset>
            </wp:positionV>
            <wp:extent cx="8255"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-4845685</wp:posOffset>
            </wp:positionV>
            <wp:extent cx="8255"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-4828540</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-4811395</wp:posOffset>
            </wp:positionV>
            <wp:extent cx="8255"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-4794250</wp:posOffset>
            </wp:positionV>
            <wp:extent cx="8255"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-4777105</wp:posOffset>
            </wp:positionV>
            <wp:extent cx="8255"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-4759960</wp:posOffset>
            </wp:positionV>
            <wp:extent cx="8255"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-4742815</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-4725670</wp:posOffset>
            </wp:positionV>
            <wp:extent cx="8255"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-4708525</wp:posOffset>
            </wp:positionV>
            <wp:extent cx="8255"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-4691380</wp:posOffset>
            </wp:positionV>
            <wp:extent cx="8255"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-4674235</wp:posOffset>
            </wp:positionV>
            <wp:extent cx="8255"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-4657090</wp:posOffset>
            </wp:positionV>
            <wp:extent cx="8255"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-4639945</wp:posOffset>
            </wp:positionV>
            <wp:extent cx="8255"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-4622800</wp:posOffset>
            </wp:positionV>
            <wp:extent cx="8255"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-4605655</wp:posOffset>
            </wp:positionV>
            <wp:extent cx="8255"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-4588510</wp:posOffset>
            </wp:positionV>
            <wp:extent cx="8255"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-4571365</wp:posOffset>
            </wp:positionV>
            <wp:extent cx="8255"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-4554220</wp:posOffset>
            </wp:positionV>
            <wp:extent cx="8255"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-4537075</wp:posOffset>
            </wp:positionV>
            <wp:extent cx="8255"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-4519930</wp:posOffset>
            </wp:positionV>
            <wp:extent cx="8255"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-4502785</wp:posOffset>
            </wp:positionV>
            <wp:extent cx="8255"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-4485640</wp:posOffset>
            </wp:positionV>
            <wp:extent cx="8255"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-4468495</wp:posOffset>
            </wp:positionV>
            <wp:extent cx="8255"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-4451350</wp:posOffset>
            </wp:positionV>
            <wp:extent cx="8255"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-4434205</wp:posOffset>
            </wp:positionV>
            <wp:extent cx="8255"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-4417060</wp:posOffset>
            </wp:positionV>
            <wp:extent cx="8255"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-4399915</wp:posOffset>
            </wp:positionV>
            <wp:extent cx="8255"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-4382770</wp:posOffset>
            </wp:positionV>
            <wp:extent cx="8255"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-4365625</wp:posOffset>
            </wp:positionV>
            <wp:extent cx="8255"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-4348480</wp:posOffset>
            </wp:positionV>
            <wp:extent cx="8255"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-4331335</wp:posOffset>
            </wp:positionV>
            <wp:extent cx="8255"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-4314190</wp:posOffset>
            </wp:positionV>
            <wp:extent cx="8255"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-4297045</wp:posOffset>
            </wp:positionV>
            <wp:extent cx="8255"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-4279900</wp:posOffset>
            </wp:positionV>
            <wp:extent cx="8255"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-4262755</wp:posOffset>
            </wp:positionV>
            <wp:extent cx="8255"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-4245610</wp:posOffset>
            </wp:positionV>
            <wp:extent cx="8255"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-4228465</wp:posOffset>
            </wp:positionV>
            <wp:extent cx="8255"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-4211320</wp:posOffset>
            </wp:positionV>
            <wp:extent cx="8255"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-4194175</wp:posOffset>
            </wp:positionV>
            <wp:extent cx="8255"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-4177030</wp:posOffset>
            </wp:positionV>
            <wp:extent cx="8255"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-4159885</wp:posOffset>
            </wp:positionV>
            <wp:extent cx="8255"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-4142740</wp:posOffset>
            </wp:positionV>
            <wp:extent cx="8255"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-4125595</wp:posOffset>
            </wp:positionV>
            <wp:extent cx="8255"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-4108450</wp:posOffset>
            </wp:positionV>
            <wp:extent cx="8255"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-4091305</wp:posOffset>
            </wp:positionV>
            <wp:extent cx="8255"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-4074160</wp:posOffset>
            </wp:positionV>
            <wp:extent cx="8255"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-4057015</wp:posOffset>
            </wp:positionV>
            <wp:extent cx="8255"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-4039870</wp:posOffset>
            </wp:positionV>
            <wp:extent cx="8255"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-4022725</wp:posOffset>
            </wp:positionV>
            <wp:extent cx="8255"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-4005580</wp:posOffset>
            </wp:positionV>
            <wp:extent cx="8255"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-3988435</wp:posOffset>
            </wp:positionV>
            <wp:extent cx="8255"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-3971290</wp:posOffset>
            </wp:positionV>
            <wp:extent cx="8255"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-3954145</wp:posOffset>
            </wp:positionV>
            <wp:extent cx="8255"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-3937000</wp:posOffset>
            </wp:positionV>
            <wp:extent cx="8255"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-3919855</wp:posOffset>
            </wp:positionV>
            <wp:extent cx="8255"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-3902710</wp:posOffset>
            </wp:positionV>
            <wp:extent cx="8255"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-3885565</wp:posOffset>
            </wp:positionV>
            <wp:extent cx="8255"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-3868420</wp:posOffset>
            </wp:positionV>
            <wp:extent cx="8255"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-3851275</wp:posOffset>
            </wp:positionV>
            <wp:extent cx="8255"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-3834130</wp:posOffset>
            </wp:positionV>
            <wp:extent cx="8255"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-3816985</wp:posOffset>
            </wp:positionV>
            <wp:extent cx="8255"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-3799840</wp:posOffset>
            </wp:positionV>
            <wp:extent cx="8255"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-3782695</wp:posOffset>
            </wp:positionV>
            <wp:extent cx="8255"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-3765550</wp:posOffset>
            </wp:positionV>
            <wp:extent cx="8255"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-3748405</wp:posOffset>
            </wp:positionV>
            <wp:extent cx="8255"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-3731260</wp:posOffset>
            </wp:positionV>
            <wp:extent cx="8255"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-3714115</wp:posOffset>
            </wp:positionV>
            <wp:extent cx="8255"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-3696970</wp:posOffset>
            </wp:positionV>
            <wp:extent cx="8255"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-3679825</wp:posOffset>
            </wp:positionV>
            <wp:extent cx="8255"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-3662680</wp:posOffset>
            </wp:positionV>
            <wp:extent cx="8255"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-3645535</wp:posOffset>
            </wp:positionV>
            <wp:extent cx="8255"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-3628390</wp:posOffset>
            </wp:positionV>
            <wp:extent cx="8255"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-3611245</wp:posOffset>
            </wp:positionV>
            <wp:extent cx="8255"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-3594100</wp:posOffset>
            </wp:positionV>
            <wp:extent cx="8255"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-3576955</wp:posOffset>
            </wp:positionV>
            <wp:extent cx="8255"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-3559810</wp:posOffset>
            </wp:positionV>
            <wp:extent cx="8255"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-3542665</wp:posOffset>
            </wp:positionV>
            <wp:extent cx="8255"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-3525520</wp:posOffset>
            </wp:positionV>
            <wp:extent cx="8255"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-3508375</wp:posOffset>
            </wp:positionV>
            <wp:extent cx="8255"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-3491230</wp:posOffset>
            </wp:positionV>
            <wp:extent cx="825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-3474085</wp:posOffset>
            </wp:positionV>
            <wp:extent cx="8255"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-3456940</wp:posOffset>
            </wp:positionV>
            <wp:extent cx="8255"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-3439795</wp:posOffset>
            </wp:positionV>
            <wp:extent cx="8255"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-3422650</wp:posOffset>
            </wp:positionV>
            <wp:extent cx="8255"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-3405505</wp:posOffset>
            </wp:positionV>
            <wp:extent cx="8255"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-3388360</wp:posOffset>
            </wp:positionV>
            <wp:extent cx="825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-3371215</wp:posOffset>
            </wp:positionV>
            <wp:extent cx="8255"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-3354070</wp:posOffset>
            </wp:positionV>
            <wp:extent cx="8255" cy="889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-3336925</wp:posOffset>
            </wp:positionV>
            <wp:extent cx="8255"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-3319780</wp:posOffset>
            </wp:positionV>
            <wp:extent cx="8255"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-3302635</wp:posOffset>
            </wp:positionV>
            <wp:extent cx="8255"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-3285490</wp:posOffset>
            </wp:positionV>
            <wp:extent cx="8255"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-3268345</wp:posOffset>
            </wp:positionV>
            <wp:extent cx="8255"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-3251200</wp:posOffset>
            </wp:positionV>
            <wp:extent cx="8255"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-3234055</wp:posOffset>
            </wp:positionV>
            <wp:extent cx="8255"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-3216910</wp:posOffset>
            </wp:positionV>
            <wp:extent cx="8255"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-3199765</wp:posOffset>
            </wp:positionV>
            <wp:extent cx="8255"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-3182620</wp:posOffset>
            </wp:positionV>
            <wp:extent cx="8255"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-3165475</wp:posOffset>
            </wp:positionV>
            <wp:extent cx="8255"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-3148330</wp:posOffset>
            </wp:positionV>
            <wp:extent cx="8255"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-3131185</wp:posOffset>
            </wp:positionV>
            <wp:extent cx="8255"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-3114040</wp:posOffset>
            </wp:positionV>
            <wp:extent cx="8255"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-3096895</wp:posOffset>
            </wp:positionV>
            <wp:extent cx="8255"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-3079750</wp:posOffset>
            </wp:positionV>
            <wp:extent cx="8255"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-3062605</wp:posOffset>
            </wp:positionV>
            <wp:extent cx="8255"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-3045460</wp:posOffset>
            </wp:positionV>
            <wp:extent cx="8255"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-3028315</wp:posOffset>
            </wp:positionV>
            <wp:extent cx="8255"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-3011170</wp:posOffset>
            </wp:positionV>
            <wp:extent cx="8255"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-2994025</wp:posOffset>
            </wp:positionV>
            <wp:extent cx="8255"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-2976880</wp:posOffset>
            </wp:positionV>
            <wp:extent cx="8255"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-2959735</wp:posOffset>
            </wp:positionV>
            <wp:extent cx="8255"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-2942590</wp:posOffset>
            </wp:positionV>
            <wp:extent cx="8255"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-2925445</wp:posOffset>
            </wp:positionV>
            <wp:extent cx="8255"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-2908300</wp:posOffset>
            </wp:positionV>
            <wp:extent cx="8255"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-2891155</wp:posOffset>
            </wp:positionV>
            <wp:extent cx="8255"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-2874010</wp:posOffset>
            </wp:positionV>
            <wp:extent cx="8255"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-2856865</wp:posOffset>
            </wp:positionV>
            <wp:extent cx="8255"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-2839720</wp:posOffset>
            </wp:positionV>
            <wp:extent cx="8255" cy="889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-2822575</wp:posOffset>
            </wp:positionV>
            <wp:extent cx="8255"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-2805430</wp:posOffset>
            </wp:positionV>
            <wp:extent cx="8255"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-2788285</wp:posOffset>
            </wp:positionV>
            <wp:extent cx="8255"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-2771140</wp:posOffset>
            </wp:positionV>
            <wp:extent cx="8255"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-2753995</wp:posOffset>
            </wp:positionV>
            <wp:extent cx="8255" cy="889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-2736850</wp:posOffset>
            </wp:positionV>
            <wp:extent cx="8255"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-2719705</wp:posOffset>
            </wp:positionV>
            <wp:extent cx="8255"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-2702560</wp:posOffset>
            </wp:positionV>
            <wp:extent cx="8255"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-2685415</wp:posOffset>
            </wp:positionV>
            <wp:extent cx="8255"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-2668270</wp:posOffset>
            </wp:positionV>
            <wp:extent cx="8255" cy="889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-2651125</wp:posOffset>
            </wp:positionV>
            <wp:extent cx="8255"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-2633980</wp:posOffset>
            </wp:positionV>
            <wp:extent cx="8255"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-2616835</wp:posOffset>
            </wp:positionV>
            <wp:extent cx="8255"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-2599690</wp:posOffset>
            </wp:positionV>
            <wp:extent cx="8255"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-2582545</wp:posOffset>
            </wp:positionV>
            <wp:extent cx="8255"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-2565400</wp:posOffset>
            </wp:positionV>
            <wp:extent cx="8255"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-2548255</wp:posOffset>
            </wp:positionV>
            <wp:extent cx="8255"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-2531110</wp:posOffset>
            </wp:positionV>
            <wp:extent cx="8255"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-2513965</wp:posOffset>
            </wp:positionV>
            <wp:extent cx="8255"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-2496820</wp:posOffset>
            </wp:positionV>
            <wp:extent cx="8255"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-2479675</wp:posOffset>
            </wp:positionV>
            <wp:extent cx="8255"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-2462530</wp:posOffset>
            </wp:positionV>
            <wp:extent cx="8255"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-2445385</wp:posOffset>
            </wp:positionV>
            <wp:extent cx="8255"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-2428240</wp:posOffset>
            </wp:positionV>
            <wp:extent cx="8255"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-2411095</wp:posOffset>
            </wp:positionV>
            <wp:extent cx="8255"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-2393950</wp:posOffset>
            </wp:positionV>
            <wp:extent cx="8255"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-2376805</wp:posOffset>
            </wp:positionV>
            <wp:extent cx="8255"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-2359660</wp:posOffset>
            </wp:positionV>
            <wp:extent cx="8255"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-2342515</wp:posOffset>
            </wp:positionV>
            <wp:extent cx="8255"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-2325370</wp:posOffset>
            </wp:positionV>
            <wp:extent cx="8255"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-2308225</wp:posOffset>
            </wp:positionV>
            <wp:extent cx="8255"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-2291080</wp:posOffset>
            </wp:positionV>
            <wp:extent cx="8255"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-2273935</wp:posOffset>
            </wp:positionV>
            <wp:extent cx="8255"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-2256790</wp:posOffset>
            </wp:positionV>
            <wp:extent cx="8255" cy="889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-2239645</wp:posOffset>
            </wp:positionV>
            <wp:extent cx="8255"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-2222500</wp:posOffset>
            </wp:positionV>
            <wp:extent cx="8255"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-2205355</wp:posOffset>
            </wp:positionV>
            <wp:extent cx="8255"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-2188210</wp:posOffset>
            </wp:positionV>
            <wp:extent cx="8255"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-2171065</wp:posOffset>
            </wp:positionV>
            <wp:extent cx="8255" cy="889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-2153920</wp:posOffset>
            </wp:positionV>
            <wp:extent cx="8255"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-2136775</wp:posOffset>
            </wp:positionV>
            <wp:extent cx="8255"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-2119630</wp:posOffset>
            </wp:positionV>
            <wp:extent cx="8255"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-2102485</wp:posOffset>
            </wp:positionV>
            <wp:extent cx="8255"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-2085340</wp:posOffset>
            </wp:positionV>
            <wp:extent cx="8255"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-2068195</wp:posOffset>
            </wp:positionV>
            <wp:extent cx="8255"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-2051050</wp:posOffset>
            </wp:positionV>
            <wp:extent cx="8255"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-2033905</wp:posOffset>
            </wp:positionV>
            <wp:extent cx="8255"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-2016760</wp:posOffset>
            </wp:positionV>
            <wp:extent cx="8255"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-1999615</wp:posOffset>
            </wp:positionV>
            <wp:extent cx="8255" cy="88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-1982470</wp:posOffset>
            </wp:positionV>
            <wp:extent cx="8255"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-1965325</wp:posOffset>
            </wp:positionV>
            <wp:extent cx="8255"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-1948180</wp:posOffset>
            </wp:positionV>
            <wp:extent cx="8255"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-1931035</wp:posOffset>
            </wp:positionV>
            <wp:extent cx="8255"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-1913890</wp:posOffset>
            </wp:positionV>
            <wp:extent cx="8255"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-1896745</wp:posOffset>
            </wp:positionV>
            <wp:extent cx="8255"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-1879600</wp:posOffset>
            </wp:positionV>
            <wp:extent cx="8255"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-1862455</wp:posOffset>
            </wp:positionV>
            <wp:extent cx="8255"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-1845310</wp:posOffset>
            </wp:positionV>
            <wp:extent cx="8255"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-1828165</wp:posOffset>
            </wp:positionV>
            <wp:extent cx="8255"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-1811020</wp:posOffset>
            </wp:positionV>
            <wp:extent cx="8255"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-1793875</wp:posOffset>
            </wp:positionV>
            <wp:extent cx="8255"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-1776730</wp:posOffset>
            </wp:positionV>
            <wp:extent cx="8255"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-1759585</wp:posOffset>
            </wp:positionV>
            <wp:extent cx="8255"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-1742440</wp:posOffset>
            </wp:positionV>
            <wp:extent cx="8255"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-1725295</wp:posOffset>
            </wp:positionV>
            <wp:extent cx="8255"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-1708150</wp:posOffset>
            </wp:positionV>
            <wp:extent cx="8255"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-1691005</wp:posOffset>
            </wp:positionV>
            <wp:extent cx="8255"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-1673860</wp:posOffset>
            </wp:positionV>
            <wp:extent cx="8255"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-1656715</wp:posOffset>
            </wp:positionV>
            <wp:extent cx="8255"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-1639570</wp:posOffset>
            </wp:positionV>
            <wp:extent cx="8255"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-1622425</wp:posOffset>
            </wp:positionV>
            <wp:extent cx="8255"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-1605280</wp:posOffset>
            </wp:positionV>
            <wp:extent cx="8255"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-1588135</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-1570990</wp:posOffset>
            </wp:positionV>
            <wp:extent cx="8255"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-1553845</wp:posOffset>
            </wp:positionV>
            <wp:extent cx="8255"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-1536700</wp:posOffset>
            </wp:positionV>
            <wp:extent cx="825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-1519555</wp:posOffset>
            </wp:positionV>
            <wp:extent cx="8255"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-1502410</wp:posOffset>
            </wp:positionV>
            <wp:extent cx="8255"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-1485265</wp:posOffset>
            </wp:positionV>
            <wp:extent cx="8255"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-1468120</wp:posOffset>
            </wp:positionV>
            <wp:extent cx="8255"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-1450975</wp:posOffset>
            </wp:positionV>
            <wp:extent cx="8255"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-1433830</wp:posOffset>
            </wp:positionV>
            <wp:extent cx="8255"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-1416685</wp:posOffset>
            </wp:positionV>
            <wp:extent cx="8255"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-1399540</wp:posOffset>
            </wp:positionV>
            <wp:extent cx="8255"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-1382395</wp:posOffset>
            </wp:positionV>
            <wp:extent cx="8255"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-1365250</wp:posOffset>
            </wp:positionV>
            <wp:extent cx="8255"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-1348105</wp:posOffset>
            </wp:positionV>
            <wp:extent cx="8255"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-1330960</wp:posOffset>
            </wp:positionV>
            <wp:extent cx="8255"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-1313815</wp:posOffset>
            </wp:positionV>
            <wp:extent cx="8255"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-1296670</wp:posOffset>
            </wp:positionV>
            <wp:extent cx="8255"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-1279525</wp:posOffset>
            </wp:positionV>
            <wp:extent cx="8255"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-1262380</wp:posOffset>
            </wp:positionV>
            <wp:extent cx="8255"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-1245235</wp:posOffset>
            </wp:positionV>
            <wp:extent cx="8255"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-1228090</wp:posOffset>
            </wp:positionV>
            <wp:extent cx="8255"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-1210945</wp:posOffset>
            </wp:positionV>
            <wp:extent cx="8255"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-1193800</wp:posOffset>
            </wp:positionV>
            <wp:extent cx="8255"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-1176655</wp:posOffset>
            </wp:positionV>
            <wp:extent cx="8255"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-1159510</wp:posOffset>
            </wp:positionV>
            <wp:extent cx="8255"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-1142365</wp:posOffset>
            </wp:positionV>
            <wp:extent cx="8255"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-1125220</wp:posOffset>
            </wp:positionV>
            <wp:extent cx="8255"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-1108075</wp:posOffset>
            </wp:positionV>
            <wp:extent cx="8255"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-1090930</wp:posOffset>
            </wp:positionV>
            <wp:extent cx="8255"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-1073785</wp:posOffset>
            </wp:positionV>
            <wp:extent cx="8255"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-1056640</wp:posOffset>
            </wp:positionV>
            <wp:extent cx="8255"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-1039495</wp:posOffset>
            </wp:positionV>
            <wp:extent cx="8255"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-1022350</wp:posOffset>
            </wp:positionV>
            <wp:extent cx="8255"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-1005205</wp:posOffset>
            </wp:positionV>
            <wp:extent cx="8255"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-988060</wp:posOffset>
            </wp:positionV>
            <wp:extent cx="8255"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-970915</wp:posOffset>
            </wp:positionV>
            <wp:extent cx="8255"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-953770</wp:posOffset>
            </wp:positionV>
            <wp:extent cx="8255"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-936625</wp:posOffset>
            </wp:positionV>
            <wp:extent cx="8255"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-919480</wp:posOffset>
            </wp:positionV>
            <wp:extent cx="8255"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-902335</wp:posOffset>
            </wp:positionV>
            <wp:extent cx="8255"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-885190</wp:posOffset>
            </wp:positionV>
            <wp:extent cx="8255" cy="825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-868045</wp:posOffset>
            </wp:positionV>
            <wp:extent cx="8255"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-850900</wp:posOffset>
            </wp:positionV>
            <wp:extent cx="8255"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-833755</wp:posOffset>
            </wp:positionV>
            <wp:extent cx="8255"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-816610</wp:posOffset>
            </wp:positionV>
            <wp:extent cx="8255"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-799465</wp:posOffset>
            </wp:positionV>
            <wp:extent cx="8255" cy="825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-782320</wp:posOffset>
            </wp:positionV>
            <wp:extent cx="8255"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-765175</wp:posOffset>
            </wp:positionV>
            <wp:extent cx="8255"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-748030</wp:posOffset>
            </wp:positionV>
            <wp:extent cx="8255"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-730885</wp:posOffset>
            </wp:positionV>
            <wp:extent cx="8255"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-713740</wp:posOffset>
            </wp:positionV>
            <wp:extent cx="8255" cy="825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-696595</wp:posOffset>
            </wp:positionV>
            <wp:extent cx="8255"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-679450</wp:posOffset>
            </wp:positionV>
            <wp:extent cx="8255"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-662305</wp:posOffset>
            </wp:positionV>
            <wp:extent cx="8255"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-645160</wp:posOffset>
            </wp:positionV>
            <wp:extent cx="8255"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-628015</wp:posOffset>
            </wp:positionV>
            <wp:extent cx="8255" cy="825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-610870</wp:posOffset>
            </wp:positionV>
            <wp:extent cx="8255"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-593725</wp:posOffset>
            </wp:positionV>
            <wp:extent cx="8255" cy="825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-576580</wp:posOffset>
            </wp:positionV>
            <wp:extent cx="8255"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-559435</wp:posOffset>
            </wp:positionV>
            <wp:extent cx="8255"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-542290</wp:posOffset>
            </wp:positionV>
            <wp:extent cx="8255"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-525145</wp:posOffset>
            </wp:positionV>
            <wp:extent cx="8255"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-508000</wp:posOffset>
            </wp:positionV>
            <wp:extent cx="8255"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-490855</wp:posOffset>
            </wp:positionV>
            <wp:extent cx="8255"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-473710</wp:posOffset>
            </wp:positionV>
            <wp:extent cx="8255"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-456565</wp:posOffset>
            </wp:positionV>
            <wp:extent cx="8255"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-439420</wp:posOffset>
            </wp:positionV>
            <wp:extent cx="8255"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-422275</wp:posOffset>
            </wp:positionV>
            <wp:extent cx="8255"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-405130</wp:posOffset>
            </wp:positionV>
            <wp:extent cx="8255"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-387985</wp:posOffset>
            </wp:positionV>
            <wp:extent cx="8255"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-370840</wp:posOffset>
            </wp:positionV>
            <wp:extent cx="8255"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-353695</wp:posOffset>
            </wp:positionV>
            <wp:extent cx="8255"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-336550</wp:posOffset>
            </wp:positionV>
            <wp:extent cx="8255"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-319405</wp:posOffset>
            </wp:positionV>
            <wp:extent cx="8255"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-302260</wp:posOffset>
            </wp:positionV>
            <wp:extent cx="8255"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-285115</wp:posOffset>
            </wp:positionV>
            <wp:extent cx="8255"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-267970</wp:posOffset>
            </wp:positionV>
            <wp:extent cx="8255"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-250825</wp:posOffset>
            </wp:positionV>
            <wp:extent cx="8255"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-233680</wp:posOffset>
            </wp:positionV>
            <wp:extent cx="8255"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-216535</wp:posOffset>
            </wp:positionV>
            <wp:extent cx="8255"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-199390</wp:posOffset>
            </wp:positionV>
            <wp:extent cx="8255"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-182245</wp:posOffset>
            </wp:positionV>
            <wp:extent cx="8255"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-165100</wp:posOffset>
            </wp:positionV>
            <wp:extent cx="8255"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-147955</wp:posOffset>
            </wp:positionV>
            <wp:extent cx="8255"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-130810</wp:posOffset>
            </wp:positionV>
            <wp:extent cx="8255" cy="825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-113665</wp:posOffset>
            </wp:positionV>
            <wp:extent cx="8255"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-96520</wp:posOffset>
            </wp:positionV>
            <wp:extent cx="8255"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-79375</wp:posOffset>
            </wp:positionV>
            <wp:extent cx="8255"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-62230</wp:posOffset>
            </wp:positionV>
            <wp:extent cx="8255"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-45085</wp:posOffset>
            </wp:positionV>
            <wp:extent cx="8255" cy="825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-27940</wp:posOffset>
            </wp:positionV>
            <wp:extent cx="8255"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-10795</wp:posOffset>
            </wp:positionV>
            <wp:extent cx="8255"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-110490</wp:posOffset>
            </wp:positionV>
            <wp:extent cx="6574790" cy="14605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65747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0460"/>
          </w:cols>
          <w:pgMar w:left="480" w:top="1028" w:right="959" w:bottom="1440" w:gutter="0" w:footer="0" w:header="0"/>
        </w:sectPr>
      </w:pPr>
    </w:p>
    <w:bookmarkStart w:id="114" w:name="page115"/>
    <w:bookmarkEnd w:id="11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Section 9(b)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66"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68"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5"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9(b)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8" w:lineRule="exact"/>
        <w:rPr>
          <w:sz w:val="20"/>
          <w:szCs w:val="20"/>
          <w:color w:val="auto"/>
        </w:rPr>
      </w:pPr>
    </w:p>
    <w:p>
      <w:pPr>
        <w:jc w:val="both"/>
        <w:ind w:left="180"/>
        <w:spacing w:after="0" w:line="301"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8"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28" w:right="339" w:bottom="1440" w:gutter="0" w:footer="0" w:header="0"/>
        </w:sectPr>
      </w:pPr>
    </w:p>
    <w:bookmarkStart w:id="115" w:name="page116"/>
    <w:bookmarkEnd w:id="11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color w:val="auto"/>
        </w:rPr>
        <w:t>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77" w:lineRule="exact"/>
        <w:rPr>
          <w:sz w:val="20"/>
          <w:szCs w:val="20"/>
          <w:color w:val="auto"/>
        </w:rPr>
      </w:pPr>
    </w:p>
    <w:p>
      <w:pPr>
        <w:jc w:val="both"/>
        <w:ind w:left="180" w:right="340"/>
        <w:spacing w:after="0" w:line="259" w:lineRule="auto"/>
        <w:rPr>
          <w:sz w:val="20"/>
          <w:szCs w:val="20"/>
          <w:color w:val="auto"/>
        </w:rPr>
      </w:pPr>
      <w:r>
        <w:rPr>
          <w:rFonts w:ascii="Times New Roman" w:cs="Times New Roman" w:eastAsia="Times New Roman" w:hAnsi="Times New Roman"/>
          <w:sz w:val="16"/>
          <w:szCs w:val="16"/>
          <w:u w:val="single" w:color="auto"/>
          <w:color w:val="auto"/>
        </w:rPr>
        <w:t>Necessary Approvals</w:t>
      </w:r>
      <w:r>
        <w:rPr>
          <w:rFonts w:ascii="Times New Roman" w:cs="Times New Roman" w:eastAsia="Times New Roman" w:hAnsi="Times New Roman"/>
          <w:sz w:val="16"/>
          <w:szCs w:val="16"/>
          <w:color w:val="auto"/>
        </w:rPr>
        <w:t>. The offering of the Plan and the grant of the Performance RSUs may be subject to certain securities approval/confirmation requirements in the Philippines with the Philippine Securities and Exchange Commission. If the Company has not obtained, or does not maintain, the necessary securities approval/confirmation prior to the vesting of the Performance RSUs, Participant will not vest in the Performance RSUs and no Shares subject to the Performance RSUs will be issued. Performance RSUs shall vest and Shares shall be issued in settlement of the Performance RSUs only if and when all necessary securities approvals/confirmations have been obtained and are maintained.</w:t>
      </w:r>
    </w:p>
    <w:p>
      <w:pPr>
        <w:spacing w:after="0" w:line="222" w:lineRule="exact"/>
        <w:rPr>
          <w:sz w:val="20"/>
          <w:szCs w:val="20"/>
          <w:color w:val="auto"/>
        </w:rPr>
      </w:pPr>
    </w:p>
    <w:p>
      <w:pPr>
        <w:jc w:val="both"/>
        <w:ind w:left="180" w:right="32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62" w:lineRule="exact"/>
        <w:rPr>
          <w:sz w:val="20"/>
          <w:szCs w:val="20"/>
          <w:color w:val="auto"/>
        </w:rPr>
      </w:pPr>
    </w:p>
    <w:p>
      <w:pPr>
        <w:jc w:val="both"/>
        <w:ind w:left="180" w:right="320"/>
        <w:spacing w:after="0" w:line="260"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222"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11" w:lineRule="exact"/>
        <w:rPr>
          <w:sz w:val="20"/>
          <w:szCs w:val="20"/>
          <w:color w:val="auto"/>
        </w:rPr>
      </w:pPr>
    </w:p>
    <w:p>
      <w:pPr>
        <w:jc w:val="both"/>
        <w:ind w:left="180" w:right="320"/>
        <w:spacing w:after="0" w:line="257"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Participant should consult with his or her legal advisor.</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25" w:lineRule="exact"/>
        <w:rPr>
          <w:sz w:val="20"/>
          <w:szCs w:val="20"/>
          <w:color w:val="auto"/>
        </w:rPr>
      </w:pPr>
    </w:p>
    <w:p>
      <w:pPr>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1080"/>
          </w:cols>
          <w:pgMar w:left="480" w:top="1028" w:right="339" w:bottom="1440" w:gutter="0" w:footer="0" w:header="0"/>
        </w:sectPr>
      </w:pPr>
    </w:p>
    <w:bookmarkStart w:id="116" w:name="page117"/>
    <w:bookmarkEnd w:id="11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51" w:lineRule="exact"/>
        <w:rPr>
          <w:sz w:val="20"/>
          <w:szCs w:val="20"/>
          <w:color w:val="auto"/>
        </w:rPr>
      </w:pPr>
    </w:p>
    <w:p>
      <w:pPr>
        <w:jc w:val="both"/>
        <w:ind w:left="180" w:right="20"/>
        <w:spacing w:after="0" w:line="26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64"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00" w:lineRule="exact"/>
        <w:rPr>
          <w:sz w:val="20"/>
          <w:szCs w:val="20"/>
          <w:color w:val="auto"/>
        </w:rPr>
      </w:pPr>
    </w:p>
    <w:p>
      <w:pPr>
        <w:spacing w:after="0" w:line="217"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81"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(i) any Performance RSUs will not economically or otherwise bind the Company or any of its subsidiaries on an ongoing basis; (ii)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and (iii) the Performance RSUs will cease vesting upon the Participant’s termination of employment except in the event the Participant dies or becomes Disabled, as detailed in the following paragraph. In addition, the Participant understands that the Performance RSU grant would</w:t>
      </w:r>
    </w:p>
    <w:p>
      <w:pPr>
        <w:sectPr>
          <w:pgSz w:w="11900" w:h="16838" w:orient="portrait"/>
          <w:cols w:equalWidth="0" w:num="1">
            <w:col w:w="10760"/>
          </w:cols>
          <w:pgMar w:left="480" w:top="1028" w:right="659" w:bottom="1440" w:gutter="0" w:footer="0" w:header="0"/>
        </w:sect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28" w:right="659" w:bottom="1440" w:gutter="0" w:footer="0" w:header="0"/>
          <w:type w:val="continuous"/>
        </w:sectPr>
      </w:pPr>
    </w:p>
    <w:bookmarkStart w:id="117" w:name="page118"/>
    <w:bookmarkEnd w:id="11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191"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spacing w:after="0" w:line="2" w:lineRule="exact"/>
        <w:rPr>
          <w:sz w:val="20"/>
          <w:szCs w:val="20"/>
          <w:color w:val="auto"/>
        </w:rPr>
      </w:pPr>
    </w:p>
    <w:p>
      <w:pPr>
        <w:jc w:val="both"/>
        <w:ind w:left="180" w:right="20" w:hanging="8"/>
        <w:spacing w:after="0" w:line="258" w:lineRule="auto"/>
        <w:tabs>
          <w:tab w:leader="none" w:pos="423"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62"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20"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p>
    <w:p>
      <w:pPr>
        <w:ind w:left="180"/>
        <w:spacing w:after="0"/>
        <w:rPr>
          <w:sz w:val="20"/>
          <w:szCs w:val="20"/>
          <w:color w:val="auto"/>
        </w:rPr>
      </w:pPr>
      <w:r>
        <w:rPr>
          <w:rFonts w:ascii="Times New Roman" w:cs="Times New Roman" w:eastAsia="Times New Roman" w:hAnsi="Times New Roman"/>
          <w:sz w:val="16"/>
          <w:szCs w:val="16"/>
          <w:i w:val="1"/>
          <w:iCs w:val="1"/>
          <w:color w:val="auto"/>
        </w:rPr>
        <w:t>advisor for further information regarding these exchange control reporting obligations</w:t>
      </w:r>
      <w:r>
        <w:rPr>
          <w:rFonts w:ascii="Times New Roman" w:cs="Times New Roman" w:eastAsia="Times New Roman" w:hAnsi="Times New Roman"/>
          <w:sz w:val="16"/>
          <w:szCs w:val="16"/>
          <w:color w:val="auto"/>
        </w:rPr>
        <w:t>.</w:t>
      </w:r>
    </w:p>
    <w:p>
      <w:pPr>
        <w:spacing w:after="0" w:line="25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a certain threshold (currently,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w:t>
      </w:r>
    </w:p>
    <w:p>
      <w:pPr>
        <w:sectPr>
          <w:pgSz w:w="11900" w:h="16838" w:orient="portrait"/>
          <w:cols w:equalWidth="0" w:num="1">
            <w:col w:w="10760"/>
          </w:cols>
          <w:pgMar w:left="480" w:top="1028" w:right="659"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28" w:right="659" w:bottom="1440" w:gutter="0" w:footer="0" w:header="0"/>
          <w:type w:val="continuous"/>
        </w:sectPr>
      </w:pPr>
    </w:p>
    <w:bookmarkStart w:id="118" w:name="page119"/>
    <w:bookmarkEnd w:id="11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2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a certain threshold (currently, US$10,000,000) per year without justification.</w:t>
      </w:r>
    </w:p>
    <w:p>
      <w:pPr>
        <w:spacing w:after="0" w:line="219"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Participant must submit a Foreign Exchange Transaction Form and also provide supporting documentation to the satisfaction of the remitting bank.</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64"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0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- 15</w:t>
      </w:r>
    </w:p>
    <w:p>
      <w:pPr>
        <w:sectPr>
          <w:pgSz w:w="11900" w:h="16838" w:orient="portrait"/>
          <w:cols w:equalWidth="0" w:num="1">
            <w:col w:w="10760"/>
          </w:cols>
          <w:pgMar w:left="480" w:top="1028" w:right="659" w:bottom="1440" w:gutter="0" w:footer="0" w:header="0"/>
          <w:type w:val="continuous"/>
        </w:sectPr>
      </w:pPr>
    </w:p>
    <w:bookmarkStart w:id="119" w:name="page120"/>
    <w:bookmarkEnd w:id="11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19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8"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- 16</w:t>
      </w:r>
    </w:p>
    <w:p>
      <w:pPr>
        <w:sectPr>
          <w:pgSz w:w="11900" w:h="16838" w:orient="portrait"/>
          <w:cols w:equalWidth="0" w:num="1">
            <w:col w:w="10760"/>
          </w:cols>
          <w:pgMar w:left="480" w:top="1028" w:right="65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24" w:lineRule="exact"/>
        <w:rPr>
          <w:sz w:val="20"/>
          <w:szCs w:val="20"/>
          <w:color w:val="auto"/>
        </w:rPr>
      </w:pPr>
    </w:p>
    <w:p>
      <w:pPr>
        <w:ind w:left="300" w:hanging="292"/>
        <w:spacing w:after="0"/>
        <w:tabs>
          <w:tab w:leader="none" w:pos="30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6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21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69"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79" w:lineRule="exact"/>
        <w:rPr>
          <w:sz w:val="20"/>
          <w:szCs w:val="20"/>
          <w:color w:val="auto"/>
        </w:rPr>
      </w:pPr>
    </w:p>
    <w:p>
      <w:pPr>
        <w:ind w:left="300" w:hanging="292"/>
        <w:spacing w:after="0"/>
        <w:tabs>
          <w:tab w:leader="none" w:pos="30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95" w:lineRule="exact"/>
        <w:rPr>
          <w:sz w:val="20"/>
          <w:szCs w:val="20"/>
          <w:color w:val="auto"/>
        </w:rPr>
      </w:pPr>
    </w:p>
    <w:p>
      <w:pPr>
        <w:ind w:left="300" w:hanging="292"/>
        <w:spacing w:after="0"/>
        <w:tabs>
          <w:tab w:leader="none" w:pos="30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8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265"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6"/>
          <w:szCs w:val="16"/>
          <w:color w:val="auto"/>
        </w:rPr>
        <w:t>APPENDIX C -</w:t>
        <w:tab/>
        <w:t>APPENDIX C - 1</w:t>
      </w:r>
    </w:p>
    <w:p>
      <w:pPr>
        <w:sectPr>
          <w:pgSz w:w="11900" w:h="16838" w:orient="portrait"/>
          <w:cols w:equalWidth="0" w:num="1">
            <w:col w:w="11240"/>
          </w:cols>
          <w:pgMar w:left="320" w:top="1028"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83"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6"/>
          <w:szCs w:val="16"/>
          <w:color w:val="auto"/>
        </w:rPr>
        <w:t>APPENDIX C -</w:t>
        <w:tab/>
        <w:t>APPENDIX C - 2</w:t>
      </w:r>
    </w:p>
    <w:p>
      <w:pPr>
        <w:sectPr>
          <w:pgSz w:w="11900" w:h="16838" w:orient="portrait"/>
          <w:cols w:equalWidth="0" w:num="1">
            <w:col w:w="11240"/>
          </w:cols>
          <w:pgMar w:left="320" w:top="1028" w:right="339" w:bottom="1440" w:gutter="0" w:footer="0" w:header="0"/>
        </w:sectPr>
      </w:pPr>
    </w:p>
    <w:bookmarkStart w:id="122" w:name="page123"/>
    <w:bookmarkEnd w:id="122"/>
    <w:p>
      <w:pPr>
        <w:jc w:val="center"/>
        <w:ind w:right="-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8"/>
        <w:spacing w:after="0" w:line="334"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5" w:lineRule="exact"/>
        <w:rPr>
          <w:sz w:val="20"/>
          <w:szCs w:val="20"/>
          <w:color w:val="auto"/>
        </w:rPr>
      </w:pPr>
    </w:p>
    <w:p>
      <w:pPr>
        <w:ind w:left="8"/>
        <w:spacing w:after="0"/>
        <w:tabs>
          <w:tab w:leader="none" w:pos="268"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192" w:lineRule="exact"/>
        <w:rPr>
          <w:sz w:val="20"/>
          <w:szCs w:val="20"/>
          <w:color w:val="auto"/>
        </w:rPr>
      </w:pPr>
    </w:p>
    <w:p>
      <w:pPr>
        <w:ind w:left="8"/>
        <w:spacing w:after="0"/>
        <w:tabs>
          <w:tab w:leader="none" w:pos="268"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8"/>
        <w:spacing w:after="0" w:line="338"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3" w:lineRule="exact"/>
        <w:rPr>
          <w:sz w:val="20"/>
          <w:szCs w:val="20"/>
          <w:color w:val="auto"/>
        </w:rPr>
      </w:pPr>
    </w:p>
    <w:p>
      <w:pPr>
        <w:ind w:left="288" w:hanging="288"/>
        <w:spacing w:after="0"/>
        <w:tabs>
          <w:tab w:leader="none" w:pos="288"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69" w:lineRule="exact"/>
        <w:rPr>
          <w:sz w:val="20"/>
          <w:szCs w:val="20"/>
          <w:color w:val="auto"/>
        </w:rPr>
      </w:pPr>
    </w:p>
    <w:p>
      <w:pPr>
        <w:jc w:val="both"/>
        <w:ind w:left="8"/>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192" w:lineRule="exact"/>
        <w:rPr>
          <w:sz w:val="20"/>
          <w:szCs w:val="20"/>
          <w:color w:val="auto"/>
        </w:rPr>
      </w:pPr>
    </w:p>
    <w:p>
      <w:pPr>
        <w:ind w:left="288" w:hanging="288"/>
        <w:spacing w:after="0"/>
        <w:tabs>
          <w:tab w:leader="none" w:pos="288"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69" w:lineRule="exact"/>
        <w:rPr>
          <w:sz w:val="20"/>
          <w:szCs w:val="20"/>
          <w:color w:val="auto"/>
        </w:rPr>
      </w:pPr>
    </w:p>
    <w:p>
      <w:pPr>
        <w:ind w:left="8"/>
        <w:spacing w:after="0" w:line="351"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4" w:lineRule="exact"/>
        <w:rPr>
          <w:sz w:val="20"/>
          <w:szCs w:val="20"/>
          <w:color w:val="auto"/>
        </w:rPr>
      </w:pPr>
    </w:p>
    <w:p>
      <w:pPr>
        <w:ind w:left="288" w:hanging="288"/>
        <w:spacing w:after="0"/>
        <w:tabs>
          <w:tab w:leader="none" w:pos="288"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8"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288" w:hanging="288"/>
        <w:spacing w:after="0"/>
        <w:tabs>
          <w:tab w:leader="none" w:pos="288"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56" w:lineRule="exact"/>
        <w:rPr>
          <w:sz w:val="20"/>
          <w:szCs w:val="20"/>
          <w:color w:val="auto"/>
        </w:rPr>
      </w:pPr>
    </w:p>
    <w:p>
      <w:pPr>
        <w:jc w:val="both"/>
        <w:ind w:left="8"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4" w:lineRule="exact"/>
        <w:rPr>
          <w:sz w:val="20"/>
          <w:szCs w:val="20"/>
          <w:color w:val="auto"/>
        </w:rPr>
      </w:pPr>
    </w:p>
    <w:p>
      <w:pPr>
        <w:jc w:val="both"/>
        <w:ind w:left="8"/>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588"/>
          </w:cols>
          <w:pgMar w:left="652" w:top="1028" w:right="659" w:bottom="1440" w:gutter="0" w:footer="0" w:header="0"/>
        </w:sectPr>
      </w:pPr>
    </w:p>
    <w:bookmarkStart w:id="123" w:name="page124"/>
    <w:bookmarkEnd w:id="123"/>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288"/>
        <w:spacing w:after="0"/>
        <w:tabs>
          <w:tab w:leader="none" w:pos="62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56"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900"/>
          </w:cols>
          <w:pgMar w:left="320" w:top="1028" w:right="679" w:bottom="1440" w:gutter="0" w:footer="0" w:header="0"/>
        </w:sectPr>
      </w:pPr>
    </w:p>
    <w:bookmarkStart w:id="124" w:name="page125"/>
    <w:bookmarkEnd w:id="124"/>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27" w:lineRule="exact"/>
        <w:rPr>
          <w:sz w:val="20"/>
          <w:szCs w:val="20"/>
          <w:color w:val="auto"/>
        </w:rPr>
      </w:pPr>
    </w:p>
    <w:p>
      <w:pPr>
        <w:ind w:left="640" w:hanging="308"/>
        <w:spacing w:after="0"/>
        <w:tabs>
          <w:tab w:leader="none" w:pos="6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4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28" w:right="659" w:bottom="1440" w:gutter="0" w:footer="0" w:header="0"/>
        </w:sectPr>
      </w:pPr>
    </w:p>
    <w:bookmarkStart w:id="125" w:name="page126"/>
    <w:bookmarkEnd w:id="125"/>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11" w:lineRule="exact"/>
        <w:rPr>
          <w:sz w:val="20"/>
          <w:szCs w:val="20"/>
          <w:color w:val="auto"/>
        </w:rPr>
      </w:pPr>
    </w:p>
    <w:p>
      <w:pPr>
        <w:ind w:left="660" w:right="280" w:hanging="652"/>
        <w:spacing w:after="0" w:line="273" w:lineRule="auto"/>
        <w:tabs>
          <w:tab w:leader="none" w:pos="49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4" w:lineRule="exact"/>
        <w:rPr>
          <w:rFonts w:ascii="Times New Roman" w:cs="Times New Roman" w:eastAsia="Times New Roman" w:hAnsi="Times New Roman"/>
          <w:sz w:val="16"/>
          <w:szCs w:val="16"/>
          <w:color w:val="auto"/>
        </w:rPr>
      </w:pPr>
    </w:p>
    <w:p>
      <w:pPr>
        <w:ind w:left="660" w:right="540" w:hanging="652"/>
        <w:spacing w:after="0" w:line="301" w:lineRule="auto"/>
        <w:tabs>
          <w:tab w:leader="none" w:pos="47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92"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46"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50" w:lineRule="exact"/>
        <w:rPr>
          <w:rFonts w:ascii="Times New Roman" w:cs="Times New Roman" w:eastAsia="Times New Roman" w:hAnsi="Times New Roman"/>
          <w:sz w:val="16"/>
          <w:szCs w:val="16"/>
          <w:color w:val="auto"/>
        </w:rPr>
      </w:pPr>
    </w:p>
    <w:p>
      <w:pPr>
        <w:ind w:left="1960" w:hanging="656"/>
        <w:spacing w:after="0" w:line="298" w:lineRule="auto"/>
        <w:tabs>
          <w:tab w:leader="none" w:pos="1951"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77" w:lineRule="exact"/>
        <w:rPr>
          <w:rFonts w:ascii="Times New Roman" w:cs="Times New Roman" w:eastAsia="Times New Roman" w:hAnsi="Times New Roman"/>
          <w:sz w:val="16"/>
          <w:szCs w:val="16"/>
          <w:color w:val="auto"/>
        </w:rPr>
      </w:pPr>
    </w:p>
    <w:p>
      <w:pPr>
        <w:ind w:left="1960" w:right="20" w:hanging="656"/>
        <w:spacing w:after="0" w:line="280" w:lineRule="auto"/>
        <w:tabs>
          <w:tab w:leader="none" w:pos="1955"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205" w:lineRule="exact"/>
        <w:rPr>
          <w:rFonts w:ascii="Times New Roman" w:cs="Times New Roman" w:eastAsia="Times New Roman" w:hAnsi="Times New Roman"/>
          <w:sz w:val="16"/>
          <w:szCs w:val="16"/>
          <w:color w:val="auto"/>
        </w:rPr>
      </w:pPr>
    </w:p>
    <w:p>
      <w:pPr>
        <w:ind w:left="1960" w:hanging="656"/>
        <w:spacing w:after="0" w:line="280" w:lineRule="auto"/>
        <w:tabs>
          <w:tab w:leader="none" w:pos="196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61" w:lineRule="exact"/>
        <w:rPr>
          <w:rFonts w:ascii="Times New Roman" w:cs="Times New Roman" w:eastAsia="Times New Roman" w:hAnsi="Times New Roman"/>
          <w:sz w:val="16"/>
          <w:szCs w:val="16"/>
          <w:color w:val="auto"/>
        </w:rPr>
      </w:pPr>
    </w:p>
    <w:p>
      <w:pPr>
        <w:ind w:left="2600" w:right="20" w:hanging="648"/>
        <w:spacing w:after="0" w:line="276" w:lineRule="auto"/>
        <w:tabs>
          <w:tab w:leader="none" w:pos="2608" w:val="left"/>
        </w:tabs>
        <w:numPr>
          <w:ilvl w:val="2"/>
          <w:numId w:val="108"/>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207" w:lineRule="exact"/>
        <w:rPr>
          <w:rFonts w:ascii="Cambria" w:cs="Cambria" w:eastAsia="Cambria" w:hAnsi="Cambria"/>
          <w:sz w:val="16"/>
          <w:szCs w:val="16"/>
          <w:b w:val="1"/>
          <w:bCs w:val="1"/>
          <w:color w:val="auto"/>
        </w:rPr>
      </w:pPr>
    </w:p>
    <w:p>
      <w:pPr>
        <w:ind w:left="2600" w:right="20" w:hanging="648"/>
        <w:spacing w:after="0" w:line="280" w:lineRule="auto"/>
        <w:tabs>
          <w:tab w:leader="none" w:pos="260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37" w:lineRule="exact"/>
        <w:rPr>
          <w:sz w:val="20"/>
          <w:szCs w:val="20"/>
          <w:color w:val="auto"/>
        </w:rPr>
      </w:pPr>
    </w:p>
    <w:p>
      <w:pPr>
        <w:ind w:left="420" w:right="8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78" w:lineRule="exact"/>
        <w:rPr>
          <w:sz w:val="20"/>
          <w:szCs w:val="20"/>
          <w:color w:val="auto"/>
        </w:rPr>
      </w:pPr>
    </w:p>
    <w:p>
      <w:pPr>
        <w:ind w:left="420" w:right="18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78" w:lineRule="exact"/>
        <w:rPr>
          <w:sz w:val="20"/>
          <w:szCs w:val="20"/>
          <w:color w:val="auto"/>
        </w:rPr>
      </w:pPr>
    </w:p>
    <w:p>
      <w:pPr>
        <w:ind w:left="420" w:right="26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28" w:right="659" w:bottom="1440" w:gutter="0" w:footer="0" w:header="0"/>
          <w:type w:val="continuous"/>
        </w:sectPr>
      </w:pPr>
    </w:p>
    <w:bookmarkStart w:id="126" w:name="page127"/>
    <w:bookmarkEnd w:id="126"/>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5" w:lineRule="exact"/>
        <w:rPr>
          <w:rFonts w:ascii="Times New Roman" w:cs="Times New Roman" w:eastAsia="Times New Roman" w:hAnsi="Times New Roman"/>
          <w:sz w:val="16"/>
          <w:szCs w:val="16"/>
          <w:b w:val="1"/>
          <w:bCs w:val="1"/>
          <w:color w:val="auto"/>
        </w:rPr>
      </w:pPr>
    </w:p>
    <w:p>
      <w:pPr>
        <w:spacing w:after="0"/>
        <w:tabs>
          <w:tab w:leader="none" w:pos="0" w:val="left"/>
        </w:tabs>
        <w:numPr>
          <w:ilvl w:val="1"/>
          <w:numId w:val="109"/>
        </w:numPr>
        <w:rPr>
          <w:rFonts w:ascii="Times New Roman" w:cs="Times New Roman" w:eastAsia="Times New Roman" w:hAnsi="Times New Roman"/>
          <w:sz w:val="16"/>
          <w:szCs w:val="16"/>
          <w:color w:val="FFFFFF"/>
        </w:rPr>
      </w:pPr>
    </w:p>
    <w:p>
      <w:pPr>
        <w:spacing w:after="0" w:line="5" w:lineRule="exact"/>
        <w:rPr>
          <w:rFonts w:ascii="Times New Roman" w:cs="Times New Roman" w:eastAsia="Times New Roman" w:hAnsi="Times New Roman"/>
          <w:sz w:val="16"/>
          <w:szCs w:val="16"/>
          <w:color w:val="FFFFFF"/>
        </w:rPr>
      </w:pPr>
    </w:p>
    <w:p>
      <w:pPr>
        <w:jc w:val="both"/>
        <w:ind w:left="660" w:hanging="328"/>
        <w:spacing w:after="0" w:line="224" w:lineRule="auto"/>
        <w:tabs>
          <w:tab w:leader="none" w:pos="660" w:val="left"/>
        </w:tabs>
        <w:numPr>
          <w:ilvl w:val="1"/>
          <w:numId w:val="10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26"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44" w:lineRule="exact"/>
        <w:rPr>
          <w:sz w:val="20"/>
          <w:szCs w:val="20"/>
          <w:color w:val="auto"/>
        </w:rPr>
      </w:pPr>
    </w:p>
    <w:p>
      <w:pPr>
        <w:ind w:left="980" w:hanging="324"/>
        <w:spacing w:after="0"/>
        <w:tabs>
          <w:tab w:leader="none" w:pos="9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23"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08" w:lineRule="exact"/>
        <w:rPr>
          <w:rFonts w:ascii="Times New Roman" w:cs="Times New Roman" w:eastAsia="Times New Roman" w:hAnsi="Times New Roman"/>
          <w:sz w:val="16"/>
          <w:szCs w:val="16"/>
          <w:color w:val="auto"/>
        </w:rPr>
      </w:pPr>
    </w:p>
    <w:p>
      <w:pPr>
        <w:ind w:left="1300" w:hanging="644"/>
        <w:spacing w:after="0" w:line="260" w:lineRule="auto"/>
        <w:tabs>
          <w:tab w:leader="none" w:pos="111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8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13" w:lineRule="exact"/>
        <w:rPr>
          <w:sz w:val="20"/>
          <w:szCs w:val="20"/>
          <w:color w:val="auto"/>
        </w:rPr>
      </w:pPr>
    </w:p>
    <w:p>
      <w:pPr>
        <w:ind w:left="420" w:right="20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204"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10"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37" w:lineRule="exact"/>
        <w:rPr>
          <w:sz w:val="20"/>
          <w:szCs w:val="20"/>
          <w:color w:val="auto"/>
        </w:rPr>
      </w:pPr>
    </w:p>
    <w:p>
      <w:pPr>
        <w:ind w:left="420" w:right="12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62" w:lineRule="exact"/>
        <w:rPr>
          <w:sz w:val="20"/>
          <w:szCs w:val="20"/>
          <w:color w:val="auto"/>
        </w:rPr>
      </w:pPr>
    </w:p>
    <w:p>
      <w:pPr>
        <w:ind w:left="640" w:hanging="308"/>
        <w:spacing w:after="0"/>
        <w:tabs>
          <w:tab w:leader="none" w:pos="640" w:val="left"/>
        </w:tabs>
        <w:numPr>
          <w:ilvl w:val="1"/>
          <w:numId w:val="112"/>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67"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113"/>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67" w:lineRule="exact"/>
        <w:rPr>
          <w:sz w:val="20"/>
          <w:szCs w:val="20"/>
          <w:color w:val="auto"/>
        </w:rPr>
      </w:pPr>
    </w:p>
    <w:p>
      <w:pPr>
        <w:ind w:left="640" w:hanging="632"/>
        <w:spacing w:after="0"/>
        <w:tabs>
          <w:tab w:leader="none" w:pos="640" w:val="left"/>
        </w:tabs>
        <w:numPr>
          <w:ilvl w:val="0"/>
          <w:numId w:val="114"/>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80" w:lineRule="exact"/>
        <w:rPr>
          <w:rFonts w:ascii="Times New Roman" w:cs="Times New Roman" w:eastAsia="Times New Roman" w:hAnsi="Times New Roman"/>
          <w:sz w:val="16"/>
          <w:szCs w:val="16"/>
          <w:color w:val="FFFFFF"/>
        </w:rPr>
      </w:pPr>
    </w:p>
    <w:p>
      <w:pPr>
        <w:ind w:left="1300" w:hanging="644"/>
        <w:spacing w:after="0"/>
        <w:tabs>
          <w:tab w:leader="none" w:pos="130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w:t>
      </w:r>
    </w:p>
    <w:p>
      <w:pPr>
        <w:spacing w:after="0" w:line="2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1"/>
          <w:numId w:val="114"/>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could relate, such that the Election ceases to have effect in accordance with its terms.</w:t>
      </w:r>
    </w:p>
    <w:p>
      <w:pPr>
        <w:spacing w:after="0" w:line="23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35"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0920"/>
          </w:cols>
          <w:pgMar w:left="320" w:top="1028" w:right="659" w:bottom="1440" w:gutter="0" w:footer="0" w:header="0"/>
          <w:type w:val="continuous"/>
        </w:sectPr>
      </w:pPr>
    </w:p>
    <w:bookmarkStart w:id="127" w:name="page128"/>
    <w:bookmarkEnd w:id="127"/>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Ahern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1240"/>
          </w:cols>
          <w:pgMar w:left="320" w:top="1028" w:right="339" w:bottom="1440" w:gutter="0" w:footer="0" w:header="0"/>
        </w:sectPr>
      </w:pPr>
    </w:p>
    <w:bookmarkStart w:id="128" w:name="page129"/>
    <w:bookmarkEnd w:id="128"/>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9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895439</w:t>
            </w:r>
          </w:p>
        </w:tc>
      </w:tr>
      <w:tr>
        <w:trPr>
          <w:trHeight w:val="210"/>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139"/>
          </w:cols>
          <w:pgMar w:left="320" w:top="1028"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Employee ID</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40" w:lineRule="exact"/>
        <w:rPr>
          <w:sz w:val="20"/>
          <w:szCs w:val="20"/>
          <w:color w:val="auto"/>
        </w:rPr>
      </w:pPr>
    </w:p>
    <w:p>
      <w:pPr>
        <w:jc w:val="both"/>
        <w:ind w:left="8" w:right="320"/>
        <w:spacing w:after="0" w:line="26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311" w:lineRule="exact"/>
        <w:rPr>
          <w:sz w:val="20"/>
          <w:szCs w:val="20"/>
          <w:color w:val="auto"/>
        </w:rPr>
      </w:pPr>
    </w:p>
    <w:p>
      <w:pPr>
        <w:ind w:left="328" w:hanging="328"/>
        <w:spacing w:after="0"/>
        <w:tabs>
          <w:tab w:leader="none" w:pos="32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328" w:right="32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22"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spacing w:after="0" w:line="25"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spacing w:after="0" w:line="8"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213"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Employer is located.</w:t>
      </w:r>
    </w:p>
    <w:p>
      <w:pPr>
        <w:spacing w:after="0" w:line="192"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79"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25"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right="320" w:hanging="324"/>
        <w:spacing w:after="0" w:line="256" w:lineRule="auto"/>
        <w:tabs>
          <w:tab w:leader="none" w:pos="639"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vesting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648" w:hanging="324"/>
        <w:spacing w:after="0" w:line="269" w:lineRule="auto"/>
        <w:tabs>
          <w:tab w:leader="none" w:pos="648"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20"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25" w:lineRule="exact"/>
        <w:rPr>
          <w:rFonts w:ascii="Times New Roman" w:cs="Times New Roman" w:eastAsia="Times New Roman" w:hAnsi="Times New Roman"/>
          <w:sz w:val="16"/>
          <w:szCs w:val="16"/>
          <w:color w:val="auto"/>
        </w:rPr>
      </w:pPr>
    </w:p>
    <w:p>
      <w:pPr>
        <w:jc w:val="both"/>
        <w:ind w:left="648" w:hanging="324"/>
        <w:spacing w:after="0" w:line="260" w:lineRule="auto"/>
        <w:tabs>
          <w:tab w:leader="none" w:pos="648"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shall have the meaning set forth in Section 409(a)(2)(C) of the Code.</w:t>
      </w:r>
    </w:p>
    <w:p>
      <w:pPr>
        <w:spacing w:after="0" w:line="127"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5" w:lineRule="exact"/>
        <w:rPr>
          <w:rFonts w:ascii="Times New Roman" w:cs="Times New Roman" w:eastAsia="Times New Roman" w:hAnsi="Times New Roman"/>
          <w:sz w:val="16"/>
          <w:szCs w:val="16"/>
          <w:color w:val="auto"/>
        </w:rPr>
      </w:pPr>
    </w:p>
    <w:p>
      <w:pPr>
        <w:ind w:left="648" w:hanging="324"/>
        <w:spacing w:after="0" w:line="298" w:lineRule="auto"/>
        <w:tabs>
          <w:tab w:leader="none" w:pos="648"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8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67" w:lineRule="exact"/>
        <w:rPr>
          <w:rFonts w:ascii="Times New Roman" w:cs="Times New Roman" w:eastAsia="Times New Roman" w:hAnsi="Times New Roman"/>
          <w:sz w:val="16"/>
          <w:szCs w:val="16"/>
          <w:color w:val="auto"/>
        </w:rPr>
      </w:pPr>
    </w:p>
    <w:p>
      <w:pPr>
        <w:jc w:val="both"/>
        <w:ind w:left="648" w:hanging="324"/>
        <w:spacing w:after="0" w:line="272" w:lineRule="auto"/>
        <w:tabs>
          <w:tab w:leader="none" w:pos="64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6"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hanging="324"/>
        <w:spacing w:after="0" w:line="258" w:lineRule="auto"/>
        <w:tabs>
          <w:tab w:leader="none" w:pos="639"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648"/>
        <w:spacing w:after="0" w:line="269" w:lineRule="auto"/>
        <w:rPr>
          <w:sz w:val="20"/>
          <w:szCs w:val="20"/>
          <w:color w:val="auto"/>
        </w:rPr>
      </w:pPr>
      <w:r>
        <w:rPr>
          <w:rFonts w:ascii="Times New Roman" w:cs="Times New Roman" w:eastAsia="Times New Roman" w:hAnsi="Times New Roman"/>
          <w:sz w:val="16"/>
          <w:szCs w:val="16"/>
          <w:color w:val="auto"/>
        </w:rPr>
        <w:t>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20" w:lineRule="exact"/>
        <w:rPr>
          <w:sz w:val="20"/>
          <w:szCs w:val="20"/>
          <w:color w:val="auto"/>
        </w:rPr>
      </w:pPr>
    </w:p>
    <w:p>
      <w:pPr>
        <w:jc w:val="both"/>
        <w:ind w:left="648" w:right="20" w:hanging="324"/>
        <w:spacing w:after="0" w:line="272" w:lineRule="auto"/>
        <w:tabs>
          <w:tab w:leader="none" w:pos="64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03" w:lineRule="exact"/>
        <w:rPr>
          <w:rFonts w:ascii="Times New Roman" w:cs="Times New Roman" w:eastAsia="Times New Roman" w:hAnsi="Times New Roman"/>
          <w:sz w:val="16"/>
          <w:szCs w:val="16"/>
          <w:color w:val="auto"/>
        </w:rPr>
      </w:pPr>
    </w:p>
    <w:p>
      <w:pPr>
        <w:jc w:val="both"/>
        <w:ind w:left="1628" w:hanging="332"/>
        <w:spacing w:after="0"/>
        <w:tabs>
          <w:tab w:leader="none" w:pos="1619"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236" w:lineRule="exact"/>
        <w:rPr>
          <w:rFonts w:ascii="Times New Roman" w:cs="Times New Roman" w:eastAsia="Times New Roman" w:hAnsi="Times New Roman"/>
          <w:sz w:val="16"/>
          <w:szCs w:val="16"/>
          <w:color w:val="auto"/>
        </w:rPr>
      </w:pPr>
    </w:p>
    <w:p>
      <w:pPr>
        <w:ind w:left="1628" w:right="20" w:hanging="332"/>
        <w:spacing w:after="0" w:line="245" w:lineRule="auto"/>
        <w:tabs>
          <w:tab w:leader="none" w:pos="1623"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628" w:right="20" w:hanging="332"/>
        <w:spacing w:after="0" w:line="245" w:lineRule="auto"/>
        <w:tabs>
          <w:tab w:leader="none" w:pos="1628"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628" w:hanging="332"/>
        <w:spacing w:after="0" w:line="227" w:lineRule="auto"/>
        <w:tabs>
          <w:tab w:leader="none" w:pos="1619" w:val="left"/>
        </w:tabs>
        <w:numPr>
          <w:ilvl w:val="1"/>
          <w:numId w:val="118"/>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4" w:lineRule="exact"/>
        <w:rPr>
          <w:sz w:val="20"/>
          <w:szCs w:val="20"/>
          <w:color w:val="auto"/>
        </w:rPr>
      </w:pPr>
    </w:p>
    <w:p>
      <w:pPr>
        <w:ind w:left="1608" w:hanging="312"/>
        <w:spacing w:after="0"/>
        <w:tabs>
          <w:tab w:leader="none" w:pos="1608"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1628" w:hanging="332"/>
        <w:spacing w:after="0" w:line="218" w:lineRule="auto"/>
        <w:tabs>
          <w:tab w:leader="none" w:pos="1628" w:val="left"/>
        </w:tabs>
        <w:numPr>
          <w:ilvl w:val="1"/>
          <w:numId w:val="11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15" w:lineRule="exact"/>
        <w:rPr>
          <w:rFonts w:ascii="Times New Roman" w:cs="Times New Roman" w:eastAsia="Times New Roman" w:hAnsi="Times New Roman"/>
          <w:sz w:val="16"/>
          <w:szCs w:val="16"/>
          <w:color w:val="FFFFFF"/>
        </w:rPr>
      </w:pPr>
    </w:p>
    <w:p>
      <w:pPr>
        <w:jc w:val="both"/>
        <w:ind w:left="1628" w:hanging="332"/>
        <w:spacing w:after="0" w:line="220" w:lineRule="auto"/>
        <w:tabs>
          <w:tab w:leader="none" w:pos="1619" w:val="left"/>
        </w:tabs>
        <w:numPr>
          <w:ilvl w:val="1"/>
          <w:numId w:val="11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Committee) have been made by the Participant with respect to the payment of any Tax-Related Items which the Company and/or the Employer determine, in each of its sole discretion, must be withheld or collected with respect to such Performance RSUs.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FFFFFF"/>
        </w:rPr>
      </w:pPr>
    </w:p>
    <w:p>
      <w:pPr>
        <w:jc w:val="both"/>
        <w:ind w:left="328" w:right="20" w:hanging="328"/>
        <w:spacing w:after="0"/>
        <w:tabs>
          <w:tab w:leader="none" w:pos="32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&amp; Talent Committee of the Board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92"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28" w:hanging="328"/>
        <w:spacing w:after="0"/>
        <w:tabs>
          <w:tab w:leader="none" w:pos="32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25"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30"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41"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No claim or entitlement to compensation or damages shall arise from (i)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Performance RSUs or the recoupment of any financial gain from the Performance RSUs as described in Section 9(o) hereof.</w:t>
      </w:r>
    </w:p>
    <w:p>
      <w:pPr>
        <w:spacing w:after="0" w:line="141"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25" w:lineRule="exact"/>
        <w:rPr>
          <w:rFonts w:ascii="Times New Roman" w:cs="Times New Roman" w:eastAsia="Times New Roman" w:hAnsi="Times New Roman"/>
          <w:sz w:val="16"/>
          <w:szCs w:val="16"/>
          <w:color w:val="auto"/>
        </w:rPr>
      </w:pPr>
    </w:p>
    <w:p>
      <w:pPr>
        <w:jc w:val="both"/>
        <w:ind w:left="648" w:hanging="324"/>
        <w:spacing w:after="0" w:line="265"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Operation of Plan and Agreement</w:t>
      </w:r>
      <w:r>
        <w:rPr>
          <w:rFonts w:ascii="Times New Roman" w:cs="Times New Roman" w:eastAsia="Times New Roman" w:hAnsi="Times New Roman"/>
          <w:sz w:val="16"/>
          <w:szCs w:val="16"/>
          <w:color w:val="auto"/>
        </w:rPr>
        <w:t>. This Section 9(f) applies if the Participant resides outside the U.S.: The Plan is operated and the Performance RSUs are granted solely by the Company and only the Company is a party to this Agreement; accordingly, any rights the Participant may have under this Agreement may be raised against the Company but not any parent or subsidiary of the Company (including, but not limited to, the Employer). No parent or subsidiary of the Company (including, but not limited to, the Employer) has any obligation to make any payment of any kind to the Participant under this Agreement.</w:t>
      </w:r>
    </w:p>
    <w:p>
      <w:pPr>
        <w:spacing w:after="0" w:line="321"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80" w:lineRule="exact"/>
        <w:rPr>
          <w:rFonts w:ascii="Times New Roman" w:cs="Times New Roman" w:eastAsia="Times New Roman" w:hAnsi="Times New Roman"/>
          <w:sz w:val="16"/>
          <w:szCs w:val="16"/>
          <w:color w:val="auto"/>
        </w:rPr>
      </w:pPr>
    </w:p>
    <w:p>
      <w:pPr>
        <w:ind w:left="648" w:hanging="324"/>
        <w:spacing w:after="0" w:line="280"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4" w:lineRule="exact"/>
        <w:rPr>
          <w:rFonts w:ascii="Times New Roman" w:cs="Times New Roman" w:eastAsia="Times New Roman" w:hAnsi="Times New Roman"/>
          <w:sz w:val="16"/>
          <w:szCs w:val="16"/>
          <w:color w:val="auto"/>
        </w:rPr>
      </w:pPr>
    </w:p>
    <w:p>
      <w:pPr>
        <w:ind w:left="648" w:hanging="324"/>
        <w:spacing w:after="0" w:line="280"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8"/>
          </w:cols>
          <w:pgMar w:left="652" w:top="1440" w:right="65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6"/>
          <w:szCs w:val="16"/>
          <w:color w:val="auto"/>
        </w:rPr>
        <w:t>addressed to the Participant at the Participant’s last known mailing or email address, as applicable, on the records of the Company.</w:t>
      </w:r>
    </w:p>
    <w:p>
      <w:pPr>
        <w:spacing w:after="0" w:line="181" w:lineRule="exact"/>
        <w:rPr>
          <w:sz w:val="20"/>
          <w:szCs w:val="20"/>
          <w:color w:val="auto"/>
        </w:rPr>
      </w:pPr>
    </w:p>
    <w:p>
      <w:pPr>
        <w:ind w:left="324" w:hanging="324"/>
        <w:spacing w:after="0" w:line="280"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24" w:lineRule="exact"/>
        <w:rPr>
          <w:rFonts w:ascii="Times New Roman" w:cs="Times New Roman" w:eastAsia="Times New Roman" w:hAnsi="Times New Roman"/>
          <w:sz w:val="16"/>
          <w:szCs w:val="16"/>
          <w:color w:val="auto"/>
        </w:rPr>
      </w:pPr>
    </w:p>
    <w:p>
      <w:pPr>
        <w:ind w:left="324" w:right="20" w:hanging="324"/>
        <w:spacing w:after="0" w:line="280" w:lineRule="auto"/>
        <w:tabs>
          <w:tab w:leader="none" w:pos="31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98" w:lineRule="auto"/>
        <w:tabs>
          <w:tab w:leader="none" w:pos="31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96"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42"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Performance RSUs and any cash payment or Shares delivered pursuant to the Performance RSUs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Performance RSUs, and any Shares issued upon vesting of the Performance RSUs,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Participant expressly and explicitly authorizes the Company to issue instructions, on the Participant’s behalf, to any brokerage firm or stock plan service provider engaged by the Company to hold any Shares or other amounts acquired pursuant to the Performance RSUs to re-convey, transfer or otherwise return such Shares and/or other amounts to the Company upon the Company’s enforcement of the Clawback Policy.</w:t>
      </w:r>
    </w:p>
    <w:p>
      <w:pPr>
        <w:spacing w:after="0" w:line="143" w:lineRule="exact"/>
        <w:rPr>
          <w:rFonts w:ascii="Times New Roman" w:cs="Times New Roman" w:eastAsia="Times New Roman" w:hAnsi="Times New Roman"/>
          <w:sz w:val="16"/>
          <w:szCs w:val="16"/>
          <w:color w:val="auto"/>
        </w:rPr>
      </w:pPr>
    </w:p>
    <w:p>
      <w:pPr>
        <w:ind w:left="324" w:right="20" w:hanging="324"/>
        <w:spacing w:after="0" w:line="280"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Committee shall be final and conclusive.</w:t>
      </w:r>
    </w:p>
    <w:p>
      <w:pPr>
        <w:spacing w:after="0" w:line="124" w:lineRule="exact"/>
        <w:rPr>
          <w:rFonts w:ascii="Times New Roman" w:cs="Times New Roman" w:eastAsia="Times New Roman" w:hAnsi="Times New Roman"/>
          <w:sz w:val="16"/>
          <w:szCs w:val="16"/>
          <w:color w:val="auto"/>
        </w:rPr>
      </w:pPr>
    </w:p>
    <w:p>
      <w:pPr>
        <w:jc w:val="both"/>
        <w:ind w:left="324" w:hanging="324"/>
        <w:spacing w:after="0" w:line="266"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(including deemed acceptance) of this Award, the Participant is deemed to have accepted and agreed to all of the terms and conditions of this Agreement and the provisions of the Plan.</w:t>
      </w:r>
    </w:p>
    <w:p>
      <w:pPr>
        <w:spacing w:after="0" w:line="319"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6" w:lineRule="exact"/>
        <w:rPr>
          <w:rFonts w:ascii="Times New Roman" w:cs="Times New Roman" w:eastAsia="Times New Roman" w:hAnsi="Times New Roman"/>
          <w:sz w:val="16"/>
          <w:szCs w:val="16"/>
          <w:color w:val="auto"/>
        </w:rPr>
      </w:pPr>
    </w:p>
    <w:p>
      <w:pPr>
        <w:jc w:val="both"/>
        <w:ind w:left="324" w:right="20" w:hanging="324"/>
        <w:spacing w:after="0" w:line="263" w:lineRule="auto"/>
        <w:tabs>
          <w:tab w:leader="none" w:pos="319"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 unless otherwise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hanging="324"/>
        <w:spacing w:after="0" w:line="260" w:lineRule="auto"/>
        <w:tabs>
          <w:tab w:leader="none" w:pos="31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or otherwise becomes a resident of,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40" w:lineRule="exact"/>
        <w:rPr>
          <w:rFonts w:ascii="Times New Roman" w:cs="Times New Roman" w:eastAsia="Times New Roman" w:hAnsi="Times New Roman"/>
          <w:sz w:val="16"/>
          <w:szCs w:val="16"/>
          <w:color w:val="auto"/>
        </w:rPr>
      </w:pPr>
    </w:p>
    <w:p>
      <w:pPr>
        <w:jc w:val="both"/>
        <w:ind w:left="324" w:right="20" w:hanging="324"/>
        <w:spacing w:after="0" w:line="263"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25"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0" w:lineRule="exact"/>
        <w:rPr>
          <w:rFonts w:ascii="Times New Roman" w:cs="Times New Roman" w:eastAsia="Times New Roman" w:hAnsi="Times New Roman"/>
          <w:sz w:val="16"/>
          <w:szCs w:val="16"/>
          <w:color w:val="auto"/>
        </w:rPr>
      </w:pPr>
    </w:p>
    <w:p>
      <w:pPr>
        <w:jc w:val="both"/>
        <w:ind w:left="324" w:hanging="324"/>
        <w:spacing w:after="0" w:line="266" w:lineRule="auto"/>
        <w:tabs>
          <w:tab w:leader="none" w:pos="31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Committee.</w:t>
      </w:r>
    </w:p>
    <w:p>
      <w:pPr>
        <w:spacing w:after="0" w:line="319"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Times New Roman" w:cs="Times New Roman" w:eastAsia="Times New Roman" w:hAnsi="Times New Roman"/>
          <w:sz w:val="16"/>
          <w:szCs w:val="16"/>
          <w:color w:val="auto"/>
        </w:rPr>
      </w:pPr>
    </w:p>
    <w:p>
      <w:pPr>
        <w:jc w:val="both"/>
        <w:ind w:left="324" w:hanging="324"/>
        <w:spacing w:after="0" w:line="257"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including fellow employees, or causing them otherwise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43" w:lineRule="exact"/>
        <w:rPr>
          <w:rFonts w:ascii="Times New Roman" w:cs="Times New Roman" w:eastAsia="Times New Roman" w:hAnsi="Times New Roman"/>
          <w:sz w:val="16"/>
          <w:szCs w:val="16"/>
          <w:color w:val="auto"/>
        </w:rPr>
      </w:pPr>
    </w:p>
    <w:p>
      <w:pPr>
        <w:jc w:val="both"/>
        <w:ind w:left="324" w:hanging="324"/>
        <w:spacing w:after="0" w:line="258" w:lineRule="auto"/>
        <w:tabs>
          <w:tab w:leader="none" w:pos="31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32" w:lineRule="exact"/>
        <w:rPr>
          <w:sz w:val="20"/>
          <w:szCs w:val="20"/>
          <w:color w:val="auto"/>
        </w:rPr>
      </w:pPr>
    </w:p>
    <w:p>
      <w:pPr>
        <w:ind w:left="324" w:hanging="324"/>
        <w:spacing w:after="0" w:line="280" w:lineRule="auto"/>
        <w:tabs>
          <w:tab w:leader="none" w:pos="31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24"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2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64"/>
          </w:cols>
          <w:pgMar w:left="976" w:top="1440" w:right="65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40"/>
        <w:spacing w:after="0" w:line="298" w:lineRule="auto"/>
        <w:rPr>
          <w:sz w:val="20"/>
          <w:szCs w:val="20"/>
          <w:color w:val="auto"/>
        </w:rPr>
      </w:pPr>
      <w:r>
        <w:rPr>
          <w:rFonts w:ascii="Times New Roman" w:cs="Times New Roman" w:eastAsia="Times New Roman" w:hAnsi="Times New Roman"/>
          <w:sz w:val="16"/>
          <w:szCs w:val="16"/>
          <w:color w:val="auto"/>
        </w:rPr>
        <w:t>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42" w:lineRule="exact"/>
        <w:rPr>
          <w:sz w:val="20"/>
          <w:szCs w:val="20"/>
          <w:color w:val="auto"/>
        </w:rPr>
      </w:pPr>
    </w:p>
    <w:p>
      <w:pPr>
        <w:ind w:left="220"/>
        <w:spacing w:after="0"/>
        <w:tabs>
          <w:tab w:leader="none" w:pos="660"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20320</wp:posOffset>
            </wp:positionV>
            <wp:extent cx="2151380"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60"/>
          </w:cols>
          <w:pgMar w:left="660" w:top="1440" w:right="679" w:bottom="1440" w:gutter="0" w:footer="0" w:header="0"/>
        </w:sectPr>
      </w:pPr>
    </w:p>
    <w:bookmarkStart w:id="136" w:name="page137"/>
    <w:bookmarkEnd w:id="136"/>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Grant Date and ending on Grant Custom 1 (the “Performance Period”).</w:t>
      </w:r>
    </w:p>
    <w:p>
      <w:pPr>
        <w:spacing w:after="0" w:line="14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660" w:right="20" w:hanging="328"/>
        <w:spacing w:after="0" w:line="245" w:lineRule="auto"/>
        <w:tabs>
          <w:tab w:leader="none" w:pos="6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Committee determines the level of attainment of the Performance Parameters. The Determination Date shall be a date as soon as possible following the end of the Performance Period but prior to the Vesting Date.</w:t>
      </w:r>
    </w:p>
    <w:p>
      <w:pPr>
        <w:spacing w:after="0" w:line="110" w:lineRule="exact"/>
        <w:rPr>
          <w:rFonts w:ascii="Times New Roman" w:cs="Times New Roman" w:eastAsia="Times New Roman" w:hAnsi="Times New Roman"/>
          <w:sz w:val="16"/>
          <w:szCs w:val="16"/>
          <w:color w:val="auto"/>
        </w:rPr>
      </w:pPr>
    </w:p>
    <w:p>
      <w:pPr>
        <w:jc w:val="both"/>
        <w:ind w:left="660" w:right="20" w:hanging="328"/>
        <w:spacing w:after="0" w:line="227" w:lineRule="auto"/>
        <w:tabs>
          <w:tab w:leader="none" w:pos="6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Terms</w:t>
      </w:r>
      <w:r>
        <w:rPr>
          <w:rFonts w:ascii="Times New Roman" w:cs="Times New Roman" w:eastAsia="Times New Roman" w:hAnsi="Times New Roman"/>
          <w:sz w:val="16"/>
          <w:szCs w:val="16"/>
          <w:color w:val="auto"/>
        </w:rPr>
        <w:t>. Subject to Section 2(a) through 2(d) of the Performance Restricted Stock Unit Agreement, the Participant shall vest on the Vesting Date in the number of Performance RSUs, if any, that the Committee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23" w:lineRule="auto"/>
        <w:tabs>
          <w:tab w:leader="none" w:pos="6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percentile attainment of the Company’s TSR (as defined below) relative to the TSR of the Peer Group (as defined below) during the Performance Period. The number of Performance RSUs that shall vest shall be equal to a number of Performance RSUs that is between 0% and 200% of the Initial Grant Number, corresponding to the percentile attainment of the TSR of the Company as set forth in the table below, but up to a maximum of 100% of the Initial Grant Number if the Company’s TSR is negative. Attainment among percentiles of TSR attainment is subject to interpolation on a linear basis</w:t>
      </w:r>
    </w:p>
    <w:p>
      <w:pPr>
        <w:spacing w:after="0" w:line="130"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132080</wp:posOffset>
            </wp:positionV>
            <wp:extent cx="2245995" cy="17145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2245995" cy="171450"/>
                    </a:xfrm>
                    <a:prstGeom prst="rect">
                      <a:avLst/>
                    </a:prstGeom>
                    <a:noFill/>
                  </pic:spPr>
                </pic:pic>
              </a:graphicData>
            </a:graphic>
          </wp:anchor>
        </w:drawing>
      </w:r>
    </w:p>
    <w:p>
      <w:pPr>
        <w:spacing w:after="0" w:line="188" w:lineRule="exact"/>
        <w:rPr>
          <w:sz w:val="20"/>
          <w:szCs w:val="20"/>
          <w:color w:val="auto"/>
        </w:rPr>
      </w:pPr>
    </w:p>
    <w:tbl>
      <w:tblPr>
        <w:tblLayout w:type="fixed"/>
        <w:tblInd w:w="2660" w:type="dxa"/>
        <w:tblCellMar>
          <w:top w:w="0" w:type="dxa"/>
          <w:left w:w="0" w:type="dxa"/>
          <w:bottom w:w="0" w:type="dxa"/>
          <w:right w:w="0" w:type="dxa"/>
        </w:tblCellMar>
      </w:tblPr>
      <w:tr>
        <w:trPr>
          <w:trHeight w:val="20"/>
        </w:trPr>
        <w:tc>
          <w:tcPr>
            <w:tcW w:w="200" w:type="dxa"/>
            <w:vAlign w:val="bottom"/>
            <w:tcBorders>
              <w:right w:val="single" w:sz="8" w:color="4F81BD"/>
            </w:tcBorders>
          </w:tcPr>
          <w:p>
            <w:pPr>
              <w:spacing w:after="0" w:line="20" w:lineRule="exact"/>
              <w:rPr>
                <w:sz w:val="1"/>
                <w:szCs w:val="1"/>
                <w:color w:val="auto"/>
              </w:rPr>
            </w:pPr>
          </w:p>
        </w:tc>
        <w:tc>
          <w:tcPr>
            <w:tcW w:w="1520" w:type="dxa"/>
            <w:vAlign w:val="bottom"/>
            <w:shd w:val="clear" w:color="auto" w:fill="4F81BD"/>
          </w:tcPr>
          <w:p>
            <w:pPr>
              <w:spacing w:after="0" w:line="20" w:lineRule="exact"/>
              <w:rPr>
                <w:sz w:val="1"/>
                <w:szCs w:val="1"/>
                <w:color w:val="auto"/>
              </w:rPr>
            </w:pPr>
          </w:p>
        </w:tc>
        <w:tc>
          <w:tcPr>
            <w:tcW w:w="260" w:type="dxa"/>
            <w:vAlign w:val="bottom"/>
            <w:tcBorders>
              <w:right w:val="single" w:sz="8" w:color="4F81BD"/>
            </w:tcBorders>
            <w:shd w:val="clear" w:color="auto" w:fill="4F81BD"/>
          </w:tcPr>
          <w:p>
            <w:pPr>
              <w:spacing w:after="0" w:line="20" w:lineRule="exact"/>
              <w:rPr>
                <w:sz w:val="1"/>
                <w:szCs w:val="1"/>
                <w:color w:val="auto"/>
              </w:rPr>
            </w:pPr>
          </w:p>
        </w:tc>
        <w:tc>
          <w:tcPr>
            <w:tcW w:w="1760" w:type="dxa"/>
            <w:vAlign w:val="bottom"/>
            <w:tcBorders>
              <w:right w:val="single" w:sz="8" w:color="4F81BD"/>
            </w:tcBorders>
            <w:shd w:val="clear" w:color="auto" w:fill="4F81BD"/>
          </w:tcPr>
          <w:p>
            <w:pPr>
              <w:spacing w:after="0" w:line="20" w:lineRule="exact"/>
              <w:rPr>
                <w:sz w:val="1"/>
                <w:szCs w:val="1"/>
                <w:color w:val="auto"/>
              </w:rPr>
            </w:pPr>
          </w:p>
        </w:tc>
      </w:tr>
      <w:tr>
        <w:trPr>
          <w:trHeight w:val="230"/>
        </w:trPr>
        <w:tc>
          <w:tcPr>
            <w:tcW w:w="172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FFFFFF"/>
              </w:rPr>
              <w:t>Percentile Attainment</w:t>
            </w:r>
          </w:p>
        </w:tc>
        <w:tc>
          <w:tcPr>
            <w:tcW w:w="2020" w:type="dxa"/>
            <w:vAlign w:val="bottom"/>
            <w:tcBorders>
              <w:right w:val="single" w:sz="8" w:color="4F81BD"/>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FFFFFF"/>
              </w:rPr>
              <w:t>PRSU Payout %</w:t>
            </w:r>
          </w:p>
        </w:tc>
      </w:tr>
      <w:tr>
        <w:trPr>
          <w:trHeight w:val="243"/>
        </w:trPr>
        <w:tc>
          <w:tcPr>
            <w:tcW w:w="200" w:type="dxa"/>
            <w:vAlign w:val="bottom"/>
            <w:tcBorders>
              <w:right w:val="single" w:sz="8" w:color="95B3D7"/>
            </w:tcBorders>
          </w:tcPr>
          <w:p>
            <w:pPr>
              <w:spacing w:after="0"/>
              <w:rPr>
                <w:sz w:val="21"/>
                <w:szCs w:val="21"/>
                <w:color w:val="auto"/>
              </w:rPr>
            </w:pPr>
          </w:p>
        </w:tc>
        <w:tc>
          <w:tcPr>
            <w:tcW w:w="1520" w:type="dxa"/>
            <w:vAlign w:val="bottom"/>
            <w:tcBorders>
              <w:top w:val="single" w:sz="8" w:color="95B3D7"/>
              <w:bottom w:val="single" w:sz="8" w:color="95B3D7"/>
            </w:tcBorders>
            <w:shd w:val="clear" w:color="auto" w:fill="DBE5F1"/>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7"/>
              </w:rPr>
              <w:t>&lt; 25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top w:val="single" w:sz="8" w:color="95B3D7"/>
              <w:bottom w:val="single" w:sz="8" w:color="95B3D7"/>
              <w:right w:val="single" w:sz="8" w:color="95B3D7"/>
            </w:tcBorders>
            <w:shd w:val="clear" w:color="auto" w:fill="DBE5F1"/>
          </w:tcPr>
          <w:p>
            <w:pPr>
              <w:spacing w:after="0"/>
              <w:rPr>
                <w:sz w:val="21"/>
                <w:szCs w:val="21"/>
                <w:color w:val="auto"/>
              </w:rPr>
            </w:pPr>
          </w:p>
        </w:tc>
        <w:tc>
          <w:tcPr>
            <w:tcW w:w="1760" w:type="dxa"/>
            <w:vAlign w:val="bottom"/>
            <w:tcBorders>
              <w:top w:val="single" w:sz="8" w:color="95B3D7"/>
              <w:bottom w:val="single" w:sz="8" w:color="95B3D7"/>
              <w:right w:val="single" w:sz="8" w:color="95B3D7"/>
            </w:tcBorders>
            <w:shd w:val="clear" w:color="auto" w:fill="DBE5F1"/>
          </w:tcPr>
          <w:p>
            <w:pPr>
              <w:jc w:val="center"/>
              <w:ind w:right="579"/>
              <w:spacing w:after="0"/>
              <w:rPr>
                <w:sz w:val="20"/>
                <w:szCs w:val="20"/>
                <w:color w:val="auto"/>
              </w:rPr>
            </w:pPr>
            <w:r>
              <w:rPr>
                <w:rFonts w:ascii="Times New Roman" w:cs="Times New Roman" w:eastAsia="Times New Roman" w:hAnsi="Times New Roman"/>
                <w:sz w:val="16"/>
                <w:szCs w:val="16"/>
                <w:color w:val="auto"/>
              </w:rPr>
              <w:t>0%</w:t>
            </w:r>
          </w:p>
        </w:tc>
      </w:tr>
      <w:tr>
        <w:trPr>
          <w:trHeight w:val="237"/>
        </w:trPr>
        <w:tc>
          <w:tcPr>
            <w:tcW w:w="200" w:type="dxa"/>
            <w:vAlign w:val="bottom"/>
            <w:tcBorders>
              <w:right w:val="single" w:sz="8" w:color="95B3D7"/>
            </w:tcBorders>
          </w:tcPr>
          <w:p>
            <w:pPr>
              <w:spacing w:after="0"/>
              <w:rPr>
                <w:sz w:val="20"/>
                <w:szCs w:val="20"/>
                <w:color w:val="auto"/>
              </w:rPr>
            </w:pPr>
          </w:p>
        </w:tc>
        <w:tc>
          <w:tcPr>
            <w:tcW w:w="1520" w:type="dxa"/>
            <w:vAlign w:val="bottom"/>
            <w:tcBorders>
              <w:bottom w:val="single" w:sz="8" w:color="95B3D7"/>
            </w:tcBorders>
          </w:tcPr>
          <w:p>
            <w:pPr>
              <w:jc w:val="center"/>
              <w:ind w:right="339"/>
              <w:spacing w:after="0" w:line="237" w:lineRule="exact"/>
              <w:rPr>
                <w:sz w:val="20"/>
                <w:szCs w:val="20"/>
                <w:color w:val="auto"/>
              </w:rPr>
            </w:pPr>
            <w:r>
              <w:rPr>
                <w:rFonts w:ascii="Times New Roman" w:cs="Times New Roman" w:eastAsia="Times New Roman" w:hAnsi="Times New Roman"/>
                <w:sz w:val="16"/>
                <w:szCs w:val="16"/>
                <w:b w:val="1"/>
                <w:bCs w:val="1"/>
                <w:color w:val="auto"/>
                <w:w w:val="97"/>
              </w:rPr>
              <w:t>25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tcPr>
          <w:p>
            <w:pPr>
              <w:spacing w:after="0"/>
              <w:rPr>
                <w:sz w:val="20"/>
                <w:szCs w:val="20"/>
                <w:color w:val="auto"/>
              </w:rPr>
            </w:pPr>
          </w:p>
        </w:tc>
        <w:tc>
          <w:tcPr>
            <w:tcW w:w="1760" w:type="dxa"/>
            <w:vAlign w:val="bottom"/>
            <w:tcBorders>
              <w:bottom w:val="single" w:sz="8" w:color="95B3D7"/>
              <w:right w:val="single" w:sz="8" w:color="95B3D7"/>
            </w:tcBorders>
          </w:tcPr>
          <w:p>
            <w:pPr>
              <w:jc w:val="center"/>
              <w:ind w:right="579"/>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200" w:type="dxa"/>
            <w:vAlign w:val="bottom"/>
            <w:tcBorders>
              <w:right w:val="single" w:sz="8" w:color="95B3D7"/>
            </w:tcBorders>
          </w:tcPr>
          <w:p>
            <w:pPr>
              <w:spacing w:after="0"/>
              <w:rPr>
                <w:sz w:val="20"/>
                <w:szCs w:val="20"/>
                <w:color w:val="auto"/>
              </w:rPr>
            </w:pPr>
          </w:p>
        </w:tc>
        <w:tc>
          <w:tcPr>
            <w:tcW w:w="1520" w:type="dxa"/>
            <w:vAlign w:val="bottom"/>
            <w:tcBorders>
              <w:bottom w:val="single" w:sz="8" w:color="95B3D7"/>
            </w:tcBorders>
            <w:shd w:val="clear" w:color="auto" w:fill="DBE5F1"/>
          </w:tcPr>
          <w:p>
            <w:pPr>
              <w:jc w:val="center"/>
              <w:ind w:right="339"/>
              <w:spacing w:after="0" w:line="237" w:lineRule="exact"/>
              <w:rPr>
                <w:sz w:val="20"/>
                <w:szCs w:val="20"/>
                <w:color w:val="auto"/>
              </w:rPr>
            </w:pPr>
            <w:r>
              <w:rPr>
                <w:rFonts w:ascii="Times New Roman" w:cs="Times New Roman" w:eastAsia="Times New Roman" w:hAnsi="Times New Roman"/>
                <w:sz w:val="16"/>
                <w:szCs w:val="16"/>
                <w:b w:val="1"/>
                <w:bCs w:val="1"/>
                <w:color w:val="auto"/>
                <w:w w:val="97"/>
              </w:rPr>
              <w:t>55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shd w:val="clear" w:color="auto" w:fill="DBE5F1"/>
          </w:tcPr>
          <w:p>
            <w:pPr>
              <w:spacing w:after="0"/>
              <w:rPr>
                <w:sz w:val="20"/>
                <w:szCs w:val="20"/>
                <w:color w:val="auto"/>
              </w:rPr>
            </w:pPr>
          </w:p>
        </w:tc>
        <w:tc>
          <w:tcPr>
            <w:tcW w:w="1760" w:type="dxa"/>
            <w:vAlign w:val="bottom"/>
            <w:tcBorders>
              <w:bottom w:val="single" w:sz="8" w:color="95B3D7"/>
              <w:right w:val="single" w:sz="8" w:color="95B3D7"/>
            </w:tcBorders>
            <w:shd w:val="clear" w:color="auto" w:fill="DBE5F1"/>
          </w:tcPr>
          <w:p>
            <w:pPr>
              <w:jc w:val="center"/>
              <w:ind w:right="57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200" w:type="dxa"/>
            <w:vAlign w:val="bottom"/>
            <w:tcBorders>
              <w:right w:val="single" w:sz="8" w:color="95B3D7"/>
            </w:tcBorders>
          </w:tcPr>
          <w:p>
            <w:pPr>
              <w:spacing w:after="0"/>
              <w:rPr>
                <w:sz w:val="20"/>
                <w:szCs w:val="20"/>
                <w:color w:val="auto"/>
              </w:rPr>
            </w:pPr>
          </w:p>
        </w:tc>
        <w:tc>
          <w:tcPr>
            <w:tcW w:w="1520" w:type="dxa"/>
            <w:vAlign w:val="bottom"/>
            <w:tcBorders>
              <w:bottom w:val="single" w:sz="8" w:color="95B3D7"/>
            </w:tcBorders>
          </w:tcPr>
          <w:p>
            <w:pPr>
              <w:jc w:val="center"/>
              <w:ind w:right="339"/>
              <w:spacing w:after="0" w:line="237" w:lineRule="exact"/>
              <w:rPr>
                <w:sz w:val="20"/>
                <w:szCs w:val="20"/>
                <w:color w:val="auto"/>
              </w:rPr>
            </w:pPr>
            <w:r>
              <w:rPr>
                <w:rFonts w:ascii="Times New Roman" w:cs="Times New Roman" w:eastAsia="Times New Roman" w:hAnsi="Times New Roman"/>
                <w:sz w:val="16"/>
                <w:szCs w:val="16"/>
                <w:b w:val="1"/>
                <w:bCs w:val="1"/>
                <w:color w:val="auto"/>
                <w:w w:val="97"/>
              </w:rPr>
              <w:t>75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tcPr>
          <w:p>
            <w:pPr>
              <w:spacing w:after="0"/>
              <w:rPr>
                <w:sz w:val="20"/>
                <w:szCs w:val="20"/>
                <w:color w:val="auto"/>
              </w:rPr>
            </w:pPr>
          </w:p>
        </w:tc>
        <w:tc>
          <w:tcPr>
            <w:tcW w:w="1760" w:type="dxa"/>
            <w:vAlign w:val="bottom"/>
            <w:tcBorders>
              <w:bottom w:val="single" w:sz="8" w:color="95B3D7"/>
              <w:right w:val="single" w:sz="8" w:color="95B3D7"/>
            </w:tcBorders>
          </w:tcPr>
          <w:p>
            <w:pPr>
              <w:jc w:val="center"/>
              <w:ind w:right="579"/>
              <w:spacing w:after="0"/>
              <w:rPr>
                <w:sz w:val="20"/>
                <w:szCs w:val="20"/>
                <w:color w:val="auto"/>
              </w:rPr>
            </w:pPr>
            <w:r>
              <w:rPr>
                <w:rFonts w:ascii="Times New Roman" w:cs="Times New Roman" w:eastAsia="Times New Roman" w:hAnsi="Times New Roman"/>
                <w:sz w:val="16"/>
                <w:szCs w:val="16"/>
                <w:color w:val="auto"/>
              </w:rPr>
              <w:t>200%</w:t>
            </w:r>
          </w:p>
        </w:tc>
      </w:tr>
    </w:tbl>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FFFFFF"/>
        </w:rPr>
        <w:t>7.</w:t>
      </w:r>
    </w:p>
    <w:p>
      <w:pPr>
        <w:spacing w:after="0" w:line="167" w:lineRule="exact"/>
        <w:rPr>
          <w:sz w:val="20"/>
          <w:szCs w:val="20"/>
          <w:color w:val="auto"/>
        </w:rPr>
      </w:pPr>
    </w:p>
    <w:p>
      <w:pPr>
        <w:ind w:left="660" w:right="20"/>
        <w:spacing w:after="0" w:line="316" w:lineRule="auto"/>
        <w:rPr>
          <w:sz w:val="20"/>
          <w:szCs w:val="20"/>
          <w:color w:val="auto"/>
        </w:rPr>
      </w:pPr>
      <w:r>
        <w:rPr>
          <w:rFonts w:ascii="Times New Roman" w:cs="Times New Roman" w:eastAsia="Times New Roman" w:hAnsi="Times New Roman"/>
          <w:sz w:val="16"/>
          <w:szCs w:val="16"/>
          <w:color w:val="auto"/>
        </w:rPr>
        <w:t>“Beginning Stock Price” shall mean the average of the closing prices of the applicable stock for the 90 calendar days starting and including the first day of the Performance Period.</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“Cumulative Cash Dividend Payments” shall mean the sum of all cash dividends declared during the Performance Period, based on their ex-dividend date.</w:t>
      </w:r>
    </w:p>
    <w:p>
      <w:pPr>
        <w:spacing w:after="0" w:line="221" w:lineRule="exact"/>
        <w:rPr>
          <w:sz w:val="20"/>
          <w:szCs w:val="20"/>
          <w:color w:val="auto"/>
        </w:rPr>
      </w:pPr>
    </w:p>
    <w:p>
      <w:pPr>
        <w:ind w:left="660" w:right="20"/>
        <w:spacing w:after="0" w:line="316" w:lineRule="auto"/>
        <w:rPr>
          <w:sz w:val="20"/>
          <w:szCs w:val="20"/>
          <w:color w:val="auto"/>
        </w:rPr>
      </w:pPr>
      <w:r>
        <w:rPr>
          <w:rFonts w:ascii="Times New Roman" w:cs="Times New Roman" w:eastAsia="Times New Roman" w:hAnsi="Times New Roman"/>
          <w:sz w:val="16"/>
          <w:szCs w:val="16"/>
          <w:color w:val="auto"/>
        </w:rPr>
        <w:t>“Ending Stock Price” shall mean the average of the closing price of the applicable stock for the 90 calendar days up to and including the last day of the Performance Period.</w:t>
      </w:r>
    </w:p>
    <w:p>
      <w:pPr>
        <w:spacing w:after="0" w:line="123" w:lineRule="exact"/>
        <w:rPr>
          <w:sz w:val="20"/>
          <w:szCs w:val="20"/>
          <w:color w:val="auto"/>
        </w:rPr>
      </w:pPr>
    </w:p>
    <w:p>
      <w:pPr>
        <w:ind w:left="660" w:right="20" w:hanging="328"/>
        <w:spacing w:after="0" w:line="316" w:lineRule="auto"/>
        <w:tabs>
          <w:tab w:leader="none" w:pos="660" w:val="left"/>
        </w:tabs>
        <w:numPr>
          <w:ilvl w:val="0"/>
          <w:numId w:val="12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“Peer Group” shall mean a peer group of companies established by the Committee at the time the Performance RSUs are granted to the Participant and the stock of which continues to be traded on a publicly traded stock exchange as of the last day of the Performance Period.</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Shareholder Return (“TSR”) shall be computed according to the following formula:</w:t>
      </w:r>
    </w:p>
    <w:p>
      <w:pPr>
        <w:spacing w:after="0" w:line="1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 xml:space="preserve">TSR = </w:t>
      </w:r>
      <w:r>
        <w:rPr>
          <w:rFonts w:ascii="Times New Roman" w:cs="Times New Roman" w:eastAsia="Times New Roman" w:hAnsi="Times New Roman"/>
          <w:sz w:val="16"/>
          <w:szCs w:val="16"/>
          <w:u w:val="single" w:color="auto"/>
          <w:color w:val="auto"/>
        </w:rPr>
        <w:t>(Ending Stock Price – Beginning Stock Price + Cumulative Cash Dividend Payments)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(Beginning Stock Price)</w:t>
      </w:r>
    </w:p>
    <w:p>
      <w:pPr>
        <w:spacing w:after="0" w:line="200" w:lineRule="exact"/>
        <w:rPr>
          <w:sz w:val="20"/>
          <w:szCs w:val="20"/>
          <w:color w:val="auto"/>
        </w:rPr>
      </w:pPr>
    </w:p>
    <w:p>
      <w:pPr>
        <w:spacing w:after="0" w:line="229" w:lineRule="exact"/>
        <w:rPr>
          <w:sz w:val="20"/>
          <w:szCs w:val="20"/>
          <w:color w:val="auto"/>
        </w:rPr>
      </w:pPr>
    </w:p>
    <w:p>
      <w:pPr>
        <w:ind w:left="660" w:right="20" w:hanging="328"/>
        <w:spacing w:after="0" w:line="280" w:lineRule="auto"/>
        <w:tabs>
          <w:tab w:leader="none" w:pos="660" w:val="left"/>
        </w:tabs>
        <w:numPr>
          <w:ilvl w:val="0"/>
          <w:numId w:val="12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110" w:lineRule="exact"/>
        <w:rPr>
          <w:rFonts w:ascii="Times New Roman" w:cs="Times New Roman" w:eastAsia="Times New Roman" w:hAnsi="Times New Roman"/>
          <w:sz w:val="16"/>
          <w:szCs w:val="16"/>
          <w:color w:val="FFFFFF"/>
        </w:rPr>
      </w:pPr>
    </w:p>
    <w:p>
      <w:pPr>
        <w:ind w:left="660" w:right="20" w:hanging="328"/>
        <w:spacing w:after="0" w:line="298" w:lineRule="auto"/>
        <w:tabs>
          <w:tab w:leader="none" w:pos="660" w:val="left"/>
        </w:tabs>
        <w:numPr>
          <w:ilvl w:val="0"/>
          <w:numId w:val="12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Performance Parameters shall be subject to the adjustments approved by the Committee and set forth in writing at the time the Performance Parameters are approved.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11.</w:t>
      </w:r>
    </w:p>
    <w:p>
      <w:pPr>
        <w:spacing w:after="0" w:line="200" w:lineRule="exact"/>
        <w:rPr>
          <w:sz w:val="20"/>
          <w:szCs w:val="20"/>
          <w:color w:val="auto"/>
        </w:rPr>
      </w:pP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920"/>
          </w:cols>
          <w:pgMar w:left="320" w:top="1028" w:right="659" w:bottom="1440" w:gutter="0" w:footer="0" w:header="0"/>
        </w:sectPr>
      </w:pPr>
    </w:p>
    <w:bookmarkStart w:id="137" w:name="page138"/>
    <w:bookmarkEnd w:id="137"/>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32" w:lineRule="exact"/>
        <w:rPr>
          <w:sz w:val="20"/>
          <w:szCs w:val="20"/>
          <w:color w:val="auto"/>
        </w:rPr>
      </w:pPr>
    </w:p>
    <w:p>
      <w:pPr>
        <w:jc w:val="both"/>
        <w:ind w:left="180" w:right="320"/>
        <w:spacing w:after="0" w:line="259"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2025.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22"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11"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46"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28" w:right="339" w:bottom="1440" w:gutter="0" w:footer="0" w:header="0"/>
        </w:sectPr>
      </w:pPr>
    </w:p>
    <w:bookmarkStart w:id="138" w:name="page139"/>
    <w:bookmarkEnd w:id="138"/>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500" w:hanging="328"/>
        <w:spacing w:after="0" w:line="228" w:lineRule="auto"/>
        <w:tabs>
          <w:tab w:leader="none" w:pos="49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10" w:lineRule="exact"/>
        <w:rPr>
          <w:rFonts w:ascii="Times New Roman" w:cs="Times New Roman" w:eastAsia="Times New Roman" w:hAnsi="Times New Roman"/>
          <w:sz w:val="16"/>
          <w:szCs w:val="16"/>
          <w:color w:val="auto"/>
        </w:rPr>
      </w:pPr>
    </w:p>
    <w:p>
      <w:pPr>
        <w:jc w:val="both"/>
        <w:ind w:left="500" w:hanging="328"/>
        <w:spacing w:after="0" w:line="222" w:lineRule="auto"/>
        <w:tabs>
          <w:tab w:leader="none" w:pos="5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may have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180" w:right="3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prescribed forms.</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64" w:lineRule="exact"/>
        <w:rPr>
          <w:sz w:val="20"/>
          <w:szCs w:val="20"/>
          <w:color w:val="auto"/>
        </w:rPr>
      </w:pPr>
    </w:p>
    <w:p>
      <w:pPr>
        <w:jc w:val="both"/>
        <w:ind w:left="180" w:right="340"/>
        <w:spacing w:after="0" w:line="25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The first time Belgian residents report such an account on their annual income tax return, they are also required to complete a separate report providing certain details regarding such foreign accounts (including the account number, bank name and country in which such account was opened) to the Central Contact Point of the National Bank of Belgium. The forms to complete this report are available on the website of the National Bank of Belgium.</w:t>
      </w:r>
    </w:p>
    <w:p>
      <w:pPr>
        <w:spacing w:after="0" w:line="222"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28" w:right="339" w:bottom="1440" w:gutter="0" w:footer="0" w:header="0"/>
        </w:sectPr>
      </w:pPr>
    </w:p>
    <w:bookmarkStart w:id="139" w:name="page140"/>
    <w:bookmarkEnd w:id="139"/>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Compensation or Salary</w:t>
      </w:r>
      <w:r>
        <w:rPr>
          <w:rFonts w:ascii="Times New Roman" w:cs="Times New Roman" w:eastAsia="Times New Roman" w:hAnsi="Times New Roman"/>
          <w:sz w:val="16"/>
          <w:szCs w:val="16"/>
          <w:color w:val="auto"/>
        </w:rPr>
        <w:t>. The following replaces the last two sentences of Section 9(b) of the Agreement:</w:t>
      </w:r>
    </w:p>
    <w:p>
      <w:pPr>
        <w:spacing w:after="0" w:line="26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The following replaces Section 9(d) of the Agreement:</w:t>
      </w:r>
    </w:p>
    <w:p>
      <w:pPr>
        <w:spacing w:after="0" w:line="262"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claim or entitlement to compensation or damages shall arise from (i)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Performance RSUs or the recoupment of any financial gain from the Performance RSUs as described in Section 9(o) hereof.</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Obligation to Make Payment</w:t>
      </w:r>
      <w:r>
        <w:rPr>
          <w:rFonts w:ascii="Times New Roman" w:cs="Times New Roman" w:eastAsia="Times New Roman" w:hAnsi="Times New Roman"/>
          <w:sz w:val="16"/>
          <w:szCs w:val="16"/>
          <w:color w:val="auto"/>
        </w:rPr>
        <w:t>. The following replaces the last sentence of Section 9(f) of the Agreement:</w:t>
      </w:r>
    </w:p>
    <w:p>
      <w:pPr>
        <w:spacing w:after="0" w:line="275"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Except as explicitly and minimally required under applicable legislation, no parent or subsidiary of the Company (including, but not limited to, the Employer) has any obligation to make any payment of any kind to the Participant under this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and except as explicitly and minimally required under applicable legislation, the Participant’s right to earn, seek damages in lieu of, vest in the Performance RSUs, or otherwise benefit from or participate in the Plan, if any, will terminate as of the actual Date of Termination. For this purpose, the “Date of Termination” shall mean the date the Participant is no longer actually providing service to the Company or the Employer, regardless of the reason for such termination and whether or not later found to be invalid or in breach of applicable laws in the jurisdiction where the Participant is employed or the terms of the Participant’s employment agreement, if any. Except as explicitly and minimally required under applicable legislation, the Date of Termination shall not include or be extended by any period during which the Participant is in receipt of or eligible to receive any notice of termination, pay in lieu of notice of termination, severance pay or any other payments or damages, whether arising under statute, contract, common/civil law or otherwise. For greater certainty, the Participant will not earn or be entitled to any pro-rated vesting, or other benefits or participation in the Plan, for that portion of time before the Date of Termination, nor will Participant be entitled to any compensation for lost vesting, benefits, or other participation.</w:t>
      </w:r>
    </w:p>
    <w:p>
      <w:pPr>
        <w:spacing w:after="0" w:line="22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or other participation in the Plan during a statutory notice period, the Participant’s right to vest in the Performance RSUs or otherwise benefit from the Performance RSUs under the Plan, if any, will terminate effective as of the last day of the Participant’s minimum statutory notice period, but the Participant will not earn or be entitled to pro-rated vesting or other benefits or participation if the vesting date falls after the end of the Participant’s statutory notice period, nor will the Participant be entitled to any compensation for lost vesting, benefits, or other participation. For further clarity, any reference to a termination of the Participant’s employment or a termination date under this Agreement or the Plan will be interpreted to mean the Date of Termination.</w:t>
      </w:r>
    </w:p>
    <w:p>
      <w:pPr>
        <w:spacing w:after="0" w:line="222" w:lineRule="exact"/>
        <w:rPr>
          <w:sz w:val="20"/>
          <w:szCs w:val="20"/>
          <w:color w:val="auto"/>
        </w:rPr>
      </w:pPr>
    </w:p>
    <w:p>
      <w:pPr>
        <w:ind w:left="180" w:right="1620"/>
        <w:spacing w:after="0" w:line="298" w:lineRule="auto"/>
        <w:rPr>
          <w:sz w:val="20"/>
          <w:szCs w:val="20"/>
          <w:color w:val="auto"/>
        </w:rPr>
      </w:pPr>
      <w:r>
        <w:rPr>
          <w:rFonts w:ascii="Times New Roman" w:cs="Times New Roman" w:eastAsia="Times New Roman" w:hAnsi="Times New Roman"/>
          <w:sz w:val="16"/>
          <w:szCs w:val="16"/>
          <w:color w:val="auto"/>
        </w:rPr>
        <w:t>Subject to applicable legislation, if the date the Participant is no longer actually providing services cannot be reasonably determined under the terms of this Agreement or the Plan, the Committee shall have the exclusive discretion to determine when the Participant is no longer</w:t>
      </w:r>
    </w:p>
    <w:p>
      <w:pPr>
        <w:sectPr>
          <w:pgSz w:w="11900" w:h="16838" w:orient="portrait"/>
          <w:cols w:equalWidth="0" w:num="1">
            <w:col w:w="10760"/>
          </w:cols>
          <w:pgMar w:left="480" w:top="1028" w:right="659" w:bottom="144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28" w:right="659" w:bottom="1440" w:gutter="0" w:footer="0" w:header="0"/>
          <w:type w:val="continuous"/>
        </w:sectPr>
      </w:pPr>
    </w:p>
    <w:bookmarkStart w:id="140" w:name="page141"/>
    <w:bookmarkEnd w:id="14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actually providing services for purposes of the Performance RSUs.</w:t>
      </w:r>
    </w:p>
    <w:p>
      <w:pPr>
        <w:spacing w:after="0" w:line="262"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11"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a certain threshold (currently, C$100,000) at any time during the year. Foreign specified property may also include the unvested portion of the Performance RSUs. The Performance RSUs must be reported (generally at a nil cost) if the applicable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19"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60" w:lineRule="exact"/>
        <w:rPr>
          <w:sz w:val="20"/>
          <w:szCs w:val="20"/>
          <w:color w:val="auto"/>
        </w:rPr>
      </w:pPr>
    </w:p>
    <w:p>
      <w:pPr>
        <w:jc w:val="both"/>
        <w:ind w:left="180"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7"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2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28" w:right="659" w:bottom="1440" w:gutter="0" w:footer="0" w:header="0"/>
        </w:sectPr>
      </w:pPr>
    </w:p>
    <w:bookmarkStart w:id="141" w:name="page142"/>
    <w:bookmarkEnd w:id="14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6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64"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36"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3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28" w:right="659" w:bottom="1440" w:gutter="0" w:footer="0" w:header="0"/>
          <w:type w:val="continuous"/>
        </w:sectPr>
      </w:pPr>
    </w:p>
    <w:bookmarkStart w:id="142" w:name="page143"/>
    <w:bookmarkEnd w:id="142"/>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22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6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the Date of Grant,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2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9(w) in the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28" w:right="659" w:bottom="1440" w:gutter="0" w:footer="0" w:header="0"/>
          <w:type w:val="continuous"/>
        </w:sectPr>
      </w:pPr>
    </w:p>
    <w:bookmarkStart w:id="143" w:name="page144"/>
    <w:bookmarkEnd w:id="143"/>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89"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64"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€50,000)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receives a payment in excess of this amount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or required by the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one hundred eighty (180) days of receipt, or such other period of time as required under applicable regulations, unless an exemption applies.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2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9(b) of the Agreement:</w:t>
      </w:r>
    </w:p>
    <w:p>
      <w:pPr>
        <w:spacing w:after="0" w:line="16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w:t>
      </w:r>
    </w:p>
    <w:p>
      <w:pPr>
        <w:sectPr>
          <w:pgSz w:w="11900" w:h="16838" w:orient="portrait"/>
          <w:cols w:equalWidth="0" w:num="1">
            <w:col w:w="10760"/>
          </w:cols>
          <w:pgMar w:left="480" w:top="1028" w:right="659"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28" w:right="659" w:bottom="1440" w:gutter="0" w:footer="0" w:header="0"/>
          <w:type w:val="continuous"/>
        </w:sectPr>
      </w:pPr>
    </w:p>
    <w:bookmarkStart w:id="144" w:name="page145"/>
    <w:bookmarkEnd w:id="144"/>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6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62"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9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00" w:lineRule="exact"/>
        <w:rPr>
          <w:sz w:val="20"/>
          <w:szCs w:val="20"/>
          <w:color w:val="auto"/>
        </w:rPr>
      </w:pPr>
    </w:p>
    <w:p>
      <w:pPr>
        <w:spacing w:after="0" w:line="22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a certain threshold (currently, ¥50,000,000). This report is due by June 30th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7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Shares and deposits sale proceeds in excess of a certain threshold (currently, US $5,000) into a non-Korean bank account, the Korean resident must file a report with a Korean foreign exchange bank. This reporting is not</w:t>
      </w:r>
    </w:p>
    <w:p>
      <w:pPr>
        <w:sectPr>
          <w:pgSz w:w="11900" w:h="16838" w:orient="portrait"/>
          <w:cols w:equalWidth="0" w:num="1">
            <w:col w:w="10760"/>
          </w:cols>
          <w:pgMar w:left="480" w:top="1028" w:right="659"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28" w:right="659" w:bottom="1440" w:gutter="0" w:footer="0" w:header="0"/>
          <w:type w:val="continuous"/>
        </w:sectPr>
      </w:pPr>
    </w:p>
    <w:bookmarkStart w:id="145" w:name="page146"/>
    <w:bookmarkEnd w:id="14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spacing w:after="0" w:line="19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(e.g., non-Korean bank accounts, brokerage accounts) to the Korean tax authority and file a report with respect to such accounts if the value of such accounts exceeds a certain threshold (currently, KRW 500 million or an equivalent amount in foreign currency). The Participant should consult with his or her personal tax advisor to determine any personal reporting obligations.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37"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95"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70485</wp:posOffset>
            </wp:positionV>
            <wp:extent cx="6574790"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ectPr>
          <w:pgSz w:w="11900" w:h="16838" w:orient="portrait"/>
          <w:cols w:equalWidth="0" w:num="1">
            <w:col w:w="10760"/>
          </w:cols>
          <w:pgMar w:left="480" w:top="1028" w:right="659" w:bottom="1440" w:gutter="0" w:footer="0" w:header="0"/>
        </w:sectPr>
      </w:pPr>
    </w:p>
    <w:p>
      <w:pPr>
        <w:spacing w:after="0" w:line="134" w:lineRule="exact"/>
        <w:rPr>
          <w:sz w:val="20"/>
          <w:szCs w:val="20"/>
          <w:color w:val="auto"/>
        </w:rPr>
      </w:pPr>
    </w:p>
    <w:p>
      <w:pPr>
        <w:jc w:val="both"/>
        <w:ind w:left="26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-747395</wp:posOffset>
            </wp:positionV>
            <wp:extent cx="2983230" cy="10375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2983230" cy="1037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-879475</wp:posOffset>
            </wp:positionV>
            <wp:extent cx="3583305" cy="10375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3583305" cy="1037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160"/>
            <w:col w:w="5780"/>
          </w:cols>
          <w:pgMar w:left="480" w:top="102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760"/>
          </w:cols>
          <w:pgMar w:left="480" w:top="1028" w:right="659" w:bottom="1440" w:gutter="0" w:footer="0" w:header="0"/>
          <w:type w:val="continuous"/>
        </w:sectPr>
      </w:pPr>
    </w:p>
    <w:bookmarkStart w:id="146" w:name="page147"/>
    <w:bookmarkEnd w:id="146"/>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579120</wp:posOffset>
            </wp:positionV>
            <wp:extent cx="6574790" cy="1714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6574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5560" w:type="dxa"/>
            <w:vAlign w:val="bottom"/>
          </w:tcPr>
          <w:p>
            <w:pPr>
              <w:spacing w:after="0"/>
              <w:rPr>
                <w:sz w:val="17"/>
                <w:szCs w:val="17"/>
                <w:color w:val="auto"/>
              </w:rPr>
            </w:pP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5560" w:type="dxa"/>
            <w:vAlign w:val="bottom"/>
          </w:tcPr>
          <w:p>
            <w:pPr>
              <w:spacing w:after="0"/>
              <w:rPr>
                <w:sz w:val="16"/>
                <w:szCs w:val="16"/>
                <w:color w:val="auto"/>
              </w:rPr>
            </w:pP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w:t>
            </w:r>
          </w:p>
        </w:tc>
        <w:tc>
          <w:tcPr>
            <w:tcW w:w="5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-5428615</wp:posOffset>
            </wp:positionV>
            <wp:extent cx="8255"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-5411470</wp:posOffset>
            </wp:positionV>
            <wp:extent cx="8255"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-5394325</wp:posOffset>
            </wp:positionV>
            <wp:extent cx="8255"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-5377180</wp:posOffset>
            </wp:positionV>
            <wp:extent cx="8255"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-5360035</wp:posOffset>
            </wp:positionV>
            <wp:extent cx="8255"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-5342890</wp:posOffset>
            </wp:positionV>
            <wp:extent cx="8255"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-5325745</wp:posOffset>
            </wp:positionV>
            <wp:extent cx="8255"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-5308600</wp:posOffset>
            </wp:positionV>
            <wp:extent cx="8255"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-5291455</wp:posOffset>
            </wp:positionV>
            <wp:extent cx="8255"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-5274310</wp:posOffset>
            </wp:positionV>
            <wp:extent cx="8255"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-5257165</wp:posOffset>
            </wp:positionV>
            <wp:extent cx="8255"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-5240020</wp:posOffset>
            </wp:positionV>
            <wp:extent cx="8255"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-5222875</wp:posOffset>
            </wp:positionV>
            <wp:extent cx="8255"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-5205730</wp:posOffset>
            </wp:positionV>
            <wp:extent cx="8255"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-5188585</wp:posOffset>
            </wp:positionV>
            <wp:extent cx="8255"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-5171440</wp:posOffset>
            </wp:positionV>
            <wp:extent cx="8255"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-5154295</wp:posOffset>
            </wp:positionV>
            <wp:extent cx="8255"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-5137150</wp:posOffset>
            </wp:positionV>
            <wp:extent cx="8255"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-5120005</wp:posOffset>
            </wp:positionV>
            <wp:extent cx="8255"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-5102860</wp:posOffset>
            </wp:positionV>
            <wp:extent cx="8255"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-5085715</wp:posOffset>
            </wp:positionV>
            <wp:extent cx="8255"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-5068570</wp:posOffset>
            </wp:positionV>
            <wp:extent cx="8255"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-5051425</wp:posOffset>
            </wp:positionV>
            <wp:extent cx="8255"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-5034280</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-5017135</wp:posOffset>
            </wp:positionV>
            <wp:extent cx="8255"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-4999990</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-4982845</wp:posOffset>
            </wp:positionV>
            <wp:extent cx="8255"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-4965700</wp:posOffset>
            </wp:positionV>
            <wp:extent cx="825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-4948555</wp:posOffset>
            </wp:positionV>
            <wp:extent cx="825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-4931410</wp:posOffset>
            </wp:positionV>
            <wp:extent cx="8255"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-4914265</wp:posOffset>
            </wp:positionV>
            <wp:extent cx="8255"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-4897120</wp:posOffset>
            </wp:positionV>
            <wp:extent cx="8255"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-4879975</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-4862830</wp:posOffset>
            </wp:positionV>
            <wp:extent cx="825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-4845685</wp:posOffset>
            </wp:positionV>
            <wp:extent cx="8255"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-4828540</wp:posOffset>
            </wp:positionV>
            <wp:extent cx="8255"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-4811395</wp:posOffset>
            </wp:positionV>
            <wp:extent cx="8255"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-4794250</wp:posOffset>
            </wp:positionV>
            <wp:extent cx="8255"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-4777105</wp:posOffset>
            </wp:positionV>
            <wp:extent cx="825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-4759960</wp:posOffset>
            </wp:positionV>
            <wp:extent cx="8255"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-4742815</wp:posOffset>
            </wp:positionV>
            <wp:extent cx="8255"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-4725670</wp:posOffset>
            </wp:positionV>
            <wp:extent cx="8255"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-4708525</wp:posOffset>
            </wp:positionV>
            <wp:extent cx="825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-4691380</wp:posOffset>
            </wp:positionV>
            <wp:extent cx="8255"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-4674235</wp:posOffset>
            </wp:positionV>
            <wp:extent cx="8255"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-4657090</wp:posOffset>
            </wp:positionV>
            <wp:extent cx="825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-4639945</wp:posOffset>
            </wp:positionV>
            <wp:extent cx="8255"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-4622800</wp:posOffset>
            </wp:positionV>
            <wp:extent cx="825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-4605655</wp:posOffset>
            </wp:positionV>
            <wp:extent cx="825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-4588510</wp:posOffset>
            </wp:positionV>
            <wp:extent cx="8255"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-4571365</wp:posOffset>
            </wp:positionV>
            <wp:extent cx="8255"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-4554220</wp:posOffset>
            </wp:positionV>
            <wp:extent cx="8255"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-4537075</wp:posOffset>
            </wp:positionV>
            <wp:extent cx="8255"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-4519930</wp:posOffset>
            </wp:positionV>
            <wp:extent cx="8255"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-4502785</wp:posOffset>
            </wp:positionV>
            <wp:extent cx="8255"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-4485640</wp:posOffset>
            </wp:positionV>
            <wp:extent cx="8255"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-4468495</wp:posOffset>
            </wp:positionV>
            <wp:extent cx="8255"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-4451350</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-4434205</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-4417060</wp:posOffset>
            </wp:positionV>
            <wp:extent cx="8255"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-4399915</wp:posOffset>
            </wp:positionV>
            <wp:extent cx="8255"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-4382770</wp:posOffset>
            </wp:positionV>
            <wp:extent cx="8255"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-4365625</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-4348480</wp:posOffset>
            </wp:positionV>
            <wp:extent cx="82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-4331335</wp:posOffset>
            </wp:positionV>
            <wp:extent cx="8255"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-4314190</wp:posOffset>
            </wp:positionV>
            <wp:extent cx="8255"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-4297045</wp:posOffset>
            </wp:positionV>
            <wp:extent cx="8255"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-4279900</wp:posOffset>
            </wp:positionV>
            <wp:extent cx="8255"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-4262755</wp:posOffset>
            </wp:positionV>
            <wp:extent cx="8255"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-4245610</wp:posOffset>
            </wp:positionV>
            <wp:extent cx="8255"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-4228465</wp:posOffset>
            </wp:positionV>
            <wp:extent cx="8255"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-4211320</wp:posOffset>
            </wp:positionV>
            <wp:extent cx="8255"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-4194175</wp:posOffset>
            </wp:positionV>
            <wp:extent cx="825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-4177030</wp:posOffset>
            </wp:positionV>
            <wp:extent cx="825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-4159885</wp:posOffset>
            </wp:positionV>
            <wp:extent cx="8255"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-4142740</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-4125595</wp:posOffset>
            </wp:positionV>
            <wp:extent cx="8255"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-4108450</wp:posOffset>
            </wp:positionV>
            <wp:extent cx="8255"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-4091305</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-4074160</wp:posOffset>
            </wp:positionV>
            <wp:extent cx="8255"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-4057015</wp:posOffset>
            </wp:positionV>
            <wp:extent cx="825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-4039870</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-4022725</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-4005580</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-3988435</wp:posOffset>
            </wp:positionV>
            <wp:extent cx="8255" cy="8890"/>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-3971290</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-3954145</wp:posOffset>
            </wp:positionV>
            <wp:extent cx="8255"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-3937000</wp:posOffset>
            </wp:positionV>
            <wp:extent cx="8255"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-3919855</wp:posOffset>
            </wp:positionV>
            <wp:extent cx="825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-3902710</wp:posOffset>
            </wp:positionV>
            <wp:extent cx="8255" cy="8890"/>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-3885565</wp:posOffset>
            </wp:positionV>
            <wp:extent cx="8255"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-3868420</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-3851275</wp:posOffset>
            </wp:positionV>
            <wp:extent cx="8255"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-3834130</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-3816985</wp:posOffset>
            </wp:positionV>
            <wp:extent cx="8255" cy="8890"/>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-3799840</wp:posOffset>
            </wp:positionV>
            <wp:extent cx="8255"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-3782695</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-3765550</wp:posOffset>
            </wp:positionV>
            <wp:extent cx="8255"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-3748405</wp:posOffset>
            </wp:positionV>
            <wp:extent cx="8255"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-3731260</wp:posOffset>
            </wp:positionV>
            <wp:extent cx="8255"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-3714115</wp:posOffset>
            </wp:positionV>
            <wp:extent cx="8255"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-3696970</wp:posOffset>
            </wp:positionV>
            <wp:extent cx="8255"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-3679825</wp:posOffset>
            </wp:positionV>
            <wp:extent cx="8255" cy="8890"/>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-3662680</wp:posOffset>
            </wp:positionV>
            <wp:extent cx="8255"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-3645535</wp:posOffset>
            </wp:positionV>
            <wp:extent cx="8255"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-3628390</wp:posOffset>
            </wp:positionV>
            <wp:extent cx="8255"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-3611245</wp:posOffset>
            </wp:positionV>
            <wp:extent cx="8255"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-3594100</wp:posOffset>
            </wp:positionV>
            <wp:extent cx="8255" cy="8890"/>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-3576955</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-3559810</wp:posOffset>
            </wp:positionV>
            <wp:extent cx="8255"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-3542665</wp:posOffset>
            </wp:positionV>
            <wp:extent cx="8255"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-3525520</wp:posOffset>
            </wp:positionV>
            <wp:extent cx="8255"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-3508375</wp:posOffset>
            </wp:positionV>
            <wp:extent cx="8255" cy="8890"/>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-3491230</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-3474085</wp:posOffset>
            </wp:positionV>
            <wp:extent cx="8255"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-3456940</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-3439795</wp:posOffset>
            </wp:positionV>
            <wp:extent cx="8255"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-3422650</wp:posOffset>
            </wp:positionV>
            <wp:extent cx="8255" cy="8890"/>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-3405505</wp:posOffset>
            </wp:positionV>
            <wp:extent cx="8255"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-3388360</wp:posOffset>
            </wp:positionV>
            <wp:extent cx="8255"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-3371215</wp:posOffset>
            </wp:positionV>
            <wp:extent cx="8255"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-3354070</wp:posOffset>
            </wp:positionV>
            <wp:extent cx="8255"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-3336925</wp:posOffset>
            </wp:positionV>
            <wp:extent cx="8255"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-3319780</wp:posOffset>
            </wp:positionV>
            <wp:extent cx="8255"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-3302635</wp:posOffset>
            </wp:positionV>
            <wp:extent cx="8255"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-3285490</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-3268345</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-3251200</wp:posOffset>
            </wp:positionV>
            <wp:extent cx="8255" cy="8890"/>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-3234055</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-3216910</wp:posOffset>
            </wp:positionV>
            <wp:extent cx="8255"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-3199765</wp:posOffset>
            </wp:positionV>
            <wp:extent cx="8255"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-3182620</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-3165475</wp:posOffset>
            </wp:positionV>
            <wp:extent cx="8255" cy="8890"/>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-3148330</wp:posOffset>
            </wp:positionV>
            <wp:extent cx="8255"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-3131185</wp:posOffset>
            </wp:positionV>
            <wp:extent cx="8255"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-3114040</wp:posOffset>
            </wp:positionV>
            <wp:extent cx="8255"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-3096895</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-3079750</wp:posOffset>
            </wp:positionV>
            <wp:extent cx="8255" cy="8890"/>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-3062605</wp:posOffset>
            </wp:positionV>
            <wp:extent cx="8255"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-3045460</wp:posOffset>
            </wp:positionV>
            <wp:extent cx="8255" cy="8890"/>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-3028315</wp:posOffset>
            </wp:positionV>
            <wp:extent cx="8255" cy="8890"/>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-3011170</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-2994025</wp:posOffset>
            </wp:positionV>
            <wp:extent cx="8255"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-2976880</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-2959735</wp:posOffset>
            </wp:positionV>
            <wp:extent cx="8255" cy="8890"/>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-2942590</wp:posOffset>
            </wp:positionV>
            <wp:extent cx="8255" cy="8890"/>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-2925445</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-2908300</wp:posOffset>
            </wp:positionV>
            <wp:extent cx="8255"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-2891155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-2874010</wp:posOffset>
            </wp:positionV>
            <wp:extent cx="8255" cy="8890"/>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-2856865</wp:posOffset>
            </wp:positionV>
            <wp:extent cx="8255" cy="8890"/>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-2839720</wp:posOffset>
            </wp:positionV>
            <wp:extent cx="8255"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-2822575</wp:posOffset>
            </wp:positionV>
            <wp:extent cx="8255"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-2805430</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-2788285</wp:posOffset>
            </wp:positionV>
            <wp:extent cx="8255" cy="8890"/>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-2771140</wp:posOffset>
            </wp:positionV>
            <wp:extent cx="8255" cy="8890"/>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-2753995</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-2736850</wp:posOffset>
            </wp:positionV>
            <wp:extent cx="8255"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-2719705</wp:posOffset>
            </wp:positionV>
            <wp:extent cx="8255" cy="8890"/>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-2702560</wp:posOffset>
            </wp:positionV>
            <wp:extent cx="8255" cy="8890"/>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-2685415</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-2668270</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-2651125</wp:posOffset>
            </wp:positionV>
            <wp:extent cx="8255"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-2633980</wp:posOffset>
            </wp:positionV>
            <wp:extent cx="8255" cy="8890"/>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-2616835</wp:posOffset>
            </wp:positionV>
            <wp:extent cx="8255" cy="8890"/>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-2599690</wp:posOffset>
            </wp:positionV>
            <wp:extent cx="8255"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-2582545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-2565400</wp:posOffset>
            </wp:positionV>
            <wp:extent cx="8255"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-2548255</wp:posOffset>
            </wp:positionV>
            <wp:extent cx="8255" cy="8890"/>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-2531110</wp:posOffset>
            </wp:positionV>
            <wp:extent cx="8255" cy="889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-2513965</wp:posOffset>
            </wp:positionV>
            <wp:extent cx="8255"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-2496820</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-2479675</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-2462530</wp:posOffset>
            </wp:positionV>
            <wp:extent cx="8255" cy="8890"/>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-2445385</wp:posOffset>
            </wp:positionV>
            <wp:extent cx="8255"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-2428240</wp:posOffset>
            </wp:positionV>
            <wp:extent cx="8255"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-2411095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-2393950</wp:posOffset>
            </wp:positionV>
            <wp:extent cx="8255"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-2376805</wp:posOffset>
            </wp:positionV>
            <wp:extent cx="8255" cy="8890"/>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-2359660</wp:posOffset>
            </wp:positionV>
            <wp:extent cx="8255" cy="889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-2342515</wp:posOffset>
            </wp:positionV>
            <wp:extent cx="8255"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-2325370</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-2308225</wp:posOffset>
            </wp:positionV>
            <wp:extent cx="8255"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-2291080</wp:posOffset>
            </wp:positionV>
            <wp:extent cx="8255" cy="8890"/>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-2273935</wp:posOffset>
            </wp:positionV>
            <wp:extent cx="8255" cy="8890"/>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-2256790</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-2239645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-2222500</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-2205355</wp:posOffset>
            </wp:positionV>
            <wp:extent cx="8255" cy="8890"/>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-2188210</wp:posOffset>
            </wp:positionV>
            <wp:extent cx="8255" cy="889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-2171065</wp:posOffset>
            </wp:positionV>
            <wp:extent cx="8255"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-2153920</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-2136775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-2119630</wp:posOffset>
            </wp:positionV>
            <wp:extent cx="8255" cy="8890"/>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-2102485</wp:posOffset>
            </wp:positionV>
            <wp:extent cx="8255"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-2085340</wp:posOffset>
            </wp:positionV>
            <wp:extent cx="8255"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-2068195</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-2051050</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-2033905</wp:posOffset>
            </wp:positionV>
            <wp:extent cx="8255" cy="8890"/>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-2016760</wp:posOffset>
            </wp:positionV>
            <wp:extent cx="8255"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-1999615</wp:posOffset>
            </wp:positionV>
            <wp:extent cx="8255"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-1982470</wp:posOffset>
            </wp:positionV>
            <wp:extent cx="8255"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-1965325</wp:posOffset>
            </wp:positionV>
            <wp:extent cx="8255" cy="8890"/>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-1948180</wp:posOffset>
            </wp:positionV>
            <wp:extent cx="8255" cy="8890"/>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-1931035</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-1913890</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-1896745</wp:posOffset>
            </wp:positionV>
            <wp:extent cx="8255"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-1879600</wp:posOffset>
            </wp:positionV>
            <wp:extent cx="8255" cy="8890"/>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-1862455</wp:posOffset>
            </wp:positionV>
            <wp:extent cx="8255" cy="8890"/>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-1845310</wp:posOffset>
            </wp:positionV>
            <wp:extent cx="8255"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-1828165</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-1811020</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-1793875</wp:posOffset>
            </wp:positionV>
            <wp:extent cx="8255" cy="8890"/>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-1776730</wp:posOffset>
            </wp:positionV>
            <wp:extent cx="8255" cy="889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-1759585</wp:posOffset>
            </wp:positionV>
            <wp:extent cx="8255"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-1742440</wp:posOffset>
            </wp:positionV>
            <wp:extent cx="8255"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-1725295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-1708150</wp:posOffset>
            </wp:positionV>
            <wp:extent cx="8255" cy="8890"/>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-1691005</wp:posOffset>
            </wp:positionV>
            <wp:extent cx="8255" cy="8890"/>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-1673860</wp:posOffset>
            </wp:positionV>
            <wp:extent cx="8255"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-1656715</wp:posOffset>
            </wp:positionV>
            <wp:extent cx="8255"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-1639570</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-1622425</wp:posOffset>
            </wp:positionV>
            <wp:extent cx="8255" cy="8890"/>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-1605280</wp:posOffset>
            </wp:positionV>
            <wp:extent cx="8255" cy="8890"/>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-1588135</wp:posOffset>
            </wp:positionV>
            <wp:extent cx="8255"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-1570990</wp:posOffset>
            </wp:positionV>
            <wp:extent cx="8255"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-1553845</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-1536700</wp:posOffset>
            </wp:positionV>
            <wp:extent cx="8255" cy="8890"/>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-1519555</wp:posOffset>
            </wp:positionV>
            <wp:extent cx="8255" cy="8890"/>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-1502410</wp:posOffset>
            </wp:positionV>
            <wp:extent cx="8255"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-1485265</wp:posOffset>
            </wp:positionV>
            <wp:extent cx="8255"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-1468120</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-1450975</wp:posOffset>
            </wp:positionV>
            <wp:extent cx="8255" cy="8890"/>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-1433830</wp:posOffset>
            </wp:positionV>
            <wp:extent cx="8255"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-1416685</wp:posOffset>
            </wp:positionV>
            <wp:extent cx="8255"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-1399540</wp:posOffset>
            </wp:positionV>
            <wp:extent cx="8255"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-1382395</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-1365250</wp:posOffset>
            </wp:positionV>
            <wp:extent cx="8255" cy="8890"/>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-1348105</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-1330960</wp:posOffset>
            </wp:positionV>
            <wp:extent cx="8255"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-1313815</wp:posOffset>
            </wp:positionV>
            <wp:extent cx="8255"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-1296670</wp:posOffset>
            </wp:positionV>
            <wp:extent cx="8255" cy="8890"/>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-1279525</wp:posOffset>
            </wp:positionV>
            <wp:extent cx="8255" cy="8890"/>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-1262380</wp:posOffset>
            </wp:positionV>
            <wp:extent cx="8255"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-1245235</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-1228090</wp:posOffset>
            </wp:positionV>
            <wp:extent cx="8255"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-1210945</wp:posOffset>
            </wp:positionV>
            <wp:extent cx="8255" cy="8890"/>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-1193800</wp:posOffset>
            </wp:positionV>
            <wp:extent cx="8255"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-1176655</wp:posOffset>
            </wp:positionV>
            <wp:extent cx="8255"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-1159510</wp:posOffset>
            </wp:positionV>
            <wp:extent cx="8255"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-1142365</wp:posOffset>
            </wp:positionV>
            <wp:extent cx="8255"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-1125220</wp:posOffset>
            </wp:positionV>
            <wp:extent cx="8255" cy="8890"/>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-1108075</wp:posOffset>
            </wp:positionV>
            <wp:extent cx="8255" cy="8890"/>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-1090930</wp:posOffset>
            </wp:positionV>
            <wp:extent cx="8255"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-1073785</wp:posOffset>
            </wp:positionV>
            <wp:extent cx="8255"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-1056640</wp:posOffset>
            </wp:positionV>
            <wp:extent cx="8255"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-1039495</wp:posOffset>
            </wp:positionV>
            <wp:extent cx="8255" cy="8890"/>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-1022350</wp:posOffset>
            </wp:positionV>
            <wp:extent cx="8255" cy="889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-1005205</wp:posOffset>
            </wp:positionV>
            <wp:extent cx="8255"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-988060</wp:posOffset>
            </wp:positionV>
            <wp:extent cx="8255"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-970915</wp:posOffset>
            </wp:positionV>
            <wp:extent cx="8255"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-953770</wp:posOffset>
            </wp:positionV>
            <wp:extent cx="8255" cy="8890"/>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-936625</wp:posOffset>
            </wp:positionV>
            <wp:extent cx="8255" cy="8890"/>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-919480</wp:posOffset>
            </wp:positionV>
            <wp:extent cx="8255"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-902335</wp:posOffset>
            </wp:positionV>
            <wp:extent cx="8255"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-885190</wp:posOffset>
            </wp:positionV>
            <wp:extent cx="8255"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-868045</wp:posOffset>
            </wp:positionV>
            <wp:extent cx="8255" cy="8890"/>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-850900</wp:posOffset>
            </wp:positionV>
            <wp:extent cx="8255"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-833755</wp:posOffset>
            </wp:positionV>
            <wp:extent cx="8255"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-816610</wp:posOffset>
            </wp:positionV>
            <wp:extent cx="8255"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-799465</wp:posOffset>
            </wp:positionV>
            <wp:extent cx="8255"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-782320</wp:posOffset>
            </wp:positionV>
            <wp:extent cx="8255" cy="8890"/>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-765175</wp:posOffset>
            </wp:positionV>
            <wp:extent cx="8255"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-748030</wp:posOffset>
            </wp:positionV>
            <wp:extent cx="8255"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-730885</wp:posOffset>
            </wp:positionV>
            <wp:extent cx="8255"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-713740</wp:posOffset>
            </wp:positionV>
            <wp:extent cx="8255"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-696595</wp:posOffset>
            </wp:positionV>
            <wp:extent cx="8255" cy="8890"/>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-679450</wp:posOffset>
            </wp:positionV>
            <wp:extent cx="8255"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-662305</wp:posOffset>
            </wp:positionV>
            <wp:extent cx="8255"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-645160</wp:posOffset>
            </wp:positionV>
            <wp:extent cx="8255"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-628015</wp:posOffset>
            </wp:positionV>
            <wp:extent cx="8255" cy="8890"/>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-610870</wp:posOffset>
            </wp:positionV>
            <wp:extent cx="8255" cy="8890"/>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-593725</wp:posOffset>
            </wp:positionV>
            <wp:extent cx="8255"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-576580</wp:posOffset>
            </wp:positionV>
            <wp:extent cx="8255"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-559435</wp:posOffset>
            </wp:positionV>
            <wp:extent cx="8255"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-542290</wp:posOffset>
            </wp:positionV>
            <wp:extent cx="8255" cy="8890"/>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-525145</wp:posOffset>
            </wp:positionV>
            <wp:extent cx="8255"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-508000</wp:posOffset>
            </wp:positionV>
            <wp:extent cx="8255"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-490855</wp:posOffset>
            </wp:positionV>
            <wp:extent cx="8255"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-473710</wp:posOffset>
            </wp:positionV>
            <wp:extent cx="8255"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-456565</wp:posOffset>
            </wp:positionV>
            <wp:extent cx="8255" cy="8890"/>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-439420</wp:posOffset>
            </wp:positionV>
            <wp:extent cx="8255"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-422275</wp:posOffset>
            </wp:positionV>
            <wp:extent cx="8255"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-405130</wp:posOffset>
            </wp:positionV>
            <wp:extent cx="8255"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-387985</wp:posOffset>
            </wp:positionV>
            <wp:extent cx="8255"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-370840</wp:posOffset>
            </wp:positionV>
            <wp:extent cx="8255" cy="8890"/>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-353695</wp:posOffset>
            </wp:positionV>
            <wp:extent cx="8255"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-336550</wp:posOffset>
            </wp:positionV>
            <wp:extent cx="8255"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-319405</wp:posOffset>
            </wp:positionV>
            <wp:extent cx="8255"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-302260</wp:posOffset>
            </wp:positionV>
            <wp:extent cx="8255"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-285115</wp:posOffset>
            </wp:positionV>
            <wp:extent cx="8255"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-267970</wp:posOffset>
            </wp:positionV>
            <wp:extent cx="8255"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-250825</wp:posOffset>
            </wp:positionV>
            <wp:extent cx="8255"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-233680</wp:posOffset>
            </wp:positionV>
            <wp:extent cx="8255"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-216535</wp:posOffset>
            </wp:positionV>
            <wp:extent cx="8255"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-199390</wp:posOffset>
            </wp:positionV>
            <wp:extent cx="8255" cy="8890"/>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-182245</wp:posOffset>
            </wp:positionV>
            <wp:extent cx="8255"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-165100</wp:posOffset>
            </wp:positionV>
            <wp:extent cx="8255"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-147955</wp:posOffset>
            </wp:positionV>
            <wp:extent cx="8255"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-130810</wp:posOffset>
            </wp:positionV>
            <wp:extent cx="8255"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-113665</wp:posOffset>
            </wp:positionV>
            <wp:extent cx="8255" cy="8890"/>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-96520</wp:posOffset>
            </wp:positionV>
            <wp:extent cx="8255"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-79375</wp:posOffset>
            </wp:positionV>
            <wp:extent cx="8255"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-62230</wp:posOffset>
            </wp:positionV>
            <wp:extent cx="8255"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-45085</wp:posOffset>
            </wp:positionV>
            <wp:extent cx="8255"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-27940</wp:posOffset>
            </wp:positionV>
            <wp:extent cx="8255" cy="88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-10795</wp:posOffset>
            </wp:positionV>
            <wp:extent cx="8255"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-5428615</wp:posOffset>
            </wp:positionV>
            <wp:extent cx="8255"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-5411470</wp:posOffset>
            </wp:positionV>
            <wp:extent cx="8255" cy="889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-5394325</wp:posOffset>
            </wp:positionV>
            <wp:extent cx="8255"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-5377180</wp:posOffset>
            </wp:positionV>
            <wp:extent cx="8255"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-5360035</wp:posOffset>
            </wp:positionV>
            <wp:extent cx="8255"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-5342890</wp:posOffset>
            </wp:positionV>
            <wp:extent cx="8255"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-5325745</wp:posOffset>
            </wp:positionV>
            <wp:extent cx="8255" cy="8890"/>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-5308600</wp:posOffset>
            </wp:positionV>
            <wp:extent cx="8255"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-5291455</wp:posOffset>
            </wp:positionV>
            <wp:extent cx="8255"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-5274310</wp:posOffset>
            </wp:positionV>
            <wp:extent cx="8255"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-5257165</wp:posOffset>
            </wp:positionV>
            <wp:extent cx="8255"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-5240020</wp:posOffset>
            </wp:positionV>
            <wp:extent cx="8255" cy="8890"/>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-5222875</wp:posOffset>
            </wp:positionV>
            <wp:extent cx="8255"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-5205730</wp:posOffset>
            </wp:positionV>
            <wp:extent cx="8255"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-5188585</wp:posOffset>
            </wp:positionV>
            <wp:extent cx="8255"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-5171440</wp:posOffset>
            </wp:positionV>
            <wp:extent cx="8255"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-5154295</wp:posOffset>
            </wp:positionV>
            <wp:extent cx="8255" cy="8890"/>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-5137150</wp:posOffset>
            </wp:positionV>
            <wp:extent cx="8255"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-5120005</wp:posOffset>
            </wp:positionV>
            <wp:extent cx="8255"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-5102860</wp:posOffset>
            </wp:positionV>
            <wp:extent cx="8255"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-5085715</wp:posOffset>
            </wp:positionV>
            <wp:extent cx="8255"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-5068570</wp:posOffset>
            </wp:positionV>
            <wp:extent cx="8255"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-5051425</wp:posOffset>
            </wp:positionV>
            <wp:extent cx="8255"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-5034280</wp:posOffset>
            </wp:positionV>
            <wp:extent cx="8255"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-5017135</wp:posOffset>
            </wp:positionV>
            <wp:extent cx="8255"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-4999990</wp:posOffset>
            </wp:positionV>
            <wp:extent cx="8255"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-4982845</wp:posOffset>
            </wp:positionV>
            <wp:extent cx="8255"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-4965700</wp:posOffset>
            </wp:positionV>
            <wp:extent cx="8255"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-4948555</wp:posOffset>
            </wp:positionV>
            <wp:extent cx="8255"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-4931410</wp:posOffset>
            </wp:positionV>
            <wp:extent cx="8255"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-4914265</wp:posOffset>
            </wp:positionV>
            <wp:extent cx="8255"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-4897120</wp:posOffset>
            </wp:positionV>
            <wp:extent cx="8255"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-4879975</wp:posOffset>
            </wp:positionV>
            <wp:extent cx="8255"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-4862830</wp:posOffset>
            </wp:positionV>
            <wp:extent cx="8255"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-4845685</wp:posOffset>
            </wp:positionV>
            <wp:extent cx="8255"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-4828540</wp:posOffset>
            </wp:positionV>
            <wp:extent cx="8255"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-4811395</wp:posOffset>
            </wp:positionV>
            <wp:extent cx="8255"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-4794250</wp:posOffset>
            </wp:positionV>
            <wp:extent cx="8255"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-4777105</wp:posOffset>
            </wp:positionV>
            <wp:extent cx="8255"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-4759960</wp:posOffset>
            </wp:positionV>
            <wp:extent cx="8255"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-4742815</wp:posOffset>
            </wp:positionV>
            <wp:extent cx="8255"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-4725670</wp:posOffset>
            </wp:positionV>
            <wp:extent cx="8255"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-4708525</wp:posOffset>
            </wp:positionV>
            <wp:extent cx="8255"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-4691380</wp:posOffset>
            </wp:positionV>
            <wp:extent cx="8255"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-4674235</wp:posOffset>
            </wp:positionV>
            <wp:extent cx="8255" cy="8890"/>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-4657090</wp:posOffset>
            </wp:positionV>
            <wp:extent cx="8255"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-4639945</wp:posOffset>
            </wp:positionV>
            <wp:extent cx="8255"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-4622800</wp:posOffset>
            </wp:positionV>
            <wp:extent cx="8255"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-4605655</wp:posOffset>
            </wp:positionV>
            <wp:extent cx="8255"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-4588510</wp:posOffset>
            </wp:positionV>
            <wp:extent cx="8255" cy="88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-4571365</wp:posOffset>
            </wp:positionV>
            <wp:extent cx="8255"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-4554220</wp:posOffset>
            </wp:positionV>
            <wp:extent cx="8255"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-4537075</wp:posOffset>
            </wp:positionV>
            <wp:extent cx="8255"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-4519930</wp:posOffset>
            </wp:positionV>
            <wp:extent cx="8255"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-4502785</wp:posOffset>
            </wp:positionV>
            <wp:extent cx="8255" cy="889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-4485640</wp:posOffset>
            </wp:positionV>
            <wp:extent cx="8255"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-4468495</wp:posOffset>
            </wp:positionV>
            <wp:extent cx="8255"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-4451350</wp:posOffset>
            </wp:positionV>
            <wp:extent cx="8255"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-4434205</wp:posOffset>
            </wp:positionV>
            <wp:extent cx="8255"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-4417060</wp:posOffset>
            </wp:positionV>
            <wp:extent cx="8255"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-4399915</wp:posOffset>
            </wp:positionV>
            <wp:extent cx="8255"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-4382770</wp:posOffset>
            </wp:positionV>
            <wp:extent cx="8255"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-4365625</wp:posOffset>
            </wp:positionV>
            <wp:extent cx="8255"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-4348480</wp:posOffset>
            </wp:positionV>
            <wp:extent cx="8255"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-4331335</wp:posOffset>
            </wp:positionV>
            <wp:extent cx="8255"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-4314190</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-4297045</wp:posOffset>
            </wp:positionV>
            <wp:extent cx="8255"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-4279900</wp:posOffset>
            </wp:positionV>
            <wp:extent cx="8255"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-4262755</wp:posOffset>
            </wp:positionV>
            <wp:extent cx="8255"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-4245610</wp:posOffset>
            </wp:positionV>
            <wp:extent cx="8255"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-4228465</wp:posOffset>
            </wp:positionV>
            <wp:extent cx="8255"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-4211320</wp:posOffset>
            </wp:positionV>
            <wp:extent cx="8255"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-4194175</wp:posOffset>
            </wp:positionV>
            <wp:extent cx="8255"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-4177030</wp:posOffset>
            </wp:positionV>
            <wp:extent cx="8255"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-4159885</wp:posOffset>
            </wp:positionV>
            <wp:extent cx="8255"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-4142740</wp:posOffset>
            </wp:positionV>
            <wp:extent cx="8255"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-4125595</wp:posOffset>
            </wp:positionV>
            <wp:extent cx="8255"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-4108450</wp:posOffset>
            </wp:positionV>
            <wp:extent cx="8255"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-4091305</wp:posOffset>
            </wp:positionV>
            <wp:extent cx="8255"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-4074160</wp:posOffset>
            </wp:positionV>
            <wp:extent cx="8255"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-4057015</wp:posOffset>
            </wp:positionV>
            <wp:extent cx="8255" cy="825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-4039870</wp:posOffset>
            </wp:positionV>
            <wp:extent cx="8255"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-4022725</wp:posOffset>
            </wp:positionV>
            <wp:extent cx="8255"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-4005580</wp:posOffset>
            </wp:positionV>
            <wp:extent cx="8255"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-3988435</wp:posOffset>
            </wp:positionV>
            <wp:extent cx="8255"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-3971290</wp:posOffset>
            </wp:positionV>
            <wp:extent cx="8255" cy="825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-3954145</wp:posOffset>
            </wp:positionV>
            <wp:extent cx="8255"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-3937000</wp:posOffset>
            </wp:positionV>
            <wp:extent cx="8255"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-3919855</wp:posOffset>
            </wp:positionV>
            <wp:extent cx="8255"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-3902710</wp:posOffset>
            </wp:positionV>
            <wp:extent cx="8255"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-3885565</wp:posOffset>
            </wp:positionV>
            <wp:extent cx="8255"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-3868420</wp:posOffset>
            </wp:positionV>
            <wp:extent cx="8255"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-3851275</wp:posOffset>
            </wp:positionV>
            <wp:extent cx="8255"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-3834130</wp:posOffset>
            </wp:positionV>
            <wp:extent cx="8255"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-3816985</wp:posOffset>
            </wp:positionV>
            <wp:extent cx="8255"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-3799840</wp:posOffset>
            </wp:positionV>
            <wp:extent cx="8255"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-3782695</wp:posOffset>
            </wp:positionV>
            <wp:extent cx="8255"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-3765550</wp:posOffset>
            </wp:positionV>
            <wp:extent cx="8255"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-3748405</wp:posOffset>
            </wp:positionV>
            <wp:extent cx="8255"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-3731260</wp:posOffset>
            </wp:positionV>
            <wp:extent cx="8255"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-3714115</wp:posOffset>
            </wp:positionV>
            <wp:extent cx="8255" cy="825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-3696970</wp:posOffset>
            </wp:positionV>
            <wp:extent cx="8255"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-3679825</wp:posOffset>
            </wp:positionV>
            <wp:extent cx="8255"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-3662680</wp:posOffset>
            </wp:positionV>
            <wp:extent cx="8255"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-3645535</wp:posOffset>
            </wp:positionV>
            <wp:extent cx="8255"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-3628390</wp:posOffset>
            </wp:positionV>
            <wp:extent cx="8255"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-3611245</wp:posOffset>
            </wp:positionV>
            <wp:extent cx="8255"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-3594100</wp:posOffset>
            </wp:positionV>
            <wp:extent cx="8255"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-3576955</wp:posOffset>
            </wp:positionV>
            <wp:extent cx="8255"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-3559810</wp:posOffset>
            </wp:positionV>
            <wp:extent cx="8255"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-3542665</wp:posOffset>
            </wp:positionV>
            <wp:extent cx="8255"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-3525520</wp:posOffset>
            </wp:positionV>
            <wp:extent cx="8255"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-3508375</wp:posOffset>
            </wp:positionV>
            <wp:extent cx="8255"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-3491230</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-3474085</wp:posOffset>
            </wp:positionV>
            <wp:extent cx="8255" cy="825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-3456940</wp:posOffset>
            </wp:positionV>
            <wp:extent cx="8255" cy="825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-3439795</wp:posOffset>
            </wp:positionV>
            <wp:extent cx="8255"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-3422650</wp:posOffset>
            </wp:positionV>
            <wp:extent cx="8255"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-3405505</wp:posOffset>
            </wp:positionV>
            <wp:extent cx="8255" cy="825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-3388360</wp:posOffset>
            </wp:positionV>
            <wp:extent cx="8255" cy="825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-3371215</wp:posOffset>
            </wp:positionV>
            <wp:extent cx="8255"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-3354070</wp:posOffset>
            </wp:positionV>
            <wp:extent cx="8255"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-3336925</wp:posOffset>
            </wp:positionV>
            <wp:extent cx="8255"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-3319780</wp:posOffset>
            </wp:positionV>
            <wp:extent cx="8255" cy="825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-3302635</wp:posOffset>
            </wp:positionV>
            <wp:extent cx="8255" cy="825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-3285490</wp:posOffset>
            </wp:positionV>
            <wp:extent cx="8255"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-3268345</wp:posOffset>
            </wp:positionV>
            <wp:extent cx="8255"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-3251200</wp:posOffset>
            </wp:positionV>
            <wp:extent cx="8255"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-3234055</wp:posOffset>
            </wp:positionV>
            <wp:extent cx="8255"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-3216910</wp:posOffset>
            </wp:positionV>
            <wp:extent cx="8255" cy="825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-3199765</wp:posOffset>
            </wp:positionV>
            <wp:extent cx="8255"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-3182620</wp:posOffset>
            </wp:positionV>
            <wp:extent cx="8255"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-3165475</wp:posOffset>
            </wp:positionV>
            <wp:extent cx="8255"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-3148330</wp:posOffset>
            </wp:positionV>
            <wp:extent cx="8255"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-3131185</wp:posOffset>
            </wp:positionV>
            <wp:extent cx="8255" cy="825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-3114040</wp:posOffset>
            </wp:positionV>
            <wp:extent cx="8255" cy="825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-3096895</wp:posOffset>
            </wp:positionV>
            <wp:extent cx="8255"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-3079750</wp:posOffset>
            </wp:positionV>
            <wp:extent cx="8255"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-3062605</wp:posOffset>
            </wp:positionV>
            <wp:extent cx="8255"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-3045460</wp:posOffset>
            </wp:positionV>
            <wp:extent cx="8255"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-3028315</wp:posOffset>
            </wp:positionV>
            <wp:extent cx="8255"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-3011170</wp:posOffset>
            </wp:positionV>
            <wp:extent cx="8255"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-2994025</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-2976880</wp:posOffset>
            </wp:positionV>
            <wp:extent cx="8255"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-2959735</wp:posOffset>
            </wp:positionV>
            <wp:extent cx="8255"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-2942590</wp:posOffset>
            </wp:positionV>
            <wp:extent cx="8255"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-2925445</wp:posOffset>
            </wp:positionV>
            <wp:extent cx="8255"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-2908300</wp:posOffset>
            </wp:positionV>
            <wp:extent cx="8255" cy="825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-2891155</wp:posOffset>
            </wp:positionV>
            <wp:extent cx="8255"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-2874010</wp:posOffset>
            </wp:positionV>
            <wp:extent cx="8255"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-2856865</wp:posOffset>
            </wp:positionV>
            <wp:extent cx="8255" cy="889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-2839720</wp:posOffset>
            </wp:positionV>
            <wp:extent cx="8255"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-2822575</wp:posOffset>
            </wp:positionV>
            <wp:extent cx="8255"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-2805430</wp:posOffset>
            </wp:positionV>
            <wp:extent cx="8255"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-2788285</wp:posOffset>
            </wp:positionV>
            <wp:extent cx="8255"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-2771140</wp:posOffset>
            </wp:positionV>
            <wp:extent cx="8255" cy="8890"/>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-2753995</wp:posOffset>
            </wp:positionV>
            <wp:extent cx="8255"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-2736850</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-2719705</wp:posOffset>
            </wp:positionV>
            <wp:extent cx="8255"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-2702560</wp:posOffset>
            </wp:positionV>
            <wp:extent cx="8255"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-2685415</wp:posOffset>
            </wp:positionV>
            <wp:extent cx="8255"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-2668270</wp:posOffset>
            </wp:positionV>
            <wp:extent cx="8255"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-2651125</wp:posOffset>
            </wp:positionV>
            <wp:extent cx="8255"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-2633980</wp:posOffset>
            </wp:positionV>
            <wp:extent cx="8255"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-2616835</wp:posOffset>
            </wp:positionV>
            <wp:extent cx="8255"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-2599690</wp:posOffset>
            </wp:positionV>
            <wp:extent cx="8255"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-2582545</wp:posOffset>
            </wp:positionV>
            <wp:extent cx="8255"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-2565400</wp:posOffset>
            </wp:positionV>
            <wp:extent cx="8255"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-2548255</wp:posOffset>
            </wp:positionV>
            <wp:extent cx="8255"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-2531110</wp:posOffset>
            </wp:positionV>
            <wp:extent cx="8255"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-2513965</wp:posOffset>
            </wp:positionV>
            <wp:extent cx="8255" cy="825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-2496820</wp:posOffset>
            </wp:positionV>
            <wp:extent cx="8255"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-2479675</wp:posOffset>
            </wp:positionV>
            <wp:extent cx="8255"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-2462530</wp:posOffset>
            </wp:positionV>
            <wp:extent cx="8255"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-2445385</wp:posOffset>
            </wp:positionV>
            <wp:extent cx="8255"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-2428240</wp:posOffset>
            </wp:positionV>
            <wp:extent cx="8255"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-2411095</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-2393950</wp:posOffset>
            </wp:positionV>
            <wp:extent cx="8255"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-2376805</wp:posOffset>
            </wp:positionV>
            <wp:extent cx="8255"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-2359660</wp:posOffset>
            </wp:positionV>
            <wp:extent cx="8255"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-2342515</wp:posOffset>
            </wp:positionV>
            <wp:extent cx="8255"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-2325370</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-2308225</wp:posOffset>
            </wp:positionV>
            <wp:extent cx="8255"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-2291080</wp:posOffset>
            </wp:positionV>
            <wp:extent cx="8255"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-2273935</wp:posOffset>
            </wp:positionV>
            <wp:extent cx="8255"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-2256790</wp:posOffset>
            </wp:positionV>
            <wp:extent cx="8255"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-2239645</wp:posOffset>
            </wp:positionV>
            <wp:extent cx="8255"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-2222500</wp:posOffset>
            </wp:positionV>
            <wp:extent cx="8255"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-2205355</wp:posOffset>
            </wp:positionV>
            <wp:extent cx="8255"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-2188210</wp:posOffset>
            </wp:positionV>
            <wp:extent cx="8255"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-2171065</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-2153920</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-2136775</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-2119630</wp:posOffset>
            </wp:positionV>
            <wp:extent cx="8255"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-2102485</wp:posOffset>
            </wp:positionV>
            <wp:extent cx="8255"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-2085340</wp:posOffset>
            </wp:positionV>
            <wp:extent cx="8255"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-2068195</wp:posOffset>
            </wp:positionV>
            <wp:extent cx="8255"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-2051050</wp:posOffset>
            </wp:positionV>
            <wp:extent cx="8255"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-2033905</wp:posOffset>
            </wp:positionV>
            <wp:extent cx="8255"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-2016760</wp:posOffset>
            </wp:positionV>
            <wp:extent cx="8255"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-1999615</wp:posOffset>
            </wp:positionV>
            <wp:extent cx="8255"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-1982470</wp:posOffset>
            </wp:positionV>
            <wp:extent cx="8255"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-1965325</wp:posOffset>
            </wp:positionV>
            <wp:extent cx="8255"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-1948180</wp:posOffset>
            </wp:positionV>
            <wp:extent cx="8255"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-1931035</wp:posOffset>
            </wp:positionV>
            <wp:extent cx="8255"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-1913890</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-1896745</wp:posOffset>
            </wp:positionV>
            <wp:extent cx="8255"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-1879600</wp:posOffset>
            </wp:positionV>
            <wp:extent cx="8255"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-1862455</wp:posOffset>
            </wp:positionV>
            <wp:extent cx="8255"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-1845310</wp:posOffset>
            </wp:positionV>
            <wp:extent cx="8255"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-1828165</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-1811020</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-1793875</wp:posOffset>
            </wp:positionV>
            <wp:extent cx="8255"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-1776730</wp:posOffset>
            </wp:positionV>
            <wp:extent cx="8255"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-1759585</wp:posOffset>
            </wp:positionV>
            <wp:extent cx="8255"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-1742440</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-1725295</wp:posOffset>
            </wp:positionV>
            <wp:extent cx="8255"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-1708150</wp:posOffset>
            </wp:positionV>
            <wp:extent cx="8255" cy="8890"/>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-1691005</wp:posOffset>
            </wp:positionV>
            <wp:extent cx="8255"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-1673860</wp:posOffset>
            </wp:positionV>
            <wp:extent cx="8255"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-1656715</wp:posOffset>
            </wp:positionV>
            <wp:extent cx="8255"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-1639570</wp:posOffset>
            </wp:positionV>
            <wp:extent cx="8255"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-1622425</wp:posOffset>
            </wp:positionV>
            <wp:extent cx="8255" cy="8890"/>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-1605280</wp:posOffset>
            </wp:positionV>
            <wp:extent cx="8255"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-1588135</wp:posOffset>
            </wp:positionV>
            <wp:extent cx="8255"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-1570990</wp:posOffset>
            </wp:positionV>
            <wp:extent cx="8255"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-1553845</wp:posOffset>
            </wp:positionV>
            <wp:extent cx="8255"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-1536700</wp:posOffset>
            </wp:positionV>
            <wp:extent cx="8255" cy="8890"/>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-1519555</wp:posOffset>
            </wp:positionV>
            <wp:extent cx="8255"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-1502410</wp:posOffset>
            </wp:positionV>
            <wp:extent cx="8255"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-1485265</wp:posOffset>
            </wp:positionV>
            <wp:extent cx="8255"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-1468120</wp:posOffset>
            </wp:positionV>
            <wp:extent cx="8255"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-1450975</wp:posOffset>
            </wp:positionV>
            <wp:extent cx="8255" cy="8890"/>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-1433830</wp:posOffset>
            </wp:positionV>
            <wp:extent cx="8255"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-1416685</wp:posOffset>
            </wp:positionV>
            <wp:extent cx="8255"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-1399540</wp:posOffset>
            </wp:positionV>
            <wp:extent cx="825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-1382395</wp:posOffset>
            </wp:positionV>
            <wp:extent cx="8255"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-1365250</wp:posOffset>
            </wp:positionV>
            <wp:extent cx="8255"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-1348105</wp:posOffset>
            </wp:positionV>
            <wp:extent cx="8255" cy="825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-1330960</wp:posOffset>
            </wp:positionV>
            <wp:extent cx="8255"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-1313815</wp:posOffset>
            </wp:positionV>
            <wp:extent cx="8255"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-1296670</wp:posOffset>
            </wp:positionV>
            <wp:extent cx="8255"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-1279525</wp:posOffset>
            </wp:positionV>
            <wp:extent cx="8255"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-1262380</wp:posOffset>
            </wp:positionV>
            <wp:extent cx="8255"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-1245235</wp:posOffset>
            </wp:positionV>
            <wp:extent cx="825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-1228090</wp:posOffset>
            </wp:positionV>
            <wp:extent cx="8255"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-1210945</wp:posOffset>
            </wp:positionV>
            <wp:extent cx="8255"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-1193800</wp:posOffset>
            </wp:positionV>
            <wp:extent cx="8255"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-1176655</wp:posOffset>
            </wp:positionV>
            <wp:extent cx="8255" cy="825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-1159510</wp:posOffset>
            </wp:positionV>
            <wp:extent cx="8255"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-1142365</wp:posOffset>
            </wp:positionV>
            <wp:extent cx="8255"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-1125220</wp:posOffset>
            </wp:positionV>
            <wp:extent cx="8255"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-1108075</wp:posOffset>
            </wp:positionV>
            <wp:extent cx="8255"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-1090930</wp:posOffset>
            </wp:positionV>
            <wp:extent cx="8255" cy="825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-1073785</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-1056640</wp:posOffset>
            </wp:positionV>
            <wp:extent cx="8255"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-1039495</wp:posOffset>
            </wp:positionV>
            <wp:extent cx="8255"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-1022350</wp:posOffset>
            </wp:positionV>
            <wp:extent cx="8255" cy="8890"/>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-1005205</wp:posOffset>
            </wp:positionV>
            <wp:extent cx="8255"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-988060</wp:posOffset>
            </wp:positionV>
            <wp:extent cx="8255"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-970915</wp:posOffset>
            </wp:positionV>
            <wp:extent cx="8255"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-953770</wp:posOffset>
            </wp:positionV>
            <wp:extent cx="8255"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-936625</wp:posOffset>
            </wp:positionV>
            <wp:extent cx="8255"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-919480</wp:posOffset>
            </wp:positionV>
            <wp:extent cx="8255" cy="825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-902335</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-885190</wp:posOffset>
            </wp:positionV>
            <wp:extent cx="8255"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-868045</wp:posOffset>
            </wp:positionV>
            <wp:extent cx="8255"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-850900</wp:posOffset>
            </wp:positionV>
            <wp:extent cx="8255"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-833755</wp:posOffset>
            </wp:positionV>
            <wp:extent cx="8255" cy="825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-816610</wp:posOffset>
            </wp:positionV>
            <wp:extent cx="8255"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-799465</wp:posOffset>
            </wp:positionV>
            <wp:extent cx="8255" cy="825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-782320</wp:posOffset>
            </wp:positionV>
            <wp:extent cx="8255"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-765175</wp:posOffset>
            </wp:positionV>
            <wp:extent cx="8255"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-748030</wp:posOffset>
            </wp:positionV>
            <wp:extent cx="8255" cy="825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-730885</wp:posOffset>
            </wp:positionV>
            <wp:extent cx="8255"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-713740</wp:posOffset>
            </wp:positionV>
            <wp:extent cx="8255"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-696595</wp:posOffset>
            </wp:positionV>
            <wp:extent cx="8255"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-679450</wp:posOffset>
            </wp:positionV>
            <wp:extent cx="8255"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-662305</wp:posOffset>
            </wp:positionV>
            <wp:extent cx="8255" cy="825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89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25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25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25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25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89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89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890"/>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25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89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-5428615</wp:posOffset>
            </wp:positionV>
            <wp:extent cx="8255"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-5411470</wp:posOffset>
            </wp:positionV>
            <wp:extent cx="8255" cy="8890"/>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-5394325</wp:posOffset>
            </wp:positionV>
            <wp:extent cx="8255"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-5377180</wp:posOffset>
            </wp:positionV>
            <wp:extent cx="8255"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-5360035</wp:posOffset>
            </wp:positionV>
            <wp:extent cx="8255" cy="825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-5342890</wp:posOffset>
            </wp:positionV>
            <wp:extent cx="8255"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-5325745</wp:posOffset>
            </wp:positionV>
            <wp:extent cx="8255" cy="889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-5308600</wp:posOffset>
            </wp:positionV>
            <wp:extent cx="8255"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-5291455</wp:posOffset>
            </wp:positionV>
            <wp:extent cx="8255"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-5274310</wp:posOffset>
            </wp:positionV>
            <wp:extent cx="8255" cy="825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-5257165</wp:posOffset>
            </wp:positionV>
            <wp:extent cx="8255"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-5240020</wp:posOffset>
            </wp:positionV>
            <wp:extent cx="8255" cy="889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-5222875</wp:posOffset>
            </wp:positionV>
            <wp:extent cx="8255"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-5205730</wp:posOffset>
            </wp:positionV>
            <wp:extent cx="8255"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-5188585</wp:posOffset>
            </wp:positionV>
            <wp:extent cx="8255" cy="825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-5171440</wp:posOffset>
            </wp:positionV>
            <wp:extent cx="8255"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-5154295</wp:posOffset>
            </wp:positionV>
            <wp:extent cx="8255" cy="8890"/>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-5137150</wp:posOffset>
            </wp:positionV>
            <wp:extent cx="8255"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-5120005</wp:posOffset>
            </wp:positionV>
            <wp:extent cx="8255"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-5102860</wp:posOffset>
            </wp:positionV>
            <wp:extent cx="8255"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-5085715</wp:posOffset>
            </wp:positionV>
            <wp:extent cx="8255"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-5068570</wp:posOffset>
            </wp:positionV>
            <wp:extent cx="8255"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-5051425</wp:posOffset>
            </wp:positionV>
            <wp:extent cx="8255"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-5034280</wp:posOffset>
            </wp:positionV>
            <wp:extent cx="8255"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-5017135</wp:posOffset>
            </wp:positionV>
            <wp:extent cx="8255"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-4999990</wp:posOffset>
            </wp:positionV>
            <wp:extent cx="8255"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-4982845</wp:posOffset>
            </wp:positionV>
            <wp:extent cx="8255"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-4965700</wp:posOffset>
            </wp:positionV>
            <wp:extent cx="8255"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-4948555</wp:posOffset>
            </wp:positionV>
            <wp:extent cx="8255" cy="825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-4931410</wp:posOffset>
            </wp:positionV>
            <wp:extent cx="8255"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-4914265</wp:posOffset>
            </wp:positionV>
            <wp:extent cx="8255"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-4897120</wp:posOffset>
            </wp:positionV>
            <wp:extent cx="8255"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-4879975</wp:posOffset>
            </wp:positionV>
            <wp:extent cx="8255"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-4862830</wp:posOffset>
            </wp:positionV>
            <wp:extent cx="8255" cy="825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-4845685</wp:posOffset>
            </wp:positionV>
            <wp:extent cx="8255"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-4828540</wp:posOffset>
            </wp:positionV>
            <wp:extent cx="8255" cy="825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-4811395</wp:posOffset>
            </wp:positionV>
            <wp:extent cx="8255"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-4794250</wp:posOffset>
            </wp:positionV>
            <wp:extent cx="8255"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-4777105</wp:posOffset>
            </wp:positionV>
            <wp:extent cx="8255" cy="825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-4759960</wp:posOffset>
            </wp:positionV>
            <wp:extent cx="8255"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-4742815</wp:posOffset>
            </wp:positionV>
            <wp:extent cx="8255" cy="825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-4725670</wp:posOffset>
            </wp:positionV>
            <wp:extent cx="8255"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-4708525</wp:posOffset>
            </wp:positionV>
            <wp:extent cx="8255"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-4691380</wp:posOffset>
            </wp:positionV>
            <wp:extent cx="8255" cy="825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-4674235</wp:posOffset>
            </wp:positionV>
            <wp:extent cx="8255"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-4657090</wp:posOffset>
            </wp:positionV>
            <wp:extent cx="8255"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-4639945</wp:posOffset>
            </wp:positionV>
            <wp:extent cx="8255"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-4622800</wp:posOffset>
            </wp:positionV>
            <wp:extent cx="8255"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-4605655</wp:posOffset>
            </wp:positionV>
            <wp:extent cx="8255"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-4588510</wp:posOffset>
            </wp:positionV>
            <wp:extent cx="8255" cy="8890"/>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-4571365</wp:posOffset>
            </wp:positionV>
            <wp:extent cx="8255"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-4554220</wp:posOffset>
            </wp:positionV>
            <wp:extent cx="8255"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-4537075</wp:posOffset>
            </wp:positionV>
            <wp:extent cx="8255"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-4519930</wp:posOffset>
            </wp:positionV>
            <wp:extent cx="8255"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-4502785</wp:posOffset>
            </wp:positionV>
            <wp:extent cx="8255" cy="8890"/>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-4485640</wp:posOffset>
            </wp:positionV>
            <wp:extent cx="8255"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-4468495</wp:posOffset>
            </wp:positionV>
            <wp:extent cx="8255"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-4451350</wp:posOffset>
            </wp:positionV>
            <wp:extent cx="8255"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-4434205</wp:posOffset>
            </wp:positionV>
            <wp:extent cx="8255"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-4417060</wp:posOffset>
            </wp:positionV>
            <wp:extent cx="8255" cy="8890"/>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-4399915</wp:posOffset>
            </wp:positionV>
            <wp:extent cx="8255"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-4382770</wp:posOffset>
            </wp:positionV>
            <wp:extent cx="8255"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-4365625</wp:posOffset>
            </wp:positionV>
            <wp:extent cx="8255"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-4348480</wp:posOffset>
            </wp:positionV>
            <wp:extent cx="8255"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-4331335</wp:posOffset>
            </wp:positionV>
            <wp:extent cx="8255" cy="8890"/>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-4314190</wp:posOffset>
            </wp:positionV>
            <wp:extent cx="8255"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-4297045</wp:posOffset>
            </wp:positionV>
            <wp:extent cx="8255"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-4279900</wp:posOffset>
            </wp:positionV>
            <wp:extent cx="8255"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-4262755</wp:posOffset>
            </wp:positionV>
            <wp:extent cx="8255" cy="825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-4245610</wp:posOffset>
            </wp:positionV>
            <wp:extent cx="8255" cy="8890"/>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-4228465</wp:posOffset>
            </wp:positionV>
            <wp:extent cx="8255"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-4211320</wp:posOffset>
            </wp:positionV>
            <wp:extent cx="8255"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-4194175</wp:posOffset>
            </wp:positionV>
            <wp:extent cx="8255" cy="825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-4177030</wp:posOffset>
            </wp:positionV>
            <wp:extent cx="8255" cy="825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-4159885</wp:posOffset>
            </wp:positionV>
            <wp:extent cx="8255"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-4142740</wp:posOffset>
            </wp:positionV>
            <wp:extent cx="8255" cy="825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-4125595</wp:posOffset>
            </wp:positionV>
            <wp:extent cx="8255"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-4108450</wp:posOffset>
            </wp:positionV>
            <wp:extent cx="8255"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-4091305</wp:posOffset>
            </wp:positionV>
            <wp:extent cx="8255"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-4074160</wp:posOffset>
            </wp:positionV>
            <wp:extent cx="8255" cy="8890"/>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-4057015</wp:posOffset>
            </wp:positionV>
            <wp:extent cx="8255"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-4039870</wp:posOffset>
            </wp:positionV>
            <wp:extent cx="8255"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-4022725</wp:posOffset>
            </wp:positionV>
            <wp:extent cx="8255"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-4005580</wp:posOffset>
            </wp:positionV>
            <wp:extent cx="8255"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-3988435</wp:posOffset>
            </wp:positionV>
            <wp:extent cx="8255" cy="8890"/>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-3971290</wp:posOffset>
            </wp:positionV>
            <wp:extent cx="8255"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-3954145</wp:posOffset>
            </wp:positionV>
            <wp:extent cx="8255"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-3937000</wp:posOffset>
            </wp:positionV>
            <wp:extent cx="8255"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-3919855</wp:posOffset>
            </wp:positionV>
            <wp:extent cx="8255"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-3902710</wp:posOffset>
            </wp:positionV>
            <wp:extent cx="8255" cy="8890"/>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-3885565</wp:posOffset>
            </wp:positionV>
            <wp:extent cx="8255"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-3868420</wp:posOffset>
            </wp:positionV>
            <wp:extent cx="8255"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-3851275</wp:posOffset>
            </wp:positionV>
            <wp:extent cx="8255"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-3834130</wp:posOffset>
            </wp:positionV>
            <wp:extent cx="8255"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-3816985</wp:posOffset>
            </wp:positionV>
            <wp:extent cx="8255" cy="8890"/>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-3799840</wp:posOffset>
            </wp:positionV>
            <wp:extent cx="8255"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-3782695</wp:posOffset>
            </wp:positionV>
            <wp:extent cx="8255"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-3765550</wp:posOffset>
            </wp:positionV>
            <wp:extent cx="8255"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-3748405</wp:posOffset>
            </wp:positionV>
            <wp:extent cx="8255"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-3731260</wp:posOffset>
            </wp:positionV>
            <wp:extent cx="8255"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-3714115</wp:posOffset>
            </wp:positionV>
            <wp:extent cx="8255"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-3696970</wp:posOffset>
            </wp:positionV>
            <wp:extent cx="8255"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-3679825</wp:posOffset>
            </wp:positionV>
            <wp:extent cx="8255" cy="8890"/>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-3662680</wp:posOffset>
            </wp:positionV>
            <wp:extent cx="8255"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-3645535</wp:posOffset>
            </wp:positionV>
            <wp:extent cx="8255"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-3628390</wp:posOffset>
            </wp:positionV>
            <wp:extent cx="8255"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-3611245</wp:posOffset>
            </wp:positionV>
            <wp:extent cx="8255"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-3594100</wp:posOffset>
            </wp:positionV>
            <wp:extent cx="8255" cy="8890"/>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-3576955</wp:posOffset>
            </wp:positionV>
            <wp:extent cx="8255"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-3559810</wp:posOffset>
            </wp:positionV>
            <wp:extent cx="8255"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-3542665</wp:posOffset>
            </wp:positionV>
            <wp:extent cx="8255"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-3525520</wp:posOffset>
            </wp:positionV>
            <wp:extent cx="8255"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-3508375</wp:posOffset>
            </wp:positionV>
            <wp:extent cx="8255" cy="8890"/>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-3491230</wp:posOffset>
            </wp:positionV>
            <wp:extent cx="8255"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-3474085</wp:posOffset>
            </wp:positionV>
            <wp:extent cx="8255"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-3456940</wp:posOffset>
            </wp:positionV>
            <wp:extent cx="8255"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-3439795</wp:posOffset>
            </wp:positionV>
            <wp:extent cx="8255"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-3422650</wp:posOffset>
            </wp:positionV>
            <wp:extent cx="8255" cy="8890"/>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-3405505</wp:posOffset>
            </wp:positionV>
            <wp:extent cx="8255"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-3388360</wp:posOffset>
            </wp:positionV>
            <wp:extent cx="8255"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-3371215</wp:posOffset>
            </wp:positionV>
            <wp:extent cx="8255"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-3354070</wp:posOffset>
            </wp:positionV>
            <wp:extent cx="8255"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-3336925</wp:posOffset>
            </wp:positionV>
            <wp:extent cx="8255" cy="8890"/>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-3319780</wp:posOffset>
            </wp:positionV>
            <wp:extent cx="8255"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-3302635</wp:posOffset>
            </wp:positionV>
            <wp:extent cx="8255"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-3285490</wp:posOffset>
            </wp:positionV>
            <wp:extent cx="8255"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-3268345</wp:posOffset>
            </wp:positionV>
            <wp:extent cx="8255" cy="825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-3251200</wp:posOffset>
            </wp:positionV>
            <wp:extent cx="8255" cy="8890"/>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-3234055</wp:posOffset>
            </wp:positionV>
            <wp:extent cx="8255"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-3216910</wp:posOffset>
            </wp:positionV>
            <wp:extent cx="8255"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-3199765</wp:posOffset>
            </wp:positionV>
            <wp:extent cx="8255"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-3182620</wp:posOffset>
            </wp:positionV>
            <wp:extent cx="8255"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-3165475</wp:posOffset>
            </wp:positionV>
            <wp:extent cx="8255" cy="8890"/>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-3148330</wp:posOffset>
            </wp:positionV>
            <wp:extent cx="8255"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-3131185</wp:posOffset>
            </wp:positionV>
            <wp:extent cx="8255"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-3114040</wp:posOffset>
            </wp:positionV>
            <wp:extent cx="8255"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-3096895</wp:posOffset>
            </wp:positionV>
            <wp:extent cx="8255"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-3079750</wp:posOffset>
            </wp:positionV>
            <wp:extent cx="8255" cy="8890"/>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-3062605</wp:posOffset>
            </wp:positionV>
            <wp:extent cx="8255"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-3045460</wp:posOffset>
            </wp:positionV>
            <wp:extent cx="8255" cy="8890"/>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-3028315</wp:posOffset>
            </wp:positionV>
            <wp:extent cx="8255" cy="8890"/>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-3011170</wp:posOffset>
            </wp:positionV>
            <wp:extent cx="8255"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-2994025</wp:posOffset>
            </wp:positionV>
            <wp:extent cx="8255"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-2976880</wp:posOffset>
            </wp:positionV>
            <wp:extent cx="8255"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-2959735</wp:posOffset>
            </wp:positionV>
            <wp:extent cx="8255" cy="8890"/>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-2942590</wp:posOffset>
            </wp:positionV>
            <wp:extent cx="8255" cy="8890"/>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-2925445</wp:posOffset>
            </wp:positionV>
            <wp:extent cx="8255"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-2908300</wp:posOffset>
            </wp:positionV>
            <wp:extent cx="8255"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-2891155</wp:posOffset>
            </wp:positionV>
            <wp:extent cx="8255"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-2874010</wp:posOffset>
            </wp:positionV>
            <wp:extent cx="8255" cy="8890"/>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-2856865</wp:posOffset>
            </wp:positionV>
            <wp:extent cx="8255" cy="8890"/>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-2839720</wp:posOffset>
            </wp:positionV>
            <wp:extent cx="8255"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-2822575</wp:posOffset>
            </wp:positionV>
            <wp:extent cx="8255"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-2805430</wp:posOffset>
            </wp:positionV>
            <wp:extent cx="8255"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-2788285</wp:posOffset>
            </wp:positionV>
            <wp:extent cx="8255" cy="8890"/>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-2771140</wp:posOffset>
            </wp:positionV>
            <wp:extent cx="8255" cy="8890"/>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-2753995</wp:posOffset>
            </wp:positionV>
            <wp:extent cx="8255"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-2736850</wp:posOffset>
            </wp:positionV>
            <wp:extent cx="8255"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-2719705</wp:posOffset>
            </wp:positionV>
            <wp:extent cx="8255" cy="8890"/>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-2702560</wp:posOffset>
            </wp:positionV>
            <wp:extent cx="8255" cy="8890"/>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-2685415</wp:posOffset>
            </wp:positionV>
            <wp:extent cx="8255"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-2668270</wp:posOffset>
            </wp:positionV>
            <wp:extent cx="8255"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-2651125</wp:posOffset>
            </wp:positionV>
            <wp:extent cx="8255"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-2633980</wp:posOffset>
            </wp:positionV>
            <wp:extent cx="8255" cy="8890"/>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-2616835</wp:posOffset>
            </wp:positionV>
            <wp:extent cx="8255" cy="8890"/>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-2599690</wp:posOffset>
            </wp:positionV>
            <wp:extent cx="8255"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-2582545</wp:posOffset>
            </wp:positionV>
            <wp:extent cx="8255"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-2565400</wp:posOffset>
            </wp:positionV>
            <wp:extent cx="8255"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-2548255</wp:posOffset>
            </wp:positionV>
            <wp:extent cx="8255" cy="8890"/>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-2531110</wp:posOffset>
            </wp:positionV>
            <wp:extent cx="8255" cy="8890"/>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-2513965</wp:posOffset>
            </wp:positionV>
            <wp:extent cx="8255"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-2496820</wp:posOffset>
            </wp:positionV>
            <wp:extent cx="8255"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-2479675</wp:posOffset>
            </wp:positionV>
            <wp:extent cx="8255"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-2462530</wp:posOffset>
            </wp:positionV>
            <wp:extent cx="8255" cy="8890"/>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-2445385</wp:posOffset>
            </wp:positionV>
            <wp:extent cx="8255" cy="8890"/>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-2428240</wp:posOffset>
            </wp:positionV>
            <wp:extent cx="8255"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-2411095</wp:posOffset>
            </wp:positionV>
            <wp:extent cx="8255"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-2393950</wp:posOffset>
            </wp:positionV>
            <wp:extent cx="8255"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-2376805</wp:posOffset>
            </wp:positionV>
            <wp:extent cx="8255" cy="8890"/>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-2359660</wp:posOffset>
            </wp:positionV>
            <wp:extent cx="8255" cy="8890"/>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-2342515</wp:posOffset>
            </wp:positionV>
            <wp:extent cx="8255"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-2325370</wp:posOffset>
            </wp:positionV>
            <wp:extent cx="8255"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-2308225</wp:posOffset>
            </wp:positionV>
            <wp:extent cx="8255"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-2291080</wp:posOffset>
            </wp:positionV>
            <wp:extent cx="8255" cy="8890"/>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-2273935</wp:posOffset>
            </wp:positionV>
            <wp:extent cx="8255" cy="8890"/>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-2256790</wp:posOffset>
            </wp:positionV>
            <wp:extent cx="8255"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-2239645</wp:posOffset>
            </wp:positionV>
            <wp:extent cx="8255"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-2222500</wp:posOffset>
            </wp:positionV>
            <wp:extent cx="8255"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-2205355</wp:posOffset>
            </wp:positionV>
            <wp:extent cx="8255" cy="8890"/>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-2188210</wp:posOffset>
            </wp:positionV>
            <wp:extent cx="8255" cy="8890"/>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-2171065</wp:posOffset>
            </wp:positionV>
            <wp:extent cx="8255"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-2153920</wp:posOffset>
            </wp:positionV>
            <wp:extent cx="8255"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-2136775</wp:posOffset>
            </wp:positionV>
            <wp:extent cx="8255"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-2119630</wp:posOffset>
            </wp:positionV>
            <wp:extent cx="8255" cy="8890"/>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-2102485</wp:posOffset>
            </wp:positionV>
            <wp:extent cx="8255" cy="8890"/>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-2085340</wp:posOffset>
            </wp:positionV>
            <wp:extent cx="8255"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-2068195</wp:posOffset>
            </wp:positionV>
            <wp:extent cx="8255"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-2051050</wp:posOffset>
            </wp:positionV>
            <wp:extent cx="8255"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-2033905</wp:posOffset>
            </wp:positionV>
            <wp:extent cx="8255" cy="8890"/>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-2016760</wp:posOffset>
            </wp:positionV>
            <wp:extent cx="8255"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-1999615</wp:posOffset>
            </wp:positionV>
            <wp:extent cx="8255"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-1982470</wp:posOffset>
            </wp:positionV>
            <wp:extent cx="8255"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-1965325</wp:posOffset>
            </wp:positionV>
            <wp:extent cx="8255" cy="8890"/>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-1948180</wp:posOffset>
            </wp:positionV>
            <wp:extent cx="8255" cy="8890"/>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-1931035</wp:posOffset>
            </wp:positionV>
            <wp:extent cx="8255"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-1913890</wp:posOffset>
            </wp:positionV>
            <wp:extent cx="8255"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-1896745</wp:posOffset>
            </wp:positionV>
            <wp:extent cx="8255"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-1879600</wp:posOffset>
            </wp:positionV>
            <wp:extent cx="8255" cy="8890"/>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-1862455</wp:posOffset>
            </wp:positionV>
            <wp:extent cx="8255" cy="8890"/>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-1845310</wp:posOffset>
            </wp:positionV>
            <wp:extent cx="8255"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-1828165</wp:posOffset>
            </wp:positionV>
            <wp:extent cx="8255"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-1811020</wp:posOffset>
            </wp:positionV>
            <wp:extent cx="8255"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-1793875</wp:posOffset>
            </wp:positionV>
            <wp:extent cx="8255" cy="8890"/>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-1776730</wp:posOffset>
            </wp:positionV>
            <wp:extent cx="8255" cy="8890"/>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-1759585</wp:posOffset>
            </wp:positionV>
            <wp:extent cx="8255"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-1742440</wp:posOffset>
            </wp:positionV>
            <wp:extent cx="8255"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-1725295</wp:posOffset>
            </wp:positionV>
            <wp:extent cx="8255"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-1708150</wp:posOffset>
            </wp:positionV>
            <wp:extent cx="8255" cy="8890"/>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-1691005</wp:posOffset>
            </wp:positionV>
            <wp:extent cx="8255" cy="8890"/>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-1673860</wp:posOffset>
            </wp:positionV>
            <wp:extent cx="8255" cy="825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-1656715</wp:posOffset>
            </wp:positionV>
            <wp:extent cx="8255"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-1639570</wp:posOffset>
            </wp:positionV>
            <wp:extent cx="8255"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-1622425</wp:posOffset>
            </wp:positionV>
            <wp:extent cx="8255" cy="8890"/>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-1605280</wp:posOffset>
            </wp:positionV>
            <wp:extent cx="8255" cy="8890"/>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-1588135</wp:posOffset>
            </wp:positionV>
            <wp:extent cx="8255" cy="825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-1570990</wp:posOffset>
            </wp:positionV>
            <wp:extent cx="8255"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-1553845</wp:posOffset>
            </wp:positionV>
            <wp:extent cx="8255"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-1536700</wp:posOffset>
            </wp:positionV>
            <wp:extent cx="8255" cy="8890"/>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-1519555</wp:posOffset>
            </wp:positionV>
            <wp:extent cx="8255" cy="8890"/>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-1502410</wp:posOffset>
            </wp:positionV>
            <wp:extent cx="8255"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-1485265</wp:posOffset>
            </wp:positionV>
            <wp:extent cx="8255"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-1468120</wp:posOffset>
            </wp:positionV>
            <wp:extent cx="8255"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-1450975</wp:posOffset>
            </wp:positionV>
            <wp:extent cx="8255" cy="8890"/>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-1433830</wp:posOffset>
            </wp:positionV>
            <wp:extent cx="8255" cy="8890"/>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-1416685</wp:posOffset>
            </wp:positionV>
            <wp:extent cx="8255" cy="825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-1399540</wp:posOffset>
            </wp:positionV>
            <wp:extent cx="8255"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-1382395</wp:posOffset>
            </wp:positionV>
            <wp:extent cx="8255"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-1365250</wp:posOffset>
            </wp:positionV>
            <wp:extent cx="8255" cy="8890"/>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-1348105</wp:posOffset>
            </wp:positionV>
            <wp:extent cx="8255"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-1330960</wp:posOffset>
            </wp:positionV>
            <wp:extent cx="8255" cy="825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-1313815</wp:posOffset>
            </wp:positionV>
            <wp:extent cx="8255"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-1296670</wp:posOffset>
            </wp:positionV>
            <wp:extent cx="8255" cy="8890"/>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-1279525</wp:posOffset>
            </wp:positionV>
            <wp:extent cx="8255" cy="8890"/>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-1262380</wp:posOffset>
            </wp:positionV>
            <wp:extent cx="8255"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-1245235</wp:posOffset>
            </wp:positionV>
            <wp:extent cx="8255" cy="825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-1228090</wp:posOffset>
            </wp:positionV>
            <wp:extent cx="8255"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-1210945</wp:posOffset>
            </wp:positionV>
            <wp:extent cx="8255" cy="8890"/>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-1193800</wp:posOffset>
            </wp:positionV>
            <wp:extent cx="8255" cy="8890"/>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-1176655</wp:posOffset>
            </wp:positionV>
            <wp:extent cx="8255"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-1159510</wp:posOffset>
            </wp:positionV>
            <wp:extent cx="8255"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-1142365</wp:posOffset>
            </wp:positionV>
            <wp:extent cx="8255"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-1125220</wp:posOffset>
            </wp:positionV>
            <wp:extent cx="8255" cy="8890"/>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-1108075</wp:posOffset>
            </wp:positionV>
            <wp:extent cx="8255" cy="8890"/>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-1090930</wp:posOffset>
            </wp:positionV>
            <wp:extent cx="8255"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-1073785</wp:posOffset>
            </wp:positionV>
            <wp:extent cx="8255"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-1056640</wp:posOffset>
            </wp:positionV>
            <wp:extent cx="8255"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-1039495</wp:posOffset>
            </wp:positionV>
            <wp:extent cx="8255" cy="8890"/>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-1022350</wp:posOffset>
            </wp:positionV>
            <wp:extent cx="8255" cy="8890"/>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-1005205</wp:posOffset>
            </wp:positionV>
            <wp:extent cx="8255"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-988060</wp:posOffset>
            </wp:positionV>
            <wp:extent cx="8255"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-970915</wp:posOffset>
            </wp:positionV>
            <wp:extent cx="8255" cy="825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-953770</wp:posOffset>
            </wp:positionV>
            <wp:extent cx="8255" cy="8890"/>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-936625</wp:posOffset>
            </wp:positionV>
            <wp:extent cx="8255" cy="8890"/>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-919480</wp:posOffset>
            </wp:positionV>
            <wp:extent cx="8255"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-902335</wp:posOffset>
            </wp:positionV>
            <wp:extent cx="8255"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-885190</wp:posOffset>
            </wp:positionV>
            <wp:extent cx="8255" cy="825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-868045</wp:posOffset>
            </wp:positionV>
            <wp:extent cx="8255" cy="8890"/>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-850900</wp:posOffset>
            </wp:positionV>
            <wp:extent cx="8255" cy="8890"/>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-833755</wp:posOffset>
            </wp:positionV>
            <wp:extent cx="8255"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-816610</wp:posOffset>
            </wp:positionV>
            <wp:extent cx="8255"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-799465</wp:posOffset>
            </wp:positionV>
            <wp:extent cx="8255" cy="825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-782320</wp:posOffset>
            </wp:positionV>
            <wp:extent cx="8255" cy="8890"/>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-765175</wp:posOffset>
            </wp:positionV>
            <wp:extent cx="8255" cy="8890"/>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-748030</wp:posOffset>
            </wp:positionV>
            <wp:extent cx="8255"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-730885</wp:posOffset>
            </wp:positionV>
            <wp:extent cx="8255"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-713740</wp:posOffset>
            </wp:positionV>
            <wp:extent cx="8255" cy="825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-696595</wp:posOffset>
            </wp:positionV>
            <wp:extent cx="8255" cy="8890"/>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-679450</wp:posOffset>
            </wp:positionV>
            <wp:extent cx="8255" cy="8890"/>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-662305</wp:posOffset>
            </wp:positionV>
            <wp:extent cx="8255"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-645160</wp:posOffset>
            </wp:positionV>
            <wp:extent cx="8255"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-628015</wp:posOffset>
            </wp:positionV>
            <wp:extent cx="8255" cy="8890"/>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-610870</wp:posOffset>
            </wp:positionV>
            <wp:extent cx="8255" cy="8890"/>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-593725</wp:posOffset>
            </wp:positionV>
            <wp:extent cx="8255" cy="825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-576580</wp:posOffset>
            </wp:positionV>
            <wp:extent cx="8255"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-559435</wp:posOffset>
            </wp:positionV>
            <wp:extent cx="8255"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-542290</wp:posOffset>
            </wp:positionV>
            <wp:extent cx="8255" cy="889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-525145</wp:posOffset>
            </wp:positionV>
            <wp:extent cx="8255" cy="8890"/>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-508000</wp:posOffset>
            </wp:positionV>
            <wp:extent cx="8255"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-490855</wp:posOffset>
            </wp:positionV>
            <wp:extent cx="8255"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-473710</wp:posOffset>
            </wp:positionV>
            <wp:extent cx="8255"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-456565</wp:posOffset>
            </wp:positionV>
            <wp:extent cx="8255" cy="8890"/>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-439420</wp:posOffset>
            </wp:positionV>
            <wp:extent cx="8255" cy="8890"/>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-422275</wp:posOffset>
            </wp:positionV>
            <wp:extent cx="8255"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-405130</wp:posOffset>
            </wp:positionV>
            <wp:extent cx="8255"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-387985</wp:posOffset>
            </wp:positionV>
            <wp:extent cx="8255"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-370840</wp:posOffset>
            </wp:positionV>
            <wp:extent cx="8255" cy="8890"/>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-353695</wp:posOffset>
            </wp:positionV>
            <wp:extent cx="8255" cy="8890"/>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-336550</wp:posOffset>
            </wp:positionV>
            <wp:extent cx="8255"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-319405</wp:posOffset>
            </wp:positionV>
            <wp:extent cx="8255"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-302260</wp:posOffset>
            </wp:positionV>
            <wp:extent cx="8255"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-285115</wp:posOffset>
            </wp:positionV>
            <wp:extent cx="8255" cy="889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-267970</wp:posOffset>
            </wp:positionV>
            <wp:extent cx="8255" cy="8890"/>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-250825</wp:posOffset>
            </wp:positionV>
            <wp:extent cx="8255"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-233680</wp:posOffset>
            </wp:positionV>
            <wp:extent cx="8255"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-216535</wp:posOffset>
            </wp:positionV>
            <wp:extent cx="8255" cy="825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-199390</wp:posOffset>
            </wp:positionV>
            <wp:extent cx="8255" cy="8890"/>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-182245</wp:posOffset>
            </wp:positionV>
            <wp:extent cx="8255" cy="8890"/>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-165100</wp:posOffset>
            </wp:positionV>
            <wp:extent cx="8255"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-147955</wp:posOffset>
            </wp:positionV>
            <wp:extent cx="8255"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-130810</wp:posOffset>
            </wp:positionV>
            <wp:extent cx="8255"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-113665</wp:posOffset>
            </wp:positionV>
            <wp:extent cx="8255" cy="8890"/>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-96520</wp:posOffset>
            </wp:positionV>
            <wp:extent cx="8255" cy="8890"/>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-79375</wp:posOffset>
            </wp:positionV>
            <wp:extent cx="8255"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-62230</wp:posOffset>
            </wp:positionV>
            <wp:extent cx="8255"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-45085</wp:posOffset>
            </wp:positionV>
            <wp:extent cx="8255" cy="825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-27940</wp:posOffset>
            </wp:positionV>
            <wp:extent cx="8255" cy="8890"/>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-10795</wp:posOffset>
            </wp:positionV>
            <wp:extent cx="8255" cy="8890"/>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-110490</wp:posOffset>
            </wp:positionV>
            <wp:extent cx="6574790" cy="146050"/>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65747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0460"/>
          </w:cols>
          <w:pgMar w:left="480" w:top="1028" w:right="959" w:bottom="1440" w:gutter="0" w:footer="0" w:header="0"/>
        </w:sectPr>
      </w:pPr>
    </w:p>
    <w:bookmarkStart w:id="147" w:name="page148"/>
    <w:bookmarkEnd w:id="147"/>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64"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Section 9(b)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36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68"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5"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9(b)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6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8" w:lineRule="exact"/>
        <w:rPr>
          <w:sz w:val="20"/>
          <w:szCs w:val="20"/>
          <w:color w:val="auto"/>
        </w:rPr>
      </w:pPr>
    </w:p>
    <w:p>
      <w:pPr>
        <w:jc w:val="both"/>
        <w:ind w:left="180"/>
        <w:spacing w:after="0" w:line="283"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7" w:lineRule="exact"/>
        <w:rPr>
          <w:sz w:val="20"/>
          <w:szCs w:val="20"/>
          <w:color w:val="auto"/>
        </w:rPr>
      </w:pPr>
    </w:p>
    <w:p>
      <w:pPr>
        <w:jc w:val="both"/>
        <w:ind w:left="180" w:right="320"/>
        <w:spacing w:after="0" w:line="270"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4" w:lineRule="exact"/>
        <w:rPr>
          <w:sz w:val="20"/>
          <w:szCs w:val="20"/>
          <w:color w:val="auto"/>
        </w:rPr>
      </w:pPr>
    </w:p>
    <w:p>
      <w:pPr>
        <w:jc w:val="both"/>
        <w:ind w:left="180" w:right="340"/>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28" w:right="339" w:bottom="1440" w:gutter="0" w:footer="0" w:header="0"/>
        </w:sectPr>
      </w:pPr>
    </w:p>
    <w:bookmarkStart w:id="148" w:name="page149"/>
    <w:bookmarkEnd w:id="148"/>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color w:val="auto"/>
        </w:rPr>
        <w:t>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64" w:lineRule="exact"/>
        <w:rPr>
          <w:sz w:val="20"/>
          <w:szCs w:val="20"/>
          <w:color w:val="auto"/>
        </w:rPr>
      </w:pPr>
    </w:p>
    <w:p>
      <w:pPr>
        <w:jc w:val="both"/>
        <w:ind w:left="180" w:right="340"/>
        <w:spacing w:after="0" w:line="259" w:lineRule="auto"/>
        <w:rPr>
          <w:sz w:val="20"/>
          <w:szCs w:val="20"/>
          <w:color w:val="auto"/>
        </w:rPr>
      </w:pPr>
      <w:r>
        <w:rPr>
          <w:rFonts w:ascii="Times New Roman" w:cs="Times New Roman" w:eastAsia="Times New Roman" w:hAnsi="Times New Roman"/>
          <w:sz w:val="16"/>
          <w:szCs w:val="16"/>
          <w:u w:val="single" w:color="auto"/>
          <w:color w:val="auto"/>
        </w:rPr>
        <w:t>Necessary Approvals</w:t>
      </w:r>
      <w:r>
        <w:rPr>
          <w:rFonts w:ascii="Times New Roman" w:cs="Times New Roman" w:eastAsia="Times New Roman" w:hAnsi="Times New Roman"/>
          <w:sz w:val="16"/>
          <w:szCs w:val="16"/>
          <w:color w:val="auto"/>
        </w:rPr>
        <w:t>. The offering of the Plan and the grant of the Performance RSUs may be subject to certain securities approval/confirmation requirements in the Philippines with the Philippine Securities and Exchange Commission. If the Company has not obtained, or does not maintain, the necessary securities approval/confirmation prior to the vesting of the Performance RSUs, Participant will not vest in the Performance RSUs and no Shares subject to the Performance RSUs will be issued. Performance RSUs shall vest and Shares shall be issued in settlement of the Performance RSUs only if and when all necessary securities approvals/confirmations have been obtained and are maintained.</w:t>
      </w:r>
    </w:p>
    <w:p>
      <w:pPr>
        <w:spacing w:after="0" w:line="222" w:lineRule="exact"/>
        <w:rPr>
          <w:sz w:val="20"/>
          <w:szCs w:val="20"/>
          <w:color w:val="auto"/>
        </w:rPr>
      </w:pPr>
    </w:p>
    <w:p>
      <w:pPr>
        <w:jc w:val="both"/>
        <w:ind w:left="180" w:right="32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62" w:lineRule="exact"/>
        <w:rPr>
          <w:sz w:val="20"/>
          <w:szCs w:val="20"/>
          <w:color w:val="auto"/>
        </w:rPr>
      </w:pPr>
    </w:p>
    <w:p>
      <w:pPr>
        <w:jc w:val="both"/>
        <w:ind w:left="180" w:right="320"/>
        <w:spacing w:after="0" w:line="260"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222"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11" w:lineRule="exact"/>
        <w:rPr>
          <w:sz w:val="20"/>
          <w:szCs w:val="20"/>
          <w:color w:val="auto"/>
        </w:rPr>
      </w:pPr>
    </w:p>
    <w:p>
      <w:pPr>
        <w:jc w:val="both"/>
        <w:ind w:left="180" w:right="320"/>
        <w:spacing w:after="0" w:line="257"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Participant should consult with his or her legal advisor.</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25" w:lineRule="exact"/>
        <w:rPr>
          <w:sz w:val="20"/>
          <w:szCs w:val="20"/>
          <w:color w:val="auto"/>
        </w:rPr>
      </w:pPr>
    </w:p>
    <w:p>
      <w:pPr>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w:t>
      </w:r>
    </w:p>
    <w:p>
      <w:pPr>
        <w:sectPr>
          <w:pgSz w:w="11900" w:h="16838" w:orient="portrait"/>
          <w:cols w:equalWidth="0" w:num="1">
            <w:col w:w="11080"/>
          </w:cols>
          <w:pgMar w:left="480" w:top="1028" w:right="339" w:bottom="144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1080"/>
          </w:cols>
          <w:pgMar w:left="480" w:top="1028" w:right="339" w:bottom="1440" w:gutter="0" w:footer="0" w:header="0"/>
          <w:type w:val="continuous"/>
        </w:sectPr>
      </w:pPr>
    </w:p>
    <w:bookmarkStart w:id="149" w:name="page150"/>
    <w:bookmarkEnd w:id="149"/>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64"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37"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64" w:lineRule="exact"/>
        <w:rPr>
          <w:sz w:val="20"/>
          <w:szCs w:val="20"/>
          <w:color w:val="auto"/>
        </w:rPr>
      </w:pPr>
    </w:p>
    <w:p>
      <w:pPr>
        <w:jc w:val="both"/>
        <w:ind w:left="180" w:right="320"/>
        <w:spacing w:after="0" w:line="26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00" w:lineRule="exact"/>
        <w:rPr>
          <w:sz w:val="20"/>
          <w:szCs w:val="20"/>
          <w:color w:val="auto"/>
        </w:rPr>
      </w:pPr>
    </w:p>
    <w:p>
      <w:pPr>
        <w:spacing w:after="0" w:line="217" w:lineRule="exact"/>
        <w:rPr>
          <w:sz w:val="20"/>
          <w:szCs w:val="20"/>
          <w:color w:val="auto"/>
        </w:rPr>
      </w:pPr>
    </w:p>
    <w:p>
      <w:pPr>
        <w:jc w:val="both"/>
        <w:ind w:left="180" w:right="320"/>
        <w:spacing w:after="0" w:line="25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67" w:lineRule="exact"/>
        <w:rPr>
          <w:sz w:val="20"/>
          <w:szCs w:val="20"/>
          <w:color w:val="auto"/>
        </w:rPr>
      </w:pPr>
    </w:p>
    <w:p>
      <w:pPr>
        <w:jc w:val="both"/>
        <w:ind w:left="180" w:right="320"/>
        <w:spacing w:after="0" w:line="257"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(i) any Performance RSUs will not economically or otherwise bind the Company or any of its subsidiaries on an ongoing basis; (ii)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and (iii) the Performance RSUs will cease vesting upon the Participant’s termination of employment except in the event the Participant dies or becomes Disabled, as detailed in the following paragraph. In addition, the Participant understands that the Performance RSU grant would not be made to the Participant but for the assumptions and conditions referred to above; thus, the Participant acknowledges and freely</w:t>
      </w:r>
    </w:p>
    <w:p>
      <w:pPr>
        <w:sectPr>
          <w:pgSz w:w="11900" w:h="16838" w:orient="portrait"/>
          <w:cols w:equalWidth="0" w:num="1">
            <w:col w:w="11080"/>
          </w:cols>
          <w:pgMar w:left="480" w:top="1028" w:right="339" w:bottom="1440" w:gutter="0" w:footer="0" w:header="0"/>
        </w:sect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1080"/>
          </w:cols>
          <w:pgMar w:left="480" w:top="1028" w:right="339" w:bottom="1440" w:gutter="0" w:footer="0" w:header="0"/>
          <w:type w:val="continuous"/>
        </w:sectPr>
      </w:pPr>
    </w:p>
    <w:bookmarkStart w:id="150" w:name="page151"/>
    <w:bookmarkEnd w:id="15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accepts that should any or all of the assumptions be mistaken or should any of the conditions not be met for any reason, then any Performance RSUs shall be null and void.</w:t>
      </w:r>
    </w:p>
    <w:p>
      <w:pPr>
        <w:spacing w:after="0" w:line="191"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spacing w:after="0" w:line="2" w:lineRule="exact"/>
        <w:rPr>
          <w:sz w:val="20"/>
          <w:szCs w:val="20"/>
          <w:color w:val="auto"/>
        </w:rPr>
      </w:pPr>
    </w:p>
    <w:p>
      <w:pPr>
        <w:jc w:val="both"/>
        <w:ind w:left="180" w:right="20" w:hanging="8"/>
        <w:spacing w:after="0" w:line="258" w:lineRule="auto"/>
        <w:tabs>
          <w:tab w:leader="none" w:pos="42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62"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20"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p>
    <w:p>
      <w:pPr>
        <w:ind w:left="180"/>
        <w:spacing w:after="0"/>
        <w:rPr>
          <w:sz w:val="20"/>
          <w:szCs w:val="20"/>
          <w:color w:val="auto"/>
        </w:rPr>
      </w:pP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5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a certain threshold (currently,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6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w:t>
      </w:r>
    </w:p>
    <w:p>
      <w:pPr>
        <w:sectPr>
          <w:pgSz w:w="11900" w:h="16838" w:orient="portrait"/>
          <w:cols w:equalWidth="0" w:num="1">
            <w:col w:w="10760"/>
          </w:cols>
          <w:pgMar w:left="480" w:top="1028" w:right="65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28" w:right="659" w:bottom="1440" w:gutter="0" w:footer="0" w:header="0"/>
          <w:type w:val="continuous"/>
        </w:sectPr>
      </w:pPr>
    </w:p>
    <w:bookmarkStart w:id="151" w:name="page152"/>
    <w:bookmarkEnd w:id="15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20" w:hanging="8"/>
        <w:spacing w:after="0" w:line="298" w:lineRule="auto"/>
        <w:tabs>
          <w:tab w:leader="none" w:pos="419"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2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a certain threshold (currently, US$10,000,000) per year without justification.</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Participant must submit a Foreign Exchange Transaction Form and also provide supporting documentation to the satisfaction of the remitting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64"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64"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0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- 15</w:t>
      </w:r>
    </w:p>
    <w:p>
      <w:pPr>
        <w:sectPr>
          <w:pgSz w:w="11900" w:h="16838" w:orient="portrait"/>
          <w:cols w:equalWidth="0" w:num="1">
            <w:col w:w="10760"/>
          </w:cols>
          <w:pgMar w:left="480" w:top="1028" w:right="659" w:bottom="1440" w:gutter="0" w:footer="0" w:header="0"/>
          <w:type w:val="continuous"/>
        </w:sectPr>
      </w:pPr>
    </w:p>
    <w:bookmarkStart w:id="152" w:name="page153"/>
    <w:bookmarkEnd w:id="152"/>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19"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8" w:lineRule="exact"/>
        <w:rPr>
          <w:sz w:val="20"/>
          <w:szCs w:val="20"/>
          <w:color w:val="auto"/>
        </w:rPr>
      </w:pPr>
    </w:p>
    <w:p>
      <w:pPr>
        <w:jc w:val="both"/>
        <w:ind w:left="180"/>
        <w:spacing w:after="0" w:line="27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- 16</w:t>
      </w:r>
    </w:p>
    <w:p>
      <w:pPr>
        <w:sectPr>
          <w:pgSz w:w="11900" w:h="16838" w:orient="portrait"/>
          <w:cols w:equalWidth="0" w:num="1">
            <w:col w:w="10760"/>
          </w:cols>
          <w:pgMar w:left="480" w:top="1028" w:right="65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24" w:lineRule="exact"/>
        <w:rPr>
          <w:sz w:val="20"/>
          <w:szCs w:val="20"/>
          <w:color w:val="auto"/>
        </w:rPr>
      </w:pPr>
    </w:p>
    <w:p>
      <w:pPr>
        <w:ind w:left="300" w:hanging="292"/>
        <w:spacing w:after="0"/>
        <w:tabs>
          <w:tab w:leader="none" w:pos="300"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6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21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69"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79" w:lineRule="exact"/>
        <w:rPr>
          <w:sz w:val="20"/>
          <w:szCs w:val="20"/>
          <w:color w:val="auto"/>
        </w:rPr>
      </w:pPr>
    </w:p>
    <w:p>
      <w:pPr>
        <w:ind w:left="300" w:hanging="292"/>
        <w:spacing w:after="0"/>
        <w:tabs>
          <w:tab w:leader="none" w:pos="300"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95" w:lineRule="exact"/>
        <w:rPr>
          <w:sz w:val="20"/>
          <w:szCs w:val="20"/>
          <w:color w:val="auto"/>
        </w:rPr>
      </w:pPr>
    </w:p>
    <w:p>
      <w:pPr>
        <w:ind w:left="300" w:hanging="292"/>
        <w:spacing w:after="0"/>
        <w:tabs>
          <w:tab w:leader="none" w:pos="300" w:val="left"/>
        </w:tabs>
        <w:numPr>
          <w:ilvl w:val="0"/>
          <w:numId w:val="1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8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26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28" w:right="33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83"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28" w:right="339" w:bottom="1440" w:gutter="0" w:footer="0" w:header="0"/>
        </w:sectPr>
      </w:pPr>
    </w:p>
    <w:bookmarkStart w:id="155" w:name="page156"/>
    <w:bookmarkEnd w:id="155"/>
    <w:p>
      <w:pPr>
        <w:jc w:val="center"/>
        <w:ind w:right="-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8"/>
        <w:spacing w:after="0" w:line="334"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5" w:lineRule="exact"/>
        <w:rPr>
          <w:sz w:val="20"/>
          <w:szCs w:val="20"/>
          <w:color w:val="auto"/>
        </w:rPr>
      </w:pPr>
    </w:p>
    <w:p>
      <w:pPr>
        <w:ind w:left="8"/>
        <w:spacing w:after="0"/>
        <w:tabs>
          <w:tab w:leader="none" w:pos="268"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192" w:lineRule="exact"/>
        <w:rPr>
          <w:sz w:val="20"/>
          <w:szCs w:val="20"/>
          <w:color w:val="auto"/>
        </w:rPr>
      </w:pPr>
    </w:p>
    <w:p>
      <w:pPr>
        <w:ind w:left="8"/>
        <w:spacing w:after="0"/>
        <w:tabs>
          <w:tab w:leader="none" w:pos="268"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8"/>
        <w:spacing w:after="0" w:line="338"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3" w:lineRule="exact"/>
        <w:rPr>
          <w:sz w:val="20"/>
          <w:szCs w:val="20"/>
          <w:color w:val="auto"/>
        </w:rPr>
      </w:pPr>
    </w:p>
    <w:p>
      <w:pPr>
        <w:ind w:left="288" w:hanging="288"/>
        <w:spacing w:after="0"/>
        <w:tabs>
          <w:tab w:leader="none" w:pos="288"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69" w:lineRule="exact"/>
        <w:rPr>
          <w:sz w:val="20"/>
          <w:szCs w:val="20"/>
          <w:color w:val="auto"/>
        </w:rPr>
      </w:pPr>
    </w:p>
    <w:p>
      <w:pPr>
        <w:jc w:val="both"/>
        <w:ind w:left="8"/>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192" w:lineRule="exact"/>
        <w:rPr>
          <w:sz w:val="20"/>
          <w:szCs w:val="20"/>
          <w:color w:val="auto"/>
        </w:rPr>
      </w:pPr>
    </w:p>
    <w:p>
      <w:pPr>
        <w:ind w:left="288" w:hanging="288"/>
        <w:spacing w:after="0"/>
        <w:tabs>
          <w:tab w:leader="none" w:pos="288"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69" w:lineRule="exact"/>
        <w:rPr>
          <w:sz w:val="20"/>
          <w:szCs w:val="20"/>
          <w:color w:val="auto"/>
        </w:rPr>
      </w:pPr>
    </w:p>
    <w:p>
      <w:pPr>
        <w:ind w:left="8"/>
        <w:spacing w:after="0" w:line="351"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4" w:lineRule="exact"/>
        <w:rPr>
          <w:sz w:val="20"/>
          <w:szCs w:val="20"/>
          <w:color w:val="auto"/>
        </w:rPr>
      </w:pPr>
    </w:p>
    <w:p>
      <w:pPr>
        <w:ind w:left="288" w:hanging="288"/>
        <w:spacing w:after="0"/>
        <w:tabs>
          <w:tab w:leader="none" w:pos="288"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8"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288" w:hanging="288"/>
        <w:spacing w:after="0"/>
        <w:tabs>
          <w:tab w:leader="none" w:pos="288"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56" w:lineRule="exact"/>
        <w:rPr>
          <w:sz w:val="20"/>
          <w:szCs w:val="20"/>
          <w:color w:val="auto"/>
        </w:rPr>
      </w:pPr>
    </w:p>
    <w:p>
      <w:pPr>
        <w:jc w:val="both"/>
        <w:ind w:left="8"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4" w:lineRule="exact"/>
        <w:rPr>
          <w:sz w:val="20"/>
          <w:szCs w:val="20"/>
          <w:color w:val="auto"/>
        </w:rPr>
      </w:pPr>
    </w:p>
    <w:p>
      <w:pPr>
        <w:jc w:val="both"/>
        <w:ind w:left="8"/>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88" w:lineRule="exact"/>
        <w:rPr>
          <w:sz w:val="20"/>
          <w:szCs w:val="20"/>
          <w:color w:val="auto"/>
        </w:rPr>
      </w:pPr>
    </w:p>
    <w:p>
      <w:pPr>
        <w:ind w:left="4968"/>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588"/>
          </w:cols>
          <w:pgMar w:left="652" w:top="1028" w:right="659" w:bottom="1440" w:gutter="0" w:footer="0" w:header="0"/>
        </w:sectPr>
      </w:pPr>
    </w:p>
    <w:bookmarkStart w:id="156" w:name="page157"/>
    <w:bookmarkEnd w:id="156"/>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288"/>
        <w:spacing w:after="0"/>
        <w:tabs>
          <w:tab w:leader="none" w:pos="620"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56"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900"/>
          </w:cols>
          <w:pgMar w:left="320" w:top="1028" w:right="679" w:bottom="1440" w:gutter="0" w:footer="0" w:header="0"/>
        </w:sectPr>
      </w:pPr>
    </w:p>
    <w:bookmarkStart w:id="157" w:name="page158"/>
    <w:bookmarkEnd w:id="157"/>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27" w:lineRule="exact"/>
        <w:rPr>
          <w:sz w:val="20"/>
          <w:szCs w:val="20"/>
          <w:color w:val="auto"/>
        </w:rPr>
      </w:pPr>
    </w:p>
    <w:p>
      <w:pPr>
        <w:ind w:left="640" w:hanging="308"/>
        <w:spacing w:after="0"/>
        <w:tabs>
          <w:tab w:leader="none" w:pos="64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4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28" w:right="659" w:bottom="1440" w:gutter="0" w:footer="0" w:header="0"/>
        </w:sectPr>
      </w:pPr>
    </w:p>
    <w:bookmarkStart w:id="158" w:name="page159"/>
    <w:bookmarkEnd w:id="158"/>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11" w:lineRule="exact"/>
        <w:rPr>
          <w:sz w:val="20"/>
          <w:szCs w:val="20"/>
          <w:color w:val="auto"/>
        </w:rPr>
      </w:pPr>
    </w:p>
    <w:p>
      <w:pPr>
        <w:ind w:left="660" w:hanging="652"/>
        <w:spacing w:after="0" w:line="273" w:lineRule="auto"/>
        <w:tabs>
          <w:tab w:leader="none" w:pos="34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4" w:lineRule="exact"/>
        <w:rPr>
          <w:rFonts w:ascii="Times New Roman" w:cs="Times New Roman" w:eastAsia="Times New Roman" w:hAnsi="Times New Roman"/>
          <w:sz w:val="16"/>
          <w:szCs w:val="16"/>
          <w:color w:val="auto"/>
        </w:rPr>
      </w:pPr>
    </w:p>
    <w:p>
      <w:pPr>
        <w:ind w:left="660" w:right="20" w:hanging="652"/>
        <w:spacing w:after="0" w:line="301" w:lineRule="auto"/>
        <w:tabs>
          <w:tab w:leader="none" w:pos="33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92"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46"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50" w:lineRule="exact"/>
        <w:rPr>
          <w:rFonts w:ascii="Times New Roman" w:cs="Times New Roman" w:eastAsia="Times New Roman" w:hAnsi="Times New Roman"/>
          <w:sz w:val="16"/>
          <w:szCs w:val="16"/>
          <w:color w:val="auto"/>
        </w:rPr>
      </w:pPr>
    </w:p>
    <w:p>
      <w:pPr>
        <w:ind w:left="1960" w:hanging="656"/>
        <w:spacing w:after="0" w:line="298" w:lineRule="auto"/>
        <w:tabs>
          <w:tab w:leader="none" w:pos="1951"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77" w:lineRule="exact"/>
        <w:rPr>
          <w:rFonts w:ascii="Times New Roman" w:cs="Times New Roman" w:eastAsia="Times New Roman" w:hAnsi="Times New Roman"/>
          <w:sz w:val="16"/>
          <w:szCs w:val="16"/>
          <w:color w:val="auto"/>
        </w:rPr>
      </w:pPr>
    </w:p>
    <w:p>
      <w:pPr>
        <w:ind w:left="1960" w:right="20" w:hanging="656"/>
        <w:spacing w:after="0" w:line="280" w:lineRule="auto"/>
        <w:tabs>
          <w:tab w:leader="none" w:pos="1955"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205" w:lineRule="exact"/>
        <w:rPr>
          <w:rFonts w:ascii="Times New Roman" w:cs="Times New Roman" w:eastAsia="Times New Roman" w:hAnsi="Times New Roman"/>
          <w:sz w:val="16"/>
          <w:szCs w:val="16"/>
          <w:color w:val="auto"/>
        </w:rPr>
      </w:pPr>
    </w:p>
    <w:p>
      <w:pPr>
        <w:ind w:left="1960" w:hanging="656"/>
        <w:spacing w:after="0" w:line="280" w:lineRule="auto"/>
        <w:tabs>
          <w:tab w:leader="none" w:pos="19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61" w:lineRule="exact"/>
        <w:rPr>
          <w:rFonts w:ascii="Times New Roman" w:cs="Times New Roman" w:eastAsia="Times New Roman" w:hAnsi="Times New Roman"/>
          <w:sz w:val="16"/>
          <w:szCs w:val="16"/>
          <w:color w:val="auto"/>
        </w:rPr>
      </w:pPr>
    </w:p>
    <w:p>
      <w:pPr>
        <w:ind w:left="2600" w:right="20" w:hanging="648"/>
        <w:spacing w:after="0" w:line="276" w:lineRule="auto"/>
        <w:tabs>
          <w:tab w:leader="none" w:pos="2608" w:val="left"/>
        </w:tabs>
        <w:numPr>
          <w:ilvl w:val="2"/>
          <w:numId w:val="144"/>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207" w:lineRule="exact"/>
        <w:rPr>
          <w:rFonts w:ascii="Cambria" w:cs="Cambria" w:eastAsia="Cambria" w:hAnsi="Cambria"/>
          <w:sz w:val="16"/>
          <w:szCs w:val="16"/>
          <w:b w:val="1"/>
          <w:bCs w:val="1"/>
          <w:color w:val="auto"/>
        </w:rPr>
      </w:pPr>
    </w:p>
    <w:p>
      <w:pPr>
        <w:ind w:left="2600" w:right="20" w:hanging="648"/>
        <w:spacing w:after="0" w:line="280" w:lineRule="auto"/>
        <w:tabs>
          <w:tab w:leader="none" w:pos="2600" w:val="left"/>
        </w:tabs>
        <w:numPr>
          <w:ilvl w:val="2"/>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37" w:lineRule="exact"/>
        <w:rPr>
          <w:sz w:val="20"/>
          <w:szCs w:val="20"/>
          <w:color w:val="auto"/>
        </w:rPr>
      </w:pPr>
    </w:p>
    <w:p>
      <w:pPr>
        <w:ind w:left="420" w:right="8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78" w:lineRule="exact"/>
        <w:rPr>
          <w:sz w:val="20"/>
          <w:szCs w:val="20"/>
          <w:color w:val="auto"/>
        </w:rPr>
      </w:pPr>
    </w:p>
    <w:p>
      <w:pPr>
        <w:ind w:left="420" w:right="18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78" w:lineRule="exact"/>
        <w:rPr>
          <w:sz w:val="20"/>
          <w:szCs w:val="20"/>
          <w:color w:val="auto"/>
        </w:rPr>
      </w:pPr>
    </w:p>
    <w:p>
      <w:pPr>
        <w:ind w:left="420" w:right="26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28" w:right="659" w:bottom="1440" w:gutter="0" w:footer="0" w:header="0"/>
          <w:type w:val="continuous"/>
        </w:sectPr>
      </w:pPr>
    </w:p>
    <w:bookmarkStart w:id="159" w:name="page160"/>
    <w:bookmarkEnd w:id="159"/>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36" w:lineRule="exact"/>
        <w:rPr>
          <w:rFonts w:ascii="Times New Roman" w:cs="Times New Roman" w:eastAsia="Times New Roman" w:hAnsi="Times New Roman"/>
          <w:sz w:val="16"/>
          <w:szCs w:val="16"/>
          <w:b w:val="1"/>
          <w:bCs w:val="1"/>
          <w:color w:val="auto"/>
        </w:rPr>
      </w:pPr>
    </w:p>
    <w:p>
      <w:pPr>
        <w:jc w:val="both"/>
        <w:ind w:left="660" w:hanging="328"/>
        <w:spacing w:after="0" w:line="232" w:lineRule="auto"/>
        <w:tabs>
          <w:tab w:leader="none" w:pos="651" w:val="left"/>
        </w:tabs>
        <w:numPr>
          <w:ilvl w:val="1"/>
          <w:numId w:val="14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25"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30" w:lineRule="exact"/>
        <w:rPr>
          <w:sz w:val="20"/>
          <w:szCs w:val="20"/>
          <w:color w:val="auto"/>
        </w:rPr>
      </w:pPr>
    </w:p>
    <w:p>
      <w:pPr>
        <w:ind w:left="980" w:hanging="324"/>
        <w:spacing w:after="0"/>
        <w:tabs>
          <w:tab w:leader="none" w:pos="9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2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05" w:lineRule="exact"/>
        <w:rPr>
          <w:rFonts w:ascii="Times New Roman" w:cs="Times New Roman" w:eastAsia="Times New Roman" w:hAnsi="Times New Roman"/>
          <w:sz w:val="16"/>
          <w:szCs w:val="16"/>
          <w:color w:val="auto"/>
        </w:rPr>
      </w:pPr>
    </w:p>
    <w:p>
      <w:pPr>
        <w:ind w:left="1300" w:hanging="644"/>
        <w:spacing w:after="0" w:line="269" w:lineRule="auto"/>
        <w:tabs>
          <w:tab w:leader="none" w:pos="1115"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93"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00" w:lineRule="exact"/>
        <w:rPr>
          <w:sz w:val="20"/>
          <w:szCs w:val="20"/>
          <w:color w:val="auto"/>
        </w:rPr>
      </w:pPr>
    </w:p>
    <w:p>
      <w:pPr>
        <w:ind w:left="420" w:right="2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78"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24"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37" w:lineRule="exact"/>
        <w:rPr>
          <w:sz w:val="20"/>
          <w:szCs w:val="20"/>
          <w:color w:val="auto"/>
        </w:rPr>
      </w:pPr>
    </w:p>
    <w:p>
      <w:pPr>
        <w:ind w:left="420" w:right="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48" w:lineRule="exact"/>
        <w:rPr>
          <w:sz w:val="20"/>
          <w:szCs w:val="20"/>
          <w:color w:val="auto"/>
        </w:rPr>
      </w:pPr>
    </w:p>
    <w:p>
      <w:pPr>
        <w:ind w:left="660" w:hanging="328"/>
        <w:spacing w:after="0"/>
        <w:tabs>
          <w:tab w:leader="none" w:pos="660" w:val="left"/>
        </w:tabs>
        <w:numPr>
          <w:ilvl w:val="1"/>
          <w:numId w:val="148"/>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80"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14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67"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14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67"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14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(iv)   after due payment of the Employer’s Liability in respect of the entirety of the Awards to which this Election</w:t>
      </w:r>
    </w:p>
    <w:p>
      <w:pPr>
        <w:spacing w:after="0" w:line="26" w:lineRule="exact"/>
        <w:rPr>
          <w:rFonts w:ascii="Times New Roman" w:cs="Times New Roman" w:eastAsia="Times New Roman" w:hAnsi="Times New Roman"/>
          <w:sz w:val="16"/>
          <w:szCs w:val="16"/>
          <w:color w:val="FFFFFF"/>
        </w:rPr>
      </w:pPr>
    </w:p>
    <w:p>
      <w:pPr>
        <w:ind w:left="1300" w:hanging="320"/>
        <w:spacing w:after="0"/>
        <w:tabs>
          <w:tab w:leader="none" w:pos="1300" w:val="left"/>
        </w:tabs>
        <w:numPr>
          <w:ilvl w:val="2"/>
          <w:numId w:val="14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relates or could relate, such that the Election ceases to have effect in accordance with its terms.</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48"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0920"/>
          </w:cols>
          <w:pgMar w:left="320" w:top="1028" w:right="659" w:bottom="1440" w:gutter="0" w:footer="0" w:header="0"/>
          <w:type w:val="continuous"/>
        </w:sectPr>
      </w:pPr>
    </w:p>
    <w:bookmarkStart w:id="160" w:name="page161"/>
    <w:bookmarkEnd w:id="160"/>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240405"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Ahern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1240"/>
          </w:cols>
          <w:pgMar w:left="320" w:top="1028" w:right="339" w:bottom="1440" w:gutter="0" w:footer="0" w:header="0"/>
        </w:sectPr>
      </w:pPr>
    </w:p>
    <w:bookmarkStart w:id="161" w:name="page162"/>
    <w:bookmarkEnd w:id="161"/>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right"/>
        <w:ind w:right="268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895439</w:t>
            </w:r>
          </w:p>
        </w:tc>
      </w:tr>
      <w:tr>
        <w:trPr>
          <w:trHeight w:val="210"/>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560"/>
          </w:cols>
          <w:pgMar w:left="320" w:top="1028" w:right="10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890"/>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914"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890"/>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914"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January 31, 2026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914"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January 31, 2026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February 18, 2026</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1)"/>
      <w:numFmt w:val="decimal"/>
      <w:start w:val="1"/>
    </w:lvl>
  </w:abstractNum>
  <w:abstractNum w:abstractNumId="4">
    <w:nsid w:val="1A32234B"/>
    <w:multiLevelType w:val="hybridMultilevel"/>
    <w:lvl w:ilvl="0">
      <w:lvlJc w:val="left"/>
      <w:lvlText w:val="(%1)"/>
      <w:numFmt w:val="decimal"/>
      <w:start w:val="2"/>
    </w:lvl>
  </w:abstractNum>
  <w:abstractNum w:abstractNumId="5">
    <w:nsid w:val="3B0FD379"/>
    <w:multiLevelType w:val="hybridMultilevel"/>
    <w:lvl w:ilvl="0">
      <w:lvlJc w:val="left"/>
      <w:lvlText w:val="(%1)"/>
      <w:numFmt w:val="decimal"/>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1)"/>
      <w:numFmt w:val="lowerLetter"/>
      <w:start w:val="1"/>
    </w:lvl>
  </w:abstractNum>
  <w:abstractNum w:abstractNumId="8">
    <w:nsid w:val="60B6DF70"/>
    <w:multiLevelType w:val="hybridMultilevel"/>
    <w:lvl w:ilvl="0">
      <w:lvlJc w:val="left"/>
      <w:lvlText w:val="(%1)"/>
      <w:numFmt w:val="lowerLetter"/>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1."/>
      <w:numFmt w:val="decimal"/>
      <w:start w:val="1"/>
    </w:lvl>
  </w:abstractNum>
  <w:abstractNum w:abstractNumId="12">
    <w:nsid w:val="1A27709E"/>
    <w:multiLevelType w:val="hybridMultilevel"/>
    <w:lvl w:ilvl="0">
      <w:lvlJc w:val="left"/>
      <w:lvlText w:val="%1."/>
      <w:numFmt w:val="decimal"/>
      <w:start w:val="2"/>
    </w:lvl>
  </w:abstractNum>
  <w:abstractNum w:abstractNumId="13">
    <w:nsid w:val="71EA1109"/>
    <w:multiLevelType w:val="hybridMultilevel"/>
    <w:lvl w:ilvl="0">
      <w:lvlJc w:val="left"/>
      <w:lvlText w:val="%1."/>
      <w:numFmt w:val="decimal"/>
      <w:start w:val="3"/>
    </w:lvl>
    <w:lvl w:ilvl="1">
      <w:lvlJc w:val="left"/>
      <w:lvlText w:val="(%2)"/>
      <w:numFmt w:val="lowerLetter"/>
      <w:start w:val="1"/>
    </w:lvl>
  </w:abstractNum>
  <w:abstractNum w:abstractNumId="14">
    <w:nsid w:val="100F59DC"/>
    <w:multiLevelType w:val="hybridMultilevel"/>
    <w:lvl w:ilvl="0">
      <w:lvlJc w:val="left"/>
      <w:lvlText w:val="%1"/>
      <w:numFmt w:val="decimal"/>
      <w:start w:val="1"/>
    </w:lvl>
    <w:lvl w:ilvl="1">
      <w:lvlJc w:val="left"/>
      <w:lvlText w:val="(%2)"/>
      <w:numFmt w:val="lowerLetter"/>
      <w:start w:val="7"/>
    </w:lvl>
  </w:abstractNum>
  <w:abstractNum w:abstractNumId="15">
    <w:nsid w:val="7FB7E0AA"/>
    <w:multiLevelType w:val="hybridMultilevel"/>
    <w:lvl w:ilvl="0">
      <w:lvlJc w:val="left"/>
      <w:lvlText w:val="%1."/>
      <w:numFmt w:val="decimal"/>
      <w:start w:val="4"/>
    </w:lvl>
    <w:lvl w:ilvl="1">
      <w:lvlJc w:val="left"/>
      <w:lvlText w:val="(%2)"/>
      <w:numFmt w:val="lowerLetter"/>
      <w:start w:val="1"/>
    </w:lvl>
  </w:abstractNum>
  <w:abstractNum w:abstractNumId="16">
    <w:nsid w:val="6EB5BD4"/>
    <w:multiLevelType w:val="hybridMultilevel"/>
    <w:lvl w:ilvl="0">
      <w:lvlJc w:val="left"/>
      <w:lvlText w:val="%1."/>
      <w:numFmt w:val="decimal"/>
      <w:start w:val="9"/>
    </w:lvl>
  </w:abstractNum>
  <w:abstractNum w:abstractNumId="17">
    <w:nsid w:val="6F6DD9A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8">
    <w:nsid w:val="94211F2"/>
    <w:multiLevelType w:val="hybridMultilevel"/>
    <w:lvl w:ilvl="0">
      <w:lvlJc w:val="left"/>
      <w:lvlText w:val="%1."/>
      <w:numFmt w:val="decimal"/>
      <w:start w:val="9"/>
    </w:lvl>
  </w:abstractNum>
  <w:abstractNum w:abstractNumId="19">
    <w:nsid w:val="885E1B"/>
    <w:multiLevelType w:val="hybridMultilevel"/>
    <w:lvl w:ilvl="0">
      <w:lvlJc w:val="left"/>
      <w:lvlText w:val="%1."/>
      <w:numFmt w:val="decimal"/>
      <w:start w:val="20"/>
    </w:lvl>
  </w:abstractNum>
  <w:abstractNum w:abstractNumId="20">
    <w:nsid w:val="76272110"/>
    <w:multiLevelType w:val="hybridMultilevel"/>
    <w:lvl w:ilvl="0">
      <w:lvlJc w:val="left"/>
      <w:lvlText w:val="%1."/>
      <w:numFmt w:val="decimal"/>
      <w:start w:val="1"/>
    </w:lvl>
    <w:lvl w:ilvl="1">
      <w:lvlJc w:val="left"/>
      <w:lvlText w:val="(%2)"/>
      <w:numFmt w:val="lowerLetter"/>
      <w:start w:val="1"/>
    </w:lvl>
  </w:abstractNum>
  <w:abstractNum w:abstractNumId="21">
    <w:nsid w:val="4C04A8AF"/>
    <w:multiLevelType w:val="hybridMultilevel"/>
    <w:lvl w:ilvl="0">
      <w:lvlJc w:val="left"/>
      <w:lvlText w:val="(%1)"/>
      <w:numFmt w:val="lowerLetter"/>
      <w:start w:val="5"/>
    </w:lvl>
  </w:abstractNum>
  <w:abstractNum w:abstractNumId="22">
    <w:nsid w:val="1716703B"/>
    <w:multiLevelType w:val="hybridMultilevel"/>
    <w:lvl w:ilvl="0">
      <w:lvlJc w:val="left"/>
      <w:lvlText w:val="%1."/>
      <w:numFmt w:val="decimal"/>
      <w:start w:val="2"/>
    </w:lvl>
  </w:abstractNum>
  <w:abstractNum w:abstractNumId="23">
    <w:nsid w:val="14E17E33"/>
    <w:multiLevelType w:val="hybridMultilevel"/>
    <w:lvl w:ilvl="0">
      <w:lvlJc w:val="left"/>
      <w:lvlText w:val="(%1)"/>
      <w:numFmt w:val="lowerRoman"/>
      <w:start w:val="1"/>
    </w:lvl>
  </w:abstractNum>
  <w:abstractNum w:abstractNumId="24">
    <w:nsid w:val="3222E7CD"/>
    <w:multiLevelType w:val="hybridMultilevel"/>
    <w:lvl w:ilvl="0">
      <w:lvlJc w:val="left"/>
      <w:lvlText w:val="%1."/>
      <w:numFmt w:val="decimal"/>
      <w:start w:val="3"/>
    </w:lvl>
  </w:abstractNum>
  <w:abstractNum w:abstractNumId="25">
    <w:nsid w:val="74DE0EE3"/>
    <w:multiLevelType w:val="hybridMultilevel"/>
    <w:lvl w:ilvl="0">
      <w:lvlJc w:val="left"/>
      <w:lvlText w:val="%1."/>
      <w:numFmt w:val="decimal"/>
      <w:start w:val="4"/>
    </w:lvl>
  </w:abstractNum>
  <w:abstractNum w:abstractNumId="26">
    <w:nsid w:val="68EBC550"/>
    <w:multiLevelType w:val="hybridMultilevel"/>
    <w:lvl w:ilvl="0">
      <w:lvlJc w:val="left"/>
      <w:lvlText w:val="%1."/>
      <w:numFmt w:val="decimal"/>
      <w:start w:val="6"/>
    </w:lvl>
  </w:abstractNum>
  <w:abstractNum w:abstractNumId="27">
    <w:nsid w:val="2DF6D648"/>
    <w:multiLevelType w:val="hybridMultilevel"/>
    <w:lvl w:ilvl="0">
      <w:lvlJc w:val="left"/>
      <w:lvlText w:val="%1."/>
      <w:numFmt w:val="decimal"/>
      <w:start w:val="2"/>
    </w:lvl>
  </w:abstractNum>
  <w:abstractNum w:abstractNumId="28">
    <w:nsid w:val="46B7D447"/>
    <w:multiLevelType w:val="hybridMultilevel"/>
    <w:lvl w:ilvl="0">
      <w:lvlJc w:val="left"/>
      <w:lvlText w:val="%1."/>
      <w:numFmt w:val="decimal"/>
      <w:start w:val="3"/>
    </w:lvl>
  </w:abstractNum>
  <w:abstractNum w:abstractNumId="29">
    <w:nsid w:val="4A2AC315"/>
    <w:multiLevelType w:val="hybridMultilevel"/>
    <w:lvl w:ilvl="0">
      <w:lvlJc w:val="left"/>
      <w:lvlText w:val="%1."/>
      <w:numFmt w:val="decimal"/>
      <w:start w:val="4"/>
    </w:lvl>
  </w:abstractNum>
  <w:abstractNum w:abstractNumId="30">
    <w:nsid w:val="39EE015C"/>
    <w:multiLevelType w:val="hybridMultilevel"/>
    <w:lvl w:ilvl="0">
      <w:lvlJc w:val="left"/>
      <w:lvlText w:val="%1."/>
      <w:numFmt w:val="decimal"/>
      <w:start w:val="5"/>
    </w:lvl>
  </w:abstractNum>
  <w:abstractNum w:abstractNumId="31">
    <w:nsid w:val="57FC4FBB"/>
    <w:multiLevelType w:val="hybridMultilevel"/>
    <w:lvl w:ilvl="0">
      <w:lvlJc w:val="left"/>
      <w:lvlText w:val="%1."/>
      <w:numFmt w:val="decimal"/>
      <w:start w:val="6"/>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1."/>
      <w:numFmt w:val="upperLetter"/>
      <w:start w:val="1"/>
    </w:lvl>
  </w:abstractNum>
  <w:abstractNum w:abstractNumId="34">
    <w:nsid w:val="60EF0119"/>
    <w:multiLevelType w:val="hybridMultilevel"/>
    <w:lvl w:ilvl="0">
      <w:lvlJc w:val="left"/>
      <w:lvlText w:val="%1."/>
      <w:numFmt w:val="decimal"/>
      <w:start w:val="1"/>
    </w:lvl>
  </w:abstractNum>
  <w:abstractNum w:abstractNumId="35">
    <w:nsid w:val="26F324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
    <w:nsid w:val="7F01579B"/>
    <w:multiLevelType w:val="hybridMultilevel"/>
    <w:lvl w:ilvl="0">
      <w:lvlJc w:val="left"/>
      <w:lvlText w:val="%1."/>
      <w:numFmt w:val="decimal"/>
      <w:start w:val="2"/>
    </w:lvl>
    <w:lvl w:ilvl="1">
      <w:lvlJc w:val="left"/>
      <w:lvlText w:val="(%2)"/>
      <w:numFmt w:val="lowerLetter"/>
      <w:start w:val="1"/>
    </w:lvl>
  </w:abstractNum>
  <w:abstractNum w:abstractNumId="37">
    <w:nsid w:val="49DA307D"/>
    <w:multiLevelType w:val="hybridMultilevel"/>
    <w:lvl w:ilvl="0">
      <w:lvlJc w:val="left"/>
      <w:lvlText w:val="(%1)"/>
      <w:numFmt w:val="lowerRoman"/>
      <w:start w:val="1"/>
    </w:lvl>
  </w:abstractNum>
  <w:abstractNum w:abstractNumId="38">
    <w:nsid w:val="7055A5F5"/>
    <w:multiLevelType w:val="hybridMultilevel"/>
    <w:lvl w:ilvl="0">
      <w:lvlJc w:val="left"/>
      <w:lvlText w:val="%1."/>
      <w:numFmt w:val="decimal"/>
      <w:start w:val="4"/>
    </w:lvl>
  </w:abstractNum>
  <w:abstractNum w:abstractNumId="39">
    <w:nsid w:val="5FB8370B"/>
    <w:multiLevelType w:val="hybridMultilevel"/>
    <w:lvl w:ilvl="0">
      <w:lvlJc w:val="left"/>
      <w:lvlText w:val="(%1)"/>
      <w:numFmt w:val="lowerLetter"/>
      <w:start w:val="1"/>
    </w:lvl>
  </w:abstractNum>
  <w:abstractNum w:abstractNumId="40">
    <w:nsid w:val="50801EE1"/>
    <w:multiLevelType w:val="hybridMultilevel"/>
    <w:lvl w:ilvl="0">
      <w:lvlJc w:val="left"/>
      <w:lvlText w:val="(%1)"/>
      <w:numFmt w:val="lowerLetter"/>
      <w:start w:val="4"/>
    </w:lvl>
  </w:abstractNum>
  <w:abstractNum w:abstractNumId="41">
    <w:nsid w:val="488AC1A"/>
    <w:multiLevelType w:val="hybridMultilevel"/>
    <w:lvl w:ilvl="0">
      <w:lvlJc w:val="left"/>
      <w:lvlText w:val="%1."/>
      <w:numFmt w:val="decimal"/>
      <w:start w:val="1"/>
    </w:lvl>
    <w:lvl w:ilvl="1">
      <w:lvlJc w:val="left"/>
      <w:lvlText w:val="(%2)"/>
      <w:numFmt w:val="lowerLetter"/>
      <w:start w:val="1"/>
    </w:lvl>
  </w:abstractNum>
  <w:abstractNum w:abstractNumId="42">
    <w:nsid w:val="5FB8011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6AA78F7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4">
    <w:nsid w:val="7672BD23"/>
    <w:multiLevelType w:val="hybridMultilevel"/>
    <w:lvl w:ilvl="0">
      <w:lvlJc w:val="left"/>
      <w:lvlText w:val="(%1)"/>
      <w:numFmt w:val="lowerRoman"/>
      <w:start w:val="2"/>
    </w:lvl>
  </w:abstractNum>
  <w:abstractNum w:abstractNumId="45">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6">
    <w:nsid w:val="6A5F702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7D5E18F8"/>
    <w:multiLevelType w:val="hybridMultilevel"/>
    <w:lvl w:ilvl="0">
      <w:lvlJc w:val="left"/>
      <w:lvlText w:val="(%1)"/>
      <w:numFmt w:val="lowerLetter"/>
      <w:start w:val="3"/>
    </w:lvl>
  </w:abstractNum>
  <w:abstractNum w:abstractNumId="48">
    <w:nsid w:val="5F3534A4"/>
    <w:multiLevelType w:val="hybridMultilevel"/>
    <w:lvl w:ilvl="0">
      <w:lvlJc w:val="left"/>
      <w:lvlText w:val="(%1)"/>
      <w:numFmt w:val="lowerLetter"/>
      <w:start w:val="15"/>
    </w:lvl>
  </w:abstractNum>
  <w:abstractNum w:abstractNumId="49">
    <w:nsid w:val="73A1821B"/>
    <w:multiLevelType w:val="hybridMultilevel"/>
    <w:lvl w:ilvl="0">
      <w:lvlJc w:val="left"/>
      <w:lvlText w:val="(%1)"/>
      <w:numFmt w:val="lowerLetter"/>
      <w:start w:val="23"/>
    </w:lvl>
  </w:abstractNum>
  <w:abstractNum w:abstractNumId="50">
    <w:nsid w:val="7DE67713"/>
    <w:multiLevelType w:val="hybridMultilevel"/>
    <w:lvl w:ilvl="0">
      <w:lvlJc w:val="left"/>
      <w:lvlText w:val="(%1)"/>
      <w:numFmt w:val="lowerLetter"/>
      <w:start w:val="27"/>
    </w:lvl>
  </w:abstractNum>
  <w:abstractNum w:abstractNumId="51">
    <w:nsid w:val="555C55B5"/>
    <w:multiLevelType w:val="hybridMultilevel"/>
    <w:lvl w:ilvl="0">
      <w:lvlJc w:val="left"/>
      <w:lvlText w:val="(%1)"/>
      <w:numFmt w:val="lowerLetter"/>
      <w:start w:val="1"/>
    </w:lvl>
  </w:abstractNum>
  <w:abstractNum w:abstractNumId="52">
    <w:nsid w:val="3FA62ACA"/>
    <w:multiLevelType w:val="hybridMultilevel"/>
    <w:lvl w:ilvl="0">
      <w:lvlJc w:val="left"/>
      <w:lvlText w:val="(%1)"/>
      <w:numFmt w:val="lowerLetter"/>
      <w:start w:val="6"/>
    </w:lvl>
  </w:abstractNum>
  <w:abstractNum w:abstractNumId="53">
    <w:nsid w:val="14FCE74E"/>
    <w:multiLevelType w:val="hybridMultilevel"/>
    <w:lvl w:ilvl="0">
      <w:lvlJc w:val="left"/>
      <w:lvlText w:val="(%1)"/>
      <w:numFmt w:val="lowerRoman"/>
      <w:start w:val="1"/>
    </w:lvl>
  </w:abstractNum>
  <w:abstractNum w:abstractNumId="54">
    <w:nsid w:val="6A3DD3E8"/>
    <w:multiLevelType w:val="hybridMultilevel"/>
    <w:lvl w:ilvl="0">
      <w:lvlJc w:val="left"/>
      <w:lvlText w:val="%1."/>
      <w:numFmt w:val="decimal"/>
      <w:start w:val="1"/>
    </w:lvl>
  </w:abstractNum>
  <w:abstractNum w:abstractNumId="55">
    <w:nsid w:val="71C91298"/>
    <w:multiLevelType w:val="hybridMultilevel"/>
    <w:lvl w:ilvl="0">
      <w:lvlJc w:val="left"/>
      <w:lvlText w:val="%1."/>
      <w:numFmt w:val="decimal"/>
      <w:start w:val="4"/>
    </w:lvl>
  </w:abstractNum>
  <w:abstractNum w:abstractNumId="56">
    <w:nsid w:val="9DAF632"/>
    <w:multiLevelType w:val="hybridMultilevel"/>
    <w:lvl w:ilvl="0">
      <w:lvlJc w:val="left"/>
      <w:lvlText w:val="%1."/>
      <w:numFmt w:val="decimal"/>
      <w:start w:val="6"/>
    </w:lvl>
  </w:abstractNum>
  <w:abstractNum w:abstractNumId="57">
    <w:nsid w:val="53299938"/>
    <w:multiLevelType w:val="hybridMultilevel"/>
    <w:lvl w:ilvl="0">
      <w:lvlJc w:val="left"/>
      <w:lvlText w:val="%1."/>
      <w:numFmt w:val="decimal"/>
      <w:start w:val="7"/>
    </w:lvl>
  </w:abstractNum>
  <w:abstractNum w:abstractNumId="58">
    <w:nsid w:val="1FBFE8E0"/>
    <w:multiLevelType w:val="hybridMultilevel"/>
    <w:lvl w:ilvl="0">
      <w:lvlJc w:val="left"/>
      <w:lvlText w:val="%1."/>
      <w:numFmt w:val="decimal"/>
      <w:start w:val="3"/>
    </w:lvl>
  </w:abstractNum>
  <w:abstractNum w:abstractNumId="59">
    <w:nsid w:val="5092CA79"/>
    <w:multiLevelType w:val="hybridMultilevel"/>
    <w:lvl w:ilvl="0">
      <w:lvlJc w:val="left"/>
      <w:lvlText w:val="%1."/>
      <w:numFmt w:val="decimal"/>
      <w:start w:val="4"/>
    </w:lvl>
  </w:abstractNum>
  <w:abstractNum w:abstractNumId="60">
    <w:nsid w:val="1D545C4D"/>
    <w:multiLevelType w:val="hybridMultilevel"/>
    <w:lvl w:ilvl="0">
      <w:lvlJc w:val="left"/>
      <w:lvlText w:val="%1."/>
      <w:numFmt w:val="decimal"/>
      <w:start w:val="5"/>
    </w:lvl>
  </w:abstractNum>
  <w:abstractNum w:abstractNumId="61">
    <w:nsid w:val="59ADEA3D"/>
    <w:multiLevelType w:val="hybridMultilevel"/>
    <w:lvl w:ilvl="0">
      <w:lvlJc w:val="left"/>
      <w:lvlText w:val="%1."/>
      <w:numFmt w:val="decimal"/>
      <w:start w:val="6"/>
    </w:lvl>
  </w:abstractNum>
  <w:abstractNum w:abstractNumId="62">
    <w:nsid w:val="288F1A34"/>
    <w:multiLevelType w:val="hybridMultilevel"/>
    <w:lvl w:ilvl="0">
      <w:lvlJc w:val="left"/>
      <w:lvlText w:val="%1."/>
      <w:numFmt w:val="decimal"/>
      <w:start w:val="7"/>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1."/>
      <w:numFmt w:val="upperLetter"/>
      <w:start w:val="1"/>
    </w:lvl>
  </w:abstractNum>
  <w:abstractNum w:abstractNumId="65">
    <w:nsid w:val="97E1B4E"/>
    <w:multiLevelType w:val="hybridMultilevel"/>
    <w:lvl w:ilvl="0">
      <w:lvlJc w:val="left"/>
      <w:lvlText w:val="%1."/>
      <w:numFmt w:val="decimal"/>
      <w:start w:val="1"/>
    </w:lvl>
  </w:abstractNum>
  <w:abstractNum w:abstractNumId="66">
    <w:nsid w:val="5108827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1CA0C5FA"/>
    <w:multiLevelType w:val="hybridMultilevel"/>
    <w:lvl w:ilvl="0">
      <w:lvlJc w:val="left"/>
      <w:lvlText w:val="%1."/>
      <w:numFmt w:val="decimal"/>
      <w:start w:val="2"/>
    </w:lvl>
    <w:lvl w:ilvl="1">
      <w:lvlJc w:val="left"/>
      <w:lvlText w:val="(%2)"/>
      <w:numFmt w:val="lowerLetter"/>
      <w:start w:val="1"/>
    </w:lvl>
  </w:abstractNum>
  <w:abstractNum w:abstractNumId="68">
    <w:nsid w:val="53584BCB"/>
    <w:multiLevelType w:val="hybridMultilevel"/>
    <w:lvl w:ilvl="0">
      <w:lvlJc w:val="left"/>
      <w:lvlText w:val="(%1)"/>
      <w:numFmt w:val="lowerRoman"/>
      <w:start w:val="1"/>
    </w:lvl>
  </w:abstractNum>
  <w:abstractNum w:abstractNumId="69">
    <w:nsid w:val="415E286C"/>
    <w:multiLevelType w:val="hybridMultilevel"/>
    <w:lvl w:ilvl="0">
      <w:lvlJc w:val="left"/>
      <w:lvlText w:val="%1."/>
      <w:numFmt w:val="decimal"/>
      <w:start w:val="4"/>
    </w:lvl>
  </w:abstractNum>
  <w:abstractNum w:abstractNumId="70">
    <w:nsid w:val="7C58FD05"/>
    <w:multiLevelType w:val="hybridMultilevel"/>
    <w:lvl w:ilvl="0">
      <w:lvlJc w:val="left"/>
      <w:lvlText w:val="(%1)"/>
      <w:numFmt w:val="lowerLetter"/>
      <w:start w:val="2"/>
    </w:lvl>
    <w:lvl w:ilvl="1">
      <w:lvlJc w:val="left"/>
      <w:lvlText w:val="(%2)"/>
      <w:numFmt w:val="lowerRoman"/>
      <w:start w:val="4"/>
    </w:lvl>
  </w:abstractNum>
  <w:abstractNum w:abstractNumId="71">
    <w:nsid w:val="23D86AAC"/>
    <w:multiLevelType w:val="hybridMultilevel"/>
    <w:lvl w:ilvl="0">
      <w:lvlJc w:val="left"/>
      <w:lvlText w:val="%1."/>
      <w:numFmt w:val="decimal"/>
      <w:start w:val="1"/>
    </w:lvl>
  </w:abstractNum>
  <w:abstractNum w:abstractNumId="72">
    <w:nsid w:val="45E6D486"/>
    <w:multiLevelType w:val="hybridMultilevel"/>
    <w:lvl w:ilvl="0">
      <w:lvlJc w:val="left"/>
      <w:lvlText w:val="%1."/>
      <w:numFmt w:val="decimal"/>
      <w:start w:val="2"/>
    </w:lvl>
    <w:lvl w:ilvl="1">
      <w:lvlJc w:val="left"/>
      <w:lvlText w:val="(%2)"/>
      <w:numFmt w:val="lowerLetter"/>
      <w:start w:val="1"/>
    </w:lvl>
  </w:abstractNum>
  <w:abstractNum w:abstractNumId="73">
    <w:nsid w:val="5C10FE21"/>
    <w:multiLevelType w:val="hybridMultilevel"/>
    <w:lvl w:ilvl="0">
      <w:lvlJc w:val="left"/>
      <w:lvlText w:val="%1"/>
      <w:numFmt w:val="decimal"/>
      <w:start w:val="1"/>
    </w:lvl>
    <w:lvl w:ilvl="1">
      <w:lvlJc w:val="left"/>
      <w:lvlText w:val="(%2)"/>
      <w:numFmt w:val="lowerLetter"/>
      <w:start w:val="2"/>
    </w:lvl>
  </w:abstractNum>
  <w:abstractNum w:abstractNumId="74">
    <w:nsid w:val="E7FFA2B"/>
    <w:multiLevelType w:val="hybridMultilevel"/>
    <w:lvl w:ilvl="0">
      <w:lvlJc w:val="left"/>
      <w:lvlText w:val="%1."/>
      <w:numFmt w:val="decimal"/>
      <w:start w:val="3"/>
    </w:lvl>
    <w:lvl w:ilvl="1">
      <w:lvlJc w:val="left"/>
      <w:lvlText w:val="(%2)"/>
      <w:numFmt w:val="lowerLetter"/>
      <w:start w:val="1"/>
    </w:lvl>
  </w:abstractNum>
  <w:abstractNum w:abstractNumId="75">
    <w:nsid w:val="3C5991A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6">
    <w:nsid w:val="4BD8591A"/>
    <w:multiLevelType w:val="hybridMultilevel"/>
    <w:lvl w:ilvl="0">
      <w:lvlJc w:val="left"/>
      <w:lvlText w:val="%1."/>
      <w:numFmt w:val="decimal"/>
      <w:start w:val="8"/>
    </w:lvl>
    <w:lvl w:ilvl="1">
      <w:lvlJc w:val="left"/>
      <w:lvlText w:val="%2)"/>
      <w:numFmt w:val="lowerLetter"/>
      <w:start w:val="1"/>
    </w:lvl>
  </w:abstractNum>
  <w:abstractNum w:abstractNumId="77">
    <w:nsid w:val="78DF6A55"/>
    <w:multiLevelType w:val="hybridMultilevel"/>
    <w:lvl w:ilvl="0">
      <w:lvlJc w:val="left"/>
      <w:lvlText w:val="%1)"/>
      <w:numFmt w:val="lowerLetter"/>
      <w:start w:val="2"/>
    </w:lvl>
  </w:abstractNum>
  <w:abstractNum w:abstractNumId="78">
    <w:nsid w:val="39B7AAA2"/>
    <w:multiLevelType w:val="hybridMultilevel"/>
    <w:lvl w:ilvl="0">
      <w:lvlJc w:val="left"/>
      <w:lvlText w:val="%1."/>
      <w:numFmt w:val="decimal"/>
      <w:start w:val="11"/>
    </w:lvl>
    <w:lvl w:ilvl="1">
      <w:lvlJc w:val="left"/>
      <w:lvlText w:val="(%2)"/>
      <w:numFmt w:val="lowerLetter"/>
      <w:start w:val="1"/>
    </w:lvl>
  </w:abstractNum>
  <w:abstractNum w:abstractNumId="79">
    <w:nsid w:val="2B0D8DBE"/>
    <w:multiLevelType w:val="hybridMultilevel"/>
    <w:lvl w:ilvl="0">
      <w:lvlJc w:val="left"/>
      <w:lvlText w:val="(%1)"/>
      <w:numFmt w:val="lowerLetter"/>
      <w:start w:val="5"/>
    </w:lvl>
  </w:abstractNum>
  <w:abstractNum w:abstractNumId="80">
    <w:nsid w:val="6C80EC70"/>
    <w:multiLevelType w:val="hybridMultilevel"/>
    <w:lvl w:ilvl="0">
      <w:lvlJc w:val="left"/>
      <w:lvlText w:val="(%1)"/>
      <w:numFmt w:val="lowerLetter"/>
      <w:start w:val="13"/>
    </w:lvl>
  </w:abstractNum>
  <w:abstractNum w:abstractNumId="81">
    <w:nsid w:val="379E21B5"/>
    <w:multiLevelType w:val="hybridMultilevel"/>
    <w:lvl w:ilvl="0">
      <w:lvlJc w:val="left"/>
      <w:lvlText w:val="(%1)"/>
      <w:numFmt w:val="lowerLetter"/>
      <w:start w:val="21"/>
    </w:lvl>
  </w:abstractNum>
  <w:abstractNum w:abstractNumId="82">
    <w:nsid w:val="69E373"/>
    <w:multiLevelType w:val="hybridMultilevel"/>
    <w:lvl w:ilvl="0">
      <w:lvlJc w:val="left"/>
      <w:lvlText w:val="%1."/>
      <w:numFmt w:val="decimal"/>
      <w:start w:val="1"/>
    </w:lvl>
    <w:lvl w:ilvl="1">
      <w:lvlJc w:val="left"/>
      <w:lvlText w:val="(%2)"/>
      <w:numFmt w:val="lowerLetter"/>
      <w:start w:val="1"/>
    </w:lvl>
  </w:abstractNum>
  <w:abstractNum w:abstractNumId="83">
    <w:nsid w:val="2C27173B"/>
    <w:multiLevelType w:val="hybridMultilevel"/>
    <w:lvl w:ilvl="0">
      <w:lvlJc w:val="left"/>
      <w:lvlText w:val="%1"/>
      <w:numFmt w:val="decimal"/>
      <w:start w:val="1"/>
    </w:lvl>
    <w:lvl w:ilvl="1">
      <w:lvlJc w:val="left"/>
      <w:lvlText w:val="(%2)"/>
      <w:numFmt w:val="lowerLetter"/>
      <w:start w:val="3"/>
    </w:lvl>
  </w:abstractNum>
  <w:abstractNum w:abstractNumId="84">
    <w:nsid w:val="4C9B0904"/>
    <w:multiLevelType w:val="hybridMultilevel"/>
    <w:lvl w:ilvl="0">
      <w:lvlJc w:val="left"/>
      <w:lvlText w:val="%1."/>
      <w:numFmt w:val="decimal"/>
      <w:start w:val="3"/>
    </w:lvl>
    <w:lvl w:ilvl="1">
      <w:lvlJc w:val="left"/>
      <w:lvlText w:val="(%2)"/>
      <w:numFmt w:val="lowerLetter"/>
      <w:start w:val="1"/>
    </w:lvl>
  </w:abstractNum>
  <w:abstractNum w:abstractNumId="85">
    <w:nsid w:val="6AA7B7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6">
    <w:nsid w:val="1DF029D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7">
    <w:nsid w:val="5675FF36"/>
    <w:multiLevelType w:val="hybridMultilevel"/>
    <w:lvl w:ilvl="0">
      <w:lvlJc w:val="left"/>
      <w:lvlText w:val="(%1)"/>
      <w:numFmt w:val="lowerLetter"/>
      <w:start w:val="2"/>
    </w:lvl>
  </w:abstractNum>
  <w:abstractNum w:abstractNumId="88">
    <w:nsid w:val="3DD15094"/>
    <w:multiLevelType w:val="hybridMultilevel"/>
    <w:lvl w:ilvl="0">
      <w:lvlJc w:val="left"/>
      <w:lvlText w:val="(%1)"/>
      <w:numFmt w:val="lowerLetter"/>
      <w:start w:val="12"/>
    </w:lvl>
  </w:abstractNum>
  <w:abstractNum w:abstractNumId="89">
    <w:nsid w:val="3DB012B3"/>
    <w:multiLevelType w:val="hybridMultilevel"/>
    <w:lvl w:ilvl="0">
      <w:lvlJc w:val="left"/>
      <w:lvlText w:val="(%1)"/>
      <w:numFmt w:val="lowerLetter"/>
      <w:start w:val="21"/>
    </w:lvl>
  </w:abstractNum>
  <w:abstractNum w:abstractNumId="90">
    <w:nsid w:val="2708C9AF"/>
    <w:multiLevelType w:val="hybridMultilevel"/>
    <w:lvl w:ilvl="0">
      <w:lvlJc w:val="left"/>
      <w:lvlText w:val="(%1)"/>
      <w:numFmt w:val="lowerLetter"/>
      <w:start w:val="27"/>
    </w:lvl>
  </w:abstractNum>
  <w:abstractNum w:abstractNumId="91">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Letter"/>
      <w:start w:val="6"/>
    </w:lvl>
  </w:abstractNum>
  <w:abstractNum w:abstractNumId="94">
    <w:nsid w:val="53B0A9E"/>
    <w:multiLevelType w:val="hybridMultilevel"/>
    <w:lvl w:ilvl="0">
      <w:lvlJc w:val="left"/>
      <w:lvlText w:val="(%1)"/>
      <w:numFmt w:val="decimal"/>
      <w:start w:val="3"/>
    </w:lvl>
  </w:abstractNum>
  <w:abstractNum w:abstractNumId="95">
    <w:nsid w:val="34FD6B4F"/>
    <w:multiLevelType w:val="hybridMultilevel"/>
    <w:lvl w:ilvl="0">
      <w:lvlJc w:val="left"/>
      <w:lvlText w:val="%1."/>
      <w:numFmt w:val="decimal"/>
      <w:start w:val="1"/>
    </w:lvl>
  </w:abstractNum>
  <w:abstractNum w:abstractNumId="96">
    <w:nsid w:val="5915FF32"/>
    <w:multiLevelType w:val="hybridMultilevel"/>
    <w:lvl w:ilvl="0">
      <w:lvlJc w:val="left"/>
      <w:lvlText w:val="%1."/>
      <w:numFmt w:val="decimal"/>
      <w:start w:val="4"/>
    </w:lvl>
  </w:abstractNum>
  <w:abstractNum w:abstractNumId="97">
    <w:nsid w:val="56438D15"/>
    <w:multiLevelType w:val="hybridMultilevel"/>
    <w:lvl w:ilvl="0">
      <w:lvlJc w:val="left"/>
      <w:lvlText w:val="%1."/>
      <w:numFmt w:val="decimal"/>
      <w:start w:val="6"/>
    </w:lvl>
  </w:abstractNum>
  <w:abstractNum w:abstractNumId="98">
    <w:nsid w:val="519E3149"/>
    <w:multiLevelType w:val="hybridMultilevel"/>
    <w:lvl w:ilvl="0">
      <w:lvlJc w:val="left"/>
      <w:lvlText w:val="%1."/>
      <w:numFmt w:val="decimal"/>
      <w:start w:val="7"/>
    </w:lvl>
  </w:abstractNum>
  <w:abstractNum w:abstractNumId="99">
    <w:nsid w:val="2C6E4AFD"/>
    <w:multiLevelType w:val="hybridMultilevel"/>
    <w:lvl w:ilvl="0">
      <w:lvlJc w:val="left"/>
      <w:lvlText w:val="%1."/>
      <w:numFmt w:val="decimal"/>
      <w:start w:val="3"/>
    </w:lvl>
  </w:abstractNum>
  <w:abstractNum w:abstractNumId="100">
    <w:nsid w:val="17A1B582"/>
    <w:multiLevelType w:val="hybridMultilevel"/>
    <w:lvl w:ilvl="0">
      <w:lvlJc w:val="left"/>
      <w:lvlText w:val="%1."/>
      <w:numFmt w:val="decimal"/>
      <w:start w:val="4"/>
    </w:lvl>
  </w:abstractNum>
  <w:abstractNum w:abstractNumId="101">
    <w:nsid w:val="4DF72E4E"/>
    <w:multiLevelType w:val="hybridMultilevel"/>
    <w:lvl w:ilvl="0">
      <w:lvlJc w:val="left"/>
      <w:lvlText w:val="%1."/>
      <w:numFmt w:val="decimal"/>
      <w:start w:val="5"/>
    </w:lvl>
  </w:abstractNum>
  <w:abstractNum w:abstractNumId="102">
    <w:nsid w:val="5046B5A9"/>
    <w:multiLevelType w:val="hybridMultilevel"/>
    <w:lvl w:ilvl="0">
      <w:lvlJc w:val="left"/>
      <w:lvlText w:val="%1."/>
      <w:numFmt w:val="decimal"/>
      <w:start w:val="6"/>
    </w:lvl>
  </w:abstractNum>
  <w:abstractNum w:abstractNumId="103">
    <w:nsid w:val="5D888A08"/>
    <w:multiLevelType w:val="hybridMultilevel"/>
    <w:lvl w:ilvl="0">
      <w:lvlJc w:val="left"/>
      <w:lvlText w:val="%1."/>
      <w:numFmt w:val="decimal"/>
      <w:start w:val="7"/>
    </w:lvl>
  </w:abstractNum>
  <w:abstractNum w:abstractNumId="104">
    <w:nsid w:val="2A082C70"/>
    <w:multiLevelType w:val="hybridMultilevel"/>
    <w:lvl w:ilvl="0">
      <w:lvlJc w:val="left"/>
      <w:lvlText w:val="•"/>
      <w:numFmt w:val="bullet"/>
      <w:start w:val="1"/>
    </w:lvl>
  </w:abstractNum>
  <w:abstractNum w:abstractNumId="105">
    <w:nsid w:val="5EC6AFD4"/>
    <w:multiLevelType w:val="hybridMultilevel"/>
    <w:lvl w:ilvl="0">
      <w:lvlJc w:val="left"/>
      <w:lvlText w:val="%1."/>
      <w:numFmt w:val="upperLetter"/>
      <w:start w:val="1"/>
    </w:lvl>
  </w:abstractNum>
  <w:abstractNum w:abstractNumId="106">
    <w:nsid w:val="19E21BB2"/>
    <w:multiLevelType w:val="hybridMultilevel"/>
    <w:lvl w:ilvl="0">
      <w:lvlJc w:val="left"/>
      <w:lvlText w:val="%1."/>
      <w:numFmt w:val="decimal"/>
      <w:start w:val="1"/>
    </w:lvl>
  </w:abstractNum>
  <w:abstractNum w:abstractNumId="107">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8">
    <w:nsid w:val="57A61A29"/>
    <w:multiLevelType w:val="hybridMultilevel"/>
    <w:lvl w:ilvl="0">
      <w:lvlJc w:val="left"/>
      <w:lvlText w:val="%1."/>
      <w:numFmt w:val="decimal"/>
      <w:start w:val="2"/>
    </w:lvl>
    <w:lvl w:ilvl="1">
      <w:lvlJc w:val="left"/>
      <w:lvlText w:val="(%2)"/>
      <w:numFmt w:val="lowerLetter"/>
      <w:start w:val="1"/>
    </w:lvl>
  </w:abstractNum>
  <w:abstractNum w:abstractNumId="109">
    <w:nsid w:val="5399C654"/>
    <w:multiLevelType w:val="hybridMultilevel"/>
    <w:lvl w:ilvl="0">
      <w:lvlJc w:val="left"/>
      <w:lvlText w:val="(%1)"/>
      <w:numFmt w:val="lowerRoman"/>
      <w:start w:val="1"/>
    </w:lvl>
  </w:abstractNum>
  <w:abstractNum w:abstractNumId="110">
    <w:nsid w:val="20EE1348"/>
    <w:multiLevelType w:val="hybridMultilevel"/>
    <w:lvl w:ilvl="0">
      <w:lvlJc w:val="left"/>
      <w:lvlText w:val="%1."/>
      <w:numFmt w:val="decimal"/>
      <w:start w:val="4"/>
    </w:lvl>
  </w:abstractNum>
  <w:abstractNum w:abstractNumId="111">
    <w:nsid w:val="4427069A"/>
    <w:multiLevelType w:val="hybridMultilevel"/>
    <w:lvl w:ilvl="0">
      <w:lvlJc w:val="left"/>
      <w:lvlText w:val="%1"/>
      <w:numFmt w:val="lowerLetter"/>
      <w:start w:val="1"/>
    </w:lvl>
    <w:lvl w:ilvl="1">
      <w:lvlJc w:val="left"/>
      <w:lvlText w:val="(%2)"/>
      <w:numFmt w:val="lowerLetter"/>
      <w:start w:val="3"/>
    </w:lvl>
  </w:abstractNum>
  <w:abstractNum w:abstractNumId="112">
    <w:nsid w:val="B37E80A"/>
    <w:multiLevelType w:val="hybridMultilevel"/>
    <w:lvl w:ilvl="0">
      <w:lvlJc w:val="left"/>
      <w:lvlText w:val="(%1)"/>
      <w:numFmt w:val="lowerLetter"/>
      <w:start w:val="4"/>
    </w:lvl>
    <w:lvl w:ilvl="1">
      <w:lvlJc w:val="left"/>
      <w:lvlText w:val="%2"/>
      <w:numFmt w:val="lowerLetter"/>
      <w:start w:val="1"/>
    </w:lvl>
  </w:abstractNum>
  <w:abstractNum w:abstractNumId="113">
    <w:nsid w:val="2157F6BC"/>
    <w:multiLevelType w:val="hybridMultilevel"/>
    <w:lvl w:ilvl="0">
      <w:lvlJc w:val="left"/>
      <w:lvlText w:val="(%1)"/>
      <w:numFmt w:val="lowerLetter"/>
      <w:start w:val="3"/>
    </w:lvl>
    <w:lvl w:ilvl="1">
      <w:lvlJc w:val="left"/>
      <w:lvlText w:val="(%2)"/>
      <w:numFmt w:val="lowerRoman"/>
      <w:start w:val="4"/>
    </w:lvl>
  </w:abstractNum>
  <w:abstractNum w:abstractNumId="114">
    <w:nsid w:val="704E1DD5"/>
    <w:multiLevelType w:val="hybridMultilevel"/>
    <w:lvl w:ilvl="0">
      <w:lvlJc w:val="left"/>
      <w:lvlText w:val="%1."/>
      <w:numFmt w:val="decimal"/>
      <w:start w:val="1"/>
    </w:lvl>
    <w:lvl w:ilvl="1">
      <w:lvlJc w:val="left"/>
      <w:lvlText w:val="(%2)"/>
      <w:numFmt w:val="lowerLetter"/>
      <w:start w:val="1"/>
    </w:lvl>
  </w:abstractNum>
  <w:abstractNum w:abstractNumId="115">
    <w:nsid w:val="57D2F10E"/>
    <w:multiLevelType w:val="hybridMultilevel"/>
    <w:lvl w:ilvl="0">
      <w:lvlJc w:val="left"/>
      <w:lvlText w:val="%1"/>
      <w:numFmt w:val="decimal"/>
      <w:start w:val="1"/>
    </w:lvl>
    <w:lvl w:ilvl="1">
      <w:lvlJc w:val="left"/>
      <w:lvlText w:val="(%2)"/>
      <w:numFmt w:val="lowerLetter"/>
      <w:start w:val="2"/>
    </w:lvl>
  </w:abstractNum>
  <w:abstractNum w:abstractNumId="116">
    <w:nsid w:val="BFFAE18"/>
    <w:multiLevelType w:val="hybridMultilevel"/>
    <w:lvl w:ilvl="0">
      <w:lvlJc w:val="left"/>
      <w:lvlText w:val="%1."/>
      <w:numFmt w:val="decimal"/>
      <w:start w:val="3"/>
    </w:lvl>
    <w:lvl w:ilvl="1">
      <w:lvlJc w:val="left"/>
      <w:lvlText w:val="(%2)"/>
      <w:numFmt w:val="lowerLetter"/>
      <w:start w:val="1"/>
    </w:lvl>
  </w:abstractNum>
  <w:abstractNum w:abstractNumId="117">
    <w:nsid w:val="E3E47A8"/>
    <w:multiLevelType w:val="hybridMultilevel"/>
    <w:lvl w:ilvl="0">
      <w:lvlJc w:val="left"/>
      <w:lvlText w:val="(%1)"/>
      <w:numFmt w:val="lowerLetter"/>
      <w:start w:val="2"/>
    </w:lvl>
    <w:lvl w:ilvl="1">
      <w:lvlJc w:val="left"/>
      <w:lvlText w:val="(%2)"/>
      <w:numFmt w:val="lowerRoman"/>
      <w:start w:val="1"/>
    </w:lvl>
  </w:abstractNum>
  <w:abstractNum w:abstractNumId="118">
    <w:nsid w:val="2E48F044"/>
    <w:multiLevelType w:val="hybridMultilevel"/>
    <w:lvl w:ilvl="0">
      <w:lvlJc w:val="left"/>
      <w:lvlText w:val="%1"/>
      <w:numFmt w:val="decimal"/>
      <w:start w:val="1"/>
    </w:lvl>
    <w:lvl w:ilvl="1">
      <w:lvlJc w:val="left"/>
      <w:lvlText w:val="(%2)"/>
      <w:numFmt w:val="lowerRoman"/>
      <w:start w:val="4"/>
    </w:lvl>
  </w:abstractNum>
  <w:abstractNum w:abstractNumId="119">
    <w:nsid w:val="49D0FEAC"/>
    <w:multiLevelType w:val="hybridMultilevel"/>
    <w:lvl w:ilvl="0">
      <w:lvlJc w:val="left"/>
      <w:lvlText w:val="%1."/>
      <w:numFmt w:val="decimal"/>
      <w:start w:val="7"/>
    </w:lvl>
    <w:lvl w:ilvl="1">
      <w:lvlJc w:val="left"/>
      <w:lvlText w:val="%2"/>
      <w:numFmt w:val="lowerRoman"/>
      <w:start w:val="1"/>
    </w:lvl>
  </w:abstractNum>
  <w:abstractNum w:abstractNumId="120">
    <w:nsid w:val="4BEE5A5B"/>
    <w:multiLevelType w:val="hybridMultilevel"/>
    <w:lvl w:ilvl="0">
      <w:lvlJc w:val="left"/>
      <w:lvlText w:val="%1."/>
      <w:numFmt w:val="decimal"/>
      <w:start w:val="9"/>
    </w:lvl>
    <w:lvl w:ilvl="1">
      <w:lvlJc w:val="left"/>
      <w:lvlText w:val="(%2)"/>
      <w:numFmt w:val="lowerLetter"/>
      <w:start w:val="1"/>
    </w:lvl>
  </w:abstractNum>
  <w:abstractNum w:abstractNumId="121">
    <w:nsid w:val="5551B9F3"/>
    <w:multiLevelType w:val="hybridMultilevel"/>
    <w:lvl w:ilvl="0">
      <w:lvlJc w:val="left"/>
      <w:lvlText w:val="(%1)"/>
      <w:numFmt w:val="lowerLetter"/>
      <w:start w:val="11"/>
    </w:lvl>
  </w:abstractNum>
  <w:abstractNum w:abstractNumId="122">
    <w:nsid w:val="24F6AB8E"/>
    <w:multiLevelType w:val="hybridMultilevel"/>
    <w:lvl w:ilvl="0">
      <w:lvlJc w:val="left"/>
      <w:lvlText w:val="(%1)"/>
      <w:numFmt w:val="lowerLetter"/>
      <w:start w:val="20"/>
    </w:lvl>
  </w:abstractNum>
  <w:abstractNum w:abstractNumId="123">
    <w:nsid w:val="634C574C"/>
    <w:multiLevelType w:val="hybridMultilevel"/>
    <w:lvl w:ilvl="0">
      <w:lvlJc w:val="left"/>
      <w:lvlText w:val="(%1)"/>
      <w:numFmt w:val="lowerLetter"/>
      <w:start w:val="27"/>
    </w:lvl>
  </w:abstractNum>
  <w:abstractNum w:abstractNumId="124">
    <w:nsid w:val="24E99DD7"/>
    <w:multiLevelType w:val="hybridMultilevel"/>
    <w:lvl w:ilvl="0">
      <w:lvlJc w:val="left"/>
      <w:lvlText w:val="%1."/>
      <w:numFmt w:val="decimal"/>
      <w:start w:val="1"/>
    </w:lvl>
  </w:abstractNum>
  <w:abstractNum w:abstractNumId="125">
    <w:nsid w:val="2A31B62D"/>
    <w:multiLevelType w:val="hybridMultilevel"/>
    <w:lvl w:ilvl="0">
      <w:lvlJc w:val="left"/>
      <w:lvlText w:val="%1."/>
      <w:numFmt w:val="decimal"/>
      <w:start w:val="8"/>
    </w:lvl>
  </w:abstractNum>
  <w:abstractNum w:abstractNumId="126">
    <w:nsid w:val="1849C29B"/>
    <w:multiLevelType w:val="hybridMultilevel"/>
    <w:lvl w:ilvl="0">
      <w:lvlJc w:val="left"/>
      <w:lvlText w:val="%1."/>
      <w:numFmt w:val="decimal"/>
      <w:start w:val="9"/>
    </w:lvl>
  </w:abstractNum>
  <w:abstractNum w:abstractNumId="127">
    <w:nsid w:val="7DFF9D09"/>
    <w:multiLevelType w:val="hybridMultilevel"/>
    <w:lvl w:ilvl="0">
      <w:lvlJc w:val="left"/>
      <w:lvlText w:val="(%1)"/>
      <w:numFmt w:val="lowerLetter"/>
      <w:start w:val="1"/>
    </w:lvl>
  </w:abstractNum>
  <w:abstractNum w:abstractNumId="128">
    <w:nsid w:val="754342"/>
    <w:multiLevelType w:val="hybridMultilevel"/>
    <w:lvl w:ilvl="0">
      <w:lvlJc w:val="left"/>
      <w:lvlText w:val="(%1)"/>
      <w:numFmt w:val="lowerLetter"/>
      <w:start w:val="5"/>
    </w:lvl>
  </w:abstractNum>
  <w:abstractNum w:abstractNumId="129">
    <w:nsid w:val="69E7F3E5"/>
    <w:multiLevelType w:val="hybridMultilevel"/>
    <w:lvl w:ilvl="0">
      <w:lvlJc w:val="left"/>
      <w:lvlText w:val="(%1)"/>
      <w:numFmt w:val="decimal"/>
      <w:start w:val="3"/>
    </w:lvl>
  </w:abstractNum>
  <w:abstractNum w:abstractNumId="130">
    <w:nsid w:val="2A6DE806"/>
    <w:multiLevelType w:val="hybridMultilevel"/>
    <w:lvl w:ilvl="0">
      <w:lvlJc w:val="left"/>
      <w:lvlText w:val="(%1)"/>
      <w:numFmt w:val="lowerRoman"/>
      <w:start w:val="2"/>
    </w:lvl>
  </w:abstractNum>
  <w:abstractNum w:abstractNumId="131">
    <w:nsid w:val="1816F8C4"/>
    <w:multiLevelType w:val="hybridMultilevel"/>
    <w:lvl w:ilvl="0">
      <w:lvlJc w:val="left"/>
      <w:lvlText w:val="%1."/>
      <w:numFmt w:val="decimal"/>
      <w:start w:val="1"/>
    </w:lvl>
  </w:abstractNum>
  <w:abstractNum w:abstractNumId="132">
    <w:nsid w:val="37DF2233"/>
    <w:multiLevelType w:val="hybridMultilevel"/>
    <w:lvl w:ilvl="0">
      <w:lvlJc w:val="left"/>
      <w:lvlText w:val="%1."/>
      <w:numFmt w:val="decimal"/>
      <w:start w:val="4"/>
    </w:lvl>
  </w:abstractNum>
  <w:abstractNum w:abstractNumId="133">
    <w:nsid w:val="7AB49DAF"/>
    <w:multiLevelType w:val="hybridMultilevel"/>
    <w:lvl w:ilvl="0">
      <w:lvlJc w:val="left"/>
      <w:lvlText w:val="%1."/>
      <w:numFmt w:val="decimal"/>
      <w:start w:val="6"/>
    </w:lvl>
  </w:abstractNum>
  <w:abstractNum w:abstractNumId="134">
    <w:nsid w:val="759F82CD"/>
    <w:multiLevelType w:val="hybridMultilevel"/>
    <w:lvl w:ilvl="0">
      <w:lvlJc w:val="left"/>
      <w:lvlText w:val="%1."/>
      <w:numFmt w:val="decimal"/>
      <w:start w:val="7"/>
    </w:lvl>
  </w:abstractNum>
  <w:abstractNum w:abstractNumId="135">
    <w:nsid w:val="61E74EA3"/>
    <w:multiLevelType w:val="hybridMultilevel"/>
    <w:lvl w:ilvl="0">
      <w:lvlJc w:val="left"/>
      <w:lvlText w:val="%1."/>
      <w:numFmt w:val="decimal"/>
      <w:start w:val="3"/>
    </w:lvl>
  </w:abstractNum>
  <w:abstractNum w:abstractNumId="136">
    <w:nsid w:val="597B4D84"/>
    <w:multiLevelType w:val="hybridMultilevel"/>
    <w:lvl w:ilvl="0">
      <w:lvlJc w:val="left"/>
      <w:lvlText w:val="%1."/>
      <w:numFmt w:val="decimal"/>
      <w:start w:val="4"/>
    </w:lvl>
  </w:abstractNum>
  <w:abstractNum w:abstractNumId="137">
    <w:nsid w:val="F819E7F"/>
    <w:multiLevelType w:val="hybridMultilevel"/>
    <w:lvl w:ilvl="0">
      <w:lvlJc w:val="left"/>
      <w:lvlText w:val="%1."/>
      <w:numFmt w:val="decimal"/>
      <w:start w:val="5"/>
    </w:lvl>
  </w:abstractNum>
  <w:abstractNum w:abstractNumId="138">
    <w:nsid w:val="57C7D42D"/>
    <w:multiLevelType w:val="hybridMultilevel"/>
    <w:lvl w:ilvl="0">
      <w:lvlJc w:val="left"/>
      <w:lvlText w:val="%1."/>
      <w:numFmt w:val="decimal"/>
      <w:start w:val="6"/>
    </w:lvl>
  </w:abstractNum>
  <w:abstractNum w:abstractNumId="139">
    <w:nsid w:val="312167AD"/>
    <w:multiLevelType w:val="hybridMultilevel"/>
    <w:lvl w:ilvl="0">
      <w:lvlJc w:val="left"/>
      <w:lvlText w:val="%1."/>
      <w:numFmt w:val="decimal"/>
      <w:start w:val="7"/>
    </w:lvl>
  </w:abstractNum>
  <w:abstractNum w:abstractNumId="140">
    <w:nsid w:val="631B64D4"/>
    <w:multiLevelType w:val="hybridMultilevel"/>
    <w:lvl w:ilvl="0">
      <w:lvlJc w:val="left"/>
      <w:lvlText w:val="•"/>
      <w:numFmt w:val="bullet"/>
      <w:start w:val="1"/>
    </w:lvl>
  </w:abstractNum>
  <w:abstractNum w:abstractNumId="141">
    <w:nsid w:val="78B5E776"/>
    <w:multiLevelType w:val="hybridMultilevel"/>
    <w:lvl w:ilvl="0">
      <w:lvlJc w:val="left"/>
      <w:lvlText w:val="%1."/>
      <w:numFmt w:val="upperLetter"/>
      <w:start w:val="1"/>
    </w:lvl>
  </w:abstractNum>
  <w:abstractNum w:abstractNumId="142">
    <w:nsid w:val="75486E47"/>
    <w:multiLevelType w:val="hybridMultilevel"/>
    <w:lvl w:ilvl="0">
      <w:lvlJc w:val="left"/>
      <w:lvlText w:val="%1."/>
      <w:numFmt w:val="decimal"/>
      <w:start w:val="1"/>
    </w:lvl>
  </w:abstractNum>
  <w:abstractNum w:abstractNumId="143">
    <w:nsid w:val="6E534C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4">
    <w:nsid w:val="1A0DDE32"/>
    <w:multiLevelType w:val="hybridMultilevel"/>
    <w:lvl w:ilvl="0">
      <w:lvlJc w:val="left"/>
      <w:lvlText w:val="%1."/>
      <w:numFmt w:val="decimal"/>
      <w:start w:val="2"/>
    </w:lvl>
    <w:lvl w:ilvl="1">
      <w:lvlJc w:val="left"/>
      <w:lvlText w:val="(%2)"/>
      <w:numFmt w:val="lowerLetter"/>
      <w:start w:val="1"/>
    </w:lvl>
  </w:abstractNum>
  <w:abstractNum w:abstractNumId="145">
    <w:nsid w:val="65968C1C"/>
    <w:multiLevelType w:val="hybridMultilevel"/>
    <w:lvl w:ilvl="0">
      <w:lvlJc w:val="left"/>
      <w:lvlText w:val="(%1)"/>
      <w:numFmt w:val="lowerRoman"/>
      <w:start w:val="1"/>
    </w:lvl>
  </w:abstractNum>
  <w:abstractNum w:abstractNumId="146">
    <w:nsid w:val="46263DEC"/>
    <w:multiLevelType w:val="hybridMultilevel"/>
    <w:lvl w:ilvl="0">
      <w:lvlJc w:val="left"/>
      <w:lvlText w:val="%1."/>
      <w:numFmt w:val="decimal"/>
      <w:start w:val="4"/>
    </w:lvl>
  </w:abstractNum>
  <w:abstractNum w:abstractNumId="147">
    <w:nsid w:val="260D8C4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48">
    <w:nsid w:val="73D4D3C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jpeg"/><Relationship Id="rId1435" Type="http://schemas.openxmlformats.org/officeDocument/2006/relationships/image" Target="media/image1428.jpeg"/><Relationship Id="rId1436" Type="http://schemas.openxmlformats.org/officeDocument/2006/relationships/image" Target="media/image1429.jpeg"/><Relationship Id="rId1437" Type="http://schemas.openxmlformats.org/officeDocument/2006/relationships/image" Target="media/image1430.jpeg"/><Relationship Id="rId1438" Type="http://schemas.openxmlformats.org/officeDocument/2006/relationships/image" Target="media/image1431.jpe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jpeg"/><Relationship Id="rId1443" Type="http://schemas.openxmlformats.org/officeDocument/2006/relationships/image" Target="media/image1436.jpe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jpeg"/><Relationship Id="rId1447" Type="http://schemas.openxmlformats.org/officeDocument/2006/relationships/image" Target="media/image1440.png"/><Relationship Id="rId1448" Type="http://schemas.openxmlformats.org/officeDocument/2006/relationships/image" Target="media/image1441.jpeg"/><Relationship Id="rId1449" Type="http://schemas.openxmlformats.org/officeDocument/2006/relationships/image" Target="media/image1442.jpeg"/><Relationship Id="rId1450" Type="http://schemas.openxmlformats.org/officeDocument/2006/relationships/image" Target="media/image1443.jpeg"/><Relationship Id="rId1451" Type="http://schemas.openxmlformats.org/officeDocument/2006/relationships/image" Target="media/image1444.jpeg"/><Relationship Id="rId1452" Type="http://schemas.openxmlformats.org/officeDocument/2006/relationships/image" Target="media/image1445.jpeg"/><Relationship Id="rId1453" Type="http://schemas.openxmlformats.org/officeDocument/2006/relationships/image" Target="media/image1446.jpeg"/><Relationship Id="rId1454" Type="http://schemas.openxmlformats.org/officeDocument/2006/relationships/image" Target="media/image1447.jpeg"/><Relationship Id="rId1455" Type="http://schemas.openxmlformats.org/officeDocument/2006/relationships/image" Target="media/image1448.png"/><Relationship Id="rId1456" Type="http://schemas.openxmlformats.org/officeDocument/2006/relationships/image" Target="media/image1449.jpeg"/><Relationship Id="rId1457" Type="http://schemas.openxmlformats.org/officeDocument/2006/relationships/image" Target="media/image1450.jpeg"/><Relationship Id="rId1458" Type="http://schemas.openxmlformats.org/officeDocument/2006/relationships/image" Target="media/image1451.jpeg"/><Relationship Id="rId1459" Type="http://schemas.openxmlformats.org/officeDocument/2006/relationships/image" Target="media/image1452.jpeg"/><Relationship Id="rId1460" Type="http://schemas.openxmlformats.org/officeDocument/2006/relationships/image" Target="media/image1453.jpe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jpeg"/><Relationship Id="rId1464" Type="http://schemas.openxmlformats.org/officeDocument/2006/relationships/image" Target="media/image1457.jpe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jpe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jpeg"/><Relationship Id="rId2423" Type="http://schemas.openxmlformats.org/officeDocument/2006/relationships/image" Target="media/image2416.jpeg"/><Relationship Id="rId2424" Type="http://schemas.openxmlformats.org/officeDocument/2006/relationships/image" Target="media/image2417.jpeg"/><Relationship Id="rId2425" Type="http://schemas.openxmlformats.org/officeDocument/2006/relationships/image" Target="media/image2418.jpeg"/><Relationship Id="rId2426" Type="http://schemas.openxmlformats.org/officeDocument/2006/relationships/image" Target="media/image2419.jpeg"/><Relationship Id="rId2427" Type="http://schemas.openxmlformats.org/officeDocument/2006/relationships/image" Target="media/image2420.jpeg"/><Relationship Id="rId2428" Type="http://schemas.openxmlformats.org/officeDocument/2006/relationships/image" Target="media/image2421.jpeg"/><Relationship Id="rId2429" Type="http://schemas.openxmlformats.org/officeDocument/2006/relationships/image" Target="media/image2422.jpeg"/><Relationship Id="rId2430" Type="http://schemas.openxmlformats.org/officeDocument/2006/relationships/image" Target="media/image2423.jpeg"/><Relationship Id="rId2431" Type="http://schemas.openxmlformats.org/officeDocument/2006/relationships/image" Target="media/image2424.jpeg"/><Relationship Id="rId2432" Type="http://schemas.openxmlformats.org/officeDocument/2006/relationships/image" Target="media/image2425.jpeg"/><Relationship Id="rId2433" Type="http://schemas.openxmlformats.org/officeDocument/2006/relationships/image" Target="media/image2426.jpeg"/><Relationship Id="rId2434" Type="http://schemas.openxmlformats.org/officeDocument/2006/relationships/image" Target="media/image2427.jpeg"/><Relationship Id="rId2435" Type="http://schemas.openxmlformats.org/officeDocument/2006/relationships/image" Target="media/image2428.jpeg"/><Relationship Id="rId2436" Type="http://schemas.openxmlformats.org/officeDocument/2006/relationships/image" Target="media/image2429.png"/><Relationship Id="rId2437" Type="http://schemas.openxmlformats.org/officeDocument/2006/relationships/image" Target="media/image2430.jpeg"/><Relationship Id="rId2438" Type="http://schemas.openxmlformats.org/officeDocument/2006/relationships/image" Target="media/image2431.jpeg"/><Relationship Id="rId2439" Type="http://schemas.openxmlformats.org/officeDocument/2006/relationships/image" Target="media/image2432.jpeg"/><Relationship Id="rId2440" Type="http://schemas.openxmlformats.org/officeDocument/2006/relationships/image" Target="media/image2433.jpeg"/><Relationship Id="rId2441" Type="http://schemas.openxmlformats.org/officeDocument/2006/relationships/image" Target="media/image2434.jpeg"/><Relationship Id="rId2442" Type="http://schemas.openxmlformats.org/officeDocument/2006/relationships/image" Target="media/image2435.jpeg"/><Relationship Id="rId2443" Type="http://schemas.openxmlformats.org/officeDocument/2006/relationships/image" Target="media/image2436.jpeg"/><Relationship Id="rId2444" Type="http://schemas.openxmlformats.org/officeDocument/2006/relationships/image" Target="media/image2437.jpeg"/><Relationship Id="rId2445" Type="http://schemas.openxmlformats.org/officeDocument/2006/relationships/image" Target="media/image2438.jpeg"/><Relationship Id="rId2446" Type="http://schemas.openxmlformats.org/officeDocument/2006/relationships/image" Target="media/image2439.jpeg"/><Relationship Id="rId2447" Type="http://schemas.openxmlformats.org/officeDocument/2006/relationships/image" Target="media/image2440.jpeg"/><Relationship Id="rId2448" Type="http://schemas.openxmlformats.org/officeDocument/2006/relationships/image" Target="media/image2441.png"/><Relationship Id="rId2449" Type="http://schemas.openxmlformats.org/officeDocument/2006/relationships/image" Target="media/image2442.jpeg"/><Relationship Id="rId2450" Type="http://schemas.openxmlformats.org/officeDocument/2006/relationships/image" Target="media/image2443.jpeg"/><Relationship Id="rId2451" Type="http://schemas.openxmlformats.org/officeDocument/2006/relationships/image" Target="media/image2444.jpeg"/><Relationship Id="rId2452" Type="http://schemas.openxmlformats.org/officeDocument/2006/relationships/image" Target="media/image2445.jpeg"/><Relationship Id="rId2453" Type="http://schemas.openxmlformats.org/officeDocument/2006/relationships/image" Target="media/image2446.jpeg"/><Relationship Id="rId2454" Type="http://schemas.openxmlformats.org/officeDocument/2006/relationships/image" Target="media/image2447.jpeg"/><Relationship Id="rId2455" Type="http://schemas.openxmlformats.org/officeDocument/2006/relationships/image" Target="media/image2448.jpeg"/><Relationship Id="rId2456" Type="http://schemas.openxmlformats.org/officeDocument/2006/relationships/image" Target="media/image2449.jpeg"/><Relationship Id="rId2457" Type="http://schemas.openxmlformats.org/officeDocument/2006/relationships/image" Target="media/image2450.png"/><Relationship Id="rId2458" Type="http://schemas.openxmlformats.org/officeDocument/2006/relationships/image" Target="media/image2451.jpeg"/><Relationship Id="rId2459" Type="http://schemas.openxmlformats.org/officeDocument/2006/relationships/image" Target="media/image2452.jpeg"/><Relationship Id="rId2460" Type="http://schemas.openxmlformats.org/officeDocument/2006/relationships/image" Target="media/image2453.jpeg"/><Relationship Id="rId2461" Type="http://schemas.openxmlformats.org/officeDocument/2006/relationships/image" Target="media/image2454.jpeg"/><Relationship Id="rId2462" Type="http://schemas.openxmlformats.org/officeDocument/2006/relationships/image" Target="media/image2455.jpeg"/><Relationship Id="rId2463" Type="http://schemas.openxmlformats.org/officeDocument/2006/relationships/image" Target="media/image2456.jpeg"/><Relationship Id="rId2464" Type="http://schemas.openxmlformats.org/officeDocument/2006/relationships/image" Target="media/image2457.jpeg"/><Relationship Id="rId2465" Type="http://schemas.openxmlformats.org/officeDocument/2006/relationships/image" Target="media/image2458.jpeg"/><Relationship Id="rId2466" Type="http://schemas.openxmlformats.org/officeDocument/2006/relationships/image" Target="media/image2459.jpeg"/><Relationship Id="rId2467" Type="http://schemas.openxmlformats.org/officeDocument/2006/relationships/image" Target="media/image2460.jpeg"/><Relationship Id="rId2468" Type="http://schemas.openxmlformats.org/officeDocument/2006/relationships/image" Target="media/image2461.jpe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jpe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jpeg"/><Relationship Id="rId3427" Type="http://schemas.openxmlformats.org/officeDocument/2006/relationships/image" Target="media/image3420.jpeg"/><Relationship Id="rId3428" Type="http://schemas.openxmlformats.org/officeDocument/2006/relationships/image" Target="media/image3421.jpeg"/><Relationship Id="rId3429" Type="http://schemas.openxmlformats.org/officeDocument/2006/relationships/image" Target="media/image3422.jpeg"/><Relationship Id="rId3430" Type="http://schemas.openxmlformats.org/officeDocument/2006/relationships/image" Target="media/image3423.jpeg"/><Relationship Id="rId3431" Type="http://schemas.openxmlformats.org/officeDocument/2006/relationships/image" Target="media/image3424.jpeg"/><Relationship Id="rId3432" Type="http://schemas.openxmlformats.org/officeDocument/2006/relationships/image" Target="media/image3425.jpeg"/><Relationship Id="rId3433" Type="http://schemas.openxmlformats.org/officeDocument/2006/relationships/image" Target="media/image3426.jpeg"/><Relationship Id="rId3434" Type="http://schemas.openxmlformats.org/officeDocument/2006/relationships/image" Target="media/image3427.jpeg"/><Relationship Id="rId3435" Type="http://schemas.openxmlformats.org/officeDocument/2006/relationships/image" Target="media/image3428.jpeg"/><Relationship Id="rId3436" Type="http://schemas.openxmlformats.org/officeDocument/2006/relationships/image" Target="media/image3429.jpeg"/><Relationship Id="rId3437" Type="http://schemas.openxmlformats.org/officeDocument/2006/relationships/image" Target="media/image3430.jpeg"/><Relationship Id="rId3438" Type="http://schemas.openxmlformats.org/officeDocument/2006/relationships/image" Target="media/image3431.jpeg"/><Relationship Id="rId3439" Type="http://schemas.openxmlformats.org/officeDocument/2006/relationships/image" Target="media/image3432.jpeg"/><Relationship Id="rId3440" Type="http://schemas.openxmlformats.org/officeDocument/2006/relationships/image" Target="media/image3433.png"/><Relationship Id="rId3441" Type="http://schemas.openxmlformats.org/officeDocument/2006/relationships/image" Target="media/image3434.jpeg"/><Relationship Id="rId3442" Type="http://schemas.openxmlformats.org/officeDocument/2006/relationships/image" Target="media/image3435.jpeg"/><Relationship Id="rId3443" Type="http://schemas.openxmlformats.org/officeDocument/2006/relationships/image" Target="media/image3436.jpeg"/><Relationship Id="rId3444" Type="http://schemas.openxmlformats.org/officeDocument/2006/relationships/image" Target="media/image3437.jpeg"/><Relationship Id="rId3445" Type="http://schemas.openxmlformats.org/officeDocument/2006/relationships/image" Target="media/image3438.jpeg"/><Relationship Id="rId3446" Type="http://schemas.openxmlformats.org/officeDocument/2006/relationships/image" Target="media/image3439.jpeg"/><Relationship Id="rId3447" Type="http://schemas.openxmlformats.org/officeDocument/2006/relationships/image" Target="media/image3440.jpeg"/><Relationship Id="rId3448" Type="http://schemas.openxmlformats.org/officeDocument/2006/relationships/image" Target="media/image3441.jpeg"/><Relationship Id="rId3449" Type="http://schemas.openxmlformats.org/officeDocument/2006/relationships/image" Target="media/image3442.png"/><Relationship Id="rId3450" Type="http://schemas.openxmlformats.org/officeDocument/2006/relationships/image" Target="media/image3443.jpeg"/><Relationship Id="rId3451" Type="http://schemas.openxmlformats.org/officeDocument/2006/relationships/image" Target="media/image3444.png"/><Relationship Id="rId3452" Type="http://schemas.openxmlformats.org/officeDocument/2006/relationships/image" Target="media/image3445.jpeg"/><Relationship Id="rId3453" Type="http://schemas.openxmlformats.org/officeDocument/2006/relationships/image" Target="media/image3446.jpeg"/><Relationship Id="rId3454" Type="http://schemas.openxmlformats.org/officeDocument/2006/relationships/image" Target="media/image3447.jpeg"/><Relationship Id="rId3455" Type="http://schemas.openxmlformats.org/officeDocument/2006/relationships/image" Target="media/image3448.jpeg"/><Relationship Id="rId3456" Type="http://schemas.openxmlformats.org/officeDocument/2006/relationships/image" Target="media/image3449.jpeg"/><Relationship Id="rId3457" Type="http://schemas.openxmlformats.org/officeDocument/2006/relationships/image" Target="media/image3450.jpeg"/><Relationship Id="rId3458" Type="http://schemas.openxmlformats.org/officeDocument/2006/relationships/image" Target="media/image3451.jpeg"/><Relationship Id="rId3459" Type="http://schemas.openxmlformats.org/officeDocument/2006/relationships/image" Target="media/image3452.jpeg"/><Relationship Id="rId3460" Type="http://schemas.openxmlformats.org/officeDocument/2006/relationships/image" Target="media/image3453.jpe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jpe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pn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pn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pn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jpeg"/><Relationship Id="rId4419" Type="http://schemas.openxmlformats.org/officeDocument/2006/relationships/image" Target="media/image4412.jpeg"/><Relationship Id="rId4420" Type="http://schemas.openxmlformats.org/officeDocument/2006/relationships/image" Target="media/image4413.jpeg"/><Relationship Id="rId4421" Type="http://schemas.openxmlformats.org/officeDocument/2006/relationships/image" Target="media/image4414.jpeg"/><Relationship Id="rId4422" Type="http://schemas.openxmlformats.org/officeDocument/2006/relationships/image" Target="media/image4415.jpeg"/><Relationship Id="rId4423" Type="http://schemas.openxmlformats.org/officeDocument/2006/relationships/image" Target="media/image4416.jpeg"/><Relationship Id="rId4424" Type="http://schemas.openxmlformats.org/officeDocument/2006/relationships/image" Target="media/image4417.jpeg"/><Relationship Id="rId4425" Type="http://schemas.openxmlformats.org/officeDocument/2006/relationships/image" Target="media/image4418.jpeg"/><Relationship Id="rId4426" Type="http://schemas.openxmlformats.org/officeDocument/2006/relationships/image" Target="media/image4419.jpeg"/><Relationship Id="rId4427" Type="http://schemas.openxmlformats.org/officeDocument/2006/relationships/image" Target="media/image4420.jpeg"/><Relationship Id="rId4428" Type="http://schemas.openxmlformats.org/officeDocument/2006/relationships/image" Target="media/image4421.jpeg"/><Relationship Id="rId4429" Type="http://schemas.openxmlformats.org/officeDocument/2006/relationships/image" Target="media/image4422.jpeg"/><Relationship Id="rId4430" Type="http://schemas.openxmlformats.org/officeDocument/2006/relationships/image" Target="media/image4423.jpeg"/><Relationship Id="rId4431" Type="http://schemas.openxmlformats.org/officeDocument/2006/relationships/image" Target="media/image4424.jpeg"/><Relationship Id="rId4432" Type="http://schemas.openxmlformats.org/officeDocument/2006/relationships/image" Target="media/image4425.png"/><Relationship Id="rId4433" Type="http://schemas.openxmlformats.org/officeDocument/2006/relationships/image" Target="media/image4426.jpe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2026-02-18T06:12:47Z</dcterms:created>
  <dcterms:modified xsi:type="dcterms:W3CDTF">2026-02-18T06:12:47Z</dcterms:modified>
</cp:coreProperties>
</file>