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236855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460" w:type="dxa"/>
        <w:tblCellMar>
          <w:top w:w="0" w:type="dxa"/>
          <w:left w:w="0" w:type="dxa"/>
          <w:bottom w:w="0" w:type="dxa"/>
          <w:right w:w="0" w:type="dxa"/>
        </w:tblCellMar>
      </w:tblPr>
      <w:tr>
        <w:trPr>
          <w:trHeight w:val="214"/>
        </w:trPr>
        <w:tc>
          <w:tcPr>
            <w:tcW w:w="3780" w:type="dxa"/>
            <w:vAlign w:val="bottom"/>
          </w:tcPr>
          <w:p>
            <w:pPr>
              <w:jc w:val="center"/>
              <w:ind w:right="881"/>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314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w w:val="97"/>
              </w:rPr>
              <w:t>1-7819</w:t>
            </w: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04-2348234</w:t>
            </w:r>
          </w:p>
        </w:tc>
      </w:tr>
      <w:tr>
        <w:trPr>
          <w:trHeight w:val="149"/>
        </w:trPr>
        <w:tc>
          <w:tcPr>
            <w:tcW w:w="3780" w:type="dxa"/>
            <w:vAlign w:val="bottom"/>
          </w:tcPr>
          <w:p>
            <w:pPr>
              <w:jc w:val="center"/>
              <w:ind w:right="86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140" w:type="dxa"/>
            <w:vAlign w:val="bottom"/>
          </w:tcPr>
          <w:p>
            <w:pPr>
              <w:jc w:val="center"/>
              <w:ind w:right="28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80" w:type="dxa"/>
            <w:vAlign w:val="bottom"/>
          </w:tcPr>
          <w:p>
            <w:pPr>
              <w:jc w:val="center"/>
              <w:ind w:right="88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14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3780" w:type="dxa"/>
            <w:vAlign w:val="bottom"/>
          </w:tcPr>
          <w:p>
            <w:pPr>
              <w:jc w:val="center"/>
              <w:ind w:right="881"/>
              <w:spacing w:after="0"/>
              <w:rPr>
                <w:sz w:val="20"/>
                <w:szCs w:val="20"/>
                <w:color w:val="auto"/>
              </w:rPr>
            </w:pPr>
            <w:r>
              <w:rPr>
                <w:rFonts w:ascii="Times New Roman" w:cs="Times New Roman" w:eastAsia="Times New Roman" w:hAnsi="Times New Roman"/>
                <w:sz w:val="18"/>
                <w:szCs w:val="18"/>
                <w:b w:val="1"/>
                <w:bCs w:val="1"/>
                <w:color w:val="auto"/>
                <w:w w:val="98"/>
              </w:rPr>
              <w:t>One Technology Way, Norwood, MA</w:t>
            </w:r>
          </w:p>
        </w:tc>
        <w:tc>
          <w:tcPr>
            <w:tcW w:w="3140" w:type="dxa"/>
            <w:vAlign w:val="bottom"/>
          </w:tcPr>
          <w:p>
            <w:pPr>
              <w:spacing w:after="0"/>
              <w:rPr>
                <w:sz w:val="24"/>
                <w:szCs w:val="24"/>
                <w:color w:val="auto"/>
              </w:rPr>
            </w:pPr>
          </w:p>
        </w:tc>
        <w:tc>
          <w:tcPr>
            <w:tcW w:w="24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02062</w:t>
            </w:r>
          </w:p>
        </w:tc>
      </w:tr>
      <w:tr>
        <w:trPr>
          <w:trHeight w:val="190"/>
        </w:trPr>
        <w:tc>
          <w:tcPr>
            <w:tcW w:w="3780" w:type="dxa"/>
            <w:vAlign w:val="bottom"/>
          </w:tcPr>
          <w:p>
            <w:pPr>
              <w:jc w:val="center"/>
              <w:ind w:right="8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4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329-4700</w:t>
      </w:r>
    </w:p>
    <w:p>
      <w:pPr>
        <w:spacing w:after="0" w:line="200" w:lineRule="exact"/>
        <w:rPr>
          <w:sz w:val="24"/>
          <w:szCs w:val="24"/>
          <w:color w:val="auto"/>
        </w:rPr>
      </w:pPr>
    </w:p>
    <w:p>
      <w:pPr>
        <w:spacing w:after="0" w:line="23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239395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2" w:right="71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January 28, 2019, Eileen Wynne, Vice President and Chief Accounting Officer of Analog Devices, Inc. (the “Company”), notified the Company of her decision to resign as the Company’s principal accounting officer, effective February 22, 2019. She will remain with the Company through June 30, 2019. Ms. Wynne’s resignation is not the result of any dispute or disagreement with the Company.</w:t>
      </w:r>
    </w:p>
    <w:p>
      <w:pPr>
        <w:spacing w:after="0" w:line="17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Upon the effectiveness of Ms. Wynne’s resignation, the Company plans to appoint Michael Sondel, the Company’s Senior Director of Finance, Industrial, Healthcare &amp; Consumer Group, to serve as the Company’s Chief Accounting Officer and principal accounting officer.</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Mr. Sondel, 42, has been with the Company since 2001, most recently serving as Senior Director of Finance, Industrial, Healthcare &amp; Consumer Group since March 2018. Prior to that, he held Director of Finance roles supporting various business units and groups at the Company from August 2010 to March 2018. Prior to that, he served as the Company’s External Reporting Manager from 2004 to 2010. Prior to joining the Company, Mr. Sondel worked for the global audit, tax, and advisory firm Grant Thornton. Mr. Sondel is a licensed Certified Public Accountant.</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Effective upon Mr. Sondel’s appointment, he will become party to our standard Indemnification Agreement for officers, previously filed. There are no reportable family relationships or related person transactions involving the Company and Mr. Sondel.</w:t>
      </w:r>
    </w:p>
    <w:p>
      <w:pPr>
        <w:sectPr>
          <w:pgSz w:w="11900" w:h="16838" w:orient="portrait"/>
          <w:cols w:equalWidth="0" w:num="1">
            <w:col w:w="10940"/>
          </w:cols>
          <w:pgMar w:left="440" w:top="266" w:right="51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January 29, 2019</w:t>
      </w:r>
      <w:r>
        <w:rPr>
          <w:sz w:val="20"/>
          <w:szCs w:val="20"/>
          <w:color w:val="auto"/>
        </w:rPr>
        <w:tab/>
      </w:r>
      <w:r>
        <w:rPr>
          <w:rFonts w:ascii="Times New Roman" w:cs="Times New Roman" w:eastAsia="Times New Roman" w:hAnsi="Times New Roman"/>
          <w:sz w:val="17"/>
          <w:szCs w:val="17"/>
          <w:color w:val="auto"/>
        </w:rPr>
        <w:t>ANALOG DEVICES, INC.</w:t>
      </w:r>
    </w:p>
    <w:p>
      <w:pPr>
        <w:spacing w:after="0" w:line="225" w:lineRule="exact"/>
        <w:rPr>
          <w:sz w:val="20"/>
          <w:szCs w:val="20"/>
          <w:color w:val="auto"/>
        </w:rPr>
      </w:pPr>
    </w:p>
    <w:p>
      <w:pPr>
        <w:ind w:left="56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Margaret K.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17145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Margaret K. Seif</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People Officer, Chief Legal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Officer and Secretary</w:t>
      </w:r>
    </w:p>
    <w:sectPr>
      <w:pgSz w:w="11900" w:h="16838" w:orient="portrait"/>
      <w:cols w:equalWidth="0" w:num="1">
        <w:col w:w="10780"/>
      </w:cols>
      <w:pgMar w:left="440" w:top="27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2019-12-04T19:30:00Z</dcterms:created>
  <dcterms:modified xsi:type="dcterms:W3CDTF">2019-12-04T19:30:00Z</dcterms:modified>
</cp:coreProperties>
</file>